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jc w:val="center"/>
        <w:rPr>
          <w:rFonts w:ascii="宋体" w:hAnsi="宋体"/>
          <w:color w:val="auto"/>
          <w:spacing w:val="42"/>
          <w:szCs w:val="6"/>
          <w:highlight w:val="none"/>
        </w:rPr>
      </w:pPr>
    </w:p>
    <w:p>
      <w:pPr>
        <w:ind w:firstLine="660"/>
        <w:jc w:val="center"/>
        <w:rPr>
          <w:rFonts w:ascii="宋体" w:hAnsi="宋体"/>
          <w:color w:val="auto"/>
          <w:spacing w:val="42"/>
          <w:szCs w:val="6"/>
          <w:highlight w:val="none"/>
        </w:rPr>
      </w:pPr>
    </w:p>
    <w:p>
      <w:pPr>
        <w:pStyle w:val="2"/>
        <w:ind w:firstLine="660"/>
        <w:rPr>
          <w:rFonts w:ascii="宋体" w:hAnsi="宋体"/>
          <w:color w:val="auto"/>
          <w:spacing w:val="42"/>
          <w:szCs w:val="6"/>
          <w:highlight w:val="none"/>
        </w:rPr>
      </w:pPr>
    </w:p>
    <w:p>
      <w:pPr>
        <w:pStyle w:val="2"/>
        <w:ind w:firstLine="660"/>
        <w:rPr>
          <w:rFonts w:ascii="宋体" w:hAnsi="宋体"/>
          <w:color w:val="auto"/>
          <w:spacing w:val="42"/>
          <w:szCs w:val="6"/>
          <w:highlight w:val="none"/>
        </w:rPr>
      </w:pPr>
    </w:p>
    <w:p>
      <w:pPr>
        <w:pStyle w:val="2"/>
        <w:ind w:firstLine="660"/>
        <w:rPr>
          <w:rFonts w:ascii="宋体" w:hAnsi="宋体"/>
          <w:color w:val="auto"/>
          <w:spacing w:val="42"/>
          <w:szCs w:val="6"/>
          <w:highlight w:val="none"/>
        </w:rPr>
      </w:pPr>
    </w:p>
    <w:p>
      <w:pPr>
        <w:pStyle w:val="2"/>
        <w:ind w:firstLine="660"/>
        <w:rPr>
          <w:rFonts w:ascii="宋体" w:hAnsi="宋体"/>
          <w:color w:val="auto"/>
          <w:spacing w:val="42"/>
          <w:szCs w:val="6"/>
          <w:highlight w:val="none"/>
        </w:rPr>
      </w:pPr>
    </w:p>
    <w:p>
      <w:pPr>
        <w:pStyle w:val="2"/>
        <w:ind w:firstLine="660"/>
        <w:rPr>
          <w:rFonts w:ascii="宋体" w:hAnsi="宋体"/>
          <w:color w:val="auto"/>
          <w:spacing w:val="42"/>
          <w:szCs w:val="6"/>
          <w:highlight w:val="none"/>
        </w:rPr>
      </w:pPr>
    </w:p>
    <w:p>
      <w:pPr>
        <w:pStyle w:val="2"/>
        <w:ind w:firstLine="0" w:firstLineChars="0"/>
        <w:rPr>
          <w:rFonts w:ascii="宋体" w:hAnsi="宋体"/>
          <w:color w:val="auto"/>
          <w:spacing w:val="42"/>
          <w:szCs w:val="6"/>
          <w:highlight w:val="none"/>
        </w:rPr>
      </w:pPr>
    </w:p>
    <w:p>
      <w:pPr>
        <w:pStyle w:val="2"/>
        <w:ind w:firstLine="660"/>
        <w:rPr>
          <w:rFonts w:ascii="宋体" w:hAnsi="宋体"/>
          <w:color w:val="auto"/>
          <w:spacing w:val="42"/>
          <w:szCs w:val="6"/>
          <w:highlight w:val="none"/>
        </w:rPr>
      </w:pPr>
    </w:p>
    <w:p>
      <w:pPr>
        <w:ind w:firstLine="0" w:firstLineChars="0"/>
        <w:jc w:val="center"/>
        <w:rPr>
          <w:rFonts w:ascii="宋体" w:hAnsi="宋体"/>
          <w:color w:val="auto"/>
          <w:spacing w:val="42"/>
          <w:sz w:val="130"/>
          <w:szCs w:val="130"/>
          <w:highlight w:val="none"/>
        </w:rPr>
      </w:pPr>
      <w:r>
        <w:rPr>
          <w:rFonts w:hint="eastAsia" w:ascii="宋体" w:hAnsi="宋体"/>
          <w:color w:val="auto"/>
          <w:spacing w:val="42"/>
          <w:sz w:val="130"/>
          <w:szCs w:val="130"/>
          <w:highlight w:val="none"/>
        </w:rPr>
        <w:t>招 标 文 件</w:t>
      </w:r>
    </w:p>
    <w:p>
      <w:pPr>
        <w:ind w:firstLine="492"/>
        <w:jc w:val="center"/>
        <w:rPr>
          <w:rFonts w:ascii="宋体" w:hAnsi="宋体"/>
          <w:color w:val="auto"/>
          <w:szCs w:val="18"/>
          <w:highlight w:val="none"/>
        </w:rPr>
      </w:pPr>
    </w:p>
    <w:p>
      <w:pPr>
        <w:ind w:firstLine="492"/>
        <w:jc w:val="center"/>
        <w:rPr>
          <w:rFonts w:ascii="宋体" w:hAnsi="宋体"/>
          <w:color w:val="auto"/>
          <w:highlight w:val="none"/>
        </w:rPr>
      </w:pPr>
    </w:p>
    <w:p>
      <w:pPr>
        <w:ind w:firstLine="0" w:firstLineChars="0"/>
        <w:jc w:val="both"/>
        <w:rPr>
          <w:rFonts w:ascii="宋体" w:hAnsi="宋体"/>
          <w:color w:val="auto"/>
          <w:highlight w:val="none"/>
        </w:rPr>
      </w:pPr>
    </w:p>
    <w:p>
      <w:pPr>
        <w:pStyle w:val="2"/>
        <w:ind w:firstLine="492"/>
        <w:rPr>
          <w:rFonts w:ascii="宋体" w:hAnsi="宋体"/>
          <w:color w:val="auto"/>
          <w:highlight w:val="none"/>
        </w:rPr>
      </w:pPr>
    </w:p>
    <w:p>
      <w:pPr>
        <w:pStyle w:val="2"/>
        <w:ind w:firstLine="492"/>
        <w:rPr>
          <w:rFonts w:ascii="宋体" w:hAnsi="宋体"/>
          <w:color w:val="auto"/>
          <w:highlight w:val="none"/>
        </w:rPr>
      </w:pPr>
    </w:p>
    <w:p>
      <w:pPr>
        <w:pStyle w:val="2"/>
        <w:ind w:firstLine="492"/>
        <w:rPr>
          <w:rFonts w:ascii="宋体" w:hAnsi="宋体"/>
          <w:color w:val="auto"/>
          <w:highlight w:val="none"/>
        </w:rPr>
      </w:pPr>
    </w:p>
    <w:p>
      <w:pPr>
        <w:pStyle w:val="2"/>
        <w:ind w:firstLine="492"/>
        <w:rPr>
          <w:rFonts w:ascii="宋体" w:hAnsi="宋体"/>
          <w:color w:val="auto"/>
          <w:highlight w:val="none"/>
        </w:rPr>
      </w:pPr>
    </w:p>
    <w:p>
      <w:pPr>
        <w:ind w:left="1630" w:hanging="1625" w:hangingChars="500"/>
        <w:rPr>
          <w:rFonts w:ascii="宋体" w:hAnsi="宋体"/>
          <w:color w:val="auto"/>
          <w:sz w:val="32"/>
          <w:szCs w:val="32"/>
          <w:highlight w:val="none"/>
        </w:rPr>
      </w:pPr>
      <w:r>
        <w:rPr>
          <w:rFonts w:hint="eastAsia" w:ascii="宋体" w:hAnsi="宋体"/>
          <w:color w:val="auto"/>
          <w:sz w:val="32"/>
          <w:szCs w:val="32"/>
          <w:highlight w:val="none"/>
        </w:rPr>
        <w:t>项目名称：</w:t>
      </w:r>
      <w:r>
        <w:rPr>
          <w:rFonts w:hint="eastAsia" w:ascii="宋体" w:hAnsi="宋体"/>
          <w:color w:val="auto"/>
          <w:sz w:val="32"/>
          <w:szCs w:val="32"/>
          <w:highlight w:val="none"/>
          <w:lang w:eastAsia="zh-CN"/>
        </w:rPr>
        <w:t>成都市龙泉驿区城市绿地建设管理中心零星维护服务采购项目</w:t>
      </w:r>
    </w:p>
    <w:p>
      <w:pPr>
        <w:ind w:firstLine="0" w:firstLineChars="0"/>
        <w:rPr>
          <w:rFonts w:hint="eastAsia" w:ascii="宋体" w:hAnsi="宋体" w:eastAsia="宋体"/>
          <w:color w:val="auto"/>
          <w:sz w:val="32"/>
          <w:szCs w:val="32"/>
          <w:highlight w:val="none"/>
          <w:lang w:eastAsia="zh-CN"/>
        </w:rPr>
      </w:pPr>
      <w:r>
        <w:rPr>
          <w:rFonts w:hint="eastAsia" w:ascii="宋体" w:hAnsi="宋体"/>
          <w:color w:val="auto"/>
          <w:sz w:val="32"/>
          <w:szCs w:val="32"/>
          <w:highlight w:val="none"/>
          <w:lang w:eastAsia="zh-CN"/>
        </w:rPr>
        <w:t>项目编号</w:t>
      </w:r>
      <w:r>
        <w:rPr>
          <w:rFonts w:hint="eastAsia" w:ascii="宋体" w:hAnsi="宋体"/>
          <w:color w:val="auto"/>
          <w:sz w:val="32"/>
          <w:szCs w:val="32"/>
          <w:highlight w:val="none"/>
        </w:rPr>
        <w:t>：</w:t>
      </w:r>
      <w:r>
        <w:rPr>
          <w:rFonts w:hint="eastAsia" w:ascii="宋体" w:hAnsi="宋体"/>
          <w:color w:val="auto"/>
          <w:sz w:val="32"/>
          <w:szCs w:val="32"/>
          <w:highlight w:val="none"/>
          <w:lang w:eastAsia="zh-CN"/>
        </w:rPr>
        <w:t>510112202100104</w:t>
      </w:r>
    </w:p>
    <w:p>
      <w:pPr>
        <w:ind w:firstLine="0" w:firstLineChars="0"/>
        <w:jc w:val="both"/>
        <w:rPr>
          <w:rFonts w:ascii="宋体" w:hAnsi="宋体"/>
          <w:color w:val="auto"/>
          <w:kern w:val="24"/>
          <w:sz w:val="32"/>
          <w:szCs w:val="32"/>
          <w:highlight w:val="none"/>
        </w:rPr>
      </w:pPr>
    </w:p>
    <w:p>
      <w:pPr>
        <w:ind w:firstLine="0" w:firstLineChars="0"/>
        <w:jc w:val="center"/>
        <w:rPr>
          <w:rFonts w:ascii="宋体" w:hAnsi="宋体"/>
          <w:color w:val="auto"/>
          <w:kern w:val="24"/>
          <w:sz w:val="32"/>
          <w:szCs w:val="32"/>
          <w:highlight w:val="none"/>
        </w:rPr>
      </w:pPr>
    </w:p>
    <w:p>
      <w:pPr>
        <w:ind w:firstLine="0" w:firstLineChars="0"/>
        <w:jc w:val="center"/>
        <w:rPr>
          <w:rFonts w:ascii="宋体" w:hAnsi="宋体"/>
          <w:color w:val="auto"/>
          <w:sz w:val="32"/>
          <w:szCs w:val="32"/>
          <w:highlight w:val="none"/>
        </w:rPr>
      </w:pPr>
      <w:r>
        <w:rPr>
          <w:rFonts w:hint="eastAsia" w:ascii="宋体" w:hAnsi="宋体"/>
          <w:color w:val="auto"/>
          <w:sz w:val="32"/>
          <w:szCs w:val="32"/>
          <w:highlight w:val="none"/>
        </w:rPr>
        <w:t>中国·成都</w:t>
      </w:r>
    </w:p>
    <w:p>
      <w:pPr>
        <w:ind w:firstLine="0" w:firstLineChars="0"/>
        <w:jc w:val="center"/>
        <w:rPr>
          <w:rFonts w:ascii="宋体" w:hAnsi="宋体"/>
          <w:color w:val="auto"/>
          <w:sz w:val="32"/>
          <w:szCs w:val="32"/>
          <w:highlight w:val="none"/>
        </w:rPr>
      </w:pPr>
      <w:r>
        <w:rPr>
          <w:rFonts w:hint="eastAsia" w:ascii="宋体" w:hAnsi="宋体"/>
          <w:color w:val="auto"/>
          <w:sz w:val="32"/>
          <w:szCs w:val="32"/>
          <w:highlight w:val="none"/>
        </w:rPr>
        <w:t xml:space="preserve">   四川世科工程咨询有限公司、</w:t>
      </w:r>
      <w:r>
        <w:rPr>
          <w:rFonts w:hint="eastAsia" w:ascii="宋体" w:hAnsi="宋体"/>
          <w:color w:val="auto"/>
          <w:sz w:val="32"/>
          <w:szCs w:val="32"/>
          <w:highlight w:val="none"/>
          <w:lang w:eastAsia="zh-CN"/>
        </w:rPr>
        <w:t>成都市龙泉驿区城市绿地建设管理中心</w:t>
      </w:r>
      <w:r>
        <w:rPr>
          <w:rFonts w:hint="eastAsia" w:ascii="宋体" w:hAnsi="宋体"/>
          <w:color w:val="auto"/>
          <w:sz w:val="32"/>
          <w:szCs w:val="32"/>
          <w:highlight w:val="none"/>
          <w:lang w:val="en-US" w:eastAsia="zh-CN"/>
        </w:rPr>
        <w:t xml:space="preserve">  </w:t>
      </w:r>
      <w:r>
        <w:rPr>
          <w:rFonts w:hint="eastAsia" w:ascii="宋体" w:hAnsi="宋体"/>
          <w:color w:val="auto"/>
          <w:sz w:val="32"/>
          <w:szCs w:val="32"/>
          <w:highlight w:val="none"/>
        </w:rPr>
        <w:t xml:space="preserve">共同编制  </w:t>
      </w:r>
    </w:p>
    <w:p>
      <w:pPr>
        <w:ind w:firstLine="0" w:firstLineChars="0"/>
        <w:jc w:val="center"/>
        <w:rPr>
          <w:rFonts w:hint="eastAsia" w:ascii="宋体" w:hAnsi="宋体"/>
          <w:color w:val="auto"/>
          <w:sz w:val="32"/>
          <w:szCs w:val="32"/>
          <w:highlight w:val="none"/>
        </w:rPr>
      </w:pPr>
      <w:r>
        <w:rPr>
          <w:rFonts w:hint="eastAsia" w:ascii="宋体" w:hAnsi="宋体"/>
          <w:color w:val="auto"/>
          <w:sz w:val="32"/>
          <w:szCs w:val="32"/>
          <w:highlight w:val="none"/>
        </w:rPr>
        <w:t xml:space="preserve"> 二〇二</w:t>
      </w:r>
      <w:r>
        <w:rPr>
          <w:rFonts w:hint="eastAsia" w:ascii="宋体" w:hAnsi="宋体"/>
          <w:color w:val="auto"/>
          <w:sz w:val="32"/>
          <w:szCs w:val="32"/>
          <w:highlight w:val="none"/>
          <w:lang w:val="en-US" w:eastAsia="zh-CN"/>
        </w:rPr>
        <w:t>一</w:t>
      </w:r>
      <w:r>
        <w:rPr>
          <w:rFonts w:hint="eastAsia" w:ascii="宋体" w:hAnsi="宋体"/>
          <w:color w:val="auto"/>
          <w:sz w:val="32"/>
          <w:szCs w:val="32"/>
          <w:highlight w:val="none"/>
        </w:rPr>
        <w:t>年</w:t>
      </w:r>
      <w:r>
        <w:rPr>
          <w:rFonts w:hint="eastAsia" w:ascii="宋体" w:hAnsi="宋体"/>
          <w:color w:val="auto"/>
          <w:sz w:val="32"/>
          <w:szCs w:val="32"/>
          <w:highlight w:val="none"/>
          <w:lang w:val="en-US" w:eastAsia="zh-CN"/>
        </w:rPr>
        <w:t>六</w:t>
      </w:r>
      <w:r>
        <w:rPr>
          <w:rFonts w:hint="eastAsia" w:ascii="宋体" w:hAnsi="宋体"/>
          <w:color w:val="auto"/>
          <w:sz w:val="32"/>
          <w:szCs w:val="32"/>
          <w:highlight w:val="none"/>
        </w:rPr>
        <w:t>月</w:t>
      </w:r>
    </w:p>
    <w:p>
      <w:pPr>
        <w:pStyle w:val="2"/>
        <w:rPr>
          <w:rFonts w:hint="eastAsia"/>
        </w:rPr>
      </w:pPr>
    </w:p>
    <w:p>
      <w:pPr>
        <w:pStyle w:val="2"/>
        <w:rPr>
          <w:rFonts w:hint="eastAsia"/>
          <w:lang w:eastAsia="zh-CN"/>
        </w:rPr>
      </w:pPr>
    </w:p>
    <w:p>
      <w:pPr>
        <w:pStyle w:val="2"/>
      </w:pPr>
    </w:p>
    <w:p>
      <w:pPr>
        <w:ind w:firstLine="735"/>
        <w:jc w:val="center"/>
        <w:rPr>
          <w:rFonts w:ascii="宋体" w:hAnsi="宋体"/>
          <w:b/>
          <w:color w:val="auto"/>
          <w:sz w:val="36"/>
          <w:highlight w:val="none"/>
        </w:rPr>
      </w:pPr>
      <w:bookmarkStart w:id="0" w:name="_Toc101328520"/>
      <w:bookmarkStart w:id="1" w:name="_Toc101247312"/>
      <w:bookmarkStart w:id="2" w:name="_Toc148505181"/>
      <w:bookmarkStart w:id="3" w:name="_Toc101234248"/>
    </w:p>
    <w:p>
      <w:pPr>
        <w:pStyle w:val="4"/>
        <w:pageBreakBefore w:val="0"/>
        <w:numPr>
          <w:ilvl w:val="1"/>
          <w:numId w:val="0"/>
        </w:numPr>
        <w:tabs>
          <w:tab w:val="left" w:pos="567"/>
        </w:tabs>
        <w:kinsoku/>
        <w:wordWrap/>
        <w:overflowPunct/>
        <w:topLinePunct w:val="0"/>
        <w:autoSpaceDE/>
        <w:autoSpaceDN/>
        <w:bidi w:val="0"/>
        <w:adjustRightInd/>
        <w:spacing w:line="360" w:lineRule="auto"/>
        <w:ind w:leftChars="0"/>
        <w:jc w:val="center"/>
        <w:textAlignment w:val="auto"/>
        <w:rPr>
          <w:rFonts w:hint="eastAsia" w:ascii="宋体" w:hAnsi="宋体" w:eastAsia="宋体" w:cs="宋体"/>
          <w:b/>
          <w:bCs w:val="0"/>
          <w:color w:val="auto"/>
          <w:sz w:val="36"/>
          <w:szCs w:val="36"/>
          <w:highlight w:val="none"/>
          <w:lang w:eastAsia="zh-CN"/>
        </w:rPr>
      </w:pPr>
      <w:bookmarkStart w:id="4" w:name="_Toc11173"/>
      <w:bookmarkStart w:id="5" w:name="_Toc30593"/>
      <w:r>
        <w:rPr>
          <w:rFonts w:hint="eastAsia" w:ascii="宋体" w:hAnsi="宋体" w:eastAsia="宋体" w:cs="宋体"/>
          <w:b/>
          <w:bCs w:val="0"/>
          <w:color w:val="auto"/>
          <w:sz w:val="36"/>
          <w:szCs w:val="36"/>
          <w:highlight w:val="none"/>
          <w:lang w:eastAsia="zh-CN"/>
        </w:rPr>
        <w:t>“政采贷”业务介绍</w:t>
      </w:r>
      <w:bookmarkEnd w:id="4"/>
      <w:bookmarkEnd w:id="5"/>
    </w:p>
    <w:p>
      <w:pPr>
        <w:pStyle w:val="4"/>
        <w:keepNext/>
        <w:keepLines/>
        <w:pageBreakBefore w:val="0"/>
        <w:widowControl w:val="0"/>
        <w:numPr>
          <w:ilvl w:val="1"/>
          <w:numId w:val="0"/>
        </w:numPr>
        <w:tabs>
          <w:tab w:val="left" w:pos="567"/>
        </w:tabs>
        <w:kinsoku/>
        <w:wordWrap/>
        <w:overflowPunct/>
        <w:topLinePunct w:val="0"/>
        <w:autoSpaceDE/>
        <w:autoSpaceDN/>
        <w:bidi w:val="0"/>
        <w:adjustRightInd/>
        <w:snapToGrid/>
        <w:spacing w:line="360" w:lineRule="auto"/>
        <w:ind w:firstLine="490" w:firstLineChars="200"/>
        <w:textAlignment w:val="auto"/>
        <w:rPr>
          <w:rFonts w:hint="eastAsia" w:ascii="宋体" w:hAnsi="宋体" w:eastAsia="宋体" w:cs="宋体"/>
          <w:b w:val="0"/>
          <w:bCs w:val="0"/>
          <w:color w:val="auto"/>
          <w:sz w:val="24"/>
          <w:szCs w:val="24"/>
          <w:highlight w:val="none"/>
          <w:lang w:eastAsia="zh-CN"/>
        </w:rPr>
      </w:pPr>
      <w:bookmarkStart w:id="6" w:name="_Toc7531"/>
      <w:bookmarkStart w:id="7" w:name="_Toc29579"/>
      <w:r>
        <w:rPr>
          <w:rFonts w:hint="eastAsia" w:ascii="宋体" w:hAnsi="宋体" w:eastAsia="宋体" w:cs="宋体"/>
          <w:b w:val="0"/>
          <w:bCs w:val="0"/>
          <w:color w:val="auto"/>
          <w:sz w:val="24"/>
          <w:szCs w:val="24"/>
          <w:highlight w:val="none"/>
          <w:lang w:eastAsia="zh-CN"/>
        </w:rPr>
        <w:t>为</w:t>
      </w:r>
      <w:r>
        <w:rPr>
          <w:rFonts w:hint="eastAsia" w:ascii="宋体" w:hAnsi="宋体" w:eastAsia="宋体" w:cs="宋体"/>
          <w:b w:val="0"/>
          <w:bCs w:val="0"/>
          <w:color w:val="auto"/>
          <w:sz w:val="24"/>
          <w:szCs w:val="24"/>
          <w:highlight w:val="none"/>
        </w:rPr>
        <w:t>助力解决政府采购中标、成交供应商资金不足、融资难、融资贵的困难，促进供应商依法诚信参加政府采购活动</w:t>
      </w:r>
      <w:r>
        <w:rPr>
          <w:rFonts w:hint="eastAsia" w:ascii="宋体" w:hAnsi="宋体" w:eastAsia="宋体" w:cs="宋体"/>
          <w:b w:val="0"/>
          <w:bCs w:val="0"/>
          <w:color w:val="auto"/>
          <w:sz w:val="24"/>
          <w:szCs w:val="24"/>
          <w:highlight w:val="none"/>
          <w:lang w:eastAsia="zh-CN"/>
        </w:rPr>
        <w:t>、营造良好的营商环境</w:t>
      </w: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eastAsia="zh-CN"/>
        </w:rPr>
        <w:t>《四川省财政厅关于推进四川省政府采购供应商信用融资工作的通知》（川财采﹝</w:t>
      </w:r>
      <w:r>
        <w:rPr>
          <w:rFonts w:hint="eastAsia" w:ascii="宋体" w:hAnsi="宋体" w:eastAsia="宋体" w:cs="宋体"/>
          <w:b w:val="0"/>
          <w:bCs w:val="0"/>
          <w:color w:val="auto"/>
          <w:sz w:val="24"/>
          <w:szCs w:val="24"/>
          <w:highlight w:val="none"/>
          <w:lang w:val="en-US" w:eastAsia="zh-CN"/>
        </w:rPr>
        <w:t>2018</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123号</w:t>
      </w:r>
      <w:r>
        <w:rPr>
          <w:rFonts w:hint="eastAsia" w:ascii="宋体" w:hAnsi="宋体" w:eastAsia="宋体" w:cs="宋体"/>
          <w:b w:val="0"/>
          <w:bCs w:val="0"/>
          <w:color w:val="auto"/>
          <w:sz w:val="24"/>
          <w:szCs w:val="24"/>
          <w:highlight w:val="none"/>
          <w:lang w:eastAsia="zh-CN"/>
        </w:rPr>
        <w:t>）文件要求。有融资需求的供应商可根据四川政府采购网公示的银行及其“政采贷”产品，自行选择符合自身情况的“政采贷”银行及其产品，凭中标（成交）通知书向银行提出贷款意向申请。</w:t>
      </w:r>
      <w:bookmarkEnd w:id="6"/>
      <w:bookmarkEnd w:id="7"/>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2"/>
        <w:gridCol w:w="5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429" w:type="dxa"/>
            <w:gridSpan w:val="2"/>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四川省内开展“政采贷”业务的银行名单（部分）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中国建设银行四川省分行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渤海银行成都分行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中国工商银行四川省分行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雅安农村商业银行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中国农业银行四川省分行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雅安市商业银行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眉山农村商业银行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交通银行四川省分行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乐山市商业银行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中国邮储银行四川省分行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乐山嘉州民富村镇银行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华夏银行成都分行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绵阳市商业银行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民生银行成都分行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四川省农村信用社联合社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四川天府银行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平安银行股份有限公司成都分行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兴业银行成都分行</w:t>
            </w:r>
          </w:p>
        </w:tc>
        <w:tc>
          <w:tcPr>
            <w:tcW w:w="5318" w:type="dxa"/>
            <w:noWrap w:val="0"/>
            <w:vAlign w:val="center"/>
          </w:tcPr>
          <w:p>
            <w:pPr>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上海浦东发展银行股份有限公司成都分行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成都银行</w:t>
            </w:r>
          </w:p>
        </w:tc>
        <w:tc>
          <w:tcPr>
            <w:tcW w:w="5318" w:type="dxa"/>
            <w:noWrap w:val="0"/>
            <w:vAlign w:val="center"/>
          </w:tcPr>
          <w:p>
            <w:pPr>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雅安雨城惠民村镇银行有限责任公司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成都农村商业银行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自贡银行股份有限公司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上海银行成都分行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宜宾市商业银行股份有限公司</w:t>
            </w:r>
          </w:p>
        </w:tc>
      </w:tr>
    </w:tbl>
    <w:p>
      <w:pPr>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val="0"/>
          <w:bCs/>
          <w:color w:val="auto"/>
          <w:sz w:val="24"/>
          <w:szCs w:val="24"/>
          <w:highlight w:val="none"/>
          <w:lang w:val="zh-CN" w:eastAsia="zh-CN" w:bidi="ar-SA"/>
        </w:rPr>
      </w:pPr>
    </w:p>
    <w:p>
      <w:pPr>
        <w:pStyle w:val="2"/>
        <w:rPr>
          <w:rFonts w:hint="eastAsia" w:ascii="宋体" w:hAnsi="宋体" w:eastAsia="宋体" w:cs="宋体"/>
          <w:b w:val="0"/>
          <w:bCs/>
          <w:color w:val="auto"/>
          <w:sz w:val="24"/>
          <w:szCs w:val="24"/>
          <w:highlight w:val="none"/>
          <w:lang w:val="zh-CN" w:eastAsia="zh-CN" w:bidi="ar-SA"/>
        </w:rPr>
      </w:pPr>
    </w:p>
    <w:p>
      <w:pPr>
        <w:rPr>
          <w:rFonts w:hint="eastAsia" w:ascii="宋体" w:hAnsi="宋体" w:eastAsia="宋体" w:cs="宋体"/>
          <w:b w:val="0"/>
          <w:bCs/>
          <w:color w:val="auto"/>
          <w:sz w:val="24"/>
          <w:szCs w:val="24"/>
          <w:highlight w:val="none"/>
          <w:lang w:val="zh-CN" w:eastAsia="zh-CN" w:bidi="ar-SA"/>
        </w:rPr>
      </w:pPr>
    </w:p>
    <w:p>
      <w:pPr>
        <w:pStyle w:val="2"/>
        <w:rPr>
          <w:rFonts w:hint="eastAsia" w:ascii="宋体" w:hAnsi="宋体" w:eastAsia="宋体" w:cs="宋体"/>
          <w:b w:val="0"/>
          <w:bCs/>
          <w:color w:val="auto"/>
          <w:sz w:val="24"/>
          <w:szCs w:val="24"/>
          <w:highlight w:val="none"/>
          <w:lang w:val="zh-CN" w:eastAsia="zh-CN" w:bidi="ar-SA"/>
        </w:rPr>
      </w:pPr>
    </w:p>
    <w:p>
      <w:pPr>
        <w:rPr>
          <w:rFonts w:hint="eastAsia" w:ascii="宋体" w:hAnsi="宋体" w:eastAsia="宋体" w:cs="宋体"/>
          <w:b w:val="0"/>
          <w:bCs/>
          <w:color w:val="auto"/>
          <w:sz w:val="24"/>
          <w:szCs w:val="24"/>
          <w:highlight w:val="none"/>
          <w:lang w:val="zh-CN" w:eastAsia="zh-CN" w:bidi="ar-SA"/>
        </w:rPr>
      </w:pPr>
    </w:p>
    <w:p>
      <w:pPr>
        <w:pStyle w:val="2"/>
        <w:rPr>
          <w:rFonts w:hint="eastAsia" w:ascii="宋体" w:hAnsi="宋体" w:eastAsia="宋体" w:cs="宋体"/>
          <w:b w:val="0"/>
          <w:bCs/>
          <w:color w:val="auto"/>
          <w:sz w:val="24"/>
          <w:szCs w:val="24"/>
          <w:highlight w:val="none"/>
          <w:lang w:val="zh-CN" w:eastAsia="zh-CN" w:bidi="ar-SA"/>
        </w:rPr>
      </w:pPr>
    </w:p>
    <w:p>
      <w:pPr>
        <w:rPr>
          <w:rFonts w:hint="eastAsia" w:ascii="宋体" w:hAnsi="宋体" w:eastAsia="宋体" w:cs="宋体"/>
          <w:b w:val="0"/>
          <w:bCs/>
          <w:color w:val="auto"/>
          <w:sz w:val="24"/>
          <w:szCs w:val="24"/>
          <w:highlight w:val="none"/>
          <w:lang w:val="zh-CN" w:eastAsia="zh-CN" w:bidi="ar-SA"/>
        </w:rPr>
      </w:pPr>
    </w:p>
    <w:p>
      <w:pPr>
        <w:pStyle w:val="4"/>
        <w:pageBreakBefore w:val="0"/>
        <w:numPr>
          <w:ilvl w:val="1"/>
          <w:numId w:val="0"/>
        </w:numPr>
        <w:tabs>
          <w:tab w:val="left" w:pos="567"/>
        </w:tabs>
        <w:kinsoku/>
        <w:wordWrap/>
        <w:overflowPunct/>
        <w:topLinePunct w:val="0"/>
        <w:autoSpaceDE/>
        <w:autoSpaceDN/>
        <w:bidi w:val="0"/>
        <w:adjustRightInd/>
        <w:spacing w:line="360" w:lineRule="auto"/>
        <w:ind w:firstLine="2925" w:firstLineChars="900"/>
        <w:jc w:val="both"/>
        <w:textAlignment w:val="auto"/>
        <w:rPr>
          <w:rFonts w:hint="eastAsia" w:ascii="宋体" w:hAnsi="宋体" w:eastAsia="宋体" w:cs="宋体"/>
          <w:b/>
          <w:bCs w:val="0"/>
          <w:color w:val="auto"/>
          <w:sz w:val="32"/>
          <w:szCs w:val="32"/>
          <w:highlight w:val="none"/>
          <w:lang w:eastAsia="zh-CN"/>
        </w:rPr>
      </w:pPr>
      <w:bookmarkStart w:id="8" w:name="_Toc27467"/>
      <w:bookmarkStart w:id="9" w:name="_Toc5765"/>
      <w:r>
        <w:rPr>
          <w:rFonts w:hint="eastAsia" w:ascii="宋体" w:hAnsi="宋体" w:eastAsia="宋体" w:cs="宋体"/>
          <w:b/>
          <w:bCs w:val="0"/>
          <w:color w:val="auto"/>
          <w:sz w:val="32"/>
          <w:szCs w:val="32"/>
          <w:highlight w:val="none"/>
          <w:lang w:eastAsia="zh-CN"/>
        </w:rPr>
        <w:t>“蓉采贷”业务介绍</w:t>
      </w:r>
      <w:bookmarkEnd w:id="8"/>
      <w:bookmarkEnd w:id="9"/>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9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按照《成都市中小企业政府采购信用融资暂行办法》和《成都市级支持中小企业政府采购信用融资实施方案》（成财采〔2019〕17号），目前，在省财政厅确定的四川省首期开展“政采贷”业务银行的基础上，以下银行基本完成其融资业务系统与成都市政府采购监督管理系统的对接，并承诺提供“融资利率上浮比例不超过30%、融资审批和放款期限不超过5个工作日”等更加便利的融资服务，成都市范围内政府采购中标（成交）项目的供应商为中小微企业的，可根据成都市财政局公示的银行及其“蓉采贷”产品，自行选择符合自身情况的银行及产品，凭中标（成交）通知书向银行提出贷款意向申请，并按照相关规定要求和贷款流程申请信用贷款。</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2808"/>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9" w:type="dxa"/>
            <w:gridSpan w:val="3"/>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成都市政府采购信用融资银行联系方式一览表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银行名称</w:t>
            </w:r>
          </w:p>
        </w:tc>
        <w:tc>
          <w:tcPr>
            <w:tcW w:w="280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联系部门</w:t>
            </w:r>
          </w:p>
        </w:tc>
        <w:tc>
          <w:tcPr>
            <w:tcW w:w="222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成都银行</w:t>
            </w:r>
          </w:p>
        </w:tc>
        <w:tc>
          <w:tcPr>
            <w:tcW w:w="280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中小企业部</w:t>
            </w:r>
          </w:p>
        </w:tc>
        <w:tc>
          <w:tcPr>
            <w:tcW w:w="222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028-86627320 028-87793283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中国建设银行成都第六支行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小企业部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028-84521961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交通银行四川省分行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普惠金融事业部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028-86525254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中国农业银行成都天府新区分行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公司业务部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028-63168277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四川天府银行成都分行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普惠金融事业部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028-65193380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浦发银行成都分行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普惠金融部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028-69598953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上海银行成都分行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公司业务部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028-86029074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成都农村商业银行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公司金融部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028-85599425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中国民生银行成都分行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公司业务部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028-85102180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中国工商银行成都分行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普惠部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028-86615126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中国邮政储蓄银行成都分行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小企业金融部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028-65008905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中国银行四川省分行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普惠金融事业部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028-86402100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招商银行成都分行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小企业金融部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028-87086226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广发银行成都分行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东大街支部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028-83318935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重庆银行成都分行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小微企业银行部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028-85341647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渤海银行成都分行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普惠金融事业部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028-86772083</w:t>
            </w:r>
          </w:p>
        </w:tc>
      </w:tr>
    </w:tbl>
    <w:p>
      <w:pPr>
        <w:pStyle w:val="2"/>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417" w:left="1417" w:header="851" w:footer="992" w:gutter="0"/>
          <w:pgNumType w:fmt="decimal"/>
          <w:cols w:space="0" w:num="1"/>
          <w:docGrid w:type="linesAndChars" w:linePitch="312" w:charSpace="1228"/>
        </w:sectPr>
      </w:pPr>
    </w:p>
    <w:p>
      <w:pPr>
        <w:ind w:firstLine="735"/>
        <w:jc w:val="center"/>
        <w:rPr>
          <w:rFonts w:ascii="宋体" w:hAnsi="宋体"/>
          <w:b/>
          <w:color w:val="auto"/>
          <w:sz w:val="36"/>
          <w:highlight w:val="none"/>
        </w:rPr>
      </w:pPr>
      <w:r>
        <w:rPr>
          <w:rFonts w:hint="eastAsia" w:ascii="宋体" w:hAnsi="宋体"/>
          <w:b/>
          <w:color w:val="auto"/>
          <w:sz w:val="36"/>
          <w:highlight w:val="none"/>
        </w:rPr>
        <w:tab/>
      </w:r>
      <w:r>
        <w:rPr>
          <w:rFonts w:hint="eastAsia" w:ascii="宋体" w:hAnsi="宋体"/>
          <w:b/>
          <w:color w:val="auto"/>
          <w:sz w:val="32"/>
          <w:szCs w:val="32"/>
          <w:highlight w:val="none"/>
        </w:rPr>
        <w:t>目 录</w:t>
      </w:r>
    </w:p>
    <w:p>
      <w:pPr>
        <w:pStyle w:val="36"/>
        <w:tabs>
          <w:tab w:val="right" w:leader="dot" w:pos="9214"/>
          <w:tab w:val="clear" w:pos="620"/>
          <w:tab w:val="clear" w:pos="8364"/>
        </w:tabs>
        <w:ind w:left="0" w:leftChars="0" w:firstLine="420" w:firstLineChars="200"/>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TOC \o "1-2" \h \u </w:instrText>
      </w:r>
      <w:r>
        <w:rPr>
          <w:rFonts w:hint="eastAsia" w:ascii="宋体" w:hAnsi="宋体" w:eastAsia="宋体"/>
          <w:color w:val="auto"/>
          <w:highlight w:val="none"/>
        </w:rPr>
        <w:fldChar w:fldCharType="separate"/>
      </w: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_Toc9953 </w:instrText>
      </w:r>
      <w:r>
        <w:rPr>
          <w:rFonts w:hint="eastAsia" w:ascii="宋体" w:hAnsi="宋体" w:eastAsia="宋体"/>
          <w:bCs/>
          <w:caps/>
          <w:smallCaps w:val="0"/>
          <w:highlight w:val="none"/>
        </w:rPr>
        <w:fldChar w:fldCharType="separate"/>
      </w:r>
      <w:r>
        <w:rPr>
          <w:rFonts w:hint="default" w:ascii="Times New Roman" w:hAnsi="Times New Roman" w:eastAsia="宋体"/>
          <w:i w:val="0"/>
          <w:szCs w:val="32"/>
        </w:rPr>
        <w:t xml:space="preserve">第1章 </w:t>
      </w:r>
      <w:r>
        <w:rPr>
          <w:rFonts w:hint="eastAsia"/>
          <w:highlight w:val="none"/>
        </w:rPr>
        <w:t>投标邀请</w:t>
      </w:r>
      <w:r>
        <w:tab/>
      </w:r>
      <w:r>
        <w:fldChar w:fldCharType="begin"/>
      </w:r>
      <w:r>
        <w:instrText xml:space="preserve"> PAGEREF _Toc9953 \h </w:instrText>
      </w:r>
      <w:r>
        <w:fldChar w:fldCharType="separate"/>
      </w:r>
      <w:r>
        <w:t>5</w:t>
      </w:r>
      <w:r>
        <w:fldChar w:fldCharType="end"/>
      </w:r>
      <w:r>
        <w:rPr>
          <w:rFonts w:hint="eastAsia" w:ascii="宋体" w:hAnsi="宋体" w:eastAsia="宋体"/>
          <w:bCs/>
          <w:caps/>
          <w:smallCaps w:val="0"/>
          <w:color w:val="auto"/>
          <w:highlight w:val="none"/>
        </w:rPr>
        <w:fldChar w:fldCharType="end"/>
      </w:r>
    </w:p>
    <w:p>
      <w:pPr>
        <w:pStyle w:val="30"/>
        <w:tabs>
          <w:tab w:val="right" w:leader="dot" w:pos="9214"/>
          <w:tab w:val="clear" w:pos="709"/>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_Toc3587 </w:instrText>
      </w:r>
      <w:r>
        <w:rPr>
          <w:rFonts w:hint="eastAsia" w:ascii="宋体" w:hAnsi="宋体" w:eastAsia="宋体"/>
          <w:bCs/>
          <w:caps/>
          <w:smallCaps w:val="0"/>
          <w:highlight w:val="none"/>
        </w:rPr>
        <w:fldChar w:fldCharType="separate"/>
      </w:r>
      <w:r>
        <w:rPr>
          <w:rFonts w:hint="default" w:ascii="Times New Roman" w:hAnsi="Times New Roman" w:eastAsia="宋体"/>
          <w:i w:val="0"/>
          <w:szCs w:val="32"/>
        </w:rPr>
        <w:t xml:space="preserve">第2章 </w:t>
      </w:r>
      <w:r>
        <w:rPr>
          <w:rFonts w:hint="eastAsia"/>
          <w:highlight w:val="none"/>
        </w:rPr>
        <w:t>投标人须知</w:t>
      </w:r>
      <w:r>
        <w:tab/>
      </w:r>
      <w:r>
        <w:fldChar w:fldCharType="begin"/>
      </w:r>
      <w:r>
        <w:instrText xml:space="preserve"> PAGEREF _Toc3587 \h </w:instrText>
      </w:r>
      <w:r>
        <w:fldChar w:fldCharType="separate"/>
      </w:r>
      <w:r>
        <w:t>8</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_Toc11885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2.1 </w:t>
      </w:r>
      <w:r>
        <w:rPr>
          <w:rFonts w:hint="eastAsia"/>
          <w:highlight w:val="none"/>
        </w:rPr>
        <w:t>投标人须知附表</w:t>
      </w:r>
      <w:r>
        <w:tab/>
      </w:r>
      <w:r>
        <w:fldChar w:fldCharType="begin"/>
      </w:r>
      <w:r>
        <w:instrText xml:space="preserve"> PAGEREF _Toc11885 \h </w:instrText>
      </w:r>
      <w:r>
        <w:fldChar w:fldCharType="separate"/>
      </w:r>
      <w:r>
        <w:t>8</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_Toc12395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2.2 </w:t>
      </w:r>
      <w:r>
        <w:rPr>
          <w:rFonts w:hint="eastAsia"/>
          <w:highlight w:val="none"/>
        </w:rPr>
        <w:t>总则</w:t>
      </w:r>
      <w:r>
        <w:tab/>
      </w:r>
      <w:r>
        <w:fldChar w:fldCharType="begin"/>
      </w:r>
      <w:r>
        <w:instrText xml:space="preserve"> PAGEREF _Toc12395 \h </w:instrText>
      </w:r>
      <w:r>
        <w:fldChar w:fldCharType="separate"/>
      </w:r>
      <w:r>
        <w:t>10</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_Toc4781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2.3 </w:t>
      </w:r>
      <w:r>
        <w:rPr>
          <w:rFonts w:hint="eastAsia"/>
          <w:highlight w:val="none"/>
        </w:rPr>
        <w:t>招标文件</w:t>
      </w:r>
      <w:r>
        <w:tab/>
      </w:r>
      <w:r>
        <w:fldChar w:fldCharType="begin"/>
      </w:r>
      <w:r>
        <w:instrText xml:space="preserve"> PAGEREF _Toc4781 \h </w:instrText>
      </w:r>
      <w:r>
        <w:fldChar w:fldCharType="separate"/>
      </w:r>
      <w:r>
        <w:t>12</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_Toc15714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2.4 </w:t>
      </w:r>
      <w:r>
        <w:rPr>
          <w:rFonts w:hint="eastAsia"/>
          <w:highlight w:val="none"/>
        </w:rPr>
        <w:t>投标文件</w:t>
      </w:r>
      <w:r>
        <w:tab/>
      </w:r>
      <w:r>
        <w:fldChar w:fldCharType="begin"/>
      </w:r>
      <w:r>
        <w:instrText xml:space="preserve"> PAGEREF _Toc15714 \h </w:instrText>
      </w:r>
      <w:r>
        <w:fldChar w:fldCharType="separate"/>
      </w:r>
      <w:r>
        <w:t>13</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_Toc27206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2.5 </w:t>
      </w:r>
      <w:r>
        <w:rPr>
          <w:rFonts w:hint="eastAsia"/>
          <w:highlight w:val="none"/>
        </w:rPr>
        <w:t>开标、评标和中标</w:t>
      </w:r>
      <w:r>
        <w:tab/>
      </w:r>
      <w:r>
        <w:fldChar w:fldCharType="begin"/>
      </w:r>
      <w:r>
        <w:instrText xml:space="preserve"> PAGEREF _Toc27206 \h </w:instrText>
      </w:r>
      <w:r>
        <w:fldChar w:fldCharType="separate"/>
      </w:r>
      <w:r>
        <w:t>18</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_Toc14401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2.6 </w:t>
      </w:r>
      <w:r>
        <w:rPr>
          <w:rFonts w:hint="eastAsia"/>
          <w:highlight w:val="none"/>
        </w:rPr>
        <w:t>签订及履行合同和验收</w:t>
      </w:r>
      <w:r>
        <w:tab/>
      </w:r>
      <w:r>
        <w:fldChar w:fldCharType="begin"/>
      </w:r>
      <w:r>
        <w:instrText xml:space="preserve"> PAGEREF _Toc14401 \h </w:instrText>
      </w:r>
      <w:r>
        <w:fldChar w:fldCharType="separate"/>
      </w:r>
      <w:r>
        <w:t>19</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_Toc32075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2.7 </w:t>
      </w:r>
      <w:r>
        <w:rPr>
          <w:rFonts w:hint="eastAsia"/>
          <w:highlight w:val="none"/>
        </w:rPr>
        <w:t>投标纪律要求</w:t>
      </w:r>
      <w:r>
        <w:tab/>
      </w:r>
      <w:r>
        <w:fldChar w:fldCharType="begin"/>
      </w:r>
      <w:r>
        <w:instrText xml:space="preserve"> PAGEREF _Toc32075 \h </w:instrText>
      </w:r>
      <w:r>
        <w:fldChar w:fldCharType="separate"/>
      </w:r>
      <w:r>
        <w:t>21</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_Toc23144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2.8 </w:t>
      </w:r>
      <w:r>
        <w:rPr>
          <w:rFonts w:hint="eastAsia"/>
          <w:highlight w:val="none"/>
        </w:rPr>
        <w:t>资金支付</w:t>
      </w:r>
      <w:r>
        <w:tab/>
      </w:r>
      <w:r>
        <w:fldChar w:fldCharType="begin"/>
      </w:r>
      <w:r>
        <w:instrText xml:space="preserve"> PAGEREF _Toc23144 \h </w:instrText>
      </w:r>
      <w:r>
        <w:fldChar w:fldCharType="separate"/>
      </w:r>
      <w:r>
        <w:t>22</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_Toc21201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2.9 </w:t>
      </w:r>
      <w:r>
        <w:rPr>
          <w:rFonts w:hint="eastAsia"/>
          <w:highlight w:val="none"/>
        </w:rPr>
        <w:t>询问、质疑和投诉</w:t>
      </w:r>
      <w:r>
        <w:tab/>
      </w:r>
      <w:r>
        <w:fldChar w:fldCharType="begin"/>
      </w:r>
      <w:r>
        <w:instrText xml:space="preserve"> PAGEREF _Toc21201 \h </w:instrText>
      </w:r>
      <w:r>
        <w:fldChar w:fldCharType="separate"/>
      </w:r>
      <w:r>
        <w:t>22</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_Toc15619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2.10 </w:t>
      </w:r>
      <w:r>
        <w:rPr>
          <w:rFonts w:hint="eastAsia"/>
          <w:highlight w:val="none"/>
        </w:rPr>
        <w:t>其他</w:t>
      </w:r>
      <w:r>
        <w:tab/>
      </w:r>
      <w:r>
        <w:fldChar w:fldCharType="begin"/>
      </w:r>
      <w:r>
        <w:instrText xml:space="preserve"> PAGEREF _Toc15619 \h </w:instrText>
      </w:r>
      <w:r>
        <w:fldChar w:fldCharType="separate"/>
      </w:r>
      <w:r>
        <w:t>23</w:t>
      </w:r>
      <w:r>
        <w:fldChar w:fldCharType="end"/>
      </w:r>
      <w:r>
        <w:rPr>
          <w:rFonts w:hint="eastAsia" w:ascii="宋体" w:hAnsi="宋体" w:eastAsia="宋体"/>
          <w:bCs/>
          <w:caps/>
          <w:smallCaps w:val="0"/>
          <w:color w:val="auto"/>
          <w:highlight w:val="none"/>
        </w:rPr>
        <w:fldChar w:fldCharType="end"/>
      </w:r>
    </w:p>
    <w:p>
      <w:pPr>
        <w:pStyle w:val="30"/>
        <w:tabs>
          <w:tab w:val="right" w:leader="dot" w:pos="9214"/>
          <w:tab w:val="clear" w:pos="709"/>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_Toc15382 </w:instrText>
      </w:r>
      <w:r>
        <w:rPr>
          <w:rFonts w:hint="eastAsia" w:ascii="宋体" w:hAnsi="宋体" w:eastAsia="宋体"/>
          <w:bCs/>
          <w:caps/>
          <w:smallCaps w:val="0"/>
          <w:highlight w:val="none"/>
        </w:rPr>
        <w:fldChar w:fldCharType="separate"/>
      </w:r>
      <w:r>
        <w:rPr>
          <w:rFonts w:hint="default" w:ascii="Times New Roman" w:hAnsi="Times New Roman" w:eastAsia="宋体"/>
          <w:i w:val="0"/>
          <w:szCs w:val="32"/>
        </w:rPr>
        <w:t xml:space="preserve">第3章 </w:t>
      </w:r>
      <w:r>
        <w:rPr>
          <w:rFonts w:hint="eastAsia"/>
          <w:highlight w:val="none"/>
        </w:rPr>
        <w:t>投标文件格式</w:t>
      </w:r>
      <w:r>
        <w:tab/>
      </w:r>
      <w:r>
        <w:fldChar w:fldCharType="begin"/>
      </w:r>
      <w:r>
        <w:instrText xml:space="preserve"> PAGEREF _Toc15382 \h </w:instrText>
      </w:r>
      <w:r>
        <w:fldChar w:fldCharType="separate"/>
      </w:r>
      <w:r>
        <w:t>24</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_Toc7701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3.1 </w:t>
      </w:r>
      <w:r>
        <w:rPr>
          <w:rFonts w:hint="eastAsia"/>
          <w:highlight w:val="none"/>
        </w:rPr>
        <w:t>资格性响应文件</w:t>
      </w:r>
      <w:r>
        <w:tab/>
      </w:r>
      <w:r>
        <w:fldChar w:fldCharType="begin"/>
      </w:r>
      <w:r>
        <w:instrText xml:space="preserve"> PAGEREF _Toc7701 \h </w:instrText>
      </w:r>
      <w:r>
        <w:fldChar w:fldCharType="separate"/>
      </w:r>
      <w:r>
        <w:t>25</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_Toc20963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3.2 </w:t>
      </w:r>
      <w:r>
        <w:rPr>
          <w:rFonts w:hint="eastAsia"/>
          <w:highlight w:val="none"/>
        </w:rPr>
        <w:t>技术、服务性响应文件</w:t>
      </w:r>
      <w:r>
        <w:tab/>
      </w:r>
      <w:r>
        <w:fldChar w:fldCharType="begin"/>
      </w:r>
      <w:r>
        <w:instrText xml:space="preserve"> PAGEREF _Toc20963 \h </w:instrText>
      </w:r>
      <w:r>
        <w:fldChar w:fldCharType="separate"/>
      </w:r>
      <w:r>
        <w:t>37</w:t>
      </w:r>
      <w:r>
        <w:fldChar w:fldCharType="end"/>
      </w:r>
      <w:r>
        <w:rPr>
          <w:rFonts w:hint="eastAsia" w:ascii="宋体" w:hAnsi="宋体" w:eastAsia="宋体"/>
          <w:bCs/>
          <w:caps/>
          <w:smallCaps w:val="0"/>
          <w:color w:val="auto"/>
          <w:highlight w:val="none"/>
        </w:rPr>
        <w:fldChar w:fldCharType="end"/>
      </w:r>
    </w:p>
    <w:p>
      <w:pPr>
        <w:pStyle w:val="30"/>
        <w:tabs>
          <w:tab w:val="right" w:leader="dot" w:pos="9214"/>
          <w:tab w:val="clear" w:pos="709"/>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_Toc712 </w:instrText>
      </w:r>
      <w:r>
        <w:rPr>
          <w:rFonts w:hint="eastAsia" w:ascii="宋体" w:hAnsi="宋体" w:eastAsia="宋体"/>
          <w:bCs/>
          <w:caps/>
          <w:smallCaps w:val="0"/>
          <w:highlight w:val="none"/>
        </w:rPr>
        <w:fldChar w:fldCharType="separate"/>
      </w:r>
      <w:r>
        <w:rPr>
          <w:rFonts w:hint="default" w:ascii="Times New Roman" w:hAnsi="Times New Roman" w:eastAsia="宋体"/>
          <w:i w:val="0"/>
          <w:szCs w:val="32"/>
        </w:rPr>
        <w:t xml:space="preserve">第4章 </w:t>
      </w:r>
      <w:r>
        <w:rPr>
          <w:rFonts w:hint="eastAsia"/>
          <w:highlight w:val="none"/>
        </w:rPr>
        <w:t>招标项目技术、商务及其他要求</w:t>
      </w:r>
      <w:r>
        <w:tab/>
      </w:r>
      <w:r>
        <w:fldChar w:fldCharType="begin"/>
      </w:r>
      <w:r>
        <w:instrText xml:space="preserve"> PAGEREF _Toc712 \h </w:instrText>
      </w:r>
      <w:r>
        <w:fldChar w:fldCharType="separate"/>
      </w:r>
      <w:r>
        <w:t>45</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_Toc15898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4.1 </w:t>
      </w:r>
      <w:r>
        <w:rPr>
          <w:rFonts w:hint="eastAsia"/>
          <w:szCs w:val="24"/>
          <w:highlight w:val="none"/>
        </w:rPr>
        <w:t>项目概况</w:t>
      </w:r>
      <w:r>
        <w:tab/>
      </w:r>
      <w:r>
        <w:fldChar w:fldCharType="begin"/>
      </w:r>
      <w:r>
        <w:instrText xml:space="preserve"> PAGEREF _Toc15898 \h </w:instrText>
      </w:r>
      <w:r>
        <w:fldChar w:fldCharType="separate"/>
      </w:r>
      <w:r>
        <w:t>45</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_Toc18771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4.2 </w:t>
      </w:r>
      <w:r>
        <w:rPr>
          <w:rFonts w:hint="eastAsia"/>
          <w:szCs w:val="24"/>
          <w:highlight w:val="none"/>
          <w:lang w:val="en-US" w:eastAsia="zh-CN"/>
        </w:rPr>
        <w:t>各包零星维护清单</w:t>
      </w:r>
      <w:r>
        <w:tab/>
      </w:r>
      <w:r>
        <w:fldChar w:fldCharType="begin"/>
      </w:r>
      <w:r>
        <w:instrText xml:space="preserve"> PAGEREF _Toc18771 \h </w:instrText>
      </w:r>
      <w:r>
        <w:fldChar w:fldCharType="separate"/>
      </w:r>
      <w:r>
        <w:t>45</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_Toc14986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4.3 </w:t>
      </w:r>
      <w:r>
        <w:rPr>
          <w:rFonts w:hint="eastAsia"/>
          <w:szCs w:val="24"/>
          <w:highlight w:val="none"/>
          <w:lang w:val="en-US" w:eastAsia="zh-CN"/>
        </w:rPr>
        <w:t>各包</w:t>
      </w:r>
      <w:r>
        <w:rPr>
          <w:rFonts w:hint="eastAsia"/>
          <w:szCs w:val="24"/>
          <w:highlight w:val="none"/>
        </w:rPr>
        <w:t>商务要求</w:t>
      </w:r>
      <w:r>
        <w:tab/>
      </w:r>
      <w:r>
        <w:fldChar w:fldCharType="begin"/>
      </w:r>
      <w:r>
        <w:instrText xml:space="preserve"> PAGEREF _Toc14986 \h </w:instrText>
      </w:r>
      <w:r>
        <w:fldChar w:fldCharType="separate"/>
      </w:r>
      <w:r>
        <w:t>148</w:t>
      </w:r>
      <w:r>
        <w:fldChar w:fldCharType="end"/>
      </w:r>
      <w:r>
        <w:rPr>
          <w:rFonts w:hint="eastAsia" w:ascii="宋体" w:hAnsi="宋体" w:eastAsia="宋体"/>
          <w:bCs/>
          <w:caps/>
          <w:smallCaps w:val="0"/>
          <w:color w:val="auto"/>
          <w:highlight w:val="none"/>
        </w:rPr>
        <w:fldChar w:fldCharType="end"/>
      </w:r>
    </w:p>
    <w:p>
      <w:pPr>
        <w:pStyle w:val="30"/>
        <w:tabs>
          <w:tab w:val="right" w:leader="dot" w:pos="9214"/>
          <w:tab w:val="clear" w:pos="709"/>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_Toc3828 </w:instrText>
      </w:r>
      <w:r>
        <w:rPr>
          <w:rFonts w:hint="eastAsia" w:ascii="宋体" w:hAnsi="宋体" w:eastAsia="宋体"/>
          <w:bCs/>
          <w:caps/>
          <w:smallCaps w:val="0"/>
          <w:highlight w:val="none"/>
        </w:rPr>
        <w:fldChar w:fldCharType="separate"/>
      </w:r>
      <w:r>
        <w:rPr>
          <w:rFonts w:hint="default" w:ascii="Times New Roman" w:hAnsi="Times New Roman" w:eastAsia="宋体"/>
          <w:i w:val="0"/>
          <w:szCs w:val="32"/>
        </w:rPr>
        <w:t xml:space="preserve">第5章 </w:t>
      </w:r>
      <w:r>
        <w:rPr>
          <w:rFonts w:hint="eastAsia"/>
          <w:highlight w:val="none"/>
        </w:rPr>
        <w:t>资格性审查</w:t>
      </w:r>
      <w:r>
        <w:tab/>
      </w:r>
      <w:r>
        <w:fldChar w:fldCharType="begin"/>
      </w:r>
      <w:r>
        <w:instrText xml:space="preserve"> PAGEREF _Toc3828 \h </w:instrText>
      </w:r>
      <w:r>
        <w:fldChar w:fldCharType="separate"/>
      </w:r>
      <w:r>
        <w:t>150</w:t>
      </w:r>
      <w:r>
        <w:fldChar w:fldCharType="end"/>
      </w:r>
      <w:r>
        <w:rPr>
          <w:rFonts w:hint="eastAsia" w:ascii="宋体" w:hAnsi="宋体" w:eastAsia="宋体"/>
          <w:bCs/>
          <w:caps/>
          <w:smallCaps w:val="0"/>
          <w:color w:val="auto"/>
          <w:highlight w:val="none"/>
        </w:rPr>
        <w:fldChar w:fldCharType="end"/>
      </w:r>
    </w:p>
    <w:p>
      <w:pPr>
        <w:pStyle w:val="30"/>
        <w:tabs>
          <w:tab w:val="right" w:leader="dot" w:pos="9214"/>
          <w:tab w:val="clear" w:pos="709"/>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_Toc14201 </w:instrText>
      </w:r>
      <w:r>
        <w:rPr>
          <w:rFonts w:hint="eastAsia" w:ascii="宋体" w:hAnsi="宋体" w:eastAsia="宋体"/>
          <w:bCs/>
          <w:caps/>
          <w:smallCaps w:val="0"/>
          <w:highlight w:val="none"/>
        </w:rPr>
        <w:fldChar w:fldCharType="separate"/>
      </w:r>
      <w:r>
        <w:rPr>
          <w:rFonts w:hint="default" w:ascii="Times New Roman" w:hAnsi="Times New Roman" w:eastAsia="宋体"/>
          <w:i w:val="0"/>
          <w:szCs w:val="32"/>
        </w:rPr>
        <w:t xml:space="preserve">第6章 </w:t>
      </w:r>
      <w:r>
        <w:rPr>
          <w:rFonts w:hint="eastAsia"/>
          <w:szCs w:val="24"/>
          <w:highlight w:val="none"/>
        </w:rPr>
        <w:t>评标办法</w:t>
      </w:r>
      <w:r>
        <w:tab/>
      </w:r>
      <w:r>
        <w:fldChar w:fldCharType="begin"/>
      </w:r>
      <w:r>
        <w:instrText xml:space="preserve"> PAGEREF _Toc14201 \h </w:instrText>
      </w:r>
      <w:r>
        <w:fldChar w:fldCharType="separate"/>
      </w:r>
      <w:r>
        <w:t>152</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_Toc13006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6.1 </w:t>
      </w:r>
      <w:r>
        <w:rPr>
          <w:rFonts w:hint="eastAsia"/>
          <w:highlight w:val="none"/>
        </w:rPr>
        <w:t>总则</w:t>
      </w:r>
      <w:r>
        <w:tab/>
      </w:r>
      <w:r>
        <w:fldChar w:fldCharType="begin"/>
      </w:r>
      <w:r>
        <w:instrText xml:space="preserve"> PAGEREF _Toc13006 \h </w:instrText>
      </w:r>
      <w:r>
        <w:fldChar w:fldCharType="separate"/>
      </w:r>
      <w:r>
        <w:t>152</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_Toc28562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6.2 </w:t>
      </w:r>
      <w:r>
        <w:rPr>
          <w:rFonts w:hint="eastAsia"/>
          <w:highlight w:val="none"/>
        </w:rPr>
        <w:t>评标方法</w:t>
      </w:r>
      <w:r>
        <w:tab/>
      </w:r>
      <w:r>
        <w:fldChar w:fldCharType="begin"/>
      </w:r>
      <w:r>
        <w:instrText xml:space="preserve"> PAGEREF _Toc28562 \h </w:instrText>
      </w:r>
      <w:r>
        <w:fldChar w:fldCharType="separate"/>
      </w:r>
      <w:r>
        <w:t>152</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_Toc17582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6.3 </w:t>
      </w:r>
      <w:r>
        <w:rPr>
          <w:rFonts w:hint="eastAsia"/>
          <w:highlight w:val="none"/>
        </w:rPr>
        <w:t>评标程序</w:t>
      </w:r>
      <w:r>
        <w:tab/>
      </w:r>
      <w:r>
        <w:fldChar w:fldCharType="begin"/>
      </w:r>
      <w:r>
        <w:instrText xml:space="preserve"> PAGEREF _Toc17582 \h </w:instrText>
      </w:r>
      <w:r>
        <w:fldChar w:fldCharType="separate"/>
      </w:r>
      <w:r>
        <w:t>152</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_Toc7182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6.4 </w:t>
      </w:r>
      <w:r>
        <w:rPr>
          <w:rFonts w:hint="eastAsia"/>
          <w:highlight w:val="none"/>
        </w:rPr>
        <w:t>评标争议处理规则</w:t>
      </w:r>
      <w:r>
        <w:tab/>
      </w:r>
      <w:r>
        <w:fldChar w:fldCharType="begin"/>
      </w:r>
      <w:r>
        <w:instrText xml:space="preserve"> PAGEREF _Toc7182 \h </w:instrText>
      </w:r>
      <w:r>
        <w:fldChar w:fldCharType="separate"/>
      </w:r>
      <w:r>
        <w:t>156</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_Toc26373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6.5 </w:t>
      </w:r>
      <w:r>
        <w:rPr>
          <w:rFonts w:hint="eastAsia"/>
          <w:highlight w:val="none"/>
        </w:rPr>
        <w:t>招标采购单位现场复核评标结果</w:t>
      </w:r>
      <w:r>
        <w:tab/>
      </w:r>
      <w:r>
        <w:fldChar w:fldCharType="begin"/>
      </w:r>
      <w:r>
        <w:instrText xml:space="preserve"> PAGEREF _Toc26373 \h </w:instrText>
      </w:r>
      <w:r>
        <w:fldChar w:fldCharType="separate"/>
      </w:r>
      <w:r>
        <w:t>156</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_Toc21326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6.6 </w:t>
      </w:r>
      <w:r>
        <w:rPr>
          <w:rFonts w:hint="eastAsia"/>
          <w:highlight w:val="none"/>
        </w:rPr>
        <w:t>评标细则及标准</w:t>
      </w:r>
      <w:r>
        <w:tab/>
      </w:r>
      <w:r>
        <w:fldChar w:fldCharType="begin"/>
      </w:r>
      <w:r>
        <w:instrText xml:space="preserve"> PAGEREF _Toc21326 \h </w:instrText>
      </w:r>
      <w:r>
        <w:fldChar w:fldCharType="separate"/>
      </w:r>
      <w:r>
        <w:t>157</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_Toc9621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6.7 </w:t>
      </w:r>
      <w:r>
        <w:rPr>
          <w:rFonts w:hint="eastAsia"/>
          <w:highlight w:val="none"/>
        </w:rPr>
        <w:t>废标</w:t>
      </w:r>
      <w:r>
        <w:tab/>
      </w:r>
      <w:r>
        <w:fldChar w:fldCharType="begin"/>
      </w:r>
      <w:r>
        <w:instrText xml:space="preserve"> PAGEREF _Toc9621 \h </w:instrText>
      </w:r>
      <w:r>
        <w:fldChar w:fldCharType="separate"/>
      </w:r>
      <w:r>
        <w:t>158</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_Toc11599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6.8 </w:t>
      </w:r>
      <w:r>
        <w:rPr>
          <w:rFonts w:hint="eastAsia"/>
          <w:highlight w:val="none"/>
        </w:rPr>
        <w:t>定标</w:t>
      </w:r>
      <w:r>
        <w:tab/>
      </w:r>
      <w:r>
        <w:fldChar w:fldCharType="begin"/>
      </w:r>
      <w:r>
        <w:instrText xml:space="preserve"> PAGEREF _Toc11599 \h </w:instrText>
      </w:r>
      <w:r>
        <w:fldChar w:fldCharType="separate"/>
      </w:r>
      <w:r>
        <w:t>159</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_Toc3746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6.9 </w:t>
      </w:r>
      <w:r>
        <w:rPr>
          <w:rFonts w:hint="eastAsia"/>
          <w:highlight w:val="none"/>
        </w:rPr>
        <w:t>评标专家在政府采购活动中承担以下义务</w:t>
      </w:r>
      <w:r>
        <w:tab/>
      </w:r>
      <w:r>
        <w:fldChar w:fldCharType="begin"/>
      </w:r>
      <w:r>
        <w:instrText xml:space="preserve"> PAGEREF _Toc3746 \h </w:instrText>
      </w:r>
      <w:r>
        <w:fldChar w:fldCharType="separate"/>
      </w:r>
      <w:r>
        <w:t>159</w:t>
      </w:r>
      <w:r>
        <w:fldChar w:fldCharType="end"/>
      </w:r>
      <w:r>
        <w:rPr>
          <w:rFonts w:hint="eastAsia" w:ascii="宋体" w:hAnsi="宋体" w:eastAsia="宋体"/>
          <w:bCs/>
          <w:caps/>
          <w:smallCaps w:val="0"/>
          <w:color w:val="auto"/>
          <w:highlight w:val="none"/>
        </w:rPr>
        <w:fldChar w:fldCharType="end"/>
      </w:r>
    </w:p>
    <w:p>
      <w:pPr>
        <w:pStyle w:val="36"/>
        <w:tabs>
          <w:tab w:val="right" w:leader="dot" w:pos="9214"/>
          <w:tab w:val="clear" w:pos="620"/>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_Toc25749 </w:instrText>
      </w:r>
      <w:r>
        <w:rPr>
          <w:rFonts w:hint="eastAsia" w:ascii="宋体" w:hAnsi="宋体" w:eastAsia="宋体"/>
          <w:bCs/>
          <w:caps/>
          <w:smallCaps w:val="0"/>
          <w:highlight w:val="none"/>
        </w:rPr>
        <w:fldChar w:fldCharType="separate"/>
      </w:r>
      <w:r>
        <w:rPr>
          <w:rFonts w:hint="default" w:ascii="Times New Roman" w:hAnsi="Times New Roman" w:eastAsia="宋体" w:cs="Times New Roman"/>
          <w:i w:val="0"/>
          <w:szCs w:val="28"/>
        </w:rPr>
        <w:t xml:space="preserve">6.10 </w:t>
      </w:r>
      <w:r>
        <w:rPr>
          <w:rFonts w:hint="eastAsia"/>
          <w:highlight w:val="none"/>
        </w:rPr>
        <w:t>评审专家在政府采购活动中应当遵守以下工作纪律</w:t>
      </w:r>
      <w:r>
        <w:tab/>
      </w:r>
      <w:r>
        <w:fldChar w:fldCharType="begin"/>
      </w:r>
      <w:r>
        <w:instrText xml:space="preserve"> PAGEREF _Toc25749 \h </w:instrText>
      </w:r>
      <w:r>
        <w:fldChar w:fldCharType="separate"/>
      </w:r>
      <w:r>
        <w:t>160</w:t>
      </w:r>
      <w:r>
        <w:fldChar w:fldCharType="end"/>
      </w:r>
      <w:r>
        <w:rPr>
          <w:rFonts w:hint="eastAsia" w:ascii="宋体" w:hAnsi="宋体" w:eastAsia="宋体"/>
          <w:bCs/>
          <w:caps/>
          <w:smallCaps w:val="0"/>
          <w:color w:val="auto"/>
          <w:highlight w:val="none"/>
        </w:rPr>
        <w:fldChar w:fldCharType="end"/>
      </w:r>
    </w:p>
    <w:p>
      <w:pPr>
        <w:pStyle w:val="30"/>
        <w:tabs>
          <w:tab w:val="right" w:leader="dot" w:pos="9214"/>
          <w:tab w:val="clear" w:pos="709"/>
          <w:tab w:val="clear" w:pos="8364"/>
        </w:tabs>
      </w:pPr>
      <w:r>
        <w:rPr>
          <w:rFonts w:hint="eastAsia" w:ascii="宋体" w:hAnsi="宋体" w:eastAsia="宋体"/>
          <w:bCs/>
          <w:caps/>
          <w:smallCaps w:val="0"/>
          <w:color w:val="auto"/>
          <w:highlight w:val="none"/>
        </w:rPr>
        <w:fldChar w:fldCharType="begin"/>
      </w:r>
      <w:r>
        <w:rPr>
          <w:rFonts w:hint="eastAsia" w:ascii="宋体" w:hAnsi="宋体" w:eastAsia="宋体"/>
          <w:bCs/>
          <w:caps/>
          <w:smallCaps w:val="0"/>
          <w:highlight w:val="none"/>
        </w:rPr>
        <w:instrText xml:space="preserve"> HYPERLINK \l _Toc2734 </w:instrText>
      </w:r>
      <w:r>
        <w:rPr>
          <w:rFonts w:hint="eastAsia" w:ascii="宋体" w:hAnsi="宋体" w:eastAsia="宋体"/>
          <w:bCs/>
          <w:caps/>
          <w:smallCaps w:val="0"/>
          <w:highlight w:val="none"/>
        </w:rPr>
        <w:fldChar w:fldCharType="separate"/>
      </w:r>
      <w:r>
        <w:rPr>
          <w:rFonts w:hint="default" w:ascii="Times New Roman" w:hAnsi="Times New Roman" w:eastAsia="宋体"/>
          <w:i w:val="0"/>
          <w:szCs w:val="32"/>
        </w:rPr>
        <w:t xml:space="preserve">第7章 </w:t>
      </w:r>
      <w:r>
        <w:rPr>
          <w:rFonts w:hint="eastAsia"/>
          <w:highlight w:val="none"/>
        </w:rPr>
        <w:t>政府采购合同</w:t>
      </w:r>
      <w:r>
        <w:tab/>
      </w:r>
      <w:r>
        <w:fldChar w:fldCharType="begin"/>
      </w:r>
      <w:r>
        <w:instrText xml:space="preserve"> PAGEREF _Toc2734 \h </w:instrText>
      </w:r>
      <w:r>
        <w:fldChar w:fldCharType="separate"/>
      </w:r>
      <w:r>
        <w:t>161</w:t>
      </w:r>
      <w:r>
        <w:fldChar w:fldCharType="end"/>
      </w:r>
      <w:r>
        <w:rPr>
          <w:rFonts w:hint="eastAsia" w:ascii="宋体" w:hAnsi="宋体" w:eastAsia="宋体"/>
          <w:bCs/>
          <w:caps/>
          <w:smallCaps w:val="0"/>
          <w:color w:val="auto"/>
          <w:highlight w:val="none"/>
        </w:rPr>
        <w:fldChar w:fldCharType="end"/>
      </w:r>
    </w:p>
    <w:p>
      <w:pPr>
        <w:pStyle w:val="36"/>
        <w:spacing w:line="240" w:lineRule="auto"/>
        <w:ind w:left="0" w:firstLine="0" w:firstLineChars="0"/>
        <w:rPr>
          <w:rFonts w:ascii="宋体" w:hAnsi="宋体" w:eastAsia="宋体"/>
          <w:bCs/>
          <w:caps/>
          <w:smallCaps w:val="0"/>
          <w:color w:val="auto"/>
          <w:highlight w:val="none"/>
        </w:rPr>
      </w:pPr>
      <w:r>
        <w:rPr>
          <w:rFonts w:hint="eastAsia" w:ascii="宋体" w:hAnsi="宋体" w:eastAsia="宋体"/>
          <w:bCs/>
          <w:caps/>
          <w:smallCaps w:val="0"/>
          <w:color w:val="auto"/>
          <w:highlight w:val="none"/>
        </w:rPr>
        <w:fldChar w:fldCharType="end"/>
      </w:r>
    </w:p>
    <w:p>
      <w:pPr>
        <w:ind w:firstLine="492"/>
        <w:rPr>
          <w:rFonts w:ascii="宋体" w:hAnsi="宋体"/>
          <w:bCs/>
          <w:caps/>
          <w:color w:val="auto"/>
          <w:highlight w:val="none"/>
        </w:rPr>
      </w:pPr>
    </w:p>
    <w:p>
      <w:pPr>
        <w:pStyle w:val="2"/>
        <w:rPr>
          <w:rFonts w:ascii="宋体" w:hAnsi="宋体"/>
          <w:bCs/>
          <w:caps/>
          <w:color w:val="auto"/>
          <w:highlight w:val="none"/>
        </w:rPr>
      </w:pPr>
    </w:p>
    <w:p>
      <w:pPr>
        <w:rPr>
          <w:rFonts w:ascii="宋体" w:hAnsi="宋体"/>
          <w:bCs/>
          <w:caps/>
          <w:color w:val="auto"/>
          <w:highlight w:val="none"/>
        </w:rPr>
      </w:pPr>
    </w:p>
    <w:p>
      <w:pPr>
        <w:pStyle w:val="2"/>
      </w:pPr>
    </w:p>
    <w:p>
      <w:pPr>
        <w:pStyle w:val="2"/>
        <w:ind w:firstLine="492"/>
        <w:rPr>
          <w:color w:val="auto"/>
          <w:highlight w:val="none"/>
        </w:rPr>
      </w:pPr>
      <w:bookmarkStart w:id="455" w:name="_GoBack"/>
      <w:bookmarkEnd w:id="455"/>
    </w:p>
    <w:p>
      <w:pPr>
        <w:pStyle w:val="3"/>
        <w:rPr>
          <w:color w:val="auto"/>
          <w:highlight w:val="none"/>
        </w:rPr>
      </w:pPr>
      <w:bookmarkStart w:id="10" w:name="_Toc181591102"/>
      <w:bookmarkStart w:id="11" w:name="_Toc204575871"/>
      <w:bookmarkStart w:id="12" w:name="_Toc181610856"/>
      <w:bookmarkStart w:id="13" w:name="_Toc3763"/>
      <w:bookmarkStart w:id="14" w:name="_Toc9953"/>
      <w:bookmarkStart w:id="15" w:name="_Toc25445"/>
      <w:bookmarkStart w:id="16" w:name="_Toc28231"/>
      <w:r>
        <w:rPr>
          <w:rFonts w:hint="eastAsia"/>
          <w:color w:val="auto"/>
          <w:highlight w:val="none"/>
        </w:rPr>
        <w:t>投标邀请</w:t>
      </w:r>
      <w:bookmarkEnd w:id="10"/>
      <w:bookmarkEnd w:id="11"/>
      <w:bookmarkEnd w:id="12"/>
      <w:bookmarkEnd w:id="13"/>
      <w:bookmarkEnd w:id="14"/>
      <w:bookmarkEnd w:id="15"/>
      <w:bookmarkEnd w:id="16"/>
    </w:p>
    <w:p>
      <w:pPr>
        <w:ind w:firstLine="492"/>
        <w:rPr>
          <w:rFonts w:ascii="宋体" w:hAnsi="宋体"/>
          <w:color w:val="auto"/>
          <w:szCs w:val="24"/>
          <w:highlight w:val="none"/>
        </w:rPr>
      </w:pPr>
      <w:r>
        <w:rPr>
          <w:rFonts w:hint="eastAsia" w:ascii="宋体" w:hAnsi="宋体"/>
          <w:b/>
          <w:bCs/>
          <w:color w:val="auto"/>
          <w:szCs w:val="24"/>
          <w:highlight w:val="none"/>
        </w:rPr>
        <w:t>四川世科工程咨询有限公司</w:t>
      </w:r>
      <w:r>
        <w:rPr>
          <w:rFonts w:hint="eastAsia" w:ascii="宋体" w:hAnsi="宋体"/>
          <w:color w:val="auto"/>
          <w:szCs w:val="24"/>
          <w:highlight w:val="none"/>
        </w:rPr>
        <w:t>受</w:t>
      </w:r>
      <w:r>
        <w:rPr>
          <w:rFonts w:hint="eastAsia" w:ascii="宋体" w:hAnsi="宋体"/>
          <w:b/>
          <w:color w:val="auto"/>
          <w:szCs w:val="24"/>
          <w:highlight w:val="none"/>
          <w:lang w:eastAsia="zh-CN"/>
        </w:rPr>
        <w:t>成都市龙泉驿区城市绿地建设管理中心</w:t>
      </w:r>
      <w:r>
        <w:rPr>
          <w:rFonts w:hint="eastAsia" w:ascii="宋体" w:hAnsi="宋体"/>
          <w:color w:val="auto"/>
          <w:szCs w:val="24"/>
          <w:highlight w:val="none"/>
        </w:rPr>
        <w:t>委托，拟对</w:t>
      </w:r>
      <w:r>
        <w:rPr>
          <w:rFonts w:hint="eastAsia" w:ascii="宋体" w:hAnsi="宋体"/>
          <w:b/>
          <w:color w:val="auto"/>
          <w:szCs w:val="24"/>
          <w:highlight w:val="none"/>
          <w:lang w:eastAsia="zh-CN"/>
        </w:rPr>
        <w:t>成都市龙泉驿区城市绿地建设管理中心零星维护服务采购项</w:t>
      </w:r>
      <w:r>
        <w:rPr>
          <w:rFonts w:hint="eastAsia" w:ascii="宋体" w:hAnsi="宋体"/>
          <w:color w:val="auto"/>
          <w:szCs w:val="24"/>
          <w:highlight w:val="none"/>
          <w:lang w:eastAsia="zh-CN"/>
        </w:rPr>
        <w:t>目</w:t>
      </w:r>
      <w:r>
        <w:rPr>
          <w:rFonts w:hint="eastAsia" w:ascii="宋体" w:hAnsi="宋体"/>
          <w:color w:val="auto"/>
          <w:szCs w:val="24"/>
          <w:highlight w:val="none"/>
        </w:rPr>
        <w:t>进行国内公开招标，兹邀请符合本次招标要求的供应商参加投标。</w:t>
      </w:r>
    </w:p>
    <w:p>
      <w:pPr>
        <w:numPr>
          <w:ilvl w:val="0"/>
          <w:numId w:val="3"/>
        </w:numPr>
        <w:ind w:left="-14" w:leftChars="0" w:firstLine="494" w:firstLineChars="0"/>
        <w:rPr>
          <w:rFonts w:ascii="宋体" w:hAnsi="宋体"/>
          <w:b/>
          <w:color w:val="auto"/>
          <w:szCs w:val="24"/>
          <w:highlight w:val="none"/>
        </w:rPr>
      </w:pPr>
      <w:r>
        <w:rPr>
          <w:rFonts w:hint="eastAsia" w:ascii="宋体" w:hAnsi="宋体"/>
          <w:b/>
          <w:color w:val="auto"/>
          <w:szCs w:val="24"/>
          <w:highlight w:val="none"/>
          <w:lang w:eastAsia="zh-CN"/>
        </w:rPr>
        <w:t>项目编号</w:t>
      </w:r>
      <w:r>
        <w:rPr>
          <w:rFonts w:hint="eastAsia" w:ascii="宋体" w:hAnsi="宋体"/>
          <w:b/>
          <w:color w:val="auto"/>
          <w:szCs w:val="24"/>
          <w:highlight w:val="none"/>
        </w:rPr>
        <w:t>：</w:t>
      </w:r>
      <w:r>
        <w:rPr>
          <w:rFonts w:hint="eastAsia" w:ascii="宋体" w:hAnsi="宋体"/>
          <w:b/>
          <w:color w:val="auto"/>
          <w:szCs w:val="24"/>
          <w:highlight w:val="none"/>
          <w:lang w:eastAsia="zh-CN"/>
        </w:rPr>
        <w:t>510112202100104</w:t>
      </w:r>
    </w:p>
    <w:p>
      <w:pPr>
        <w:numPr>
          <w:ilvl w:val="0"/>
          <w:numId w:val="3"/>
        </w:numPr>
        <w:ind w:left="-14" w:leftChars="0" w:firstLine="494" w:firstLineChars="0"/>
        <w:rPr>
          <w:rFonts w:ascii="宋体" w:hAnsi="宋体"/>
          <w:b/>
          <w:color w:val="auto"/>
          <w:szCs w:val="24"/>
          <w:highlight w:val="none"/>
        </w:rPr>
      </w:pPr>
      <w:r>
        <w:rPr>
          <w:rFonts w:hint="eastAsia" w:ascii="宋体" w:hAnsi="宋体"/>
          <w:b/>
          <w:color w:val="auto"/>
          <w:szCs w:val="24"/>
          <w:highlight w:val="none"/>
        </w:rPr>
        <w:t>招标项目：</w:t>
      </w:r>
      <w:r>
        <w:rPr>
          <w:rFonts w:hint="eastAsia" w:ascii="宋体" w:hAnsi="宋体"/>
          <w:b/>
          <w:color w:val="auto"/>
          <w:szCs w:val="24"/>
          <w:highlight w:val="none"/>
          <w:lang w:eastAsia="zh-CN"/>
        </w:rPr>
        <w:t>成都市龙泉驿区城市绿地建设管理中心零星维护服务采购项目</w:t>
      </w:r>
    </w:p>
    <w:p>
      <w:pPr>
        <w:numPr>
          <w:ilvl w:val="0"/>
          <w:numId w:val="3"/>
        </w:numPr>
        <w:ind w:left="-14" w:leftChars="0" w:firstLine="494" w:firstLineChars="0"/>
        <w:rPr>
          <w:rFonts w:ascii="宋体" w:hAnsi="宋体"/>
          <w:b/>
          <w:color w:val="auto"/>
          <w:szCs w:val="24"/>
          <w:highlight w:val="none"/>
        </w:rPr>
      </w:pPr>
      <w:r>
        <w:rPr>
          <w:rFonts w:hint="eastAsia" w:ascii="宋体" w:hAnsi="宋体"/>
          <w:b/>
          <w:color w:val="auto"/>
          <w:szCs w:val="24"/>
          <w:highlight w:val="none"/>
        </w:rPr>
        <w:t>资金来源及预算金额：</w:t>
      </w:r>
      <w:r>
        <w:rPr>
          <w:rFonts w:hint="eastAsia" w:ascii="宋体" w:hAnsi="宋体"/>
          <w:color w:val="auto"/>
          <w:szCs w:val="24"/>
          <w:highlight w:val="none"/>
        </w:rPr>
        <w:t>财政性资金，预算品目：</w:t>
      </w:r>
      <w:r>
        <w:rPr>
          <w:rFonts w:hint="eastAsia" w:ascii="宋体" w:hAnsi="宋体"/>
          <w:color w:val="auto"/>
          <w:szCs w:val="24"/>
          <w:highlight w:val="none"/>
          <w:lang w:val="en-US" w:eastAsia="zh-CN"/>
        </w:rPr>
        <w:t xml:space="preserve">园林绿化管理服务 </w:t>
      </w:r>
      <w:r>
        <w:rPr>
          <w:rFonts w:hint="eastAsia" w:ascii="宋体" w:hAnsi="宋体"/>
          <w:color w:val="auto"/>
          <w:szCs w:val="24"/>
          <w:highlight w:val="none"/>
        </w:rPr>
        <w:t>，预算金额</w:t>
      </w: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1000</w:t>
      </w:r>
      <w:r>
        <w:rPr>
          <w:rFonts w:hint="eastAsia" w:ascii="宋体" w:hAnsi="宋体" w:cs="宋体"/>
          <w:color w:val="auto"/>
          <w:szCs w:val="24"/>
          <w:highlight w:val="none"/>
          <w:lang w:val="en-US" w:eastAsia="zh-CN"/>
        </w:rPr>
        <w:t>万</w:t>
      </w:r>
      <w:r>
        <w:rPr>
          <w:rFonts w:hint="eastAsia" w:ascii="宋体" w:hAnsi="宋体"/>
          <w:color w:val="auto"/>
          <w:szCs w:val="24"/>
          <w:highlight w:val="none"/>
        </w:rPr>
        <w:t>元</w:t>
      </w:r>
      <w:r>
        <w:rPr>
          <w:rFonts w:hint="eastAsia" w:ascii="宋体" w:hAnsi="宋体"/>
          <w:b w:val="0"/>
          <w:bCs w:val="0"/>
          <w:color w:val="auto"/>
          <w:szCs w:val="24"/>
          <w:highlight w:val="none"/>
          <w:lang w:eastAsia="zh-CN"/>
        </w:rPr>
        <w:t>（</w:t>
      </w:r>
      <w:r>
        <w:rPr>
          <w:rFonts w:hint="eastAsia" w:ascii="宋体" w:hAnsi="宋体" w:cs="宋体"/>
          <w:b w:val="0"/>
          <w:bCs/>
          <w:color w:val="auto"/>
          <w:sz w:val="24"/>
          <w:szCs w:val="24"/>
          <w:highlight w:val="none"/>
          <w:lang w:val="en-US" w:eastAsia="zh-CN"/>
        </w:rPr>
        <w:t>其中包件1预算金额：300万元；包件2预算金额：300万元；包件3预算金额：200万元；包件4预算金额：100万元；包件5预算金额：100万元</w:t>
      </w:r>
      <w:r>
        <w:rPr>
          <w:rFonts w:hint="eastAsia" w:ascii="宋体" w:hAnsi="宋体"/>
          <w:b w:val="0"/>
          <w:bCs w:val="0"/>
          <w:color w:val="auto"/>
          <w:szCs w:val="24"/>
          <w:highlight w:val="none"/>
          <w:lang w:eastAsia="zh-CN"/>
        </w:rPr>
        <w:t>）</w:t>
      </w:r>
      <w:r>
        <w:rPr>
          <w:rFonts w:hint="eastAsia" w:ascii="宋体" w:hAnsi="宋体"/>
          <w:color w:val="auto"/>
          <w:szCs w:val="24"/>
          <w:highlight w:val="none"/>
          <w:lang w:eastAsia="zh-CN"/>
        </w:rPr>
        <w:t>。</w:t>
      </w:r>
    </w:p>
    <w:p>
      <w:pPr>
        <w:numPr>
          <w:ilvl w:val="0"/>
          <w:numId w:val="3"/>
        </w:numPr>
        <w:ind w:left="-14" w:leftChars="0" w:firstLine="494" w:firstLineChars="0"/>
        <w:rPr>
          <w:rFonts w:ascii="宋体" w:hAnsi="宋体"/>
          <w:b/>
          <w:color w:val="auto"/>
          <w:szCs w:val="24"/>
          <w:highlight w:val="none"/>
        </w:rPr>
      </w:pPr>
      <w:r>
        <w:rPr>
          <w:rFonts w:hint="eastAsia" w:ascii="宋体" w:hAnsi="宋体"/>
          <w:b/>
          <w:color w:val="auto"/>
          <w:szCs w:val="24"/>
          <w:highlight w:val="none"/>
        </w:rPr>
        <w:t>招标项目简介</w:t>
      </w:r>
    </w:p>
    <w:p>
      <w:pPr>
        <w:numPr>
          <w:ilvl w:val="0"/>
          <w:numId w:val="0"/>
        </w:numPr>
        <w:ind w:firstLine="480" w:firstLineChars="200"/>
        <w:rPr>
          <w:color w:val="auto"/>
          <w:highlight w:val="none"/>
        </w:rPr>
      </w:pPr>
      <w:r>
        <w:rPr>
          <w:rFonts w:hint="eastAsia" w:ascii="宋体" w:hAnsi="宋体"/>
          <w:color w:val="auto"/>
          <w:szCs w:val="24"/>
          <w:highlight w:val="none"/>
          <w:lang w:eastAsia="zh-CN"/>
        </w:rPr>
        <w:t>成都市龙泉驿区城市绿地建设管理中心零星维护服务采购项目。</w:t>
      </w:r>
      <w:r>
        <w:rPr>
          <w:rFonts w:hint="eastAsia" w:ascii="宋体" w:hAnsi="宋体"/>
          <w:color w:val="auto"/>
          <w:szCs w:val="24"/>
          <w:highlight w:val="none"/>
        </w:rPr>
        <w:t>详细的技术、商务及其他要求见第4章。</w:t>
      </w:r>
    </w:p>
    <w:p>
      <w:pPr>
        <w:numPr>
          <w:ilvl w:val="0"/>
          <w:numId w:val="3"/>
        </w:numPr>
        <w:ind w:left="-14" w:leftChars="0" w:firstLine="494" w:firstLineChars="0"/>
        <w:rPr>
          <w:rFonts w:ascii="宋体" w:hAnsi="宋体"/>
          <w:b/>
          <w:color w:val="auto"/>
          <w:szCs w:val="24"/>
          <w:highlight w:val="none"/>
        </w:rPr>
      </w:pPr>
      <w:r>
        <w:rPr>
          <w:rFonts w:hint="eastAsia" w:ascii="宋体" w:hAnsi="宋体"/>
          <w:b/>
          <w:color w:val="auto"/>
          <w:szCs w:val="24"/>
          <w:highlight w:val="none"/>
        </w:rPr>
        <w:t>各包供应商参加本次政府采购活动应具备的条件</w:t>
      </w:r>
    </w:p>
    <w:p>
      <w:pPr>
        <w:pStyle w:val="181"/>
        <w:keepNext w:val="0"/>
        <w:keepLines w:val="0"/>
        <w:pageBreakBefore w:val="0"/>
        <w:numPr>
          <w:ilvl w:val="1"/>
          <w:numId w:val="4"/>
        </w:numPr>
        <w:tabs>
          <w:tab w:val="left" w:pos="1260"/>
          <w:tab w:val="clear" w:pos="1130"/>
        </w:tabs>
        <w:kinsoku/>
        <w:wordWrap/>
        <w:overflowPunct/>
        <w:topLinePunct w:val="0"/>
        <w:bidi w:val="0"/>
        <w:snapToGrid/>
        <w:spacing w:line="360" w:lineRule="auto"/>
        <w:ind w:left="0" w:firstLine="63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具备《中华人民共和国政府采购法》第二十二条规定的条件：</w:t>
      </w:r>
    </w:p>
    <w:p>
      <w:pPr>
        <w:pStyle w:val="181"/>
        <w:keepNext w:val="0"/>
        <w:keepLines w:val="0"/>
        <w:pageBreakBefore w:val="0"/>
        <w:tabs>
          <w:tab w:val="left" w:pos="1260"/>
        </w:tabs>
        <w:kinsoku/>
        <w:wordWrap/>
        <w:overflowPunct/>
        <w:topLinePunct w:val="0"/>
        <w:bidi w:val="0"/>
        <w:snapToGrid/>
        <w:spacing w:line="360" w:lineRule="auto"/>
        <w:ind w:left="63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pStyle w:val="181"/>
        <w:keepNext w:val="0"/>
        <w:keepLines w:val="0"/>
        <w:pageBreakBefore w:val="0"/>
        <w:tabs>
          <w:tab w:val="left" w:pos="1260"/>
        </w:tabs>
        <w:kinsoku/>
        <w:wordWrap/>
        <w:overflowPunct/>
        <w:topLinePunct w:val="0"/>
        <w:bidi w:val="0"/>
        <w:snapToGrid/>
        <w:spacing w:line="360" w:lineRule="auto"/>
        <w:ind w:left="63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pStyle w:val="181"/>
        <w:keepNext w:val="0"/>
        <w:keepLines w:val="0"/>
        <w:pageBreakBefore w:val="0"/>
        <w:tabs>
          <w:tab w:val="left" w:pos="1260"/>
        </w:tabs>
        <w:kinsoku/>
        <w:wordWrap/>
        <w:overflowPunct/>
        <w:topLinePunct w:val="0"/>
        <w:bidi w:val="0"/>
        <w:snapToGrid/>
        <w:spacing w:line="360" w:lineRule="auto"/>
        <w:ind w:left="63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3、具有履行合同所必须的设备和专业技术能力；</w:t>
      </w:r>
    </w:p>
    <w:p>
      <w:pPr>
        <w:pStyle w:val="181"/>
        <w:keepNext w:val="0"/>
        <w:keepLines w:val="0"/>
        <w:pageBreakBefore w:val="0"/>
        <w:tabs>
          <w:tab w:val="left" w:pos="1260"/>
        </w:tabs>
        <w:kinsoku/>
        <w:wordWrap/>
        <w:overflowPunct/>
        <w:topLinePunct w:val="0"/>
        <w:bidi w:val="0"/>
        <w:snapToGrid/>
        <w:spacing w:line="360" w:lineRule="auto"/>
        <w:ind w:left="63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4、具有依法缴纳税收和社会保障资金的良好记录；</w:t>
      </w:r>
    </w:p>
    <w:p>
      <w:pPr>
        <w:pStyle w:val="181"/>
        <w:keepNext w:val="0"/>
        <w:keepLines w:val="0"/>
        <w:pageBreakBefore w:val="0"/>
        <w:tabs>
          <w:tab w:val="left" w:pos="1260"/>
        </w:tabs>
        <w:kinsoku/>
        <w:wordWrap/>
        <w:overflowPunct/>
        <w:topLinePunct w:val="0"/>
        <w:bidi w:val="0"/>
        <w:snapToGrid/>
        <w:spacing w:line="360" w:lineRule="auto"/>
        <w:ind w:left="63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5、参加本次政府采购活动前三年内，在经营活动中没有重大违法记录；</w:t>
      </w:r>
    </w:p>
    <w:p>
      <w:pPr>
        <w:pStyle w:val="181"/>
        <w:keepNext w:val="0"/>
        <w:keepLines w:val="0"/>
        <w:pageBreakBefore w:val="0"/>
        <w:tabs>
          <w:tab w:val="left" w:pos="1260"/>
        </w:tabs>
        <w:kinsoku/>
        <w:wordWrap/>
        <w:overflowPunct/>
        <w:topLinePunct w:val="0"/>
        <w:autoSpaceDE/>
        <w:autoSpaceDN/>
        <w:bidi w:val="0"/>
        <w:adjustRightInd/>
        <w:snapToGrid/>
        <w:spacing w:line="360" w:lineRule="auto"/>
        <w:ind w:left="63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pStyle w:val="181"/>
        <w:keepNext w:val="0"/>
        <w:keepLines w:val="0"/>
        <w:pageBreakBefore w:val="0"/>
        <w:numPr>
          <w:ilvl w:val="1"/>
          <w:numId w:val="4"/>
        </w:numPr>
        <w:tabs>
          <w:tab w:val="left" w:pos="1260"/>
          <w:tab w:val="clear" w:pos="1130"/>
        </w:tabs>
        <w:kinsoku/>
        <w:wordWrap/>
        <w:overflowPunct/>
        <w:topLinePunct w:val="0"/>
        <w:autoSpaceDE/>
        <w:autoSpaceDN/>
        <w:bidi w:val="0"/>
        <w:adjustRightInd/>
        <w:snapToGrid/>
        <w:spacing w:line="360" w:lineRule="auto"/>
        <w:ind w:left="0" w:firstLine="63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根据本项目的特殊要求，供应商还须具备的其它特定条件：</w:t>
      </w:r>
    </w:p>
    <w:p>
      <w:pPr>
        <w:keepNext w:val="0"/>
        <w:keepLines w:val="0"/>
        <w:pageBreakBefore w:val="0"/>
        <w:numPr>
          <w:ilvl w:val="0"/>
          <w:numId w:val="5"/>
        </w:numPr>
        <w:shd w:val="clear" w:color="auto" w:fill="FFFFFF"/>
        <w:tabs>
          <w:tab w:val="left" w:pos="0"/>
          <w:tab w:val="clear" w:pos="420"/>
        </w:tabs>
        <w:kinsoku/>
        <w:wordWrap/>
        <w:overflowPunct/>
        <w:topLinePunct w:val="0"/>
        <w:autoSpaceDE/>
        <w:autoSpaceDN/>
        <w:bidi w:val="0"/>
        <w:adjustRightInd/>
        <w:snapToGrid/>
        <w:spacing w:line="360" w:lineRule="auto"/>
        <w:ind w:left="5" w:leftChars="0" w:firstLine="71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未被列入经营异常名录；</w:t>
      </w:r>
    </w:p>
    <w:p>
      <w:pPr>
        <w:keepNext w:val="0"/>
        <w:keepLines w:val="0"/>
        <w:pageBreakBefore w:val="0"/>
        <w:numPr>
          <w:ilvl w:val="0"/>
          <w:numId w:val="5"/>
        </w:numPr>
        <w:shd w:val="clear" w:color="auto" w:fill="FFFFFF"/>
        <w:tabs>
          <w:tab w:val="left" w:pos="0"/>
          <w:tab w:val="clear" w:pos="420"/>
        </w:tabs>
        <w:kinsoku/>
        <w:wordWrap/>
        <w:overflowPunct/>
        <w:topLinePunct w:val="0"/>
        <w:autoSpaceDE/>
        <w:autoSpaceDN/>
        <w:bidi w:val="0"/>
        <w:adjustRightInd/>
        <w:snapToGrid/>
        <w:spacing w:line="360" w:lineRule="auto"/>
        <w:ind w:left="5" w:leftChars="0" w:firstLine="71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未被列入失信被执行人、重大税收违法案件当事人名单、政府采购严重违法失信行为记录名单； </w:t>
      </w:r>
    </w:p>
    <w:p>
      <w:pPr>
        <w:keepNext w:val="0"/>
        <w:keepLines w:val="0"/>
        <w:pageBreakBefore w:val="0"/>
        <w:numPr>
          <w:ilvl w:val="0"/>
          <w:numId w:val="5"/>
        </w:numPr>
        <w:shd w:val="clear" w:color="auto" w:fill="FFFFFF"/>
        <w:tabs>
          <w:tab w:val="left" w:pos="0"/>
          <w:tab w:val="clear" w:pos="420"/>
        </w:tabs>
        <w:kinsoku/>
        <w:wordWrap/>
        <w:overflowPunct/>
        <w:topLinePunct w:val="0"/>
        <w:autoSpaceDE/>
        <w:autoSpaceDN/>
        <w:bidi w:val="0"/>
        <w:adjustRightInd/>
        <w:snapToGrid/>
        <w:spacing w:line="360" w:lineRule="auto"/>
        <w:ind w:left="5" w:leftChars="0" w:firstLine="71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在行贿犯罪信息查询期限内，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及其现任法定代表人、主要负责人没有行贿犯罪记录； </w:t>
      </w:r>
    </w:p>
    <w:p>
      <w:pPr>
        <w:keepNext w:val="0"/>
        <w:keepLines w:val="0"/>
        <w:pageBreakBefore w:val="0"/>
        <w:numPr>
          <w:ilvl w:val="0"/>
          <w:numId w:val="5"/>
        </w:numPr>
        <w:tabs>
          <w:tab w:val="left" w:pos="0"/>
          <w:tab w:val="clear" w:pos="420"/>
        </w:tabs>
        <w:kinsoku/>
        <w:wordWrap/>
        <w:overflowPunct/>
        <w:topLinePunct w:val="0"/>
        <w:autoSpaceDE/>
        <w:autoSpaceDN/>
        <w:bidi w:val="0"/>
        <w:adjustRightInd/>
        <w:snapToGrid/>
        <w:spacing w:line="360" w:lineRule="auto"/>
        <w:ind w:left="5" w:leftChars="0" w:firstLine="715"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本项目专门面向中小企业采购；（供应商为监狱企业、残疾人福利性单位的视同小型、微型企业）</w:t>
      </w:r>
    </w:p>
    <w:p>
      <w:pPr>
        <w:keepNext w:val="0"/>
        <w:keepLines w:val="0"/>
        <w:pageBreakBefore w:val="0"/>
        <w:numPr>
          <w:ilvl w:val="0"/>
          <w:numId w:val="5"/>
        </w:numPr>
        <w:shd w:val="clear" w:color="auto" w:fill="FFFFFF"/>
        <w:tabs>
          <w:tab w:val="left" w:pos="0"/>
          <w:tab w:val="clear" w:pos="420"/>
        </w:tabs>
        <w:kinsoku/>
        <w:wordWrap/>
        <w:overflowPunct/>
        <w:topLinePunct w:val="0"/>
        <w:autoSpaceDE/>
        <w:autoSpaceDN/>
        <w:bidi w:val="0"/>
        <w:adjustRightInd/>
        <w:snapToGrid/>
        <w:spacing w:line="360" w:lineRule="auto"/>
        <w:ind w:left="5" w:leftChars="0" w:firstLine="71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不属于其他国家相关法律法规规定的禁止参加</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 xml:space="preserve">的供应商； </w:t>
      </w:r>
    </w:p>
    <w:p>
      <w:pPr>
        <w:pStyle w:val="181"/>
        <w:keepNext w:val="0"/>
        <w:keepLines w:val="0"/>
        <w:pageBreakBefore w:val="0"/>
        <w:numPr>
          <w:ilvl w:val="0"/>
          <w:numId w:val="5"/>
        </w:numPr>
        <w:tabs>
          <w:tab w:val="left" w:pos="0"/>
          <w:tab w:val="left" w:pos="1260"/>
          <w:tab w:val="clear" w:pos="420"/>
        </w:tabs>
        <w:kinsoku/>
        <w:wordWrap/>
        <w:overflowPunct/>
        <w:topLinePunct w:val="0"/>
        <w:autoSpaceDE/>
        <w:autoSpaceDN/>
        <w:bidi w:val="0"/>
        <w:adjustRightInd/>
        <w:snapToGrid/>
        <w:spacing w:line="360" w:lineRule="auto"/>
        <w:ind w:left="5" w:leftChars="0" w:firstLine="715" w:firstLineChars="0"/>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本项目</w:t>
      </w:r>
      <w:r>
        <w:rPr>
          <w:rFonts w:hint="eastAsia" w:ascii="宋体" w:hAnsi="宋体" w:eastAsia="宋体" w:cs="宋体"/>
          <w:color w:val="auto"/>
          <w:kern w:val="2"/>
          <w:sz w:val="24"/>
          <w:highlight w:val="none"/>
          <w:lang w:val="en-US" w:eastAsia="zh-CN"/>
        </w:rPr>
        <w:t>不</w:t>
      </w:r>
      <w:r>
        <w:rPr>
          <w:rFonts w:hint="eastAsia" w:ascii="宋体" w:hAnsi="宋体" w:eastAsia="宋体" w:cs="宋体"/>
          <w:color w:val="auto"/>
          <w:kern w:val="2"/>
          <w:sz w:val="24"/>
          <w:highlight w:val="none"/>
        </w:rPr>
        <w:t>接受联合体</w:t>
      </w:r>
      <w:r>
        <w:rPr>
          <w:rFonts w:hint="eastAsia" w:ascii="宋体" w:hAnsi="宋体" w:eastAsia="宋体" w:cs="宋体"/>
          <w:color w:val="auto"/>
          <w:kern w:val="2"/>
          <w:sz w:val="24"/>
          <w:highlight w:val="none"/>
          <w:lang w:val="en-US" w:eastAsia="zh-CN"/>
        </w:rPr>
        <w:t>投标</w:t>
      </w:r>
      <w:r>
        <w:rPr>
          <w:rFonts w:hint="eastAsia" w:ascii="宋体" w:hAnsi="宋体" w:eastAsia="宋体" w:cs="宋体"/>
          <w:color w:val="auto"/>
          <w:kern w:val="2"/>
          <w:sz w:val="24"/>
          <w:highlight w:val="none"/>
        </w:rPr>
        <w:t>。</w:t>
      </w:r>
    </w:p>
    <w:p>
      <w:pPr>
        <w:numPr>
          <w:ilvl w:val="0"/>
          <w:numId w:val="3"/>
        </w:numPr>
        <w:ind w:left="-14" w:leftChars="0" w:firstLine="494" w:firstLineChars="0"/>
        <w:rPr>
          <w:rFonts w:ascii="宋体" w:hAnsi="宋体"/>
          <w:i/>
          <w:color w:val="auto"/>
          <w:szCs w:val="24"/>
          <w:highlight w:val="none"/>
        </w:rPr>
      </w:pPr>
      <w:r>
        <w:rPr>
          <w:rFonts w:hint="eastAsia" w:ascii="宋体" w:hAnsi="宋体"/>
          <w:b/>
          <w:color w:val="auto"/>
          <w:szCs w:val="24"/>
          <w:highlight w:val="none"/>
        </w:rPr>
        <w:t>招标文件</w:t>
      </w:r>
      <w:r>
        <w:rPr>
          <w:rFonts w:hint="eastAsia" w:ascii="宋体" w:hAnsi="宋体"/>
          <w:b/>
          <w:color w:val="auto"/>
          <w:szCs w:val="24"/>
          <w:highlight w:val="none"/>
          <w:lang w:eastAsia="zh-CN"/>
        </w:rPr>
        <w:t>获取</w:t>
      </w:r>
      <w:r>
        <w:rPr>
          <w:rFonts w:hint="eastAsia" w:ascii="宋体" w:hAnsi="宋体"/>
          <w:b/>
          <w:color w:val="auto"/>
          <w:szCs w:val="24"/>
          <w:highlight w:val="none"/>
        </w:rPr>
        <w:t>时间及地点</w:t>
      </w:r>
    </w:p>
    <w:p>
      <w:pPr>
        <w:spacing w:line="480" w:lineRule="exact"/>
        <w:ind w:firstLine="494"/>
        <w:rPr>
          <w:rFonts w:ascii="宋体" w:hAnsi="宋体"/>
          <w:color w:val="auto"/>
          <w:szCs w:val="24"/>
          <w:highlight w:val="none"/>
        </w:rPr>
      </w:pPr>
      <w:bookmarkStart w:id="17" w:name="_Toc184023104"/>
      <w:bookmarkStart w:id="18" w:name="_Toc186274101"/>
      <w:bookmarkStart w:id="19" w:name="_Toc184013605"/>
      <w:bookmarkStart w:id="20" w:name="_Toc180051012"/>
      <w:bookmarkStart w:id="21" w:name="_Toc174185149"/>
      <w:r>
        <w:rPr>
          <w:rFonts w:hint="eastAsia" w:ascii="宋体" w:hAnsi="宋体"/>
          <w:b/>
          <w:color w:val="auto"/>
          <w:szCs w:val="24"/>
          <w:highlight w:val="none"/>
        </w:rPr>
        <w:t>招标文件</w:t>
      </w:r>
      <w:r>
        <w:rPr>
          <w:rFonts w:hint="eastAsia" w:ascii="宋体" w:hAnsi="宋体"/>
          <w:b/>
          <w:color w:val="auto"/>
          <w:szCs w:val="24"/>
          <w:highlight w:val="none"/>
          <w:lang w:eastAsia="zh-CN"/>
        </w:rPr>
        <w:t>获取</w:t>
      </w:r>
      <w:r>
        <w:rPr>
          <w:rFonts w:hint="eastAsia" w:ascii="宋体" w:hAnsi="宋体"/>
          <w:b/>
          <w:color w:val="auto"/>
          <w:szCs w:val="24"/>
          <w:highlight w:val="none"/>
        </w:rPr>
        <w:t>时间：</w:t>
      </w:r>
      <w:r>
        <w:rPr>
          <w:rFonts w:hint="eastAsia" w:ascii="宋体" w:hAnsi="宋体"/>
          <w:color w:val="auto"/>
          <w:szCs w:val="24"/>
          <w:highlight w:val="none"/>
        </w:rPr>
        <w:t>202</w:t>
      </w:r>
      <w:r>
        <w:rPr>
          <w:rFonts w:hint="eastAsia" w:ascii="宋体" w:hAnsi="宋体"/>
          <w:color w:val="auto"/>
          <w:szCs w:val="24"/>
          <w:highlight w:val="none"/>
          <w:lang w:val="en-US" w:eastAsia="zh-CN"/>
        </w:rPr>
        <w:t>1</w:t>
      </w:r>
      <w:r>
        <w:rPr>
          <w:rFonts w:hint="eastAsia" w:ascii="宋体" w:hAnsi="宋体"/>
          <w:color w:val="auto"/>
          <w:szCs w:val="24"/>
          <w:highlight w:val="none"/>
        </w:rPr>
        <w:t>年</w:t>
      </w:r>
      <w:r>
        <w:rPr>
          <w:rFonts w:hint="eastAsia" w:ascii="宋体" w:hAnsi="宋体"/>
          <w:color w:val="auto"/>
          <w:szCs w:val="24"/>
          <w:highlight w:val="none"/>
          <w:lang w:val="en-US" w:eastAsia="zh-CN"/>
        </w:rPr>
        <w:t>6</w:t>
      </w:r>
      <w:r>
        <w:rPr>
          <w:rFonts w:hint="eastAsia" w:ascii="宋体" w:hAnsi="宋体"/>
          <w:color w:val="auto"/>
          <w:szCs w:val="24"/>
          <w:highlight w:val="none"/>
        </w:rPr>
        <w:t>月</w:t>
      </w:r>
      <w:r>
        <w:rPr>
          <w:rFonts w:hint="eastAsia" w:ascii="宋体" w:hAnsi="宋体"/>
          <w:color w:val="auto"/>
          <w:szCs w:val="24"/>
          <w:highlight w:val="none"/>
          <w:lang w:val="en-US" w:eastAsia="zh-CN"/>
        </w:rPr>
        <w:t>8</w:t>
      </w:r>
      <w:r>
        <w:rPr>
          <w:rFonts w:hint="eastAsia" w:ascii="宋体" w:hAnsi="宋体"/>
          <w:color w:val="auto"/>
          <w:szCs w:val="24"/>
          <w:highlight w:val="none"/>
        </w:rPr>
        <w:t>日至202</w:t>
      </w:r>
      <w:r>
        <w:rPr>
          <w:rFonts w:hint="eastAsia" w:ascii="宋体" w:hAnsi="宋体"/>
          <w:color w:val="auto"/>
          <w:szCs w:val="24"/>
          <w:highlight w:val="none"/>
          <w:lang w:val="en-US" w:eastAsia="zh-CN"/>
        </w:rPr>
        <w:t>1</w:t>
      </w:r>
      <w:r>
        <w:rPr>
          <w:rFonts w:hint="eastAsia" w:ascii="宋体" w:hAnsi="宋体"/>
          <w:color w:val="auto"/>
          <w:szCs w:val="24"/>
          <w:highlight w:val="none"/>
        </w:rPr>
        <w:t>年</w:t>
      </w:r>
      <w:r>
        <w:rPr>
          <w:rFonts w:hint="eastAsia" w:ascii="宋体" w:hAnsi="宋体"/>
          <w:color w:val="auto"/>
          <w:szCs w:val="24"/>
          <w:highlight w:val="none"/>
          <w:lang w:val="en-US" w:eastAsia="zh-CN"/>
        </w:rPr>
        <w:t>6</w:t>
      </w:r>
      <w:r>
        <w:rPr>
          <w:rFonts w:hint="eastAsia" w:ascii="宋体" w:hAnsi="宋体"/>
          <w:color w:val="auto"/>
          <w:szCs w:val="24"/>
          <w:highlight w:val="none"/>
        </w:rPr>
        <w:t>月</w:t>
      </w:r>
      <w:r>
        <w:rPr>
          <w:rFonts w:hint="eastAsia" w:ascii="宋体" w:hAnsi="宋体"/>
          <w:color w:val="auto"/>
          <w:szCs w:val="24"/>
          <w:highlight w:val="none"/>
          <w:lang w:val="en-US" w:eastAsia="zh-CN"/>
        </w:rPr>
        <w:t>15</w:t>
      </w:r>
      <w:r>
        <w:rPr>
          <w:rFonts w:hint="eastAsia" w:ascii="宋体" w:hAnsi="宋体"/>
          <w:color w:val="auto"/>
          <w:szCs w:val="24"/>
          <w:highlight w:val="none"/>
        </w:rPr>
        <w:t>日（北京时间，法定公休日、法定节假日除外，每日09：00时至17：00时）。</w:t>
      </w:r>
    </w:p>
    <w:p>
      <w:pPr>
        <w:spacing w:line="480" w:lineRule="exact"/>
        <w:ind w:firstLine="494"/>
        <w:rPr>
          <w:rFonts w:ascii="宋体" w:hAnsi="宋体"/>
          <w:color w:val="auto"/>
          <w:szCs w:val="24"/>
          <w:highlight w:val="none"/>
        </w:rPr>
      </w:pPr>
      <w:r>
        <w:rPr>
          <w:rFonts w:hint="eastAsia" w:ascii="宋体" w:hAnsi="宋体"/>
          <w:b/>
          <w:color w:val="auto"/>
          <w:szCs w:val="24"/>
          <w:highlight w:val="none"/>
        </w:rPr>
        <w:t>招标文件</w:t>
      </w:r>
      <w:r>
        <w:rPr>
          <w:rFonts w:hint="eastAsia" w:ascii="宋体" w:hAnsi="宋体"/>
          <w:b/>
          <w:color w:val="auto"/>
          <w:szCs w:val="24"/>
          <w:highlight w:val="none"/>
          <w:lang w:val="en-US" w:eastAsia="zh-CN"/>
        </w:rPr>
        <w:t>免费获取</w:t>
      </w:r>
      <w:r>
        <w:rPr>
          <w:rFonts w:hint="eastAsia" w:ascii="宋体" w:hAnsi="宋体"/>
          <w:color w:val="auto"/>
          <w:szCs w:val="24"/>
          <w:highlight w:val="none"/>
        </w:rPr>
        <w:t>（ 投标资格不能转让）。</w:t>
      </w:r>
    </w:p>
    <w:p>
      <w:pPr>
        <w:spacing w:line="480" w:lineRule="exact"/>
        <w:ind w:firstLine="494"/>
        <w:rPr>
          <w:rFonts w:ascii="宋体" w:hAnsi="宋体"/>
          <w:b/>
          <w:bCs/>
          <w:color w:val="auto"/>
          <w:szCs w:val="24"/>
          <w:highlight w:val="none"/>
        </w:rPr>
      </w:pPr>
      <w:r>
        <w:rPr>
          <w:rFonts w:hint="eastAsia" w:ascii="宋体" w:hAnsi="宋体"/>
          <w:b/>
          <w:bCs/>
          <w:color w:val="auto"/>
          <w:szCs w:val="24"/>
          <w:highlight w:val="none"/>
        </w:rPr>
        <w:t>招标文件</w:t>
      </w:r>
      <w:r>
        <w:rPr>
          <w:rFonts w:hint="eastAsia" w:ascii="宋体" w:hAnsi="宋体"/>
          <w:b/>
          <w:bCs/>
          <w:color w:val="auto"/>
          <w:szCs w:val="24"/>
          <w:highlight w:val="none"/>
          <w:lang w:eastAsia="zh-CN"/>
        </w:rPr>
        <w:t>获取</w:t>
      </w:r>
      <w:r>
        <w:rPr>
          <w:rFonts w:hint="eastAsia" w:ascii="宋体" w:hAnsi="宋体"/>
          <w:b/>
          <w:bCs/>
          <w:color w:val="auto"/>
          <w:szCs w:val="24"/>
          <w:highlight w:val="none"/>
        </w:rPr>
        <w:t>方式（两种</w:t>
      </w:r>
      <w:r>
        <w:rPr>
          <w:rFonts w:hint="eastAsia" w:ascii="宋体" w:hAnsi="宋体"/>
          <w:b/>
          <w:bCs/>
          <w:color w:val="auto"/>
          <w:szCs w:val="24"/>
          <w:highlight w:val="none"/>
          <w:lang w:eastAsia="zh-CN"/>
        </w:rPr>
        <w:t>获取</w:t>
      </w:r>
      <w:r>
        <w:rPr>
          <w:rFonts w:hint="eastAsia" w:ascii="宋体" w:hAnsi="宋体"/>
          <w:b/>
          <w:bCs/>
          <w:color w:val="auto"/>
          <w:szCs w:val="24"/>
          <w:highlight w:val="none"/>
        </w:rPr>
        <w:t>方式2选1）：</w:t>
      </w:r>
    </w:p>
    <w:p>
      <w:pPr>
        <w:numPr>
          <w:ilvl w:val="0"/>
          <w:numId w:val="6"/>
        </w:numPr>
        <w:spacing w:line="480" w:lineRule="exact"/>
        <w:ind w:firstLine="494"/>
        <w:rPr>
          <w:rFonts w:ascii="宋体" w:hAnsi="宋体"/>
          <w:b/>
          <w:bCs/>
          <w:color w:val="auto"/>
          <w:szCs w:val="24"/>
          <w:highlight w:val="none"/>
        </w:rPr>
      </w:pPr>
      <w:r>
        <w:rPr>
          <w:rFonts w:hint="eastAsia" w:ascii="宋体" w:hAnsi="宋体"/>
          <w:b/>
          <w:bCs/>
          <w:color w:val="auto"/>
          <w:szCs w:val="24"/>
          <w:highlight w:val="none"/>
        </w:rPr>
        <w:t>网上</w:t>
      </w:r>
      <w:r>
        <w:rPr>
          <w:rFonts w:hint="eastAsia" w:ascii="宋体" w:hAnsi="宋体"/>
          <w:b/>
          <w:bCs/>
          <w:color w:val="auto"/>
          <w:szCs w:val="24"/>
          <w:highlight w:val="none"/>
          <w:lang w:eastAsia="zh-CN"/>
        </w:rPr>
        <w:t>获取</w:t>
      </w:r>
      <w:r>
        <w:rPr>
          <w:rFonts w:hint="eastAsia" w:ascii="宋体" w:hAnsi="宋体"/>
          <w:b/>
          <w:bCs/>
          <w:color w:val="auto"/>
          <w:szCs w:val="24"/>
          <w:highlight w:val="none"/>
        </w:rPr>
        <w:t>。在本项目采购文件获取时间期内，在本公司官方网站www.scskgc.com在线</w:t>
      </w:r>
      <w:r>
        <w:rPr>
          <w:rFonts w:hint="eastAsia" w:ascii="宋体" w:hAnsi="宋体"/>
          <w:b/>
          <w:bCs/>
          <w:color w:val="auto"/>
          <w:szCs w:val="24"/>
          <w:highlight w:val="none"/>
          <w:lang w:eastAsia="zh-CN"/>
        </w:rPr>
        <w:t>获取</w:t>
      </w:r>
      <w:r>
        <w:rPr>
          <w:rFonts w:hint="eastAsia" w:ascii="宋体" w:hAnsi="宋体"/>
          <w:b/>
          <w:bCs/>
          <w:color w:val="auto"/>
          <w:szCs w:val="24"/>
          <w:highlight w:val="none"/>
        </w:rPr>
        <w:t>,具体</w:t>
      </w:r>
      <w:r>
        <w:rPr>
          <w:rFonts w:hint="eastAsia" w:ascii="宋体" w:hAnsi="宋体"/>
          <w:b/>
          <w:bCs/>
          <w:color w:val="auto"/>
          <w:szCs w:val="24"/>
          <w:highlight w:val="none"/>
          <w:lang w:eastAsia="zh-CN"/>
        </w:rPr>
        <w:t>获取</w:t>
      </w:r>
      <w:r>
        <w:rPr>
          <w:rFonts w:hint="eastAsia" w:ascii="宋体" w:hAnsi="宋体"/>
          <w:b/>
          <w:bCs/>
          <w:color w:val="auto"/>
          <w:szCs w:val="24"/>
          <w:highlight w:val="none"/>
        </w:rPr>
        <w:t>流程详请见网站的"供应商服务系统”，关于"供应商服务系统”的使用问题可以在www.scskgc.com下载操作手册。注册及网上报名咨询电话:028-61032618。</w:t>
      </w:r>
    </w:p>
    <w:p>
      <w:pPr>
        <w:ind w:firstLine="494"/>
        <w:rPr>
          <w:rFonts w:ascii="宋体" w:hAnsi="宋体"/>
          <w:b/>
          <w:bCs/>
          <w:color w:val="auto"/>
          <w:szCs w:val="24"/>
          <w:highlight w:val="none"/>
        </w:rPr>
      </w:pPr>
      <w:r>
        <w:rPr>
          <w:rFonts w:hint="eastAsia" w:ascii="宋体" w:hAnsi="宋体"/>
          <w:b/>
          <w:bCs/>
          <w:color w:val="auto"/>
          <w:szCs w:val="24"/>
          <w:highlight w:val="none"/>
        </w:rPr>
        <w:t>2、现场报名。在本项目招标文件获取时间期内，在成都市高新区天府三街288号大有智慧广场迈普大厦10楼1010室现场</w:t>
      </w:r>
      <w:r>
        <w:rPr>
          <w:rFonts w:hint="eastAsia" w:ascii="宋体" w:hAnsi="宋体"/>
          <w:b/>
          <w:bCs/>
          <w:color w:val="auto"/>
          <w:szCs w:val="24"/>
          <w:highlight w:val="none"/>
          <w:lang w:eastAsia="zh-CN"/>
        </w:rPr>
        <w:t>获取</w:t>
      </w:r>
      <w:r>
        <w:rPr>
          <w:rFonts w:hint="eastAsia" w:ascii="宋体" w:hAnsi="宋体"/>
          <w:b/>
          <w:bCs/>
          <w:color w:val="auto"/>
          <w:szCs w:val="24"/>
          <w:highlight w:val="none"/>
        </w:rPr>
        <w:t>。</w:t>
      </w:r>
      <w:r>
        <w:rPr>
          <w:rFonts w:hint="eastAsia" w:ascii="宋体" w:hAnsi="宋体"/>
          <w:b/>
          <w:bCs/>
          <w:color w:val="auto"/>
          <w:szCs w:val="24"/>
          <w:highlight w:val="none"/>
          <w:lang w:eastAsia="zh-CN"/>
        </w:rPr>
        <w:t>获取</w:t>
      </w:r>
      <w:r>
        <w:rPr>
          <w:rFonts w:hint="eastAsia" w:ascii="宋体" w:hAnsi="宋体"/>
          <w:b/>
          <w:bCs/>
          <w:color w:val="auto"/>
          <w:szCs w:val="24"/>
          <w:highlight w:val="none"/>
        </w:rPr>
        <w:t>招标文件时必须携带</w:t>
      </w:r>
      <w:r>
        <w:rPr>
          <w:rFonts w:hint="eastAsia" w:ascii="宋体" w:hAnsi="宋体"/>
          <w:color w:val="auto"/>
          <w:szCs w:val="24"/>
          <w:highlight w:val="none"/>
        </w:rPr>
        <w:t>：</w:t>
      </w:r>
      <w:r>
        <w:rPr>
          <w:rFonts w:hint="eastAsia" w:ascii="宋体" w:hAnsi="宋体"/>
          <w:b/>
          <w:bCs/>
          <w:color w:val="auto"/>
          <w:szCs w:val="24"/>
          <w:highlight w:val="none"/>
        </w:rPr>
        <w:t>1. 供应商为法人或者其他组织的提供加盖单位公章的介绍信原件和加盖单位公章的被介绍人身份证复印件（需注明项目名称及项目编号）；2.供应商为自然人的，只需提供本人身份证复印件。</w:t>
      </w:r>
    </w:p>
    <w:p>
      <w:pPr>
        <w:numPr>
          <w:ilvl w:val="0"/>
          <w:numId w:val="3"/>
        </w:numPr>
        <w:ind w:left="-14" w:leftChars="0" w:firstLine="494" w:firstLineChars="0"/>
        <w:rPr>
          <w:rFonts w:ascii="宋体" w:hAnsi="宋体"/>
          <w:b/>
          <w:color w:val="auto"/>
          <w:szCs w:val="24"/>
          <w:highlight w:val="none"/>
        </w:rPr>
      </w:pPr>
      <w:r>
        <w:rPr>
          <w:rFonts w:hint="eastAsia" w:ascii="宋体" w:hAnsi="宋体"/>
          <w:b/>
          <w:color w:val="auto"/>
          <w:szCs w:val="24"/>
          <w:highlight w:val="none"/>
        </w:rPr>
        <w:t>投标截止时间及开标时间</w:t>
      </w:r>
      <w:bookmarkEnd w:id="17"/>
      <w:bookmarkEnd w:id="18"/>
      <w:bookmarkEnd w:id="19"/>
      <w:bookmarkEnd w:id="20"/>
      <w:bookmarkEnd w:id="21"/>
      <w:r>
        <w:rPr>
          <w:rFonts w:hint="eastAsia" w:ascii="宋体" w:hAnsi="宋体"/>
          <w:b/>
          <w:color w:val="auto"/>
          <w:szCs w:val="24"/>
          <w:highlight w:val="none"/>
        </w:rPr>
        <w:t>(北京时间)</w:t>
      </w:r>
    </w:p>
    <w:p>
      <w:pPr>
        <w:numPr>
          <w:ilvl w:val="0"/>
          <w:numId w:val="7"/>
        </w:numPr>
        <w:snapToGrid w:val="0"/>
        <w:ind w:left="0" w:firstLine="492"/>
        <w:rPr>
          <w:rFonts w:ascii="宋体" w:hAnsi="宋体"/>
          <w:color w:val="auto"/>
          <w:szCs w:val="24"/>
          <w:highlight w:val="none"/>
        </w:rPr>
      </w:pPr>
      <w:r>
        <w:rPr>
          <w:rFonts w:hint="eastAsia" w:ascii="宋体" w:hAnsi="宋体"/>
          <w:color w:val="auto"/>
          <w:szCs w:val="24"/>
          <w:highlight w:val="none"/>
        </w:rPr>
        <w:t>投标截止时间及开标时间：</w:t>
      </w:r>
      <w:r>
        <w:rPr>
          <w:rFonts w:hint="eastAsia" w:ascii="宋体" w:hAnsi="宋体"/>
          <w:b/>
          <w:color w:val="auto"/>
          <w:szCs w:val="24"/>
          <w:highlight w:val="none"/>
        </w:rPr>
        <w:t>202</w:t>
      </w:r>
      <w:r>
        <w:rPr>
          <w:rFonts w:hint="eastAsia" w:ascii="宋体" w:hAnsi="宋体"/>
          <w:b/>
          <w:color w:val="auto"/>
          <w:szCs w:val="24"/>
          <w:highlight w:val="none"/>
          <w:lang w:val="en-US" w:eastAsia="zh-CN"/>
        </w:rPr>
        <w:t>1</w:t>
      </w:r>
      <w:r>
        <w:rPr>
          <w:rFonts w:hint="eastAsia" w:ascii="宋体" w:hAnsi="宋体"/>
          <w:b/>
          <w:color w:val="auto"/>
          <w:szCs w:val="24"/>
          <w:highlight w:val="none"/>
        </w:rPr>
        <w:t>年</w:t>
      </w:r>
      <w:r>
        <w:rPr>
          <w:rFonts w:hint="eastAsia" w:ascii="宋体" w:hAnsi="宋体"/>
          <w:b/>
          <w:color w:val="auto"/>
          <w:szCs w:val="24"/>
          <w:highlight w:val="none"/>
          <w:lang w:val="en-US" w:eastAsia="zh-CN"/>
        </w:rPr>
        <w:t>6</w:t>
      </w:r>
      <w:r>
        <w:rPr>
          <w:rFonts w:hint="eastAsia" w:ascii="宋体" w:hAnsi="宋体"/>
          <w:b/>
          <w:color w:val="auto"/>
          <w:szCs w:val="24"/>
          <w:highlight w:val="none"/>
        </w:rPr>
        <w:t>月</w:t>
      </w:r>
      <w:r>
        <w:rPr>
          <w:rFonts w:hint="eastAsia" w:ascii="宋体" w:hAnsi="宋体"/>
          <w:b/>
          <w:color w:val="auto"/>
          <w:szCs w:val="24"/>
          <w:highlight w:val="none"/>
          <w:lang w:val="en-US" w:eastAsia="zh-CN"/>
        </w:rPr>
        <w:t>30</w:t>
      </w:r>
      <w:r>
        <w:rPr>
          <w:rFonts w:hint="eastAsia" w:ascii="宋体" w:hAnsi="宋体"/>
          <w:b/>
          <w:color w:val="auto"/>
          <w:szCs w:val="24"/>
          <w:highlight w:val="none"/>
        </w:rPr>
        <w:t>日上午10:30。</w:t>
      </w:r>
    </w:p>
    <w:p>
      <w:pPr>
        <w:numPr>
          <w:ilvl w:val="0"/>
          <w:numId w:val="7"/>
        </w:numPr>
        <w:snapToGrid w:val="0"/>
        <w:ind w:left="0" w:firstLine="492"/>
        <w:rPr>
          <w:rFonts w:ascii="宋体" w:hAnsi="宋体"/>
          <w:color w:val="auto"/>
          <w:szCs w:val="24"/>
          <w:highlight w:val="none"/>
        </w:rPr>
      </w:pPr>
      <w:r>
        <w:rPr>
          <w:rFonts w:hint="eastAsia" w:ascii="宋体" w:hAnsi="宋体"/>
          <w:color w:val="auto"/>
          <w:szCs w:val="24"/>
          <w:highlight w:val="none"/>
        </w:rPr>
        <w:t>投标文件应在开标当日投标截止时间前送达开标地点。逾期送达的投标文件不予接收。本次招标不接受以电子邮件、传真及邮寄方式递交的投标文件。</w:t>
      </w:r>
    </w:p>
    <w:p>
      <w:pPr>
        <w:numPr>
          <w:ilvl w:val="0"/>
          <w:numId w:val="3"/>
        </w:numPr>
        <w:ind w:left="-14" w:leftChars="0" w:firstLine="494" w:firstLineChars="0"/>
        <w:rPr>
          <w:rFonts w:ascii="宋体" w:hAnsi="宋体"/>
          <w:b/>
          <w:color w:val="auto"/>
          <w:szCs w:val="24"/>
          <w:highlight w:val="none"/>
        </w:rPr>
      </w:pPr>
      <w:r>
        <w:rPr>
          <w:rFonts w:hint="eastAsia" w:ascii="宋体" w:hAnsi="宋体"/>
          <w:b/>
          <w:color w:val="auto"/>
          <w:szCs w:val="24"/>
          <w:highlight w:val="none"/>
        </w:rPr>
        <w:t>投标文件递交地点及开标地点</w:t>
      </w:r>
    </w:p>
    <w:p>
      <w:pPr>
        <w:snapToGrid w:val="0"/>
        <w:ind w:firstLine="492"/>
        <w:rPr>
          <w:rFonts w:ascii="宋体" w:hAnsi="宋体"/>
          <w:color w:val="auto"/>
          <w:szCs w:val="24"/>
          <w:highlight w:val="none"/>
        </w:rPr>
      </w:pPr>
      <w:r>
        <w:rPr>
          <w:rFonts w:hint="eastAsia" w:ascii="宋体" w:hAnsi="宋体"/>
          <w:color w:val="auto"/>
          <w:szCs w:val="24"/>
          <w:highlight w:val="none"/>
        </w:rPr>
        <w:t>成都市高新区天府三街288号大有智慧广场迈普大厦10楼1010室本项目开标室。</w:t>
      </w:r>
    </w:p>
    <w:p>
      <w:pPr>
        <w:numPr>
          <w:ilvl w:val="0"/>
          <w:numId w:val="3"/>
        </w:numPr>
        <w:ind w:left="-14" w:leftChars="0" w:firstLine="494" w:firstLineChars="0"/>
        <w:rPr>
          <w:rFonts w:ascii="宋体" w:hAnsi="宋体"/>
          <w:b/>
          <w:color w:val="auto"/>
          <w:szCs w:val="24"/>
          <w:highlight w:val="none"/>
        </w:rPr>
      </w:pPr>
      <w:r>
        <w:rPr>
          <w:rFonts w:hint="eastAsia" w:ascii="宋体" w:hAnsi="宋体"/>
          <w:b/>
          <w:color w:val="auto"/>
          <w:szCs w:val="24"/>
          <w:highlight w:val="none"/>
        </w:rPr>
        <w:t>本投标邀请在“四川政府采购网”上以公告形式发布</w:t>
      </w:r>
    </w:p>
    <w:p>
      <w:pPr>
        <w:numPr>
          <w:ilvl w:val="0"/>
          <w:numId w:val="3"/>
        </w:numPr>
        <w:ind w:left="-14" w:leftChars="0" w:firstLine="494" w:firstLineChars="0"/>
        <w:rPr>
          <w:rFonts w:ascii="宋体" w:hAnsi="宋体"/>
          <w:b/>
          <w:color w:val="auto"/>
          <w:szCs w:val="24"/>
          <w:highlight w:val="none"/>
        </w:rPr>
      </w:pPr>
      <w:r>
        <w:rPr>
          <w:rFonts w:hint="eastAsia" w:ascii="宋体" w:hAnsi="宋体"/>
          <w:b/>
          <w:color w:val="auto"/>
          <w:szCs w:val="24"/>
          <w:highlight w:val="none"/>
        </w:rPr>
        <w:t>联系方式</w:t>
      </w:r>
    </w:p>
    <w:p>
      <w:pPr>
        <w:pStyle w:val="181"/>
        <w:ind w:firstLine="492"/>
        <w:rPr>
          <w:rFonts w:hint="eastAsia" w:ascii="宋体" w:hAnsi="宋体" w:eastAsia="宋体"/>
          <w:bCs/>
          <w:color w:val="auto"/>
          <w:highlight w:val="none"/>
          <w:lang w:eastAsia="zh-CN"/>
        </w:rPr>
      </w:pPr>
      <w:r>
        <w:rPr>
          <w:rFonts w:hint="eastAsia" w:ascii="宋体" w:hAnsi="宋体"/>
          <w:bCs/>
          <w:color w:val="auto"/>
          <w:kern w:val="0"/>
          <w:highlight w:val="none"/>
        </w:rPr>
        <w:t>采购人：</w:t>
      </w:r>
      <w:r>
        <w:rPr>
          <w:rFonts w:hint="eastAsia" w:ascii="宋体" w:hAnsi="宋体"/>
          <w:bCs/>
          <w:color w:val="auto"/>
          <w:highlight w:val="none"/>
          <w:lang w:eastAsia="zh-CN"/>
        </w:rPr>
        <w:t>成都市龙泉驿区城市绿地建设管理中心</w:t>
      </w:r>
    </w:p>
    <w:p>
      <w:pPr>
        <w:pStyle w:val="181"/>
        <w:ind w:firstLine="492"/>
        <w:rPr>
          <w:rFonts w:hint="eastAsia" w:ascii="宋体" w:hAnsi="宋体"/>
          <w:color w:val="auto"/>
          <w:kern w:val="0"/>
          <w:highlight w:val="none"/>
        </w:rPr>
      </w:pPr>
      <w:r>
        <w:rPr>
          <w:rFonts w:hint="eastAsia" w:ascii="宋体" w:hAnsi="宋体"/>
          <w:color w:val="auto"/>
          <w:kern w:val="0"/>
          <w:highlight w:val="none"/>
        </w:rPr>
        <w:t>地    址：龙泉驿区龙泉街道怡和新城E3区20栋</w:t>
      </w:r>
    </w:p>
    <w:p>
      <w:pPr>
        <w:pStyle w:val="181"/>
        <w:ind w:firstLine="492"/>
        <w:rPr>
          <w:rFonts w:hint="eastAsia" w:ascii="宋体" w:hAnsi="宋体"/>
          <w:color w:val="auto"/>
          <w:kern w:val="0"/>
          <w:highlight w:val="none"/>
        </w:rPr>
      </w:pPr>
      <w:r>
        <w:rPr>
          <w:rFonts w:hint="eastAsia" w:ascii="宋体" w:hAnsi="宋体"/>
          <w:color w:val="auto"/>
          <w:kern w:val="0"/>
          <w:highlight w:val="none"/>
        </w:rPr>
        <w:t>联 系 人：何老师</w:t>
      </w:r>
    </w:p>
    <w:p>
      <w:pPr>
        <w:pStyle w:val="181"/>
        <w:ind w:firstLine="492"/>
        <w:rPr>
          <w:rFonts w:hint="eastAsia" w:ascii="宋体" w:hAnsi="宋体"/>
          <w:color w:val="auto"/>
          <w:kern w:val="0"/>
          <w:highlight w:val="none"/>
        </w:rPr>
      </w:pPr>
      <w:r>
        <w:rPr>
          <w:rFonts w:hint="eastAsia" w:ascii="宋体" w:hAnsi="宋体"/>
          <w:color w:val="auto"/>
          <w:kern w:val="0"/>
          <w:highlight w:val="none"/>
        </w:rPr>
        <w:t>联系电话：028-84852594</w:t>
      </w:r>
    </w:p>
    <w:p>
      <w:pPr>
        <w:pStyle w:val="181"/>
        <w:ind w:firstLine="492"/>
        <w:rPr>
          <w:rFonts w:ascii="宋体" w:hAnsi="宋体"/>
          <w:color w:val="auto"/>
          <w:kern w:val="0"/>
          <w:highlight w:val="none"/>
        </w:rPr>
      </w:pPr>
      <w:r>
        <w:rPr>
          <w:rFonts w:hint="eastAsia" w:ascii="宋体" w:hAnsi="宋体"/>
          <w:color w:val="auto"/>
          <w:kern w:val="0"/>
          <w:highlight w:val="none"/>
        </w:rPr>
        <w:t xml:space="preserve">采购代理机构：四川世科工程咨询有限公司 </w:t>
      </w:r>
    </w:p>
    <w:p>
      <w:pPr>
        <w:pStyle w:val="181"/>
        <w:ind w:firstLine="492"/>
        <w:rPr>
          <w:rFonts w:ascii="宋体" w:hAnsi="宋体"/>
          <w:color w:val="auto"/>
          <w:kern w:val="0"/>
          <w:highlight w:val="none"/>
        </w:rPr>
      </w:pPr>
      <w:r>
        <w:rPr>
          <w:rFonts w:hint="eastAsia" w:ascii="宋体" w:hAnsi="宋体"/>
          <w:color w:val="auto"/>
          <w:kern w:val="0"/>
          <w:highlight w:val="none"/>
        </w:rPr>
        <w:t>地    址：成都市高新区天府三街288号大有智慧广场迈普大厦10楼1010室</w:t>
      </w:r>
    </w:p>
    <w:p>
      <w:pPr>
        <w:pStyle w:val="181"/>
        <w:ind w:firstLine="492"/>
        <w:rPr>
          <w:rFonts w:ascii="宋体" w:hAnsi="宋体"/>
          <w:color w:val="auto"/>
          <w:kern w:val="0"/>
          <w:highlight w:val="none"/>
        </w:rPr>
      </w:pPr>
      <w:r>
        <w:rPr>
          <w:rFonts w:hint="eastAsia" w:ascii="宋体" w:hAnsi="宋体"/>
          <w:color w:val="auto"/>
          <w:kern w:val="0"/>
          <w:highlight w:val="none"/>
        </w:rPr>
        <w:t>联 系 人：高老师</w:t>
      </w:r>
    </w:p>
    <w:p>
      <w:pPr>
        <w:pStyle w:val="181"/>
        <w:ind w:firstLine="492"/>
        <w:rPr>
          <w:rFonts w:ascii="宋体" w:hAnsi="宋体"/>
          <w:color w:val="auto"/>
          <w:kern w:val="0"/>
          <w:highlight w:val="none"/>
        </w:rPr>
      </w:pPr>
      <w:r>
        <w:rPr>
          <w:rFonts w:hint="eastAsia" w:ascii="宋体" w:hAnsi="宋体"/>
          <w:color w:val="auto"/>
          <w:kern w:val="0"/>
          <w:highlight w:val="none"/>
        </w:rPr>
        <w:t xml:space="preserve">联系电话：028-61032618转8005 </w:t>
      </w:r>
    </w:p>
    <w:p>
      <w:pPr>
        <w:pStyle w:val="181"/>
        <w:ind w:firstLine="492"/>
        <w:rPr>
          <w:rFonts w:ascii="宋体" w:hAnsi="宋体"/>
          <w:color w:val="auto"/>
          <w:kern w:val="0"/>
          <w:highlight w:val="none"/>
        </w:rPr>
      </w:pPr>
      <w:r>
        <w:rPr>
          <w:rFonts w:hint="eastAsia" w:ascii="宋体" w:hAnsi="宋体"/>
          <w:color w:val="auto"/>
          <w:kern w:val="0"/>
          <w:highlight w:val="none"/>
        </w:rPr>
        <w:t>传    真：028-61032618</w:t>
      </w:r>
    </w:p>
    <w:p>
      <w:pPr>
        <w:pStyle w:val="181"/>
        <w:spacing w:line="460" w:lineRule="exact"/>
        <w:ind w:firstLine="565" w:firstLineChars="202"/>
        <w:rPr>
          <w:rFonts w:ascii="宋体" w:hAnsi="宋体"/>
          <w:color w:val="auto"/>
          <w:kern w:val="0"/>
          <w:sz w:val="28"/>
          <w:szCs w:val="22"/>
          <w:highlight w:val="none"/>
        </w:rPr>
      </w:pPr>
    </w:p>
    <w:p>
      <w:pPr>
        <w:pStyle w:val="181"/>
        <w:spacing w:line="460" w:lineRule="exact"/>
        <w:ind w:firstLine="565" w:firstLineChars="202"/>
        <w:rPr>
          <w:rFonts w:ascii="宋体" w:hAnsi="宋体"/>
          <w:color w:val="auto"/>
          <w:kern w:val="0"/>
          <w:sz w:val="28"/>
          <w:szCs w:val="22"/>
          <w:highlight w:val="none"/>
        </w:rPr>
      </w:pPr>
    </w:p>
    <w:p>
      <w:pPr>
        <w:pStyle w:val="181"/>
        <w:spacing w:line="460" w:lineRule="exact"/>
        <w:ind w:firstLine="565" w:firstLineChars="202"/>
        <w:rPr>
          <w:rFonts w:ascii="宋体" w:hAnsi="宋体"/>
          <w:color w:val="auto"/>
          <w:kern w:val="0"/>
          <w:sz w:val="28"/>
          <w:szCs w:val="22"/>
          <w:highlight w:val="none"/>
        </w:rPr>
      </w:pPr>
    </w:p>
    <w:p>
      <w:pPr>
        <w:pStyle w:val="181"/>
        <w:spacing w:line="460" w:lineRule="exact"/>
        <w:ind w:firstLine="565" w:firstLineChars="202"/>
        <w:rPr>
          <w:rFonts w:ascii="宋体" w:hAnsi="宋体"/>
          <w:color w:val="auto"/>
          <w:kern w:val="0"/>
          <w:sz w:val="28"/>
          <w:szCs w:val="22"/>
          <w:highlight w:val="none"/>
        </w:rPr>
      </w:pPr>
    </w:p>
    <w:p>
      <w:pPr>
        <w:pStyle w:val="181"/>
        <w:spacing w:line="460" w:lineRule="exact"/>
        <w:ind w:firstLine="565" w:firstLineChars="202"/>
        <w:rPr>
          <w:rFonts w:ascii="宋体" w:hAnsi="宋体"/>
          <w:color w:val="auto"/>
          <w:kern w:val="0"/>
          <w:sz w:val="28"/>
          <w:szCs w:val="22"/>
          <w:highlight w:val="none"/>
        </w:rPr>
      </w:pPr>
    </w:p>
    <w:p>
      <w:pPr>
        <w:pStyle w:val="181"/>
        <w:spacing w:line="460" w:lineRule="exact"/>
        <w:ind w:firstLine="565" w:firstLineChars="202"/>
        <w:rPr>
          <w:rFonts w:ascii="宋体" w:hAnsi="宋体"/>
          <w:color w:val="auto"/>
          <w:kern w:val="0"/>
          <w:sz w:val="28"/>
          <w:szCs w:val="22"/>
          <w:highlight w:val="none"/>
        </w:rPr>
      </w:pPr>
    </w:p>
    <w:p>
      <w:pPr>
        <w:pStyle w:val="181"/>
        <w:spacing w:line="460" w:lineRule="exact"/>
        <w:ind w:firstLine="565" w:firstLineChars="202"/>
        <w:rPr>
          <w:rFonts w:ascii="宋体" w:hAnsi="宋体"/>
          <w:color w:val="auto"/>
          <w:kern w:val="0"/>
          <w:sz w:val="28"/>
          <w:szCs w:val="22"/>
          <w:highlight w:val="none"/>
        </w:rPr>
      </w:pPr>
    </w:p>
    <w:p>
      <w:pPr>
        <w:pStyle w:val="181"/>
        <w:spacing w:line="460" w:lineRule="exact"/>
        <w:ind w:firstLine="565" w:firstLineChars="202"/>
        <w:rPr>
          <w:rFonts w:ascii="宋体" w:hAnsi="宋体"/>
          <w:color w:val="auto"/>
          <w:kern w:val="0"/>
          <w:sz w:val="28"/>
          <w:szCs w:val="22"/>
          <w:highlight w:val="none"/>
        </w:rPr>
      </w:pPr>
    </w:p>
    <w:p>
      <w:pPr>
        <w:pStyle w:val="181"/>
        <w:spacing w:line="460" w:lineRule="exact"/>
        <w:ind w:firstLine="565" w:firstLineChars="202"/>
        <w:rPr>
          <w:rFonts w:ascii="宋体" w:hAnsi="宋体"/>
          <w:color w:val="auto"/>
          <w:kern w:val="0"/>
          <w:sz w:val="28"/>
          <w:szCs w:val="22"/>
          <w:highlight w:val="none"/>
        </w:rPr>
      </w:pPr>
    </w:p>
    <w:p>
      <w:pPr>
        <w:pStyle w:val="181"/>
        <w:spacing w:line="460" w:lineRule="exact"/>
        <w:ind w:firstLine="565" w:firstLineChars="202"/>
        <w:rPr>
          <w:rFonts w:ascii="宋体" w:hAnsi="宋体"/>
          <w:color w:val="auto"/>
          <w:kern w:val="0"/>
          <w:sz w:val="28"/>
          <w:szCs w:val="22"/>
          <w:highlight w:val="none"/>
        </w:rPr>
      </w:pPr>
    </w:p>
    <w:p>
      <w:pPr>
        <w:pStyle w:val="181"/>
        <w:spacing w:line="460" w:lineRule="exact"/>
        <w:ind w:firstLine="565" w:firstLineChars="202"/>
        <w:rPr>
          <w:rFonts w:ascii="宋体" w:hAnsi="宋体"/>
          <w:color w:val="auto"/>
          <w:kern w:val="0"/>
          <w:sz w:val="28"/>
          <w:szCs w:val="22"/>
          <w:highlight w:val="none"/>
        </w:rPr>
      </w:pPr>
    </w:p>
    <w:p>
      <w:pPr>
        <w:pStyle w:val="181"/>
        <w:spacing w:line="460" w:lineRule="exact"/>
        <w:ind w:firstLine="565" w:firstLineChars="202"/>
        <w:rPr>
          <w:rFonts w:ascii="宋体" w:hAnsi="宋体"/>
          <w:color w:val="auto"/>
          <w:kern w:val="0"/>
          <w:sz w:val="28"/>
          <w:szCs w:val="22"/>
          <w:highlight w:val="none"/>
        </w:rPr>
      </w:pPr>
    </w:p>
    <w:p>
      <w:pPr>
        <w:pStyle w:val="181"/>
        <w:spacing w:line="460" w:lineRule="exact"/>
        <w:ind w:firstLine="565" w:firstLineChars="202"/>
        <w:rPr>
          <w:rFonts w:ascii="宋体" w:hAnsi="宋体"/>
          <w:color w:val="auto"/>
          <w:kern w:val="0"/>
          <w:sz w:val="28"/>
          <w:szCs w:val="22"/>
          <w:highlight w:val="none"/>
        </w:rPr>
      </w:pPr>
    </w:p>
    <w:p>
      <w:pPr>
        <w:pStyle w:val="181"/>
        <w:spacing w:line="460" w:lineRule="exact"/>
        <w:ind w:firstLine="565" w:firstLineChars="202"/>
        <w:rPr>
          <w:rFonts w:ascii="宋体" w:hAnsi="宋体"/>
          <w:color w:val="auto"/>
          <w:kern w:val="0"/>
          <w:sz w:val="28"/>
          <w:szCs w:val="22"/>
          <w:highlight w:val="none"/>
        </w:rPr>
      </w:pPr>
    </w:p>
    <w:p>
      <w:pPr>
        <w:pStyle w:val="181"/>
        <w:spacing w:line="460" w:lineRule="exact"/>
        <w:ind w:firstLine="565" w:firstLineChars="202"/>
        <w:rPr>
          <w:rFonts w:ascii="宋体" w:hAnsi="宋体"/>
          <w:color w:val="auto"/>
          <w:kern w:val="0"/>
          <w:sz w:val="28"/>
          <w:szCs w:val="22"/>
          <w:highlight w:val="none"/>
        </w:rPr>
      </w:pPr>
    </w:p>
    <w:p>
      <w:pPr>
        <w:pStyle w:val="181"/>
        <w:spacing w:line="460" w:lineRule="exact"/>
        <w:ind w:firstLine="565" w:firstLineChars="202"/>
        <w:rPr>
          <w:rFonts w:ascii="宋体" w:hAnsi="宋体"/>
          <w:color w:val="auto"/>
          <w:kern w:val="0"/>
          <w:sz w:val="28"/>
          <w:szCs w:val="22"/>
          <w:highlight w:val="none"/>
        </w:rPr>
      </w:pPr>
    </w:p>
    <w:p>
      <w:pPr>
        <w:pStyle w:val="181"/>
        <w:spacing w:line="460" w:lineRule="exact"/>
        <w:ind w:firstLine="565" w:firstLineChars="202"/>
        <w:rPr>
          <w:rFonts w:ascii="宋体" w:hAnsi="宋体"/>
          <w:color w:val="auto"/>
          <w:kern w:val="0"/>
          <w:sz w:val="28"/>
          <w:szCs w:val="22"/>
          <w:highlight w:val="none"/>
        </w:rPr>
      </w:pPr>
    </w:p>
    <w:p>
      <w:pPr>
        <w:pStyle w:val="181"/>
        <w:spacing w:line="460" w:lineRule="exact"/>
        <w:ind w:firstLine="565" w:firstLineChars="202"/>
        <w:rPr>
          <w:rFonts w:ascii="宋体" w:hAnsi="宋体"/>
          <w:color w:val="auto"/>
          <w:kern w:val="0"/>
          <w:sz w:val="28"/>
          <w:szCs w:val="22"/>
          <w:highlight w:val="none"/>
        </w:rPr>
      </w:pPr>
    </w:p>
    <w:p>
      <w:pPr>
        <w:pStyle w:val="181"/>
        <w:spacing w:line="460" w:lineRule="exact"/>
        <w:ind w:firstLine="565" w:firstLineChars="202"/>
        <w:rPr>
          <w:rFonts w:ascii="宋体" w:hAnsi="宋体"/>
          <w:color w:val="auto"/>
          <w:kern w:val="0"/>
          <w:sz w:val="28"/>
          <w:szCs w:val="22"/>
          <w:highlight w:val="none"/>
        </w:rPr>
      </w:pPr>
    </w:p>
    <w:p>
      <w:pPr>
        <w:pStyle w:val="181"/>
        <w:spacing w:line="460" w:lineRule="exact"/>
        <w:ind w:firstLine="565" w:firstLineChars="202"/>
        <w:rPr>
          <w:rFonts w:ascii="宋体" w:hAnsi="宋体"/>
          <w:color w:val="auto"/>
          <w:kern w:val="0"/>
          <w:sz w:val="28"/>
          <w:szCs w:val="22"/>
          <w:highlight w:val="none"/>
        </w:rPr>
      </w:pPr>
    </w:p>
    <w:p>
      <w:pPr>
        <w:pStyle w:val="181"/>
        <w:spacing w:line="460" w:lineRule="exact"/>
        <w:ind w:firstLine="565" w:firstLineChars="202"/>
        <w:rPr>
          <w:rFonts w:ascii="宋体" w:hAnsi="宋体"/>
          <w:color w:val="auto"/>
          <w:kern w:val="0"/>
          <w:sz w:val="28"/>
          <w:szCs w:val="22"/>
          <w:highlight w:val="none"/>
        </w:rPr>
      </w:pPr>
    </w:p>
    <w:p>
      <w:pPr>
        <w:pStyle w:val="181"/>
        <w:spacing w:line="460" w:lineRule="exact"/>
        <w:ind w:firstLine="565" w:firstLineChars="202"/>
        <w:rPr>
          <w:rFonts w:ascii="宋体" w:hAnsi="宋体"/>
          <w:color w:val="auto"/>
          <w:kern w:val="0"/>
          <w:sz w:val="28"/>
          <w:szCs w:val="22"/>
          <w:highlight w:val="none"/>
        </w:rPr>
      </w:pPr>
    </w:p>
    <w:p>
      <w:pPr>
        <w:pStyle w:val="181"/>
        <w:spacing w:line="460" w:lineRule="exact"/>
        <w:ind w:firstLine="565" w:firstLineChars="202"/>
        <w:rPr>
          <w:rFonts w:ascii="宋体" w:hAnsi="宋体"/>
          <w:color w:val="auto"/>
          <w:kern w:val="0"/>
          <w:sz w:val="28"/>
          <w:szCs w:val="22"/>
          <w:highlight w:val="none"/>
        </w:rPr>
      </w:pPr>
    </w:p>
    <w:p>
      <w:pPr>
        <w:pStyle w:val="181"/>
        <w:spacing w:line="460" w:lineRule="exact"/>
        <w:ind w:firstLine="565" w:firstLineChars="202"/>
        <w:rPr>
          <w:rFonts w:ascii="宋体" w:hAnsi="宋体"/>
          <w:color w:val="auto"/>
          <w:kern w:val="0"/>
          <w:sz w:val="28"/>
          <w:szCs w:val="22"/>
          <w:highlight w:val="none"/>
        </w:rPr>
      </w:pPr>
    </w:p>
    <w:p>
      <w:pPr>
        <w:pStyle w:val="3"/>
        <w:rPr>
          <w:color w:val="auto"/>
          <w:highlight w:val="none"/>
        </w:rPr>
      </w:pPr>
      <w:bookmarkStart w:id="22" w:name="_Toc19869"/>
      <w:bookmarkStart w:id="23" w:name="_Toc23511"/>
      <w:bookmarkStart w:id="24" w:name="_Toc32385"/>
      <w:bookmarkStart w:id="25" w:name="_Toc3587"/>
      <w:r>
        <w:rPr>
          <w:rFonts w:hint="eastAsia"/>
          <w:color w:val="auto"/>
          <w:highlight w:val="none"/>
        </w:rPr>
        <w:t>投标人须知</w:t>
      </w:r>
      <w:bookmarkEnd w:id="22"/>
      <w:bookmarkEnd w:id="23"/>
      <w:bookmarkEnd w:id="24"/>
      <w:bookmarkEnd w:id="25"/>
    </w:p>
    <w:p>
      <w:pPr>
        <w:pStyle w:val="4"/>
        <w:rPr>
          <w:color w:val="auto"/>
          <w:highlight w:val="none"/>
        </w:rPr>
      </w:pPr>
      <w:bookmarkStart w:id="26" w:name="_Toc316462344"/>
      <w:bookmarkStart w:id="27" w:name="_Toc10412"/>
      <w:bookmarkStart w:id="28" w:name="_Toc11885"/>
      <w:bookmarkStart w:id="29" w:name="_Toc213397010"/>
      <w:bookmarkStart w:id="30" w:name="_Toc213396946"/>
      <w:bookmarkStart w:id="31" w:name="_Toc213396760"/>
      <w:bookmarkStart w:id="32" w:name="_Toc189727030"/>
      <w:bookmarkStart w:id="33" w:name="_Toc26018"/>
      <w:bookmarkStart w:id="34" w:name="_Toc217446032"/>
      <w:bookmarkStart w:id="35" w:name="_Toc213496268"/>
      <w:bookmarkStart w:id="36" w:name="_Toc993"/>
      <w:r>
        <w:rPr>
          <w:rFonts w:hint="eastAsia"/>
          <w:color w:val="auto"/>
          <w:highlight w:val="none"/>
        </w:rPr>
        <w:t>投标人须知附表</w:t>
      </w:r>
      <w:bookmarkEnd w:id="26"/>
      <w:bookmarkEnd w:id="27"/>
      <w:bookmarkEnd w:id="28"/>
      <w:bookmarkEnd w:id="29"/>
      <w:bookmarkEnd w:id="30"/>
      <w:bookmarkEnd w:id="31"/>
      <w:bookmarkEnd w:id="32"/>
      <w:bookmarkEnd w:id="33"/>
      <w:bookmarkEnd w:id="34"/>
      <w:bookmarkEnd w:id="35"/>
      <w:bookmarkEnd w:id="36"/>
    </w:p>
    <w:tbl>
      <w:tblPr>
        <w:tblStyle w:val="43"/>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784"/>
        <w:gridCol w:w="683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6" w:hRule="exact"/>
          <w:jc w:val="center"/>
        </w:trPr>
        <w:tc>
          <w:tcPr>
            <w:tcW w:w="884" w:type="dxa"/>
            <w:shd w:val="clear" w:color="auto" w:fill="auto"/>
            <w:vAlign w:val="center"/>
          </w:tcPr>
          <w:p>
            <w:pPr>
              <w:snapToGrid w:val="0"/>
              <w:ind w:firstLine="0" w:firstLineChars="0"/>
              <w:jc w:val="center"/>
              <w:rPr>
                <w:rFonts w:ascii="宋体" w:hAnsi="宋体" w:cs="宋体"/>
                <w:b/>
                <w:color w:val="auto"/>
                <w:szCs w:val="24"/>
                <w:highlight w:val="none"/>
              </w:rPr>
            </w:pPr>
            <w:r>
              <w:rPr>
                <w:rFonts w:hint="eastAsia" w:ascii="宋体" w:hAnsi="宋体" w:cs="宋体"/>
                <w:b/>
                <w:color w:val="auto"/>
                <w:szCs w:val="24"/>
                <w:highlight w:val="none"/>
                <w:lang w:val="zh-CN"/>
              </w:rPr>
              <w:t>序号</w:t>
            </w:r>
          </w:p>
        </w:tc>
        <w:tc>
          <w:tcPr>
            <w:tcW w:w="1784" w:type="dxa"/>
            <w:shd w:val="clear" w:color="auto" w:fill="auto"/>
            <w:vAlign w:val="center"/>
          </w:tcPr>
          <w:p>
            <w:pPr>
              <w:pStyle w:val="152"/>
              <w:spacing w:line="360" w:lineRule="auto"/>
              <w:jc w:val="center"/>
              <w:rPr>
                <w:b/>
                <w:color w:val="auto"/>
                <w:highlight w:val="none"/>
                <w:lang w:val="zh-CN"/>
              </w:rPr>
            </w:pPr>
            <w:r>
              <w:rPr>
                <w:rFonts w:hint="eastAsia"/>
                <w:b/>
                <w:color w:val="auto"/>
                <w:highlight w:val="none"/>
                <w:lang w:val="zh-CN"/>
              </w:rPr>
              <w:t>应知事项</w:t>
            </w:r>
          </w:p>
        </w:tc>
        <w:tc>
          <w:tcPr>
            <w:tcW w:w="6838" w:type="dxa"/>
            <w:shd w:val="clear" w:color="auto" w:fill="auto"/>
            <w:vAlign w:val="center"/>
          </w:tcPr>
          <w:p>
            <w:pPr>
              <w:pStyle w:val="152"/>
              <w:spacing w:line="360" w:lineRule="auto"/>
              <w:jc w:val="center"/>
              <w:rPr>
                <w:b/>
                <w:color w:val="auto"/>
                <w:highlight w:val="none"/>
                <w:lang w:val="zh-CN"/>
              </w:rPr>
            </w:pPr>
            <w:r>
              <w:rPr>
                <w:rFonts w:hint="eastAsia"/>
                <w:b/>
                <w:color w:val="auto"/>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05" w:hRule="exact"/>
          <w:jc w:val="center"/>
        </w:trPr>
        <w:tc>
          <w:tcPr>
            <w:tcW w:w="884" w:type="dxa"/>
            <w:shd w:val="clear" w:color="auto" w:fill="auto"/>
            <w:vAlign w:val="center"/>
          </w:tcPr>
          <w:p>
            <w:pPr>
              <w:numPr>
                <w:ilvl w:val="0"/>
                <w:numId w:val="8"/>
              </w:numPr>
              <w:snapToGrid w:val="0"/>
              <w:ind w:left="0" w:firstLine="0" w:firstLineChars="0"/>
              <w:jc w:val="center"/>
              <w:rPr>
                <w:rFonts w:ascii="宋体" w:hAnsi="宋体" w:cs="宋体"/>
                <w:color w:val="auto"/>
                <w:szCs w:val="24"/>
                <w:highlight w:val="none"/>
              </w:rPr>
            </w:pPr>
          </w:p>
        </w:tc>
        <w:tc>
          <w:tcPr>
            <w:tcW w:w="1784" w:type="dxa"/>
            <w:shd w:val="clear" w:color="auto" w:fill="auto"/>
            <w:vAlign w:val="center"/>
          </w:tcPr>
          <w:p>
            <w:pPr>
              <w:ind w:firstLine="0" w:firstLineChars="0"/>
              <w:rPr>
                <w:rFonts w:ascii="宋体" w:hAnsi="宋体" w:cs="宋体"/>
                <w:color w:val="auto"/>
                <w:sz w:val="21"/>
                <w:szCs w:val="21"/>
                <w:highlight w:val="none"/>
                <w:lang w:val="zh-CN"/>
              </w:rPr>
            </w:pPr>
            <w:r>
              <w:rPr>
                <w:rFonts w:hint="eastAsia" w:ascii="宋体" w:hAnsi="宋体" w:cs="宋体"/>
                <w:color w:val="auto"/>
                <w:sz w:val="21"/>
                <w:szCs w:val="21"/>
                <w:highlight w:val="none"/>
              </w:rPr>
              <w:t>采购预算（实质性要求）</w:t>
            </w:r>
          </w:p>
        </w:tc>
        <w:tc>
          <w:tcPr>
            <w:tcW w:w="6838" w:type="dxa"/>
            <w:shd w:val="clear" w:color="auto" w:fill="auto"/>
            <w:vAlign w:val="center"/>
          </w:tcPr>
          <w:p>
            <w:pPr>
              <w:ind w:firstLine="0" w:firstLineChars="0"/>
              <w:rPr>
                <w:rFonts w:ascii="宋体" w:hAnsi="宋体" w:cs="宋体"/>
                <w:b/>
                <w:color w:val="auto"/>
                <w:sz w:val="21"/>
                <w:szCs w:val="21"/>
                <w:highlight w:val="none"/>
                <w:lang w:val="zh-CN"/>
              </w:rPr>
            </w:pPr>
            <w:r>
              <w:rPr>
                <w:rFonts w:hint="eastAsia" w:ascii="宋体" w:hAnsi="宋体" w:eastAsia="宋体" w:cs="宋体"/>
                <w:color w:val="auto"/>
                <w:kern w:val="0"/>
                <w:sz w:val="21"/>
                <w:szCs w:val="21"/>
                <w:highlight w:val="none"/>
                <w:lang w:val="en-US" w:eastAsia="zh-CN" w:bidi="ar-SA"/>
              </w:rPr>
              <w:t>本项目采购预算为：</w:t>
            </w:r>
            <w:r>
              <w:rPr>
                <w:rFonts w:hint="eastAsia" w:ascii="宋体" w:hAnsi="宋体"/>
                <w:color w:val="auto"/>
                <w:sz w:val="21"/>
                <w:szCs w:val="21"/>
                <w:highlight w:val="none"/>
                <w:lang w:val="en-US" w:eastAsia="zh-CN"/>
              </w:rPr>
              <w:t>1000</w:t>
            </w:r>
            <w:r>
              <w:rPr>
                <w:rFonts w:hint="eastAsia" w:ascii="宋体" w:hAnsi="宋体" w:cs="宋体"/>
                <w:color w:val="auto"/>
                <w:sz w:val="21"/>
                <w:szCs w:val="21"/>
                <w:highlight w:val="none"/>
                <w:lang w:val="en-US" w:eastAsia="zh-CN"/>
              </w:rPr>
              <w:t>万</w:t>
            </w:r>
            <w:r>
              <w:rPr>
                <w:rFonts w:hint="eastAsia" w:ascii="宋体" w:hAnsi="宋体"/>
                <w:color w:val="auto"/>
                <w:sz w:val="21"/>
                <w:szCs w:val="21"/>
                <w:highlight w:val="none"/>
              </w:rPr>
              <w:t>元</w:t>
            </w:r>
            <w:r>
              <w:rPr>
                <w:rFonts w:hint="eastAsia" w:ascii="宋体" w:hAnsi="宋体"/>
                <w:b w:val="0"/>
                <w:bCs w:val="0"/>
                <w:color w:val="auto"/>
                <w:sz w:val="21"/>
                <w:szCs w:val="21"/>
                <w:highlight w:val="none"/>
                <w:lang w:eastAsia="zh-CN"/>
              </w:rPr>
              <w:t>（</w:t>
            </w:r>
            <w:r>
              <w:rPr>
                <w:rFonts w:hint="eastAsia" w:ascii="宋体" w:hAnsi="宋体" w:cs="宋体"/>
                <w:b w:val="0"/>
                <w:bCs/>
                <w:color w:val="auto"/>
                <w:sz w:val="21"/>
                <w:szCs w:val="21"/>
                <w:highlight w:val="none"/>
                <w:lang w:val="en-US" w:eastAsia="zh-CN"/>
              </w:rPr>
              <w:t>其中包件1预算金额：300万元；包件2预算金额：300万元；包件3预算金额：200万元；包件4预算金额：100万元；包件5预算金额：100万元</w:t>
            </w:r>
            <w:r>
              <w:rPr>
                <w:rFonts w:hint="eastAsia" w:ascii="宋体" w:hAnsi="宋体"/>
                <w:b w:val="0"/>
                <w:bCs w:val="0"/>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SA"/>
              </w:rPr>
              <w:t>，各包报价超过该包件采购预算的，该包件投标为无效投标。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30" w:hRule="exact"/>
          <w:jc w:val="center"/>
        </w:trPr>
        <w:tc>
          <w:tcPr>
            <w:tcW w:w="884" w:type="dxa"/>
            <w:shd w:val="clear" w:color="auto" w:fill="auto"/>
            <w:vAlign w:val="center"/>
          </w:tcPr>
          <w:p>
            <w:pPr>
              <w:numPr>
                <w:ilvl w:val="0"/>
                <w:numId w:val="8"/>
              </w:numPr>
              <w:snapToGrid w:val="0"/>
              <w:ind w:left="0" w:firstLine="0" w:firstLineChars="0"/>
              <w:jc w:val="center"/>
              <w:rPr>
                <w:rFonts w:ascii="宋体" w:hAnsi="宋体" w:cs="宋体"/>
                <w:color w:val="auto"/>
                <w:szCs w:val="24"/>
                <w:highlight w:val="none"/>
              </w:rPr>
            </w:pPr>
          </w:p>
        </w:tc>
        <w:tc>
          <w:tcPr>
            <w:tcW w:w="1784" w:type="dxa"/>
            <w:shd w:val="clear" w:color="auto" w:fill="auto"/>
            <w:vAlign w:val="center"/>
          </w:tcPr>
          <w:p>
            <w:pPr>
              <w:ind w:firstLine="0" w:firstLineChars="0"/>
              <w:jc w:val="both"/>
              <w:rPr>
                <w:rFonts w:ascii="宋体" w:hAnsi="宋体" w:cs="宋体"/>
                <w:color w:val="auto"/>
                <w:szCs w:val="24"/>
                <w:highlight w:val="none"/>
                <w:lang w:val="zh-CN"/>
              </w:rPr>
            </w:pPr>
            <w:r>
              <w:rPr>
                <w:rFonts w:hint="eastAsia" w:ascii="宋体" w:hAnsi="宋体" w:cs="宋体"/>
                <w:color w:val="auto"/>
                <w:szCs w:val="24"/>
                <w:highlight w:val="none"/>
              </w:rPr>
              <w:t>低于成本价不正当竞争预防措施（实质性要求）</w:t>
            </w:r>
          </w:p>
        </w:tc>
        <w:tc>
          <w:tcPr>
            <w:tcW w:w="6838" w:type="dxa"/>
            <w:shd w:val="clear" w:color="auto" w:fill="auto"/>
            <w:vAlign w:val="center"/>
          </w:tcPr>
          <w:p>
            <w:pPr>
              <w:pStyle w:val="39"/>
              <w:spacing w:beforeAutospacing="0" w:afterAutospacing="0"/>
              <w:ind w:firstLine="0" w:firstLineChars="0"/>
              <w:jc w:val="both"/>
              <w:rPr>
                <w:rFonts w:cs="宋体"/>
                <w:color w:val="auto"/>
                <w:highlight w:val="none"/>
              </w:rPr>
            </w:pPr>
            <w:r>
              <w:rPr>
                <w:rFonts w:hint="eastAsia"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52"/>
              <w:spacing w:line="360" w:lineRule="auto"/>
              <w:jc w:val="both"/>
              <w:rPr>
                <w:color w:val="auto"/>
                <w:highlight w:val="none"/>
                <w:lang w:val="zh-CN"/>
              </w:rPr>
            </w:pPr>
            <w:r>
              <w:rPr>
                <w:rFonts w:hint="eastAsia"/>
                <w:color w:val="auto"/>
                <w:highlight w:val="none"/>
              </w:rPr>
              <w:t>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w:t>
            </w:r>
            <w:r>
              <w:rPr>
                <w:rFonts w:hint="eastAsia"/>
                <w:color w:val="auto"/>
                <w:highlight w:val="none"/>
                <w:lang w:val="zh-CN"/>
              </w:rPr>
              <w:t>需提供完整的财务状况报告（含三表一附注）】</w:t>
            </w:r>
          </w:p>
          <w:p>
            <w:pPr>
              <w:pStyle w:val="152"/>
              <w:spacing w:line="360" w:lineRule="auto"/>
              <w:jc w:val="both"/>
              <w:rPr>
                <w:color w:val="auto"/>
                <w:highlight w:val="none"/>
                <w:lang w:val="zh-CN"/>
              </w:rPr>
            </w:pPr>
            <w:r>
              <w:rPr>
                <w:rFonts w:hint="eastAsia"/>
                <w:color w:val="auto"/>
                <w:highlight w:val="none"/>
                <w:lang w:val="zh-CN"/>
              </w:rPr>
              <w:t>供应商书面说明应当签字确认或者加盖单位公章，否则无效。书面说明的签字确认，供应商为法人的，由其法定代表人或者代理人签字确认；供应商为其他组织的，由其主要负责人或者代理人签字确认；供应商为自然人的，由其本人或者代理人签字确认。</w:t>
            </w:r>
          </w:p>
          <w:p>
            <w:pPr>
              <w:ind w:firstLine="492"/>
              <w:rPr>
                <w:rFonts w:ascii="宋体" w:hAnsi="宋体" w:cs="宋体"/>
                <w:b/>
                <w:color w:val="auto"/>
                <w:szCs w:val="24"/>
                <w:highlight w:val="none"/>
                <w:lang w:val="zh-CN"/>
              </w:rPr>
            </w:pPr>
            <w:r>
              <w:rPr>
                <w:rFonts w:hint="eastAsia" w:ascii="宋体" w:hAnsi="宋体" w:cs="宋体"/>
                <w:color w:val="auto"/>
                <w:szCs w:val="24"/>
                <w:highlight w:val="none"/>
              </w:rPr>
              <w:t>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84" w:type="dxa"/>
            <w:shd w:val="clear" w:color="auto" w:fill="auto"/>
            <w:vAlign w:val="center"/>
          </w:tcPr>
          <w:p>
            <w:pPr>
              <w:numPr>
                <w:ilvl w:val="0"/>
                <w:numId w:val="8"/>
              </w:numPr>
              <w:snapToGrid w:val="0"/>
              <w:ind w:left="0" w:firstLine="0" w:firstLineChars="0"/>
              <w:jc w:val="center"/>
              <w:rPr>
                <w:rFonts w:ascii="宋体" w:hAnsi="宋体" w:cs="宋体"/>
                <w:color w:val="auto"/>
                <w:szCs w:val="24"/>
                <w:highlight w:val="none"/>
              </w:rPr>
            </w:pPr>
          </w:p>
        </w:tc>
        <w:tc>
          <w:tcPr>
            <w:tcW w:w="1784" w:type="dxa"/>
            <w:shd w:val="clear" w:color="auto" w:fill="auto"/>
            <w:vAlign w:val="center"/>
          </w:tcPr>
          <w:p>
            <w:pPr>
              <w:pStyle w:val="152"/>
              <w:spacing w:line="380" w:lineRule="exact"/>
              <w:jc w:val="both"/>
              <w:rPr>
                <w:rFonts w:hint="default" w:eastAsia="宋体"/>
                <w:color w:val="auto"/>
                <w:kern w:val="2"/>
                <w:highlight w:val="none"/>
                <w:lang w:val="en-US" w:eastAsia="zh-CN"/>
              </w:rPr>
            </w:pPr>
            <w:r>
              <w:rPr>
                <w:rFonts w:hint="eastAsia"/>
                <w:color w:val="auto"/>
                <w:kern w:val="2"/>
                <w:highlight w:val="none"/>
                <w:lang w:val="zh-CN"/>
              </w:rPr>
              <w:t>失信企业</w:t>
            </w:r>
            <w:r>
              <w:rPr>
                <w:rFonts w:hint="eastAsia"/>
                <w:color w:val="auto"/>
                <w:kern w:val="2"/>
                <w:highlight w:val="none"/>
                <w:lang w:val="en-US" w:eastAsia="zh-CN"/>
              </w:rPr>
              <w:t>惩戒措施</w:t>
            </w:r>
          </w:p>
          <w:p>
            <w:pPr>
              <w:pStyle w:val="152"/>
              <w:spacing w:line="360" w:lineRule="auto"/>
              <w:jc w:val="both"/>
              <w:rPr>
                <w:color w:val="auto"/>
                <w:highlight w:val="none"/>
                <w:lang w:val="zh-CN"/>
              </w:rPr>
            </w:pPr>
          </w:p>
        </w:tc>
        <w:tc>
          <w:tcPr>
            <w:tcW w:w="6838" w:type="dxa"/>
            <w:shd w:val="clear" w:color="auto" w:fill="auto"/>
            <w:vAlign w:val="center"/>
          </w:tcPr>
          <w:p>
            <w:pPr>
              <w:spacing w:line="360" w:lineRule="auto"/>
              <w:ind w:firstLine="480" w:firstLineChars="200"/>
              <w:rPr>
                <w:rFonts w:ascii="宋体" w:hAnsi="宋体" w:cs="宋体"/>
                <w:color w:val="auto"/>
                <w:kern w:val="0"/>
                <w:szCs w:val="24"/>
                <w:highlight w:val="none"/>
                <w:lang w:val="zh-CN"/>
              </w:rPr>
            </w:pPr>
            <w:r>
              <w:rPr>
                <w:rFonts w:hint="eastAsia"/>
                <w:color w:val="auto"/>
                <w:highlight w:val="none"/>
                <w:lang w:val="en-US" w:eastAsia="zh-CN"/>
              </w:rPr>
              <w:t>严格按照《四川省公共资源交易领域严重失信联合惩戒实施办法》（川发改信用规【2019】405号）、《关于对政府采购领域严重违法失信主体开展联合惩戒的合作备案录》（发改财经【2018】1614号）等相关文件的规定执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9" w:hRule="atLeast"/>
          <w:jc w:val="center"/>
        </w:trPr>
        <w:tc>
          <w:tcPr>
            <w:tcW w:w="884" w:type="dxa"/>
            <w:tcBorders>
              <w:top w:val="single" w:color="auto" w:sz="8" w:space="0"/>
              <w:left w:val="single" w:color="auto" w:sz="18" w:space="0"/>
              <w:bottom w:val="single" w:color="auto" w:sz="8" w:space="0"/>
              <w:right w:val="single" w:color="auto" w:sz="8" w:space="0"/>
            </w:tcBorders>
            <w:shd w:val="clear" w:color="auto" w:fill="auto"/>
            <w:vAlign w:val="center"/>
          </w:tcPr>
          <w:p>
            <w:pPr>
              <w:numPr>
                <w:ilvl w:val="0"/>
                <w:numId w:val="8"/>
              </w:numPr>
              <w:snapToGrid w:val="0"/>
              <w:ind w:left="0" w:firstLine="0" w:firstLineChars="0"/>
              <w:jc w:val="center"/>
              <w:rPr>
                <w:rFonts w:ascii="宋体" w:hAnsi="宋体" w:cs="宋体"/>
                <w:color w:val="auto"/>
                <w:szCs w:val="24"/>
                <w:highlight w:val="none"/>
              </w:rPr>
            </w:pPr>
          </w:p>
        </w:tc>
        <w:tc>
          <w:tcPr>
            <w:tcW w:w="1784" w:type="dxa"/>
            <w:tcBorders>
              <w:top w:val="single" w:color="auto" w:sz="8" w:space="0"/>
              <w:left w:val="single" w:color="auto" w:sz="8" w:space="0"/>
              <w:bottom w:val="single" w:color="auto" w:sz="8" w:space="0"/>
              <w:right w:val="single" w:color="auto" w:sz="8" w:space="0"/>
            </w:tcBorders>
            <w:shd w:val="clear" w:color="auto" w:fill="auto"/>
            <w:vAlign w:val="center"/>
          </w:tcPr>
          <w:p>
            <w:pPr>
              <w:ind w:firstLine="0" w:firstLineChars="0"/>
              <w:jc w:val="center"/>
              <w:rPr>
                <w:rFonts w:ascii="宋体" w:hAnsi="宋体" w:cs="宋体"/>
                <w:color w:val="auto"/>
                <w:szCs w:val="24"/>
                <w:highlight w:val="none"/>
                <w:lang w:val="zh-CN"/>
              </w:rPr>
            </w:pPr>
            <w:r>
              <w:rPr>
                <w:rFonts w:hint="eastAsia" w:ascii="宋体" w:hAnsi="宋体" w:cs="宋体"/>
                <w:color w:val="auto"/>
                <w:kern w:val="0"/>
                <w:szCs w:val="24"/>
                <w:highlight w:val="none"/>
              </w:rPr>
              <w:t>评标情况公告</w:t>
            </w:r>
          </w:p>
        </w:tc>
        <w:tc>
          <w:tcPr>
            <w:tcW w:w="6838" w:type="dxa"/>
            <w:tcBorders>
              <w:top w:val="single" w:color="auto" w:sz="8" w:space="0"/>
              <w:left w:val="single" w:color="auto" w:sz="8" w:space="0"/>
              <w:bottom w:val="single" w:color="auto" w:sz="8" w:space="0"/>
              <w:right w:val="single" w:color="auto" w:sz="18" w:space="0"/>
            </w:tcBorders>
            <w:shd w:val="clear" w:color="auto" w:fill="auto"/>
            <w:vAlign w:val="center"/>
          </w:tcPr>
          <w:p>
            <w:pPr>
              <w:widowControl/>
              <w:ind w:firstLine="0" w:firstLineChars="0"/>
              <w:rPr>
                <w:rFonts w:ascii="宋体" w:hAnsi="宋体" w:cs="宋体"/>
                <w:color w:val="auto"/>
                <w:szCs w:val="24"/>
                <w:highlight w:val="none"/>
                <w:lang w:val="zh-CN"/>
              </w:rPr>
            </w:pPr>
            <w:r>
              <w:rPr>
                <w:rFonts w:hint="eastAsia" w:ascii="宋体" w:hAnsi="宋体" w:cs="宋体"/>
                <w:color w:val="auto"/>
                <w:kern w:val="0"/>
                <w:szCs w:val="24"/>
                <w:highlight w:val="none"/>
              </w:rPr>
              <w:t>所有供应商投标文件资格性、符合性检查情况、采用综合评分法时的总得分和分项汇总得分情况、评标结果等将在四川政府采购网上采购结果公告栏中予以公告。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9" w:hRule="atLeast"/>
          <w:jc w:val="center"/>
        </w:trPr>
        <w:tc>
          <w:tcPr>
            <w:tcW w:w="884" w:type="dxa"/>
            <w:tcBorders>
              <w:top w:val="single" w:color="auto" w:sz="8" w:space="0"/>
              <w:left w:val="single" w:color="auto" w:sz="18" w:space="0"/>
              <w:bottom w:val="single" w:color="auto" w:sz="8" w:space="0"/>
              <w:right w:val="single" w:color="auto" w:sz="8" w:space="0"/>
            </w:tcBorders>
            <w:shd w:val="clear" w:color="auto" w:fill="auto"/>
            <w:vAlign w:val="center"/>
          </w:tcPr>
          <w:p>
            <w:pPr>
              <w:numPr>
                <w:ilvl w:val="0"/>
                <w:numId w:val="8"/>
              </w:numPr>
              <w:snapToGrid w:val="0"/>
              <w:ind w:left="0" w:firstLine="0" w:firstLineChars="0"/>
              <w:jc w:val="center"/>
              <w:rPr>
                <w:rFonts w:ascii="宋体" w:hAnsi="宋体" w:cs="宋体"/>
                <w:color w:val="auto"/>
                <w:szCs w:val="24"/>
                <w:highlight w:val="none"/>
              </w:rPr>
            </w:pPr>
          </w:p>
        </w:tc>
        <w:tc>
          <w:tcPr>
            <w:tcW w:w="1784" w:type="dxa"/>
            <w:tcBorders>
              <w:top w:val="single" w:color="auto" w:sz="8" w:space="0"/>
              <w:left w:val="single" w:color="auto" w:sz="8" w:space="0"/>
              <w:bottom w:val="single" w:color="auto" w:sz="8" w:space="0"/>
              <w:right w:val="single" w:color="auto" w:sz="8" w:space="0"/>
            </w:tcBorders>
            <w:shd w:val="clear" w:color="auto" w:fill="auto"/>
            <w:vAlign w:val="center"/>
          </w:tcPr>
          <w:p>
            <w:pPr>
              <w:ind w:firstLine="0" w:firstLineChars="0"/>
              <w:jc w:val="center"/>
              <w:outlineLvl w:val="5"/>
              <w:rPr>
                <w:rFonts w:ascii="宋体" w:hAnsi="宋体" w:cs="宋体"/>
                <w:color w:val="auto"/>
                <w:szCs w:val="24"/>
                <w:highlight w:val="none"/>
                <w:lang w:val="zh-CN"/>
              </w:rPr>
            </w:pPr>
            <w:r>
              <w:rPr>
                <w:rFonts w:hint="eastAsia" w:ascii="宋体" w:hAnsi="宋体" w:cs="宋体"/>
                <w:color w:val="auto"/>
                <w:szCs w:val="24"/>
                <w:highlight w:val="none"/>
                <w:lang w:val="zh-CN"/>
              </w:rPr>
              <w:t>投标保证金</w:t>
            </w:r>
          </w:p>
        </w:tc>
        <w:tc>
          <w:tcPr>
            <w:tcW w:w="6838" w:type="dxa"/>
            <w:tcBorders>
              <w:top w:val="single" w:color="auto" w:sz="8" w:space="0"/>
              <w:left w:val="single" w:color="auto" w:sz="8" w:space="0"/>
              <w:bottom w:val="single" w:color="auto" w:sz="8" w:space="0"/>
              <w:right w:val="single" w:color="auto" w:sz="18" w:space="0"/>
            </w:tcBorders>
            <w:shd w:val="clear" w:color="auto" w:fill="auto"/>
            <w:vAlign w:val="center"/>
          </w:tcPr>
          <w:p>
            <w:pPr>
              <w:ind w:firstLine="0" w:firstLineChars="0"/>
              <w:outlineLvl w:val="5"/>
              <w:rPr>
                <w:rFonts w:ascii="宋体" w:hAnsi="宋体" w:cs="宋体"/>
                <w:color w:val="auto"/>
                <w:szCs w:val="24"/>
                <w:highlight w:val="none"/>
                <w:lang w:val="zh-CN"/>
              </w:rPr>
            </w:pPr>
            <w:r>
              <w:rPr>
                <w:rFonts w:hint="eastAsia" w:ascii="宋体" w:hAnsi="宋体" w:cs="宋体"/>
                <w:color w:val="auto"/>
                <w:szCs w:val="24"/>
                <w:highlight w:val="none"/>
                <w:lang w:val="zh-CN"/>
              </w:rPr>
              <w:t>本项目无投标保证金。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4" w:hRule="atLeast"/>
          <w:jc w:val="center"/>
        </w:trPr>
        <w:tc>
          <w:tcPr>
            <w:tcW w:w="884" w:type="dxa"/>
            <w:tcBorders>
              <w:top w:val="single" w:color="auto" w:sz="8" w:space="0"/>
              <w:left w:val="single" w:color="auto" w:sz="18" w:space="0"/>
              <w:bottom w:val="single" w:color="auto" w:sz="8" w:space="0"/>
              <w:right w:val="single" w:color="auto" w:sz="8" w:space="0"/>
            </w:tcBorders>
            <w:shd w:val="clear" w:color="auto" w:fill="auto"/>
            <w:vAlign w:val="center"/>
          </w:tcPr>
          <w:p>
            <w:pPr>
              <w:numPr>
                <w:ilvl w:val="0"/>
                <w:numId w:val="8"/>
              </w:numPr>
              <w:snapToGrid w:val="0"/>
              <w:ind w:left="0" w:firstLine="0" w:firstLineChars="0"/>
              <w:jc w:val="center"/>
              <w:rPr>
                <w:rFonts w:ascii="宋体" w:hAnsi="宋体" w:cs="宋体"/>
                <w:color w:val="auto"/>
                <w:szCs w:val="24"/>
                <w:highlight w:val="none"/>
              </w:rPr>
            </w:pPr>
          </w:p>
        </w:tc>
        <w:tc>
          <w:tcPr>
            <w:tcW w:w="1784" w:type="dxa"/>
            <w:tcBorders>
              <w:top w:val="single" w:color="auto" w:sz="8" w:space="0"/>
              <w:left w:val="single" w:color="auto" w:sz="8" w:space="0"/>
              <w:bottom w:val="single" w:color="auto" w:sz="8" w:space="0"/>
              <w:right w:val="single" w:color="auto" w:sz="8" w:space="0"/>
            </w:tcBorders>
            <w:shd w:val="clear" w:color="auto" w:fill="auto"/>
            <w:vAlign w:val="center"/>
          </w:tcPr>
          <w:p>
            <w:pPr>
              <w:ind w:firstLine="0" w:firstLineChars="0"/>
              <w:jc w:val="center"/>
              <w:outlineLvl w:val="5"/>
              <w:rPr>
                <w:rFonts w:ascii="宋体" w:hAnsi="宋体" w:cs="宋体"/>
                <w:color w:val="auto"/>
                <w:szCs w:val="24"/>
                <w:highlight w:val="none"/>
              </w:rPr>
            </w:pPr>
            <w:r>
              <w:rPr>
                <w:rFonts w:hint="eastAsia" w:ascii="宋体" w:hAnsi="宋体" w:cs="宋体"/>
                <w:color w:val="auto"/>
                <w:szCs w:val="24"/>
                <w:highlight w:val="none"/>
                <w:lang w:val="zh-CN"/>
              </w:rPr>
              <w:t>履约保证金</w:t>
            </w:r>
          </w:p>
        </w:tc>
        <w:tc>
          <w:tcPr>
            <w:tcW w:w="6838" w:type="dxa"/>
            <w:tcBorders>
              <w:top w:val="single" w:color="auto" w:sz="8" w:space="0"/>
              <w:left w:val="single" w:color="auto" w:sz="8" w:space="0"/>
              <w:bottom w:val="single" w:color="auto" w:sz="8" w:space="0"/>
              <w:right w:val="single" w:color="auto" w:sz="18" w:space="0"/>
            </w:tcBorders>
            <w:shd w:val="clear" w:color="auto" w:fill="auto"/>
            <w:vAlign w:val="center"/>
          </w:tcPr>
          <w:p>
            <w:pPr>
              <w:autoSpaceDE w:val="0"/>
              <w:autoSpaceDN w:val="0"/>
              <w:adjustRightInd w:val="0"/>
              <w:ind w:firstLine="0" w:firstLineChars="0"/>
              <w:rPr>
                <w:rFonts w:ascii="宋体" w:hAnsi="宋体" w:cs="宋体"/>
                <w:color w:val="auto"/>
                <w:szCs w:val="24"/>
                <w:highlight w:val="none"/>
              </w:rPr>
            </w:pPr>
            <w:r>
              <w:rPr>
                <w:rFonts w:hint="eastAsia" w:ascii="宋体" w:hAnsi="宋体" w:cs="宋体"/>
                <w:color w:val="auto"/>
                <w:szCs w:val="24"/>
                <w:highlight w:val="none"/>
                <w:lang w:val="zh-CN"/>
              </w:rPr>
              <w:t>本项目无</w:t>
            </w:r>
            <w:r>
              <w:rPr>
                <w:rFonts w:hint="eastAsia" w:ascii="宋体" w:hAnsi="宋体" w:cs="宋体"/>
                <w:color w:val="auto"/>
                <w:szCs w:val="24"/>
                <w:highlight w:val="none"/>
              </w:rPr>
              <w:t>履约保证金</w:t>
            </w:r>
            <w:r>
              <w:rPr>
                <w:rFonts w:hint="eastAsia" w:ascii="宋体" w:hAnsi="宋体"/>
                <w:color w:val="auto"/>
                <w:szCs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4" w:hRule="atLeast"/>
          <w:jc w:val="center"/>
        </w:trPr>
        <w:tc>
          <w:tcPr>
            <w:tcW w:w="884" w:type="dxa"/>
            <w:tcBorders>
              <w:top w:val="single" w:color="auto" w:sz="8" w:space="0"/>
              <w:left w:val="single" w:color="auto" w:sz="18" w:space="0"/>
              <w:bottom w:val="single" w:color="auto" w:sz="8" w:space="0"/>
              <w:right w:val="single" w:color="auto" w:sz="8" w:space="0"/>
            </w:tcBorders>
            <w:shd w:val="clear" w:color="auto" w:fill="auto"/>
            <w:vAlign w:val="center"/>
          </w:tcPr>
          <w:p>
            <w:pPr>
              <w:numPr>
                <w:ilvl w:val="0"/>
                <w:numId w:val="8"/>
              </w:numPr>
              <w:snapToGrid w:val="0"/>
              <w:ind w:left="0" w:firstLine="0" w:firstLineChars="0"/>
              <w:jc w:val="center"/>
              <w:rPr>
                <w:rFonts w:ascii="宋体" w:hAnsi="宋体" w:cs="宋体"/>
                <w:color w:val="auto"/>
                <w:szCs w:val="24"/>
                <w:highlight w:val="none"/>
              </w:rPr>
            </w:pPr>
          </w:p>
        </w:tc>
        <w:tc>
          <w:tcPr>
            <w:tcW w:w="1784"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52"/>
              <w:spacing w:line="360" w:lineRule="auto"/>
              <w:rPr>
                <w:rFonts w:hint="default" w:eastAsia="宋体"/>
                <w:color w:val="auto"/>
                <w:highlight w:val="none"/>
                <w:lang w:val="en-US" w:eastAsia="zh-CN"/>
              </w:rPr>
            </w:pPr>
            <w:r>
              <w:rPr>
                <w:rFonts w:hint="eastAsia"/>
                <w:color w:val="auto"/>
                <w:highlight w:val="none"/>
                <w:lang w:val="en-US" w:eastAsia="zh-CN"/>
              </w:rPr>
              <w:t>国家规定的强制、优先采购范围</w:t>
            </w:r>
          </w:p>
        </w:tc>
        <w:tc>
          <w:tcPr>
            <w:tcW w:w="6838" w:type="dxa"/>
            <w:tcBorders>
              <w:top w:val="single" w:color="auto" w:sz="8" w:space="0"/>
              <w:left w:val="single" w:color="auto" w:sz="8" w:space="0"/>
              <w:bottom w:val="single" w:color="auto" w:sz="8" w:space="0"/>
              <w:right w:val="single" w:color="auto" w:sz="18" w:space="0"/>
            </w:tcBorders>
            <w:shd w:val="clear" w:color="auto" w:fill="auto"/>
            <w:vAlign w:val="center"/>
          </w:tcPr>
          <w:p>
            <w:pPr>
              <w:pStyle w:val="152"/>
              <w:spacing w:line="360" w:lineRule="auto"/>
              <w:rPr>
                <w:rFonts w:hint="eastAsia"/>
                <w:color w:val="auto"/>
                <w:highlight w:val="none"/>
                <w:lang w:val="en-US" w:eastAsia="zh-CN"/>
              </w:rPr>
            </w:pPr>
            <w:r>
              <w:rPr>
                <w:rFonts w:hint="eastAsia"/>
                <w:color w:val="auto"/>
                <w:highlight w:val="none"/>
                <w:lang w:val="en-US" w:eastAsia="zh-CN"/>
              </w:rPr>
              <w:t>本项目采购需求中涉及国家规定的强制采购范围内产品，均应按照国家相关要求进行审核。不管招标文件是否要求，投标人须提供相关证明材料；若未提供，投标人自行承担由此带来的后果。优先采购范围内的产品按招标文件约定执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shd w:val="clear" w:color="auto" w:fill="auto"/>
            <w:vAlign w:val="center"/>
          </w:tcPr>
          <w:p>
            <w:pPr>
              <w:numPr>
                <w:ilvl w:val="0"/>
                <w:numId w:val="8"/>
              </w:numPr>
              <w:snapToGrid w:val="0"/>
              <w:ind w:left="0" w:firstLine="0" w:firstLineChars="0"/>
              <w:jc w:val="center"/>
              <w:rPr>
                <w:rFonts w:ascii="宋体" w:hAnsi="宋体" w:cs="宋体"/>
                <w:color w:val="auto"/>
                <w:szCs w:val="24"/>
                <w:highlight w:val="none"/>
              </w:rPr>
            </w:pPr>
          </w:p>
        </w:tc>
        <w:tc>
          <w:tcPr>
            <w:tcW w:w="1784" w:type="dxa"/>
            <w:tcBorders>
              <w:top w:val="single" w:color="auto" w:sz="8" w:space="0"/>
              <w:left w:val="single" w:color="auto" w:sz="8" w:space="0"/>
              <w:bottom w:val="single" w:color="auto" w:sz="4" w:space="0"/>
              <w:right w:val="single" w:color="auto" w:sz="8" w:space="0"/>
            </w:tcBorders>
            <w:shd w:val="clear" w:color="auto" w:fill="auto"/>
            <w:vAlign w:val="center"/>
          </w:tcPr>
          <w:p>
            <w:pPr>
              <w:pStyle w:val="152"/>
              <w:spacing w:line="360" w:lineRule="auto"/>
              <w:jc w:val="center"/>
              <w:rPr>
                <w:color w:val="auto"/>
                <w:highlight w:val="none"/>
              </w:rPr>
            </w:pPr>
            <w:r>
              <w:rPr>
                <w:rFonts w:hint="eastAsia"/>
                <w:color w:val="auto"/>
                <w:kern w:val="2"/>
                <w:highlight w:val="none"/>
              </w:rPr>
              <w:t>采购文件咨询</w:t>
            </w:r>
          </w:p>
        </w:tc>
        <w:tc>
          <w:tcPr>
            <w:tcW w:w="6838" w:type="dxa"/>
            <w:tcBorders>
              <w:top w:val="single" w:color="auto" w:sz="8" w:space="0"/>
              <w:left w:val="single" w:color="auto" w:sz="8" w:space="0"/>
              <w:bottom w:val="single" w:color="auto" w:sz="4" w:space="0"/>
              <w:right w:val="single" w:color="auto" w:sz="18" w:space="0"/>
            </w:tcBorders>
            <w:shd w:val="clear" w:color="auto" w:fill="auto"/>
          </w:tcPr>
          <w:p>
            <w:pPr>
              <w:ind w:firstLine="0" w:firstLineChars="0"/>
              <w:rPr>
                <w:rFonts w:ascii="宋体" w:hAnsi="宋体" w:cs="宋体"/>
                <w:color w:val="auto"/>
                <w:szCs w:val="24"/>
                <w:highlight w:val="none"/>
              </w:rPr>
            </w:pPr>
            <w:r>
              <w:rPr>
                <w:rFonts w:hint="eastAsia" w:ascii="宋体" w:hAnsi="宋体" w:cs="宋体"/>
                <w:color w:val="auto"/>
                <w:szCs w:val="24"/>
                <w:highlight w:val="none"/>
              </w:rPr>
              <w:t>联系人：高老师</w:t>
            </w:r>
            <w:r>
              <w:rPr>
                <w:rFonts w:hint="eastAsia" w:ascii="宋体" w:hAnsi="宋体" w:cs="宋体"/>
                <w:color w:val="auto"/>
                <w:szCs w:val="24"/>
                <w:highlight w:val="none"/>
                <w:lang w:val="zh-CN"/>
              </w:rPr>
              <w:t>。</w:t>
            </w:r>
            <w:r>
              <w:rPr>
                <w:rFonts w:hint="eastAsia" w:ascii="宋体" w:hAnsi="宋体" w:cs="宋体"/>
                <w:color w:val="auto"/>
                <w:szCs w:val="24"/>
                <w:highlight w:val="none"/>
              </w:rPr>
              <w:t xml:space="preserve">       联系电话：61032618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9" w:hRule="atLeast"/>
          <w:jc w:val="center"/>
        </w:trPr>
        <w:tc>
          <w:tcPr>
            <w:tcW w:w="884" w:type="dxa"/>
            <w:tcBorders>
              <w:top w:val="single" w:color="auto" w:sz="4" w:space="0"/>
              <w:left w:val="single" w:color="auto" w:sz="18" w:space="0"/>
              <w:bottom w:val="single" w:color="auto" w:sz="4" w:space="0"/>
              <w:right w:val="single" w:color="auto" w:sz="8" w:space="0"/>
            </w:tcBorders>
            <w:shd w:val="clear" w:color="auto" w:fill="auto"/>
            <w:vAlign w:val="center"/>
          </w:tcPr>
          <w:p>
            <w:pPr>
              <w:numPr>
                <w:ilvl w:val="0"/>
                <w:numId w:val="8"/>
              </w:numPr>
              <w:snapToGrid w:val="0"/>
              <w:ind w:left="0" w:firstLine="0" w:firstLineChars="0"/>
              <w:jc w:val="center"/>
              <w:rPr>
                <w:rFonts w:ascii="宋体" w:hAnsi="宋体" w:cs="宋体"/>
                <w:color w:val="auto"/>
                <w:szCs w:val="24"/>
                <w:highlight w:val="none"/>
              </w:rPr>
            </w:pPr>
          </w:p>
        </w:tc>
        <w:tc>
          <w:tcPr>
            <w:tcW w:w="1784" w:type="dxa"/>
            <w:tcBorders>
              <w:top w:val="single" w:color="auto" w:sz="4" w:space="0"/>
              <w:left w:val="single" w:color="auto" w:sz="8" w:space="0"/>
              <w:bottom w:val="single" w:color="auto" w:sz="4" w:space="0"/>
              <w:right w:val="single" w:color="auto" w:sz="8" w:space="0"/>
            </w:tcBorders>
            <w:shd w:val="clear" w:color="auto" w:fill="auto"/>
            <w:vAlign w:val="center"/>
          </w:tcPr>
          <w:p>
            <w:pPr>
              <w:ind w:firstLine="0" w:firstLineChars="0"/>
              <w:jc w:val="center"/>
              <w:outlineLvl w:val="5"/>
              <w:rPr>
                <w:rFonts w:ascii="宋体" w:hAnsi="宋体" w:cs="宋体"/>
                <w:b/>
                <w:color w:val="auto"/>
                <w:szCs w:val="24"/>
                <w:highlight w:val="none"/>
              </w:rPr>
            </w:pPr>
            <w:r>
              <w:rPr>
                <w:rFonts w:hint="eastAsia" w:ascii="宋体" w:hAnsi="宋体" w:cs="宋体"/>
                <w:color w:val="auto"/>
                <w:szCs w:val="24"/>
                <w:highlight w:val="none"/>
              </w:rPr>
              <w:t>开标、评标工作咨询</w:t>
            </w:r>
          </w:p>
        </w:tc>
        <w:tc>
          <w:tcPr>
            <w:tcW w:w="6838" w:type="dxa"/>
            <w:tcBorders>
              <w:top w:val="single" w:color="auto" w:sz="4" w:space="0"/>
              <w:left w:val="single" w:color="auto" w:sz="8" w:space="0"/>
              <w:bottom w:val="single" w:color="auto" w:sz="4" w:space="0"/>
              <w:right w:val="single" w:color="auto" w:sz="18" w:space="0"/>
            </w:tcBorders>
            <w:shd w:val="clear" w:color="auto" w:fill="auto"/>
            <w:vAlign w:val="center"/>
          </w:tcPr>
          <w:p>
            <w:pPr>
              <w:ind w:firstLine="0" w:firstLineChars="0"/>
              <w:outlineLvl w:val="5"/>
              <w:rPr>
                <w:rFonts w:ascii="宋体" w:hAnsi="宋体" w:cs="宋体"/>
                <w:color w:val="auto"/>
                <w:kern w:val="0"/>
                <w:szCs w:val="24"/>
                <w:highlight w:val="none"/>
              </w:rPr>
            </w:pPr>
            <w:r>
              <w:rPr>
                <w:rFonts w:hint="eastAsia" w:ascii="宋体" w:hAnsi="宋体" w:cs="宋体"/>
                <w:color w:val="auto"/>
                <w:szCs w:val="24"/>
                <w:highlight w:val="none"/>
              </w:rPr>
              <w:t>联系人：高老师</w:t>
            </w:r>
            <w:r>
              <w:rPr>
                <w:rFonts w:hint="eastAsia" w:ascii="宋体" w:hAnsi="宋体" w:cs="宋体"/>
                <w:color w:val="auto"/>
                <w:szCs w:val="24"/>
                <w:highlight w:val="none"/>
                <w:lang w:val="zh-CN"/>
              </w:rPr>
              <w:t>。</w:t>
            </w:r>
            <w:r>
              <w:rPr>
                <w:rFonts w:hint="eastAsia" w:ascii="宋体" w:hAnsi="宋体" w:cs="宋体"/>
                <w:color w:val="auto"/>
                <w:szCs w:val="24"/>
                <w:highlight w:val="none"/>
              </w:rPr>
              <w:t xml:space="preserve">       联系电话：61032618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884" w:type="dxa"/>
            <w:tcBorders>
              <w:top w:val="single" w:color="auto" w:sz="4" w:space="0"/>
              <w:left w:val="single" w:color="auto" w:sz="18" w:space="0"/>
              <w:bottom w:val="single" w:color="auto" w:sz="4" w:space="0"/>
              <w:right w:val="single" w:color="auto" w:sz="8" w:space="0"/>
            </w:tcBorders>
            <w:shd w:val="clear" w:color="auto" w:fill="auto"/>
            <w:vAlign w:val="center"/>
          </w:tcPr>
          <w:p>
            <w:pPr>
              <w:numPr>
                <w:ilvl w:val="0"/>
                <w:numId w:val="8"/>
              </w:numPr>
              <w:snapToGrid w:val="0"/>
              <w:ind w:left="0" w:firstLine="0" w:firstLineChars="0"/>
              <w:jc w:val="center"/>
              <w:rPr>
                <w:rFonts w:ascii="宋体" w:hAnsi="宋体" w:cs="宋体"/>
                <w:color w:val="auto"/>
                <w:szCs w:val="24"/>
                <w:highlight w:val="none"/>
              </w:rPr>
            </w:pPr>
          </w:p>
        </w:tc>
        <w:tc>
          <w:tcPr>
            <w:tcW w:w="1784" w:type="dxa"/>
            <w:tcBorders>
              <w:top w:val="single" w:color="auto" w:sz="4" w:space="0"/>
              <w:left w:val="single" w:color="auto" w:sz="8" w:space="0"/>
              <w:bottom w:val="single" w:color="auto" w:sz="4" w:space="0"/>
              <w:right w:val="single" w:color="auto" w:sz="8" w:space="0"/>
            </w:tcBorders>
            <w:shd w:val="clear" w:color="auto" w:fill="auto"/>
            <w:vAlign w:val="center"/>
          </w:tcPr>
          <w:p>
            <w:pPr>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中标通知书领取</w:t>
            </w:r>
          </w:p>
        </w:tc>
        <w:tc>
          <w:tcPr>
            <w:tcW w:w="6838" w:type="dxa"/>
            <w:tcBorders>
              <w:top w:val="single" w:color="auto" w:sz="4" w:space="0"/>
              <w:left w:val="single" w:color="auto" w:sz="8" w:space="0"/>
              <w:bottom w:val="single" w:color="auto" w:sz="4" w:space="0"/>
              <w:right w:val="single" w:color="auto" w:sz="18" w:space="0"/>
            </w:tcBorders>
            <w:shd w:val="clear" w:color="auto" w:fill="auto"/>
            <w:vAlign w:val="center"/>
          </w:tcPr>
          <w:p>
            <w:pPr>
              <w:tabs>
                <w:tab w:val="left" w:pos="7665"/>
              </w:tabs>
              <w:ind w:firstLine="0" w:firstLineChars="0"/>
              <w:rPr>
                <w:rFonts w:ascii="宋体" w:hAnsi="宋体" w:cs="宋体"/>
                <w:color w:val="auto"/>
                <w:szCs w:val="24"/>
                <w:highlight w:val="none"/>
              </w:rPr>
            </w:pPr>
            <w:r>
              <w:rPr>
                <w:rFonts w:hint="eastAsia" w:ascii="宋体" w:hAnsi="宋体" w:cs="宋体"/>
                <w:color w:val="auto"/>
                <w:szCs w:val="24"/>
                <w:highlight w:val="none"/>
              </w:rPr>
              <w:t>中标公告在四川政府采购网上公告后，中标供应商凭有效身份证明证件到四川世科工程咨询有限公司领取中标通知书。</w:t>
            </w:r>
          </w:p>
          <w:p>
            <w:pPr>
              <w:ind w:firstLine="0" w:firstLineChars="0"/>
              <w:rPr>
                <w:rFonts w:ascii="宋体" w:hAnsi="宋体" w:cs="宋体"/>
                <w:color w:val="auto"/>
                <w:szCs w:val="24"/>
                <w:highlight w:val="none"/>
                <w:lang w:val="zh-CN"/>
              </w:rPr>
            </w:pPr>
            <w:r>
              <w:rPr>
                <w:rFonts w:hint="eastAsia" w:ascii="宋体" w:hAnsi="宋体" w:cs="宋体"/>
                <w:color w:val="auto"/>
                <w:szCs w:val="24"/>
                <w:highlight w:val="none"/>
                <w:lang w:val="zh-CN"/>
              </w:rPr>
              <w:t>联系人：</w:t>
            </w:r>
            <w:r>
              <w:rPr>
                <w:rFonts w:hint="eastAsia" w:ascii="宋体" w:hAnsi="宋体" w:cs="宋体"/>
                <w:color w:val="auto"/>
                <w:szCs w:val="24"/>
                <w:highlight w:val="none"/>
              </w:rPr>
              <w:t>李老师</w:t>
            </w:r>
            <w:r>
              <w:rPr>
                <w:rFonts w:hint="eastAsia" w:ascii="宋体" w:hAnsi="宋体" w:cs="宋体"/>
                <w:color w:val="auto"/>
                <w:szCs w:val="24"/>
                <w:highlight w:val="none"/>
                <w:lang w:val="zh-CN"/>
              </w:rPr>
              <w:t>。</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联系电话：</w:t>
            </w:r>
            <w:r>
              <w:rPr>
                <w:rFonts w:hint="eastAsia" w:ascii="宋体" w:hAnsi="宋体" w:cs="宋体"/>
                <w:color w:val="auto"/>
                <w:szCs w:val="24"/>
                <w:highlight w:val="none"/>
              </w:rPr>
              <w:t>61032618</w:t>
            </w:r>
          </w:p>
          <w:p>
            <w:pPr>
              <w:ind w:firstLine="0" w:firstLineChars="0"/>
              <w:rPr>
                <w:rFonts w:ascii="宋体" w:hAnsi="宋体" w:cs="宋体"/>
                <w:color w:val="auto"/>
                <w:szCs w:val="24"/>
                <w:highlight w:val="none"/>
              </w:rPr>
            </w:pPr>
            <w:r>
              <w:rPr>
                <w:rFonts w:hint="eastAsia" w:ascii="宋体" w:hAnsi="宋体" w:cs="宋体"/>
                <w:color w:val="auto"/>
                <w:szCs w:val="24"/>
                <w:highlight w:val="none"/>
                <w:lang w:val="zh-CN"/>
              </w:rPr>
              <w:t>地址：</w:t>
            </w:r>
            <w:r>
              <w:rPr>
                <w:rFonts w:hint="eastAsia" w:ascii="宋体" w:hAnsi="宋体" w:cs="宋体"/>
                <w:color w:val="auto"/>
                <w:szCs w:val="24"/>
                <w:highlight w:val="none"/>
              </w:rPr>
              <w:t>成都市高新区天府三街288号大有智慧广场迈普大厦10楼1010室</w:t>
            </w:r>
            <w:r>
              <w:rPr>
                <w:rFonts w:hint="eastAsia" w:ascii="宋体" w:hAnsi="宋体" w:cs="宋体"/>
                <w:color w:val="auto"/>
                <w:szCs w:val="24"/>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884" w:type="dxa"/>
            <w:tcBorders>
              <w:top w:val="single" w:color="auto" w:sz="4" w:space="0"/>
              <w:left w:val="single" w:color="auto" w:sz="18" w:space="0"/>
              <w:bottom w:val="single" w:color="auto" w:sz="4" w:space="0"/>
              <w:right w:val="single" w:color="auto" w:sz="8" w:space="0"/>
            </w:tcBorders>
            <w:shd w:val="clear" w:color="auto" w:fill="auto"/>
            <w:vAlign w:val="center"/>
          </w:tcPr>
          <w:p>
            <w:pPr>
              <w:numPr>
                <w:ilvl w:val="0"/>
                <w:numId w:val="8"/>
              </w:numPr>
              <w:snapToGrid w:val="0"/>
              <w:ind w:left="0" w:firstLine="0" w:firstLineChars="0"/>
              <w:jc w:val="center"/>
              <w:rPr>
                <w:rFonts w:ascii="宋体" w:hAnsi="宋体" w:cs="宋体"/>
                <w:color w:val="auto"/>
                <w:szCs w:val="24"/>
                <w:highlight w:val="none"/>
              </w:rPr>
            </w:pPr>
          </w:p>
        </w:tc>
        <w:tc>
          <w:tcPr>
            <w:tcW w:w="1784" w:type="dxa"/>
            <w:tcBorders>
              <w:top w:val="single" w:color="auto" w:sz="4" w:space="0"/>
              <w:left w:val="single" w:color="auto" w:sz="8" w:space="0"/>
              <w:bottom w:val="single" w:color="auto" w:sz="4" w:space="0"/>
              <w:right w:val="single" w:color="auto" w:sz="8" w:space="0"/>
            </w:tcBorders>
            <w:shd w:val="clear" w:color="auto" w:fill="auto"/>
          </w:tcPr>
          <w:p>
            <w:pPr>
              <w:pStyle w:val="152"/>
              <w:spacing w:line="360" w:lineRule="auto"/>
              <w:jc w:val="center"/>
              <w:rPr>
                <w:color w:val="auto"/>
                <w:kern w:val="2"/>
                <w:highlight w:val="none"/>
              </w:rPr>
            </w:pPr>
          </w:p>
          <w:p>
            <w:pPr>
              <w:pStyle w:val="152"/>
              <w:spacing w:line="360" w:lineRule="auto"/>
              <w:jc w:val="center"/>
              <w:rPr>
                <w:color w:val="auto"/>
                <w:highlight w:val="none"/>
              </w:rPr>
            </w:pPr>
            <w:r>
              <w:rPr>
                <w:rFonts w:hint="eastAsia"/>
                <w:color w:val="auto"/>
                <w:kern w:val="2"/>
                <w:highlight w:val="none"/>
              </w:rPr>
              <w:t>供应商询问、质疑</w:t>
            </w:r>
          </w:p>
        </w:tc>
        <w:tc>
          <w:tcPr>
            <w:tcW w:w="6838" w:type="dxa"/>
            <w:tcBorders>
              <w:top w:val="single" w:color="auto" w:sz="4" w:space="0"/>
              <w:left w:val="single" w:color="auto" w:sz="8" w:space="0"/>
              <w:bottom w:val="single" w:color="auto" w:sz="4" w:space="0"/>
              <w:right w:val="single" w:color="auto" w:sz="18" w:space="0"/>
            </w:tcBorders>
            <w:shd w:val="clear" w:color="auto" w:fill="auto"/>
          </w:tcPr>
          <w:p>
            <w:pPr>
              <w:numPr>
                <w:ilvl w:val="0"/>
                <w:numId w:val="9"/>
              </w:numPr>
              <w:ind w:firstLine="0" w:firstLineChars="0"/>
              <w:rPr>
                <w:rFonts w:ascii="宋体" w:hAnsi="宋体" w:cs="宋体"/>
                <w:color w:val="auto"/>
                <w:szCs w:val="24"/>
                <w:highlight w:val="none"/>
                <w:lang w:val="zh-CN"/>
              </w:rPr>
            </w:pPr>
            <w:r>
              <w:rPr>
                <w:rFonts w:hint="eastAsia" w:ascii="宋体" w:hAnsi="宋体" w:cs="宋体"/>
                <w:color w:val="auto"/>
                <w:szCs w:val="24"/>
                <w:highlight w:val="none"/>
              </w:rPr>
              <w:t>询问：根据委托代理协议约定，供应商询问由四川世科工程咨询有限公司</w:t>
            </w:r>
            <w:r>
              <w:rPr>
                <w:rFonts w:hint="eastAsia" w:ascii="宋体" w:hAnsi="宋体" w:cs="宋体"/>
                <w:color w:val="auto"/>
                <w:szCs w:val="24"/>
                <w:highlight w:val="none"/>
                <w:lang w:val="zh-CN"/>
              </w:rPr>
              <w:t>负责答复。</w:t>
            </w:r>
          </w:p>
          <w:p>
            <w:pPr>
              <w:numPr>
                <w:ilvl w:val="0"/>
                <w:numId w:val="9"/>
              </w:numPr>
              <w:ind w:firstLine="0" w:firstLineChars="0"/>
              <w:rPr>
                <w:rFonts w:ascii="宋体" w:hAnsi="宋体" w:cs="宋体"/>
                <w:color w:val="auto"/>
                <w:szCs w:val="24"/>
                <w:highlight w:val="none"/>
                <w:lang w:val="zh-CN"/>
              </w:rPr>
            </w:pPr>
            <w:r>
              <w:rPr>
                <w:rFonts w:hint="eastAsia" w:ascii="宋体" w:hAnsi="宋体" w:cs="宋体"/>
                <w:color w:val="auto"/>
                <w:szCs w:val="24"/>
                <w:highlight w:val="none"/>
              </w:rPr>
              <w:t>质疑：根据委托代理协议约定，对于采购文件的质疑由四川世科工程咨询有限公司</w:t>
            </w:r>
            <w:r>
              <w:rPr>
                <w:rFonts w:hint="eastAsia" w:ascii="宋体" w:hAnsi="宋体" w:cs="宋体"/>
                <w:color w:val="auto"/>
                <w:szCs w:val="24"/>
                <w:highlight w:val="none"/>
                <w:lang w:val="zh-CN"/>
              </w:rPr>
              <w:t>负责答复；对于采购过程</w:t>
            </w:r>
            <w:r>
              <w:rPr>
                <w:rFonts w:hint="eastAsia" w:ascii="宋体" w:hAnsi="宋体" w:cs="宋体"/>
                <w:color w:val="auto"/>
                <w:szCs w:val="24"/>
                <w:highlight w:val="none"/>
              </w:rPr>
              <w:t>的质疑由四川世科工程咨询有限公司</w:t>
            </w:r>
            <w:r>
              <w:rPr>
                <w:rFonts w:hint="eastAsia" w:ascii="宋体" w:hAnsi="宋体" w:cs="宋体"/>
                <w:color w:val="auto"/>
                <w:szCs w:val="24"/>
                <w:highlight w:val="none"/>
                <w:lang w:val="zh-CN"/>
              </w:rPr>
              <w:t>负责答复；对于采购结果</w:t>
            </w:r>
            <w:r>
              <w:rPr>
                <w:rFonts w:hint="eastAsia" w:ascii="宋体" w:hAnsi="宋体" w:cs="宋体"/>
                <w:color w:val="auto"/>
                <w:szCs w:val="24"/>
                <w:highlight w:val="none"/>
              </w:rPr>
              <w:t>的质疑由四川世科工程咨询有限公司</w:t>
            </w:r>
            <w:r>
              <w:rPr>
                <w:rFonts w:hint="eastAsia" w:ascii="宋体" w:hAnsi="宋体" w:cs="宋体"/>
                <w:color w:val="auto"/>
                <w:szCs w:val="24"/>
                <w:highlight w:val="none"/>
                <w:lang w:val="zh-CN"/>
              </w:rPr>
              <w:t>负责答复</w:t>
            </w:r>
            <w:r>
              <w:rPr>
                <w:rFonts w:hint="eastAsia" w:ascii="宋体" w:hAnsi="宋体" w:cs="宋体"/>
                <w:color w:val="auto"/>
                <w:szCs w:val="24"/>
                <w:highlight w:val="none"/>
              </w:rPr>
              <w:t>。</w:t>
            </w:r>
          </w:p>
          <w:p>
            <w:pPr>
              <w:ind w:firstLine="0" w:firstLineChars="0"/>
              <w:rPr>
                <w:rFonts w:ascii="宋体" w:hAnsi="宋体" w:cs="宋体"/>
                <w:color w:val="auto"/>
                <w:szCs w:val="24"/>
                <w:highlight w:val="none"/>
                <w:lang w:val="zh-CN"/>
              </w:rPr>
            </w:pPr>
            <w:r>
              <w:rPr>
                <w:rFonts w:hint="eastAsia" w:ascii="宋体" w:hAnsi="宋体" w:cs="宋体"/>
                <w:color w:val="auto"/>
                <w:szCs w:val="24"/>
                <w:highlight w:val="none"/>
                <w:lang w:val="zh-CN"/>
              </w:rPr>
              <w:t>联系人：</w:t>
            </w:r>
            <w:r>
              <w:rPr>
                <w:rFonts w:hint="eastAsia" w:ascii="宋体" w:hAnsi="宋体" w:cs="宋体"/>
                <w:color w:val="auto"/>
                <w:szCs w:val="24"/>
                <w:highlight w:val="none"/>
              </w:rPr>
              <w:t>李老师</w:t>
            </w:r>
            <w:r>
              <w:rPr>
                <w:rFonts w:hint="eastAsia" w:ascii="宋体" w:hAnsi="宋体" w:cs="宋体"/>
                <w:color w:val="auto"/>
                <w:szCs w:val="24"/>
                <w:highlight w:val="none"/>
                <w:lang w:val="zh-CN"/>
              </w:rPr>
              <w:t>。</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联系电话：</w:t>
            </w:r>
            <w:r>
              <w:rPr>
                <w:rFonts w:hint="eastAsia" w:ascii="宋体" w:hAnsi="宋体" w:cs="宋体"/>
                <w:color w:val="auto"/>
                <w:szCs w:val="24"/>
                <w:highlight w:val="none"/>
              </w:rPr>
              <w:t>61032618</w:t>
            </w:r>
          </w:p>
          <w:p>
            <w:pPr>
              <w:ind w:firstLine="0" w:firstLineChars="0"/>
              <w:rPr>
                <w:rFonts w:ascii="宋体" w:hAnsi="宋体" w:cs="宋体"/>
                <w:color w:val="auto"/>
                <w:szCs w:val="24"/>
                <w:highlight w:val="none"/>
                <w:lang w:val="zh-CN"/>
              </w:rPr>
            </w:pPr>
            <w:r>
              <w:rPr>
                <w:rFonts w:hint="eastAsia" w:ascii="宋体" w:hAnsi="宋体" w:cs="宋体"/>
                <w:color w:val="auto"/>
                <w:szCs w:val="24"/>
                <w:highlight w:val="none"/>
                <w:lang w:val="zh-CN"/>
              </w:rPr>
              <w:t>地址：</w:t>
            </w:r>
            <w:r>
              <w:rPr>
                <w:rFonts w:hint="eastAsia" w:ascii="宋体" w:hAnsi="宋体" w:cs="宋体"/>
                <w:color w:val="auto"/>
                <w:szCs w:val="24"/>
                <w:highlight w:val="none"/>
              </w:rPr>
              <w:t>成都市高新区天府三街288号大有智慧广场迈普大厦10楼1010室</w:t>
            </w:r>
            <w:r>
              <w:rPr>
                <w:rFonts w:hint="eastAsia" w:ascii="宋体" w:hAnsi="宋体" w:cs="宋体"/>
                <w:color w:val="auto"/>
                <w:szCs w:val="24"/>
                <w:highlight w:val="none"/>
                <w:lang w:val="zh-CN"/>
              </w:rPr>
              <w:t>。</w:t>
            </w:r>
          </w:p>
          <w:p>
            <w:pPr>
              <w:ind w:firstLine="0" w:firstLineChars="0"/>
              <w:rPr>
                <w:rFonts w:ascii="宋体" w:hAnsi="宋体" w:cs="宋体"/>
                <w:color w:val="auto"/>
                <w:szCs w:val="24"/>
                <w:highlight w:val="none"/>
                <w:lang w:val="zh-CN"/>
              </w:rPr>
            </w:pPr>
            <w:r>
              <w:rPr>
                <w:rFonts w:hint="eastAsia" w:ascii="宋体" w:hAnsi="宋体" w:cs="宋体"/>
                <w:color w:val="auto"/>
                <w:szCs w:val="24"/>
                <w:highlight w:val="none"/>
              </w:rPr>
              <w:t>邮编：610020</w:t>
            </w:r>
            <w:r>
              <w:rPr>
                <w:rFonts w:hint="eastAsia" w:ascii="宋体" w:hAnsi="宋体" w:cs="宋体"/>
                <w:color w:val="auto"/>
                <w:szCs w:val="24"/>
                <w:highlight w:val="none"/>
                <w:lang w:val="zh-CN"/>
              </w:rPr>
              <w:t>。</w:t>
            </w:r>
          </w:p>
          <w:p>
            <w:pPr>
              <w:ind w:firstLine="0" w:firstLineChars="0"/>
              <w:rPr>
                <w:rFonts w:ascii="宋体" w:hAnsi="宋体" w:cs="宋体"/>
                <w:color w:val="auto"/>
                <w:szCs w:val="24"/>
                <w:highlight w:val="none"/>
              </w:rPr>
            </w:pPr>
            <w:r>
              <w:rPr>
                <w:rFonts w:hint="eastAsia" w:ascii="宋体" w:hAnsi="宋体" w:cs="宋体"/>
                <w:color w:val="auto"/>
                <w:szCs w:val="24"/>
                <w:highlight w:val="none"/>
              </w:rPr>
              <w:t>注：根据《中华人民共和国政府采购法》的规定，供应商质疑不得超出采购文件、采购过程、采购结果的范围。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3" w:hRule="atLeast"/>
          <w:jc w:val="center"/>
        </w:trPr>
        <w:tc>
          <w:tcPr>
            <w:tcW w:w="884" w:type="dxa"/>
            <w:tcBorders>
              <w:top w:val="single" w:color="auto" w:sz="4" w:space="0"/>
              <w:left w:val="single" w:color="auto" w:sz="18" w:space="0"/>
              <w:bottom w:val="single" w:color="auto" w:sz="4" w:space="0"/>
              <w:right w:val="single" w:color="auto" w:sz="8" w:space="0"/>
            </w:tcBorders>
            <w:shd w:val="clear" w:color="auto" w:fill="auto"/>
            <w:vAlign w:val="center"/>
          </w:tcPr>
          <w:p>
            <w:pPr>
              <w:numPr>
                <w:ilvl w:val="0"/>
                <w:numId w:val="8"/>
              </w:numPr>
              <w:snapToGrid w:val="0"/>
              <w:ind w:left="0" w:firstLine="0" w:firstLineChars="0"/>
              <w:jc w:val="center"/>
              <w:rPr>
                <w:rFonts w:ascii="宋体" w:hAnsi="宋体" w:cs="宋体"/>
                <w:color w:val="auto"/>
                <w:szCs w:val="24"/>
                <w:highlight w:val="none"/>
              </w:rPr>
            </w:pPr>
          </w:p>
        </w:tc>
        <w:tc>
          <w:tcPr>
            <w:tcW w:w="1784" w:type="dxa"/>
            <w:tcBorders>
              <w:top w:val="single" w:color="auto" w:sz="4" w:space="0"/>
              <w:left w:val="single" w:color="auto" w:sz="8" w:space="0"/>
              <w:bottom w:val="single" w:color="auto" w:sz="4" w:space="0"/>
              <w:right w:val="single" w:color="auto" w:sz="8" w:space="0"/>
            </w:tcBorders>
            <w:shd w:val="clear" w:color="auto" w:fill="auto"/>
            <w:vAlign w:val="center"/>
          </w:tcPr>
          <w:p>
            <w:pPr>
              <w:pStyle w:val="152"/>
              <w:spacing w:line="360" w:lineRule="auto"/>
              <w:jc w:val="center"/>
              <w:rPr>
                <w:color w:val="auto"/>
                <w:highlight w:val="none"/>
              </w:rPr>
            </w:pPr>
            <w:r>
              <w:rPr>
                <w:rFonts w:hint="eastAsia"/>
                <w:color w:val="auto"/>
                <w:kern w:val="2"/>
                <w:highlight w:val="none"/>
              </w:rPr>
              <w:t>供应商投诉</w:t>
            </w:r>
          </w:p>
        </w:tc>
        <w:tc>
          <w:tcPr>
            <w:tcW w:w="6838" w:type="dxa"/>
            <w:tcBorders>
              <w:top w:val="single" w:color="auto" w:sz="4" w:space="0"/>
              <w:left w:val="single" w:color="auto" w:sz="8" w:space="0"/>
              <w:bottom w:val="single" w:color="auto" w:sz="4" w:space="0"/>
              <w:right w:val="single" w:color="auto" w:sz="18" w:space="0"/>
            </w:tcBorders>
            <w:shd w:val="clear" w:color="auto" w:fill="auto"/>
          </w:tcPr>
          <w:p>
            <w:pPr>
              <w:ind w:firstLine="0" w:firstLineChars="0"/>
              <w:rPr>
                <w:rFonts w:ascii="宋体" w:hAnsi="宋体" w:cs="宋体"/>
                <w:color w:val="auto"/>
                <w:szCs w:val="24"/>
                <w:highlight w:val="none"/>
              </w:rPr>
            </w:pPr>
            <w:r>
              <w:rPr>
                <w:rFonts w:hint="eastAsia" w:ascii="宋体" w:hAnsi="宋体" w:cs="宋体"/>
                <w:color w:val="auto"/>
                <w:szCs w:val="24"/>
                <w:highlight w:val="none"/>
              </w:rPr>
              <w:t>投诉受理单位：本采购项目同级财政部门</w:t>
            </w:r>
            <w:r>
              <w:rPr>
                <w:rFonts w:hint="eastAsia" w:ascii="宋体" w:hAnsi="宋体" w:cs="宋体"/>
                <w:color w:val="auto"/>
                <w:szCs w:val="24"/>
                <w:highlight w:val="none"/>
                <w:lang w:val="zh-CN"/>
              </w:rPr>
              <w:t>。</w:t>
            </w:r>
            <w:r>
              <w:rPr>
                <w:rFonts w:hint="eastAsia" w:ascii="宋体" w:hAnsi="宋体" w:cs="宋体"/>
                <w:color w:val="auto"/>
                <w:szCs w:val="24"/>
                <w:highlight w:val="none"/>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884" w:type="dxa"/>
            <w:tcBorders>
              <w:top w:val="single" w:color="auto" w:sz="4" w:space="0"/>
              <w:left w:val="single" w:color="auto" w:sz="18" w:space="0"/>
              <w:bottom w:val="single" w:color="auto" w:sz="4" w:space="0"/>
              <w:right w:val="single" w:color="auto" w:sz="8" w:space="0"/>
            </w:tcBorders>
            <w:shd w:val="clear" w:color="auto" w:fill="auto"/>
            <w:vAlign w:val="center"/>
          </w:tcPr>
          <w:p>
            <w:pPr>
              <w:numPr>
                <w:ilvl w:val="0"/>
                <w:numId w:val="8"/>
              </w:numPr>
              <w:snapToGrid w:val="0"/>
              <w:ind w:left="0" w:firstLine="0" w:firstLineChars="0"/>
              <w:jc w:val="center"/>
              <w:rPr>
                <w:rFonts w:ascii="宋体" w:hAnsi="宋体" w:cs="宋体"/>
                <w:color w:val="auto"/>
                <w:szCs w:val="24"/>
                <w:highlight w:val="none"/>
              </w:rPr>
            </w:pPr>
          </w:p>
        </w:tc>
        <w:tc>
          <w:tcPr>
            <w:tcW w:w="1784" w:type="dxa"/>
            <w:tcBorders>
              <w:top w:val="single" w:color="auto" w:sz="4" w:space="0"/>
              <w:left w:val="single" w:color="auto" w:sz="8" w:space="0"/>
              <w:bottom w:val="single" w:color="auto" w:sz="4" w:space="0"/>
              <w:right w:val="single" w:color="auto" w:sz="8" w:space="0"/>
            </w:tcBorders>
            <w:shd w:val="clear" w:color="auto" w:fill="auto"/>
            <w:vAlign w:val="center"/>
          </w:tcPr>
          <w:p>
            <w:pPr>
              <w:pStyle w:val="152"/>
              <w:wordWrap w:val="0"/>
              <w:topLinePunct/>
              <w:spacing w:line="360" w:lineRule="auto"/>
              <w:jc w:val="center"/>
              <w:rPr>
                <w:color w:val="auto"/>
                <w:highlight w:val="none"/>
              </w:rPr>
            </w:pPr>
            <w:r>
              <w:rPr>
                <w:rFonts w:hint="eastAsia"/>
                <w:bCs/>
                <w:color w:val="auto"/>
                <w:highlight w:val="none"/>
                <w:lang w:val="zh-CN"/>
              </w:rPr>
              <w:t>开标时递交的资料</w:t>
            </w:r>
          </w:p>
        </w:tc>
        <w:tc>
          <w:tcPr>
            <w:tcW w:w="6838" w:type="dxa"/>
            <w:tcBorders>
              <w:top w:val="single" w:color="auto" w:sz="4" w:space="0"/>
              <w:left w:val="single" w:color="auto" w:sz="8" w:space="0"/>
              <w:bottom w:val="single" w:color="auto" w:sz="4" w:space="0"/>
              <w:right w:val="single" w:color="auto" w:sz="18" w:space="0"/>
            </w:tcBorders>
            <w:shd w:val="clear" w:color="auto" w:fill="auto"/>
            <w:vAlign w:val="center"/>
          </w:tcPr>
          <w:p>
            <w:pPr>
              <w:wordWrap w:val="0"/>
              <w:topLinePunct/>
              <w:autoSpaceDE w:val="0"/>
              <w:autoSpaceDN w:val="0"/>
              <w:adjustRightInd w:val="0"/>
              <w:ind w:firstLine="0" w:firstLineChars="0"/>
              <w:rPr>
                <w:rFonts w:ascii="宋体" w:hAnsi="宋体" w:cs="宋体"/>
                <w:bCs/>
                <w:color w:val="auto"/>
                <w:szCs w:val="24"/>
                <w:highlight w:val="none"/>
                <w:lang w:val="zh-CN"/>
              </w:rPr>
            </w:pPr>
            <w:r>
              <w:rPr>
                <w:rFonts w:hint="eastAsia" w:ascii="宋体" w:hAnsi="宋体" w:cs="宋体"/>
                <w:bCs/>
                <w:color w:val="auto"/>
                <w:szCs w:val="24"/>
                <w:highlight w:val="none"/>
                <w:lang w:val="zh-CN"/>
              </w:rPr>
              <w:t>(1)开标一览表</w:t>
            </w:r>
            <w:r>
              <w:rPr>
                <w:rFonts w:hint="eastAsia" w:ascii="宋体" w:hAnsi="宋体" w:cs="宋体"/>
                <w:bCs/>
                <w:color w:val="auto"/>
                <w:szCs w:val="24"/>
                <w:highlight w:val="none"/>
              </w:rPr>
              <w:t>1</w:t>
            </w:r>
            <w:r>
              <w:rPr>
                <w:rFonts w:hint="eastAsia" w:ascii="宋体" w:hAnsi="宋体" w:cs="宋体"/>
                <w:bCs/>
                <w:color w:val="auto"/>
                <w:szCs w:val="24"/>
                <w:highlight w:val="none"/>
                <w:lang w:val="zh-CN"/>
              </w:rPr>
              <w:t>份（单独密封）；</w:t>
            </w:r>
          </w:p>
          <w:p>
            <w:pPr>
              <w:wordWrap w:val="0"/>
              <w:topLinePunct/>
              <w:autoSpaceDE w:val="0"/>
              <w:autoSpaceDN w:val="0"/>
              <w:adjustRightInd w:val="0"/>
              <w:ind w:firstLine="0" w:firstLineChars="0"/>
              <w:rPr>
                <w:rFonts w:ascii="宋体" w:hAnsi="宋体" w:cs="宋体"/>
                <w:bCs/>
                <w:color w:val="auto"/>
                <w:szCs w:val="24"/>
                <w:highlight w:val="none"/>
                <w:lang w:val="zh-CN"/>
              </w:rPr>
            </w:pPr>
            <w:r>
              <w:rPr>
                <w:rFonts w:hint="eastAsia" w:ascii="宋体" w:hAnsi="宋体" w:cs="宋体"/>
                <w:bCs/>
                <w:color w:val="auto"/>
                <w:szCs w:val="24"/>
                <w:highlight w:val="none"/>
                <w:lang w:val="zh-CN"/>
              </w:rPr>
              <w:t>(2)资格性响应文件一正两副；技术、服务性响应文件一正两副(副本可采用正本的复印件)；</w:t>
            </w:r>
          </w:p>
          <w:p>
            <w:pPr>
              <w:pStyle w:val="2"/>
              <w:spacing w:line="360" w:lineRule="auto"/>
              <w:ind w:firstLine="0" w:firstLineChars="0"/>
              <w:rPr>
                <w:rFonts w:ascii="宋体" w:hAnsi="宋体" w:cs="宋体"/>
                <w:bCs/>
                <w:color w:val="auto"/>
                <w:szCs w:val="24"/>
                <w:highlight w:val="none"/>
              </w:rPr>
            </w:pPr>
            <w:r>
              <w:rPr>
                <w:rFonts w:hint="eastAsia" w:ascii="宋体" w:hAnsi="宋体" w:cs="宋体"/>
                <w:bCs/>
                <w:color w:val="auto"/>
                <w:szCs w:val="24"/>
                <w:highlight w:val="none"/>
              </w:rPr>
              <w:t>(3)电子文档1份；</w:t>
            </w:r>
          </w:p>
          <w:p>
            <w:pPr>
              <w:pStyle w:val="2"/>
              <w:spacing w:line="360" w:lineRule="auto"/>
              <w:ind w:firstLine="0" w:firstLineChars="0"/>
              <w:rPr>
                <w:rFonts w:ascii="宋体" w:hAnsi="宋体" w:cs="宋体"/>
                <w:color w:val="auto"/>
                <w:szCs w:val="24"/>
                <w:highlight w:val="none"/>
              </w:rPr>
            </w:pPr>
            <w:r>
              <w:rPr>
                <w:rFonts w:hint="eastAsia" w:ascii="宋体" w:hAnsi="宋体" w:cs="宋体"/>
                <w:color w:val="auto"/>
                <w:szCs w:val="24"/>
                <w:highlight w:val="none"/>
                <w:shd w:val="clear" w:color="auto" w:fill="FFFFFF"/>
              </w:rPr>
              <w:t>逾期送达或者未按照招标文件要求密封的投标文件和开标一览表将被拒收。</w:t>
            </w:r>
            <w:r>
              <w:rPr>
                <w:rFonts w:hint="eastAsia" w:ascii="宋体" w:hAnsi="宋体" w:cs="宋体"/>
                <w:bCs/>
                <w:color w:val="auto"/>
                <w:szCs w:val="24"/>
                <w:highlight w:val="none"/>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884" w:type="dxa"/>
            <w:tcBorders>
              <w:top w:val="single" w:color="auto" w:sz="4" w:space="0"/>
              <w:left w:val="single" w:color="auto" w:sz="18" w:space="0"/>
              <w:bottom w:val="single" w:color="auto" w:sz="4" w:space="0"/>
              <w:right w:val="single" w:color="auto" w:sz="8" w:space="0"/>
            </w:tcBorders>
            <w:shd w:val="clear" w:color="auto" w:fill="auto"/>
            <w:vAlign w:val="center"/>
          </w:tcPr>
          <w:p>
            <w:pPr>
              <w:numPr>
                <w:ilvl w:val="0"/>
                <w:numId w:val="8"/>
              </w:numPr>
              <w:snapToGrid w:val="0"/>
              <w:ind w:left="0" w:firstLine="0" w:firstLineChars="0"/>
              <w:jc w:val="center"/>
              <w:rPr>
                <w:rFonts w:ascii="宋体" w:hAnsi="宋体" w:cs="宋体"/>
                <w:color w:val="auto"/>
                <w:szCs w:val="24"/>
                <w:highlight w:val="none"/>
              </w:rPr>
            </w:pPr>
          </w:p>
        </w:tc>
        <w:tc>
          <w:tcPr>
            <w:tcW w:w="1784" w:type="dxa"/>
            <w:tcBorders>
              <w:top w:val="single" w:color="auto" w:sz="4" w:space="0"/>
              <w:left w:val="single" w:color="auto" w:sz="8" w:space="0"/>
              <w:bottom w:val="single" w:color="auto" w:sz="4" w:space="0"/>
              <w:right w:val="single" w:color="auto" w:sz="8" w:space="0"/>
            </w:tcBorders>
            <w:shd w:val="clear" w:color="auto" w:fill="auto"/>
            <w:vAlign w:val="center"/>
          </w:tcPr>
          <w:p>
            <w:pPr>
              <w:ind w:firstLine="0" w:firstLineChars="0"/>
              <w:jc w:val="center"/>
              <w:outlineLvl w:val="5"/>
              <w:rPr>
                <w:rFonts w:ascii="宋体" w:hAnsi="宋体" w:cs="宋体"/>
                <w:color w:val="auto"/>
                <w:szCs w:val="24"/>
                <w:highlight w:val="none"/>
              </w:rPr>
            </w:pPr>
            <w:r>
              <w:rPr>
                <w:rFonts w:hint="eastAsia" w:ascii="宋体" w:hAnsi="宋体" w:cs="宋体"/>
                <w:color w:val="auto"/>
                <w:szCs w:val="24"/>
                <w:highlight w:val="none"/>
                <w:lang w:val="zh-CN"/>
              </w:rPr>
              <w:t>招标代理服务费</w:t>
            </w:r>
          </w:p>
        </w:tc>
        <w:tc>
          <w:tcPr>
            <w:tcW w:w="6838" w:type="dxa"/>
            <w:tcBorders>
              <w:top w:val="single" w:color="auto" w:sz="4" w:space="0"/>
              <w:left w:val="single" w:color="auto" w:sz="8" w:space="0"/>
              <w:bottom w:val="single" w:color="auto" w:sz="4" w:space="0"/>
              <w:right w:val="single" w:color="auto" w:sz="18" w:space="0"/>
            </w:tcBorders>
            <w:shd w:val="clear" w:color="auto" w:fill="auto"/>
            <w:vAlign w:val="center"/>
          </w:tcPr>
          <w:p>
            <w:pPr>
              <w:ind w:firstLine="0" w:firstLineChars="0"/>
              <w:outlineLvl w:val="5"/>
              <w:rPr>
                <w:rFonts w:ascii="宋体" w:hAnsi="宋体" w:cs="宋体"/>
                <w:color w:val="auto"/>
                <w:szCs w:val="24"/>
                <w:highlight w:val="none"/>
                <w:lang w:val="zh-CN"/>
              </w:rPr>
            </w:pPr>
            <w:r>
              <w:rPr>
                <w:rFonts w:hint="eastAsia" w:ascii="宋体" w:hAnsi="宋体" w:cs="宋体"/>
                <w:color w:val="auto"/>
                <w:szCs w:val="24"/>
                <w:highlight w:val="none"/>
                <w:lang w:val="en-US" w:eastAsia="zh-CN"/>
              </w:rPr>
              <w:t>参照</w:t>
            </w:r>
            <w:r>
              <w:rPr>
                <w:rFonts w:hint="eastAsia" w:ascii="宋体" w:hAnsi="宋体" w:cs="宋体"/>
                <w:color w:val="auto"/>
                <w:szCs w:val="24"/>
                <w:highlight w:val="none"/>
                <w:lang w:val="zh-CN"/>
              </w:rPr>
              <w:t>《招标代理服务收费管理暂行办法》（计价格[2002]1980号）标准</w:t>
            </w:r>
            <w:r>
              <w:rPr>
                <w:rFonts w:hint="eastAsia" w:ascii="宋体" w:hAnsi="宋体" w:cs="宋体"/>
                <w:color w:val="auto"/>
                <w:szCs w:val="24"/>
                <w:highlight w:val="none"/>
              </w:rPr>
              <w:t>收取</w:t>
            </w:r>
            <w:r>
              <w:rPr>
                <w:rFonts w:hint="eastAsia" w:ascii="宋体" w:hAnsi="宋体" w:cs="宋体"/>
                <w:color w:val="auto"/>
                <w:szCs w:val="24"/>
                <w:highlight w:val="none"/>
                <w:lang w:val="zh-CN"/>
              </w:rPr>
              <w:t>，由各包中标人领取中标通知书前支付。可采取现金支付或银行转账。银行转账相关信息如下：</w:t>
            </w:r>
          </w:p>
          <w:p>
            <w:pPr>
              <w:ind w:firstLine="0" w:firstLineChars="0"/>
              <w:outlineLvl w:val="5"/>
              <w:rPr>
                <w:rFonts w:ascii="宋体" w:hAnsi="宋体" w:cs="宋体"/>
                <w:color w:val="auto"/>
                <w:szCs w:val="24"/>
                <w:highlight w:val="none"/>
                <w:lang w:val="zh-CN"/>
              </w:rPr>
            </w:pPr>
            <w:r>
              <w:rPr>
                <w:rFonts w:hint="eastAsia" w:ascii="宋体" w:hAnsi="宋体" w:cs="宋体"/>
                <w:color w:val="auto"/>
                <w:szCs w:val="24"/>
                <w:highlight w:val="none"/>
                <w:lang w:val="zh-CN"/>
              </w:rPr>
              <w:t>开户单位：四川世科工程咨询有限公司</w:t>
            </w:r>
          </w:p>
          <w:p>
            <w:pPr>
              <w:ind w:firstLine="0" w:firstLineChars="0"/>
              <w:outlineLvl w:val="5"/>
              <w:rPr>
                <w:rFonts w:ascii="宋体" w:hAnsi="宋体" w:cs="宋体"/>
                <w:color w:val="auto"/>
                <w:szCs w:val="24"/>
                <w:highlight w:val="none"/>
                <w:lang w:val="zh-CN"/>
              </w:rPr>
            </w:pPr>
            <w:r>
              <w:rPr>
                <w:rFonts w:hint="eastAsia" w:ascii="宋体" w:hAnsi="宋体" w:cs="宋体"/>
                <w:color w:val="auto"/>
                <w:szCs w:val="24"/>
                <w:highlight w:val="none"/>
                <w:lang w:val="zh-CN"/>
              </w:rPr>
              <w:t>开户银行：中国建设银行股份有限公司双流分行</w:t>
            </w:r>
          </w:p>
          <w:p>
            <w:pPr>
              <w:ind w:firstLine="0" w:firstLineChars="0"/>
              <w:outlineLvl w:val="5"/>
              <w:rPr>
                <w:rFonts w:ascii="宋体" w:hAnsi="宋体" w:cs="宋体"/>
                <w:color w:val="auto"/>
                <w:szCs w:val="24"/>
                <w:highlight w:val="none"/>
                <w:lang w:val="zh-CN"/>
              </w:rPr>
            </w:pPr>
            <w:r>
              <w:rPr>
                <w:rFonts w:hint="eastAsia" w:ascii="宋体" w:hAnsi="宋体" w:cs="宋体"/>
                <w:color w:val="auto"/>
                <w:szCs w:val="24"/>
                <w:highlight w:val="none"/>
                <w:lang w:val="zh-CN"/>
              </w:rPr>
              <w:t>银行</w:t>
            </w:r>
            <w:r>
              <w:rPr>
                <w:rFonts w:hint="eastAsia" w:ascii="宋体" w:hAnsi="宋体" w:cs="宋体"/>
                <w:color w:val="auto"/>
                <w:szCs w:val="24"/>
                <w:highlight w:val="none"/>
                <w:lang w:val="en-US" w:eastAsia="zh-CN"/>
              </w:rPr>
              <w:t>账</w:t>
            </w:r>
            <w:r>
              <w:rPr>
                <w:rFonts w:hint="eastAsia" w:ascii="宋体" w:hAnsi="宋体" w:cs="宋体"/>
                <w:color w:val="auto"/>
                <w:szCs w:val="24"/>
                <w:highlight w:val="none"/>
                <w:lang w:val="zh-CN"/>
              </w:rPr>
              <w:t>号：5100 1527 9080 5152 8329</w:t>
            </w:r>
          </w:p>
          <w:p>
            <w:pPr>
              <w:ind w:firstLine="0" w:firstLineChars="0"/>
              <w:outlineLvl w:val="5"/>
              <w:rPr>
                <w:rFonts w:ascii="宋体" w:hAnsi="宋体" w:cs="宋体"/>
                <w:color w:val="auto"/>
                <w:szCs w:val="24"/>
                <w:highlight w:val="none"/>
              </w:rPr>
            </w:pPr>
            <w:r>
              <w:rPr>
                <w:rFonts w:hint="eastAsia" w:ascii="宋体" w:hAnsi="宋体" w:cs="宋体"/>
                <w:color w:val="auto"/>
                <w:szCs w:val="24"/>
                <w:highlight w:val="none"/>
                <w:lang w:val="zh-CN"/>
              </w:rPr>
              <w:t>转账事由：510112202100104项目成交服务费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884" w:type="dxa"/>
            <w:tcBorders>
              <w:top w:val="single" w:color="auto" w:sz="4" w:space="0"/>
              <w:left w:val="single" w:color="auto" w:sz="18" w:space="0"/>
              <w:bottom w:val="single" w:color="auto" w:sz="4" w:space="0"/>
              <w:right w:val="single" w:color="auto" w:sz="8" w:space="0"/>
            </w:tcBorders>
            <w:shd w:val="clear" w:color="auto" w:fill="auto"/>
            <w:vAlign w:val="center"/>
          </w:tcPr>
          <w:p>
            <w:pPr>
              <w:numPr>
                <w:ilvl w:val="0"/>
                <w:numId w:val="8"/>
              </w:numPr>
              <w:snapToGrid w:val="0"/>
              <w:ind w:left="0" w:firstLine="0" w:firstLineChars="0"/>
              <w:jc w:val="center"/>
              <w:rPr>
                <w:rFonts w:ascii="宋体" w:hAnsi="宋体" w:cs="宋体"/>
                <w:color w:val="auto"/>
                <w:szCs w:val="24"/>
                <w:highlight w:val="none"/>
              </w:rPr>
            </w:pPr>
          </w:p>
        </w:tc>
        <w:tc>
          <w:tcPr>
            <w:tcW w:w="1784" w:type="dxa"/>
            <w:tcBorders>
              <w:top w:val="single" w:color="auto" w:sz="4" w:space="0"/>
              <w:left w:val="single" w:color="auto" w:sz="8" w:space="0"/>
              <w:bottom w:val="single" w:color="auto" w:sz="4" w:space="0"/>
              <w:right w:val="single" w:color="auto" w:sz="8" w:space="0"/>
            </w:tcBorders>
            <w:shd w:val="clear" w:color="auto" w:fill="auto"/>
            <w:vAlign w:val="center"/>
          </w:tcPr>
          <w:p>
            <w:pPr>
              <w:ind w:firstLine="0" w:firstLineChars="0"/>
              <w:jc w:val="center"/>
              <w:outlineLvl w:val="5"/>
              <w:rPr>
                <w:rFonts w:ascii="宋体" w:hAnsi="宋体" w:cs="宋体"/>
                <w:color w:val="auto"/>
                <w:szCs w:val="24"/>
                <w:highlight w:val="none"/>
                <w:lang w:val="zh-CN"/>
              </w:rPr>
            </w:pPr>
            <w:r>
              <w:rPr>
                <w:rFonts w:hint="eastAsia" w:ascii="宋体" w:hAnsi="宋体" w:cs="宋体"/>
                <w:color w:val="auto"/>
                <w:szCs w:val="24"/>
                <w:highlight w:val="none"/>
                <w:lang w:val="zh-CN"/>
              </w:rPr>
              <w:t>信用融资</w:t>
            </w:r>
          </w:p>
        </w:tc>
        <w:tc>
          <w:tcPr>
            <w:tcW w:w="6838" w:type="dxa"/>
            <w:tcBorders>
              <w:top w:val="single" w:color="auto" w:sz="4" w:space="0"/>
              <w:left w:val="single" w:color="auto" w:sz="8" w:space="0"/>
              <w:bottom w:val="single" w:color="auto" w:sz="4" w:space="0"/>
              <w:right w:val="single" w:color="auto" w:sz="18" w:space="0"/>
            </w:tcBorders>
            <w:shd w:val="clear" w:color="auto" w:fill="auto"/>
            <w:vAlign w:val="center"/>
          </w:tcPr>
          <w:p>
            <w:pPr>
              <w:ind w:firstLine="0" w:firstLineChars="0"/>
              <w:outlineLvl w:val="5"/>
              <w:rPr>
                <w:rFonts w:ascii="宋体" w:hAnsi="宋体" w:cs="宋体"/>
                <w:color w:val="auto"/>
                <w:szCs w:val="24"/>
                <w:highlight w:val="none"/>
                <w:lang w:val="zh-CN"/>
              </w:rPr>
            </w:pPr>
            <w:r>
              <w:rPr>
                <w:rFonts w:hint="eastAsia" w:ascii="宋体" w:hAnsi="宋体" w:cs="宋体"/>
                <w:color w:val="auto"/>
                <w:szCs w:val="24"/>
                <w:highlight w:val="none"/>
                <w:lang w:val="zh-CN"/>
              </w:rPr>
              <w:t>四川省正在推进政府采购供应商信用融资工作，相关要求详见《四川省财政厅关于推进四川省政府采购供应商信用融资工作的通知》（川财采〔2018〕123 号）、《成都市中小企业政府采购信用融资暂行办法》（成财采〔2019〕17 号）等有关规定，上述文件请在四川政府采购网查询。</w:t>
            </w:r>
          </w:p>
        </w:tc>
      </w:tr>
    </w:tbl>
    <w:p>
      <w:pPr>
        <w:ind w:firstLine="492"/>
        <w:rPr>
          <w:color w:val="auto"/>
          <w:highlight w:val="none"/>
        </w:rPr>
      </w:pPr>
    </w:p>
    <w:p>
      <w:pPr>
        <w:pStyle w:val="4"/>
        <w:rPr>
          <w:color w:val="auto"/>
          <w:highlight w:val="none"/>
        </w:rPr>
      </w:pPr>
      <w:bookmarkStart w:id="37" w:name="_Toc12395"/>
      <w:bookmarkStart w:id="38" w:name="_Toc23165"/>
      <w:bookmarkStart w:id="39" w:name="_Toc19680"/>
      <w:bookmarkStart w:id="40" w:name="_Toc18174"/>
      <w:r>
        <w:rPr>
          <w:rFonts w:hint="eastAsia"/>
          <w:color w:val="auto"/>
          <w:highlight w:val="none"/>
        </w:rPr>
        <w:t>总则</w:t>
      </w:r>
      <w:bookmarkEnd w:id="37"/>
      <w:bookmarkEnd w:id="38"/>
      <w:bookmarkEnd w:id="39"/>
      <w:bookmarkEnd w:id="40"/>
    </w:p>
    <w:p>
      <w:pPr>
        <w:pStyle w:val="5"/>
        <w:ind w:left="322" w:leftChars="0" w:firstLine="494" w:firstLineChars="0"/>
        <w:rPr>
          <w:color w:val="auto"/>
          <w:highlight w:val="none"/>
        </w:rPr>
      </w:pPr>
      <w:bookmarkStart w:id="41" w:name="_Toc26659"/>
      <w:r>
        <w:rPr>
          <w:rFonts w:hint="eastAsia"/>
          <w:color w:val="auto"/>
          <w:highlight w:val="none"/>
        </w:rPr>
        <w:t>适用范围</w:t>
      </w:r>
      <w:bookmarkEnd w:id="41"/>
    </w:p>
    <w:p>
      <w:p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 xml:space="preserve">  本招标文件仅适用于本次公开招标所叙述的货物以及服务采购项目。</w:t>
      </w:r>
    </w:p>
    <w:p>
      <w:pPr>
        <w:pStyle w:val="5"/>
        <w:ind w:left="322" w:leftChars="0" w:firstLine="494" w:firstLineChars="0"/>
        <w:rPr>
          <w:color w:val="auto"/>
          <w:highlight w:val="none"/>
        </w:rPr>
      </w:pPr>
      <w:bookmarkStart w:id="42" w:name="_Toc31167"/>
      <w:r>
        <w:rPr>
          <w:rFonts w:hint="eastAsia"/>
          <w:color w:val="auto"/>
          <w:highlight w:val="none"/>
        </w:rPr>
        <w:t>有关定义</w:t>
      </w:r>
      <w:bookmarkEnd w:id="42"/>
    </w:p>
    <w:p>
      <w:pPr>
        <w:numPr>
          <w:ilvl w:val="0"/>
          <w:numId w:val="10"/>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“采购人”和“甲方”系指依法进行政府采购的国家机关、事业单位、团体组织。本次招标的采购人是</w:t>
      </w:r>
      <w:r>
        <w:rPr>
          <w:rFonts w:hint="eastAsia" w:ascii="宋体" w:hAnsi="宋体" w:cs="宋体"/>
          <w:b/>
          <w:color w:val="auto"/>
          <w:szCs w:val="24"/>
          <w:highlight w:val="none"/>
          <w:lang w:eastAsia="zh-CN"/>
        </w:rPr>
        <w:t>成都市龙泉驿区城市绿地建设管理中心</w:t>
      </w:r>
      <w:r>
        <w:rPr>
          <w:rFonts w:hint="eastAsia" w:ascii="宋体" w:hAnsi="宋体" w:cs="宋体"/>
          <w:color w:val="auto"/>
          <w:szCs w:val="24"/>
          <w:highlight w:val="none"/>
        </w:rPr>
        <w:t>。</w:t>
      </w:r>
    </w:p>
    <w:p>
      <w:pPr>
        <w:numPr>
          <w:ilvl w:val="0"/>
          <w:numId w:val="10"/>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“采购代理机构” 系指根据采购人的委托依法办理招标事宜的采购机构。本次招标的采购代理机构是</w:t>
      </w:r>
      <w:r>
        <w:rPr>
          <w:rFonts w:hint="eastAsia" w:ascii="宋体" w:hAnsi="宋体" w:cs="宋体"/>
          <w:b/>
          <w:bCs/>
          <w:color w:val="auto"/>
          <w:szCs w:val="24"/>
          <w:highlight w:val="none"/>
        </w:rPr>
        <w:t>四川世科工程咨询有限公司</w:t>
      </w:r>
      <w:r>
        <w:rPr>
          <w:rFonts w:hint="eastAsia" w:ascii="宋体" w:hAnsi="宋体" w:cs="宋体"/>
          <w:color w:val="auto"/>
          <w:szCs w:val="24"/>
          <w:highlight w:val="none"/>
        </w:rPr>
        <w:t>。</w:t>
      </w:r>
    </w:p>
    <w:p>
      <w:pPr>
        <w:numPr>
          <w:ilvl w:val="0"/>
          <w:numId w:val="10"/>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“招标采购单位”系指“采购人”和“采购代理机构”的统称。</w:t>
      </w:r>
    </w:p>
    <w:p>
      <w:pPr>
        <w:numPr>
          <w:ilvl w:val="0"/>
          <w:numId w:val="10"/>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“投标人”系指</w:t>
      </w:r>
      <w:r>
        <w:rPr>
          <w:rFonts w:hint="eastAsia" w:ascii="宋体" w:hAnsi="宋体" w:cs="宋体"/>
          <w:color w:val="auto"/>
          <w:szCs w:val="24"/>
          <w:highlight w:val="none"/>
          <w:lang w:eastAsia="zh-CN"/>
        </w:rPr>
        <w:t>获取</w:t>
      </w:r>
      <w:r>
        <w:rPr>
          <w:rFonts w:hint="eastAsia" w:ascii="宋体" w:hAnsi="宋体" w:cs="宋体"/>
          <w:color w:val="auto"/>
          <w:szCs w:val="24"/>
          <w:highlight w:val="none"/>
        </w:rPr>
        <w:t>了招标文件拟参加投标和向采购人提供货物及服务的供应商，“乙方”系指中标的供应商。</w:t>
      </w:r>
    </w:p>
    <w:p>
      <w:pPr>
        <w:pStyle w:val="5"/>
        <w:ind w:left="322" w:leftChars="0" w:firstLine="494" w:firstLineChars="0"/>
        <w:rPr>
          <w:color w:val="auto"/>
          <w:highlight w:val="none"/>
        </w:rPr>
      </w:pPr>
      <w:bookmarkStart w:id="43" w:name="_Toc22451"/>
      <w:bookmarkStart w:id="44" w:name="_Toc183582207"/>
      <w:bookmarkStart w:id="45" w:name="_Toc217390843"/>
      <w:bookmarkStart w:id="46" w:name="_Toc183682344"/>
      <w:bookmarkStart w:id="47" w:name="_Toc217446036"/>
      <w:r>
        <w:rPr>
          <w:rFonts w:hint="eastAsia"/>
          <w:color w:val="auto"/>
          <w:highlight w:val="none"/>
        </w:rPr>
        <w:t>合格的投标人</w:t>
      </w:r>
      <w:bookmarkEnd w:id="43"/>
      <w:bookmarkEnd w:id="44"/>
      <w:bookmarkEnd w:id="45"/>
      <w:bookmarkEnd w:id="46"/>
      <w:bookmarkEnd w:id="47"/>
      <w:r>
        <w:rPr>
          <w:rFonts w:hint="eastAsia"/>
          <w:color w:val="auto"/>
          <w:highlight w:val="none"/>
        </w:rPr>
        <w:t>（实质性要求）</w:t>
      </w:r>
    </w:p>
    <w:p>
      <w:pPr>
        <w:tabs>
          <w:tab w:val="left" w:pos="7665"/>
        </w:tabs>
        <w:ind w:firstLine="492"/>
        <w:rPr>
          <w:rFonts w:ascii="宋体" w:hAnsi="宋体" w:cs="宋体"/>
          <w:color w:val="auto"/>
          <w:szCs w:val="24"/>
          <w:highlight w:val="none"/>
        </w:rPr>
      </w:pPr>
      <w:r>
        <w:rPr>
          <w:rFonts w:hint="eastAsia" w:ascii="宋体" w:hAnsi="宋体" w:cs="宋体"/>
          <w:color w:val="auto"/>
          <w:szCs w:val="24"/>
          <w:highlight w:val="none"/>
        </w:rPr>
        <w:t>合格的投标人应具备以下条件：</w:t>
      </w:r>
    </w:p>
    <w:p>
      <w:pPr>
        <w:numPr>
          <w:ilvl w:val="0"/>
          <w:numId w:val="11"/>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本招标文件规定的供应商资格条件；</w:t>
      </w:r>
    </w:p>
    <w:p>
      <w:pPr>
        <w:numPr>
          <w:ilvl w:val="0"/>
          <w:numId w:val="11"/>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向采购代理机构</w:t>
      </w:r>
      <w:r>
        <w:rPr>
          <w:rFonts w:hint="eastAsia" w:ascii="宋体" w:hAnsi="宋体" w:cs="宋体"/>
          <w:color w:val="auto"/>
          <w:szCs w:val="24"/>
          <w:highlight w:val="none"/>
          <w:lang w:eastAsia="zh-CN"/>
        </w:rPr>
        <w:t>获取</w:t>
      </w:r>
      <w:r>
        <w:rPr>
          <w:rFonts w:hint="eastAsia" w:ascii="宋体" w:hAnsi="宋体" w:cs="宋体"/>
          <w:color w:val="auto"/>
          <w:szCs w:val="24"/>
          <w:highlight w:val="none"/>
        </w:rPr>
        <w:t>了招标文件并登记备案；</w:t>
      </w:r>
    </w:p>
    <w:p>
      <w:pPr>
        <w:numPr>
          <w:ilvl w:val="0"/>
          <w:numId w:val="11"/>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遵守国家有关的法律、法规、规章和其他政策制度；</w:t>
      </w:r>
    </w:p>
    <w:p>
      <w:pPr>
        <w:numPr>
          <w:ilvl w:val="0"/>
          <w:numId w:val="11"/>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招标文件和法律、行政法规规定的其他条件。</w:t>
      </w:r>
    </w:p>
    <w:p>
      <w:pPr>
        <w:pStyle w:val="5"/>
        <w:ind w:left="322" w:leftChars="0" w:firstLine="494" w:firstLineChars="0"/>
        <w:rPr>
          <w:color w:val="auto"/>
          <w:highlight w:val="none"/>
        </w:rPr>
      </w:pPr>
      <w:bookmarkStart w:id="48" w:name="_Toc32306"/>
      <w:r>
        <w:rPr>
          <w:rFonts w:hint="eastAsia"/>
          <w:color w:val="auto"/>
          <w:highlight w:val="none"/>
        </w:rPr>
        <w:t>拒绝参加本次采购活动的供应商</w:t>
      </w:r>
      <w:bookmarkEnd w:id="48"/>
    </w:p>
    <w:p>
      <w:pPr>
        <w:ind w:firstLine="492"/>
        <w:rPr>
          <w:rFonts w:ascii="宋体" w:hAnsi="宋体" w:cs="宋体"/>
          <w:color w:val="auto"/>
          <w:szCs w:val="24"/>
          <w:highlight w:val="none"/>
        </w:rPr>
      </w:pPr>
      <w:r>
        <w:rPr>
          <w:rFonts w:hint="eastAsia" w:ascii="宋体" w:hAnsi="宋体" w:cs="宋体"/>
          <w:color w:val="auto"/>
          <w:szCs w:val="24"/>
          <w:highlight w:val="none"/>
        </w:rPr>
        <w:t>根据《关于在政府采购活动中查询及使用信用记录有关问题的通知》（财库〔2016〕125号）的要求，</w:t>
      </w:r>
      <w:r>
        <w:rPr>
          <w:rFonts w:hint="eastAsia" w:ascii="宋体" w:hAnsi="宋体" w:cs="宋体"/>
          <w:b/>
          <w:bCs/>
          <w:color w:val="auto"/>
          <w:szCs w:val="24"/>
          <w:highlight w:val="none"/>
        </w:rPr>
        <w:t>本代理机构将通过“信用中国”网站、“中国政府采购网”等网站查询供应商在报名之日前的信用记录，</w:t>
      </w:r>
      <w:r>
        <w:rPr>
          <w:rFonts w:hint="eastAsia" w:ascii="宋体" w:hAnsi="宋体" w:cs="宋体"/>
          <w:color w:val="auto"/>
          <w:szCs w:val="24"/>
          <w:highlight w:val="none"/>
        </w:rPr>
        <w:t xml:space="preserve">将以纸质截图或将截图保存至电子介质的形式留存。拒绝列入失信被执行人、重大税收违法案件当事人名单、政府采购严重违法失信行为记录名单中的供应商报名参加本项目的采购活动。若因供应商为事业单位、团体组织、自然人等原因，在“信用中国”网站等渠道未查询到信息的，视为未被列入失信记录。  </w:t>
      </w:r>
    </w:p>
    <w:p>
      <w:pPr>
        <w:pStyle w:val="5"/>
        <w:ind w:left="322" w:leftChars="0" w:firstLine="494" w:firstLineChars="0"/>
        <w:rPr>
          <w:color w:val="auto"/>
          <w:highlight w:val="none"/>
        </w:rPr>
      </w:pPr>
      <w:bookmarkStart w:id="49" w:name="_Toc8079"/>
      <w:r>
        <w:rPr>
          <w:rFonts w:hint="eastAsia"/>
          <w:color w:val="auto"/>
          <w:highlight w:val="none"/>
        </w:rPr>
        <w:t>投标费用</w:t>
      </w:r>
      <w:bookmarkEnd w:id="49"/>
      <w:r>
        <w:rPr>
          <w:rFonts w:hint="eastAsia"/>
          <w:color w:val="auto"/>
          <w:highlight w:val="none"/>
        </w:rPr>
        <w:t>（实质性要求）</w:t>
      </w:r>
    </w:p>
    <w:p>
      <w:pPr>
        <w:ind w:firstLine="492"/>
        <w:rPr>
          <w:color w:val="auto"/>
          <w:highlight w:val="none"/>
        </w:rPr>
      </w:pPr>
      <w:r>
        <w:rPr>
          <w:rFonts w:hint="eastAsia"/>
          <w:color w:val="auto"/>
          <w:highlight w:val="none"/>
        </w:rPr>
        <w:t>投标人应自行承担参加投标的全部费用。不论投标的结果如何，招标采购单位均无义务和责任承担这些费用。</w:t>
      </w:r>
    </w:p>
    <w:p>
      <w:pPr>
        <w:pStyle w:val="5"/>
        <w:ind w:left="322" w:leftChars="0" w:firstLine="494" w:firstLineChars="0"/>
        <w:rPr>
          <w:color w:val="auto"/>
          <w:highlight w:val="none"/>
        </w:rPr>
      </w:pPr>
      <w:bookmarkStart w:id="50" w:name="_Toc15131"/>
      <w:r>
        <w:rPr>
          <w:rFonts w:hint="eastAsia"/>
          <w:color w:val="auto"/>
          <w:highlight w:val="none"/>
        </w:rPr>
        <w:t>充分、公平竞争保障措施</w:t>
      </w:r>
      <w:bookmarkEnd w:id="50"/>
      <w:r>
        <w:rPr>
          <w:rFonts w:hint="eastAsia"/>
          <w:color w:val="auto"/>
          <w:highlight w:val="none"/>
        </w:rPr>
        <w:t>（实质性要求）</w:t>
      </w:r>
    </w:p>
    <w:p>
      <w:pPr>
        <w:pStyle w:val="190"/>
        <w:spacing w:line="360" w:lineRule="auto"/>
        <w:ind w:firstLine="482" w:firstLineChars="200"/>
        <w:jc w:val="left"/>
        <w:rPr>
          <w:rFonts w:hAnsi="宋体" w:cs="宋体"/>
          <w:color w:val="auto"/>
          <w:sz w:val="24"/>
          <w:szCs w:val="24"/>
          <w:highlight w:val="none"/>
        </w:rPr>
      </w:pPr>
      <w:r>
        <w:rPr>
          <w:rFonts w:hint="eastAsia" w:hAnsi="宋体" w:cs="宋体"/>
          <w:b/>
          <w:color w:val="auto"/>
          <w:sz w:val="24"/>
          <w:szCs w:val="24"/>
          <w:highlight w:val="none"/>
        </w:rPr>
        <w:t>利害关系供应商处理。</w:t>
      </w:r>
      <w:r>
        <w:rPr>
          <w:rFonts w:hint="eastAsia" w:hAnsi="宋体" w:cs="宋体"/>
          <w:color w:val="auto"/>
          <w:sz w:val="24"/>
          <w:szCs w:val="24"/>
          <w:highlight w:val="none"/>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pPr>
        <w:pStyle w:val="190"/>
        <w:spacing w:line="360" w:lineRule="auto"/>
        <w:ind w:firstLine="482" w:firstLineChars="200"/>
        <w:jc w:val="left"/>
        <w:rPr>
          <w:rFonts w:hAnsi="宋体" w:cs="宋体"/>
          <w:color w:val="auto"/>
          <w:sz w:val="24"/>
          <w:szCs w:val="24"/>
          <w:highlight w:val="none"/>
        </w:rPr>
      </w:pPr>
      <w:r>
        <w:rPr>
          <w:rFonts w:hint="eastAsia" w:hAnsi="宋体" w:cs="宋体"/>
          <w:b/>
          <w:color w:val="auto"/>
          <w:sz w:val="24"/>
          <w:szCs w:val="24"/>
          <w:highlight w:val="none"/>
        </w:rPr>
        <w:t>前期参与供应商处理。</w:t>
      </w:r>
      <w:r>
        <w:rPr>
          <w:rFonts w:hint="eastAsia" w:hAnsi="宋体" w:cs="宋体"/>
          <w:color w:val="auto"/>
          <w:sz w:val="24"/>
          <w:szCs w:val="24"/>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190"/>
        <w:spacing w:line="360" w:lineRule="auto"/>
        <w:ind w:firstLine="482" w:firstLineChars="200"/>
        <w:jc w:val="left"/>
        <w:rPr>
          <w:rFonts w:hAnsi="宋体" w:cs="宋体"/>
          <w:color w:val="auto"/>
          <w:sz w:val="24"/>
          <w:szCs w:val="24"/>
          <w:highlight w:val="none"/>
        </w:rPr>
      </w:pPr>
      <w:r>
        <w:rPr>
          <w:rFonts w:hint="eastAsia" w:hAnsi="宋体" w:cs="宋体"/>
          <w:b/>
          <w:color w:val="auto"/>
          <w:sz w:val="24"/>
          <w:szCs w:val="24"/>
          <w:highlight w:val="none"/>
        </w:rPr>
        <w:t>利害关系代理人处理。</w:t>
      </w:r>
      <w:r>
        <w:rPr>
          <w:rFonts w:hint="eastAsia" w:hAnsi="宋体" w:cs="宋体"/>
          <w:color w:val="auto"/>
          <w:sz w:val="24"/>
          <w:szCs w:val="24"/>
          <w:highlight w:val="none"/>
        </w:rPr>
        <w:t>2家以上的供应商不得在同一合同项下的采购项目中，同时委托同一个自然人、同一家庭的人员、同一单位的人员作为其代理人，否则，其投标文件作为无效处理。</w:t>
      </w:r>
    </w:p>
    <w:p>
      <w:pPr>
        <w:pStyle w:val="4"/>
        <w:rPr>
          <w:color w:val="auto"/>
          <w:highlight w:val="none"/>
        </w:rPr>
      </w:pPr>
      <w:bookmarkStart w:id="51" w:name="_Toc28416"/>
      <w:bookmarkStart w:id="52" w:name="_Toc183682347"/>
      <w:bookmarkStart w:id="53" w:name="_Toc217446039"/>
      <w:bookmarkStart w:id="54" w:name="_Toc20257"/>
      <w:bookmarkStart w:id="55" w:name="_Toc4781"/>
      <w:bookmarkStart w:id="56" w:name="_Toc30873"/>
      <w:bookmarkStart w:id="57" w:name="_Toc183582210"/>
      <w:r>
        <w:rPr>
          <w:rFonts w:hint="eastAsia"/>
          <w:color w:val="auto"/>
          <w:highlight w:val="none"/>
        </w:rPr>
        <w:t>招标文件</w:t>
      </w:r>
      <w:bookmarkEnd w:id="51"/>
      <w:bookmarkEnd w:id="52"/>
      <w:bookmarkEnd w:id="53"/>
      <w:bookmarkEnd w:id="54"/>
      <w:bookmarkEnd w:id="55"/>
      <w:bookmarkEnd w:id="56"/>
      <w:bookmarkEnd w:id="57"/>
    </w:p>
    <w:p>
      <w:pPr>
        <w:pStyle w:val="5"/>
        <w:ind w:left="322" w:leftChars="0" w:firstLine="494" w:firstLineChars="0"/>
        <w:rPr>
          <w:color w:val="auto"/>
          <w:highlight w:val="none"/>
        </w:rPr>
      </w:pPr>
      <w:bookmarkStart w:id="58" w:name="_Toc28521"/>
      <w:r>
        <w:rPr>
          <w:rFonts w:hint="eastAsia"/>
          <w:color w:val="auto"/>
          <w:highlight w:val="none"/>
        </w:rPr>
        <w:t>招标文件的构成</w:t>
      </w:r>
      <w:bookmarkEnd w:id="58"/>
    </w:p>
    <w:p>
      <w:pPr>
        <w:numPr>
          <w:ilvl w:val="0"/>
          <w:numId w:val="12"/>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numPr>
          <w:ilvl w:val="1"/>
          <w:numId w:val="13"/>
        </w:numPr>
        <w:tabs>
          <w:tab w:val="left" w:pos="1134"/>
        </w:tabs>
        <w:ind w:left="0" w:firstLine="492"/>
        <w:rPr>
          <w:rFonts w:ascii="宋体" w:hAnsi="宋体" w:cs="宋体"/>
          <w:color w:val="auto"/>
          <w:szCs w:val="24"/>
          <w:highlight w:val="none"/>
        </w:rPr>
      </w:pPr>
      <w:r>
        <w:rPr>
          <w:rFonts w:hint="eastAsia" w:ascii="宋体" w:hAnsi="宋体" w:cs="宋体"/>
          <w:color w:val="auto"/>
          <w:szCs w:val="24"/>
          <w:highlight w:val="none"/>
        </w:rPr>
        <w:t>投标邀请；</w:t>
      </w:r>
    </w:p>
    <w:p>
      <w:pPr>
        <w:numPr>
          <w:ilvl w:val="1"/>
          <w:numId w:val="13"/>
        </w:numPr>
        <w:tabs>
          <w:tab w:val="left" w:pos="1134"/>
        </w:tabs>
        <w:ind w:left="0" w:firstLine="492"/>
        <w:rPr>
          <w:rFonts w:ascii="宋体" w:hAnsi="宋体" w:cs="宋体"/>
          <w:color w:val="auto"/>
          <w:szCs w:val="24"/>
          <w:highlight w:val="none"/>
        </w:rPr>
      </w:pPr>
      <w:r>
        <w:rPr>
          <w:rFonts w:hint="eastAsia" w:ascii="宋体" w:hAnsi="宋体" w:cs="宋体"/>
          <w:color w:val="auto"/>
          <w:szCs w:val="24"/>
          <w:highlight w:val="none"/>
        </w:rPr>
        <w:t>投标人须知；</w:t>
      </w:r>
    </w:p>
    <w:p>
      <w:pPr>
        <w:numPr>
          <w:ilvl w:val="1"/>
          <w:numId w:val="13"/>
        </w:numPr>
        <w:tabs>
          <w:tab w:val="left" w:pos="1134"/>
        </w:tabs>
        <w:ind w:left="0" w:firstLine="492"/>
        <w:rPr>
          <w:rFonts w:ascii="宋体" w:hAnsi="宋体" w:cs="宋体"/>
          <w:color w:val="auto"/>
          <w:szCs w:val="24"/>
          <w:highlight w:val="none"/>
        </w:rPr>
      </w:pPr>
      <w:r>
        <w:rPr>
          <w:rFonts w:hint="eastAsia" w:ascii="宋体" w:hAnsi="宋体" w:cs="宋体"/>
          <w:color w:val="auto"/>
          <w:szCs w:val="24"/>
          <w:highlight w:val="none"/>
        </w:rPr>
        <w:t>投标文件格式；</w:t>
      </w:r>
    </w:p>
    <w:p>
      <w:pPr>
        <w:numPr>
          <w:ilvl w:val="1"/>
          <w:numId w:val="13"/>
        </w:numPr>
        <w:tabs>
          <w:tab w:val="left" w:pos="1134"/>
        </w:tabs>
        <w:ind w:left="0" w:firstLine="492"/>
        <w:rPr>
          <w:rFonts w:ascii="宋体" w:hAnsi="宋体" w:cs="宋体"/>
          <w:color w:val="auto"/>
          <w:szCs w:val="24"/>
          <w:highlight w:val="none"/>
        </w:rPr>
      </w:pPr>
      <w:r>
        <w:rPr>
          <w:rFonts w:hint="eastAsia" w:ascii="宋体" w:hAnsi="宋体" w:cs="宋体"/>
          <w:color w:val="auto"/>
          <w:szCs w:val="24"/>
          <w:highlight w:val="none"/>
        </w:rPr>
        <w:t>招标项目技术、商务及其他要求；</w:t>
      </w:r>
    </w:p>
    <w:p>
      <w:pPr>
        <w:numPr>
          <w:ilvl w:val="1"/>
          <w:numId w:val="13"/>
        </w:numPr>
        <w:tabs>
          <w:tab w:val="left" w:pos="1134"/>
        </w:tabs>
        <w:ind w:left="0" w:firstLine="492"/>
        <w:rPr>
          <w:rFonts w:ascii="宋体" w:hAnsi="宋体" w:cs="宋体"/>
          <w:color w:val="auto"/>
          <w:szCs w:val="24"/>
          <w:highlight w:val="none"/>
        </w:rPr>
      </w:pPr>
      <w:r>
        <w:rPr>
          <w:rFonts w:hint="eastAsia" w:ascii="宋体" w:hAnsi="宋体" w:cs="宋体"/>
          <w:color w:val="auto"/>
          <w:szCs w:val="24"/>
          <w:highlight w:val="none"/>
        </w:rPr>
        <w:t>资格性审查；</w:t>
      </w:r>
    </w:p>
    <w:p>
      <w:pPr>
        <w:numPr>
          <w:ilvl w:val="1"/>
          <w:numId w:val="13"/>
        </w:numPr>
        <w:tabs>
          <w:tab w:val="left" w:pos="1134"/>
        </w:tabs>
        <w:ind w:left="0" w:firstLine="492"/>
        <w:rPr>
          <w:rFonts w:ascii="宋体" w:hAnsi="宋体" w:cs="宋体"/>
          <w:color w:val="auto"/>
          <w:szCs w:val="24"/>
          <w:highlight w:val="none"/>
        </w:rPr>
      </w:pPr>
      <w:r>
        <w:rPr>
          <w:rFonts w:hint="eastAsia" w:ascii="宋体" w:hAnsi="宋体" w:cs="宋体"/>
          <w:color w:val="auto"/>
          <w:szCs w:val="24"/>
          <w:highlight w:val="none"/>
        </w:rPr>
        <w:t>评标办法；</w:t>
      </w:r>
    </w:p>
    <w:p>
      <w:pPr>
        <w:numPr>
          <w:ilvl w:val="1"/>
          <w:numId w:val="13"/>
        </w:numPr>
        <w:tabs>
          <w:tab w:val="left" w:pos="1134"/>
        </w:tabs>
        <w:ind w:left="0" w:firstLine="492"/>
        <w:rPr>
          <w:rFonts w:ascii="宋体" w:hAnsi="宋体" w:cs="宋体"/>
          <w:color w:val="auto"/>
          <w:szCs w:val="24"/>
          <w:highlight w:val="none"/>
        </w:rPr>
      </w:pPr>
      <w:r>
        <w:rPr>
          <w:rFonts w:hint="eastAsia" w:ascii="宋体" w:hAnsi="宋体" w:cs="宋体"/>
          <w:color w:val="auto"/>
          <w:szCs w:val="24"/>
          <w:highlight w:val="none"/>
        </w:rPr>
        <w:t>政府采购合同。</w:t>
      </w:r>
    </w:p>
    <w:p>
      <w:pPr>
        <w:numPr>
          <w:ilvl w:val="0"/>
          <w:numId w:val="12"/>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投标人应认真阅读和充分理解招标文件中所有的事项、格式条款和规范要求。投标人没有对招标文件全面做出实质性响应所产生的风险由投标人承担。</w:t>
      </w:r>
    </w:p>
    <w:p>
      <w:pPr>
        <w:pStyle w:val="5"/>
        <w:ind w:left="322" w:leftChars="0" w:firstLine="494" w:firstLineChars="0"/>
        <w:rPr>
          <w:color w:val="auto"/>
          <w:highlight w:val="none"/>
        </w:rPr>
      </w:pPr>
      <w:bookmarkStart w:id="59" w:name="_Toc183582211"/>
      <w:bookmarkStart w:id="60" w:name="_Toc183682348"/>
      <w:bookmarkStart w:id="61" w:name="_Toc19159"/>
      <w:bookmarkStart w:id="62" w:name="_Toc217446040"/>
      <w:r>
        <w:rPr>
          <w:rFonts w:hint="eastAsia"/>
          <w:color w:val="auto"/>
          <w:highlight w:val="none"/>
        </w:rPr>
        <w:t>招标文件的澄清</w:t>
      </w:r>
      <w:bookmarkEnd w:id="59"/>
      <w:bookmarkEnd w:id="60"/>
      <w:r>
        <w:rPr>
          <w:rFonts w:hint="eastAsia"/>
          <w:color w:val="auto"/>
          <w:highlight w:val="none"/>
        </w:rPr>
        <w:t>和修改</w:t>
      </w:r>
      <w:bookmarkEnd w:id="61"/>
      <w:bookmarkEnd w:id="62"/>
    </w:p>
    <w:p>
      <w:pPr>
        <w:numPr>
          <w:ilvl w:val="0"/>
          <w:numId w:val="14"/>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在投标截止时间前，招标采购单位无论出于何种原因，可以对招标文件进行澄清或者修改。</w:t>
      </w:r>
    </w:p>
    <w:p>
      <w:pPr>
        <w:numPr>
          <w:ilvl w:val="0"/>
          <w:numId w:val="14"/>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澄清或者修改的内容，招标采购单位应通知所有</w:t>
      </w:r>
      <w:r>
        <w:rPr>
          <w:rFonts w:hint="eastAsia" w:ascii="宋体" w:hAnsi="宋体" w:cs="宋体"/>
          <w:color w:val="auto"/>
          <w:szCs w:val="24"/>
          <w:highlight w:val="none"/>
          <w:lang w:eastAsia="zh-CN"/>
        </w:rPr>
        <w:t>获取</w:t>
      </w:r>
      <w:r>
        <w:rPr>
          <w:rFonts w:hint="eastAsia" w:ascii="宋体" w:hAnsi="宋体" w:cs="宋体"/>
          <w:color w:val="auto"/>
          <w:szCs w:val="24"/>
          <w:highlight w:val="none"/>
        </w:rPr>
        <w:t>了招标文件的潜在投标人，同时在“四川政府采购网”上发布更正公告。该澄清或者修改的内容为招标文件的组成部分。</w:t>
      </w:r>
    </w:p>
    <w:p>
      <w:pPr>
        <w:numPr>
          <w:ilvl w:val="0"/>
          <w:numId w:val="14"/>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澄清或者修改的内容可能影响投标文件、资格预审申请文件编制的，招标采购单位发布公告并通知供应商的时间，应当在投标截止时间至少15日前、提交资格预审申请文件截止时间至少3日前；不足上述时间的，应当顺延提交投标文件、资格预审申请文件的截止时间。</w:t>
      </w:r>
    </w:p>
    <w:p>
      <w:pPr>
        <w:numPr>
          <w:ilvl w:val="0"/>
          <w:numId w:val="14"/>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人认为需要对招标文件进行澄清或者修改的，可以以书面形式向招标采购单位构提出申请，但招标采购单位可以决定是否采纳投标人的申请事项。在规定的时间内未提出澄清或质疑的，将视为完全认同本招标文件的要求。</w:t>
      </w:r>
    </w:p>
    <w:p>
      <w:pPr>
        <w:numPr>
          <w:ilvl w:val="0"/>
          <w:numId w:val="14"/>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招标文件中编制的内容前后有矛盾或不一致，有时间先后顺序的，以时间在后的修改、澄清或补正文件为准；没有时间先后顺序的，按有利于投标人的原则进行处理。</w:t>
      </w:r>
    </w:p>
    <w:p>
      <w:pPr>
        <w:numPr>
          <w:ilvl w:val="0"/>
          <w:numId w:val="14"/>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在投标截止时间前，招标采购单位可以视采购具体情况，延长投标截止时间和开标时间，并在招标文件要求提交投标文件的截止时间三日前，将变更时间通知所有</w:t>
      </w:r>
      <w:r>
        <w:rPr>
          <w:rFonts w:hint="eastAsia" w:ascii="宋体" w:hAnsi="宋体" w:cs="宋体"/>
          <w:color w:val="auto"/>
          <w:szCs w:val="24"/>
          <w:highlight w:val="none"/>
          <w:lang w:eastAsia="zh-CN"/>
        </w:rPr>
        <w:t>获取</w:t>
      </w:r>
      <w:r>
        <w:rPr>
          <w:rFonts w:hint="eastAsia" w:ascii="宋体" w:hAnsi="宋体" w:cs="宋体"/>
          <w:color w:val="auto"/>
          <w:szCs w:val="24"/>
          <w:highlight w:val="none"/>
        </w:rPr>
        <w:t>了招标文件的潜在供应商，同时在“四川政府采购网”上发布变更公告。</w:t>
      </w:r>
    </w:p>
    <w:p>
      <w:pPr>
        <w:pStyle w:val="5"/>
        <w:ind w:left="322" w:leftChars="0" w:firstLine="494" w:firstLineChars="0"/>
        <w:rPr>
          <w:rFonts w:cs="宋体"/>
          <w:color w:val="auto"/>
          <w:szCs w:val="24"/>
          <w:highlight w:val="none"/>
        </w:rPr>
      </w:pPr>
      <w:bookmarkStart w:id="63" w:name="_Toc20416"/>
      <w:r>
        <w:rPr>
          <w:rFonts w:hint="eastAsia" w:cs="宋体"/>
          <w:color w:val="auto"/>
          <w:szCs w:val="24"/>
          <w:highlight w:val="none"/>
        </w:rPr>
        <w:t>答疑会和现场考察</w:t>
      </w:r>
      <w:bookmarkEnd w:id="63"/>
    </w:p>
    <w:p>
      <w:pPr>
        <w:numPr>
          <w:ilvl w:val="0"/>
          <w:numId w:val="15"/>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numPr>
          <w:ilvl w:val="0"/>
          <w:numId w:val="15"/>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供应商考察现场所发生的一切费用由供应商自己承担。</w:t>
      </w:r>
    </w:p>
    <w:p>
      <w:pPr>
        <w:pStyle w:val="4"/>
        <w:rPr>
          <w:color w:val="auto"/>
          <w:highlight w:val="none"/>
        </w:rPr>
      </w:pPr>
      <w:bookmarkStart w:id="64" w:name="_Toc183682351"/>
      <w:bookmarkStart w:id="65" w:name="_Toc89075876"/>
      <w:bookmarkStart w:id="66" w:name="_Toc15714"/>
      <w:bookmarkStart w:id="67" w:name="_Toc217446042"/>
      <w:bookmarkStart w:id="68" w:name="_Toc183582214"/>
      <w:bookmarkStart w:id="69" w:name="_Toc30901"/>
      <w:bookmarkStart w:id="70" w:name="_Toc77400780"/>
      <w:bookmarkStart w:id="71" w:name="_Toc13275"/>
      <w:bookmarkStart w:id="72" w:name="_Toc17181"/>
      <w:r>
        <w:rPr>
          <w:rFonts w:hint="eastAsia"/>
          <w:color w:val="auto"/>
          <w:highlight w:val="none"/>
        </w:rPr>
        <w:t>投标文件</w:t>
      </w:r>
      <w:bookmarkEnd w:id="64"/>
      <w:bookmarkEnd w:id="65"/>
      <w:bookmarkEnd w:id="66"/>
      <w:bookmarkEnd w:id="67"/>
      <w:bookmarkEnd w:id="68"/>
      <w:bookmarkEnd w:id="69"/>
      <w:bookmarkEnd w:id="70"/>
      <w:bookmarkEnd w:id="71"/>
      <w:bookmarkEnd w:id="72"/>
    </w:p>
    <w:p>
      <w:pPr>
        <w:pStyle w:val="5"/>
        <w:ind w:left="322" w:leftChars="0" w:firstLine="494" w:firstLineChars="0"/>
        <w:rPr>
          <w:rFonts w:cs="宋体"/>
          <w:color w:val="auto"/>
          <w:szCs w:val="24"/>
          <w:highlight w:val="none"/>
        </w:rPr>
      </w:pPr>
      <w:bookmarkStart w:id="73" w:name="_Toc183582215"/>
      <w:bookmarkStart w:id="74" w:name="_Toc17848"/>
      <w:bookmarkStart w:id="75" w:name="_Toc183682352"/>
      <w:bookmarkStart w:id="76" w:name="_Toc217446043"/>
      <w:r>
        <w:rPr>
          <w:rFonts w:hint="eastAsia" w:cs="宋体"/>
          <w:color w:val="auto"/>
          <w:szCs w:val="24"/>
          <w:highlight w:val="none"/>
        </w:rPr>
        <w:t>投标文件的语言</w:t>
      </w:r>
      <w:bookmarkEnd w:id="73"/>
      <w:bookmarkEnd w:id="74"/>
      <w:bookmarkEnd w:id="75"/>
      <w:bookmarkEnd w:id="76"/>
      <w:r>
        <w:rPr>
          <w:rFonts w:hint="eastAsia"/>
          <w:color w:val="auto"/>
          <w:highlight w:val="none"/>
        </w:rPr>
        <w:t>（实质性要求）</w:t>
      </w:r>
    </w:p>
    <w:p>
      <w:pPr>
        <w:numPr>
          <w:ilvl w:val="0"/>
          <w:numId w:val="16"/>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人提交的投标文件以及投标人与招标采购单位就有关投标的所有来往书面文件均须使用中文，投标文件中所附或引用的外文资料，必须逐一对应翻译成中文并加盖投标人公章后附在相关外文资料后面，否则，所提供的外文资料将可能被视为无效材料。（说明：供应商的法定代表人为外籍人士的，则法定代表人的签字和护照除外）</w:t>
      </w:r>
    </w:p>
    <w:p>
      <w:pPr>
        <w:numPr>
          <w:ilvl w:val="0"/>
          <w:numId w:val="16"/>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 xml:space="preserve">对不同文字文本投标文件的解释发生异议的，以中文文本为准。 </w:t>
      </w:r>
    </w:p>
    <w:p>
      <w:pPr>
        <w:pStyle w:val="5"/>
        <w:ind w:left="322" w:leftChars="0" w:firstLine="494" w:firstLineChars="0"/>
        <w:rPr>
          <w:rFonts w:cs="宋体"/>
          <w:color w:val="auto"/>
          <w:szCs w:val="24"/>
          <w:highlight w:val="none"/>
        </w:rPr>
      </w:pPr>
      <w:bookmarkStart w:id="77" w:name="_Toc20869"/>
      <w:bookmarkStart w:id="78" w:name="_Toc183682353"/>
      <w:bookmarkStart w:id="79" w:name="_Toc183582216"/>
      <w:bookmarkStart w:id="80" w:name="_Toc217446044"/>
      <w:r>
        <w:rPr>
          <w:rFonts w:hint="eastAsia" w:cs="宋体"/>
          <w:color w:val="auto"/>
          <w:szCs w:val="24"/>
          <w:highlight w:val="none"/>
        </w:rPr>
        <w:t>计量单位</w:t>
      </w:r>
      <w:bookmarkEnd w:id="77"/>
      <w:bookmarkEnd w:id="78"/>
      <w:bookmarkEnd w:id="79"/>
      <w:bookmarkEnd w:id="80"/>
      <w:r>
        <w:rPr>
          <w:rFonts w:hint="eastAsia"/>
          <w:color w:val="auto"/>
          <w:highlight w:val="none"/>
        </w:rPr>
        <w:t>（实质性要求）</w:t>
      </w:r>
    </w:p>
    <w:p>
      <w:pPr>
        <w:ind w:firstLine="492"/>
        <w:rPr>
          <w:rFonts w:ascii="宋体" w:hAnsi="宋体" w:cs="宋体"/>
          <w:color w:val="auto"/>
          <w:szCs w:val="24"/>
          <w:highlight w:val="none"/>
        </w:rPr>
      </w:pPr>
      <w:r>
        <w:rPr>
          <w:rFonts w:hint="eastAsia" w:ascii="宋体" w:hAnsi="宋体" w:cs="宋体"/>
          <w:color w:val="auto"/>
          <w:szCs w:val="24"/>
          <w:highlight w:val="none"/>
        </w:rPr>
        <w:t>除技术参数及要求中另有规定外，本采购项目的投标均采用国家法定的计量单位。</w:t>
      </w:r>
    </w:p>
    <w:p>
      <w:pPr>
        <w:pStyle w:val="5"/>
        <w:ind w:left="322" w:leftChars="0" w:firstLine="494" w:firstLineChars="0"/>
        <w:rPr>
          <w:rFonts w:cs="宋体"/>
          <w:color w:val="auto"/>
          <w:szCs w:val="24"/>
          <w:highlight w:val="none"/>
        </w:rPr>
      </w:pPr>
      <w:bookmarkStart w:id="81" w:name="_Toc13856"/>
      <w:bookmarkStart w:id="82" w:name="_Toc217446045"/>
      <w:r>
        <w:rPr>
          <w:rFonts w:hint="eastAsia" w:cs="宋体"/>
          <w:color w:val="auto"/>
          <w:szCs w:val="24"/>
          <w:highlight w:val="none"/>
        </w:rPr>
        <w:t>投标货币</w:t>
      </w:r>
      <w:bookmarkEnd w:id="81"/>
      <w:bookmarkEnd w:id="82"/>
      <w:r>
        <w:rPr>
          <w:rFonts w:hint="eastAsia"/>
          <w:color w:val="auto"/>
          <w:highlight w:val="none"/>
        </w:rPr>
        <w:t>（实质性要求）</w:t>
      </w:r>
    </w:p>
    <w:p>
      <w:pPr>
        <w:tabs>
          <w:tab w:val="left" w:pos="7665"/>
        </w:tabs>
        <w:ind w:firstLine="492"/>
        <w:rPr>
          <w:rFonts w:ascii="宋体" w:hAnsi="宋体" w:cs="宋体"/>
          <w:color w:val="auto"/>
          <w:szCs w:val="24"/>
          <w:highlight w:val="none"/>
        </w:rPr>
      </w:pPr>
      <w:r>
        <w:rPr>
          <w:rFonts w:hint="eastAsia" w:ascii="宋体" w:hAnsi="宋体" w:cs="宋体"/>
          <w:color w:val="auto"/>
          <w:szCs w:val="24"/>
          <w:highlight w:val="none"/>
        </w:rPr>
        <w:t>本次招标项目的投标均以人民币报价。</w:t>
      </w:r>
    </w:p>
    <w:p>
      <w:pPr>
        <w:pStyle w:val="5"/>
        <w:ind w:left="322" w:leftChars="0" w:firstLine="494" w:firstLineChars="0"/>
        <w:rPr>
          <w:rFonts w:cs="宋体"/>
          <w:color w:val="auto"/>
          <w:szCs w:val="24"/>
          <w:highlight w:val="none"/>
        </w:rPr>
      </w:pPr>
      <w:bookmarkStart w:id="83" w:name="_Toc19391"/>
      <w:bookmarkStart w:id="84" w:name="_Toc217446046"/>
      <w:r>
        <w:rPr>
          <w:rFonts w:hint="eastAsia" w:cs="宋体"/>
          <w:color w:val="auto"/>
          <w:szCs w:val="24"/>
          <w:highlight w:val="none"/>
        </w:rPr>
        <w:t>联合体投标</w:t>
      </w:r>
      <w:bookmarkEnd w:id="83"/>
      <w:bookmarkEnd w:id="84"/>
      <w:r>
        <w:rPr>
          <w:rFonts w:hint="eastAsia"/>
          <w:color w:val="auto"/>
          <w:highlight w:val="none"/>
        </w:rPr>
        <w:t>（实质性要求）</w:t>
      </w:r>
    </w:p>
    <w:p>
      <w:p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本次政府采购活动</w:t>
      </w:r>
      <w:r>
        <w:rPr>
          <w:rFonts w:hint="eastAsia" w:ascii="宋体" w:hAnsi="宋体" w:cs="宋体"/>
          <w:b/>
          <w:color w:val="auto"/>
          <w:szCs w:val="24"/>
          <w:highlight w:val="none"/>
        </w:rPr>
        <w:t>不接受</w:t>
      </w:r>
      <w:r>
        <w:rPr>
          <w:rFonts w:hint="eastAsia" w:ascii="宋体" w:hAnsi="宋体" w:cs="宋体"/>
          <w:color w:val="auto"/>
          <w:szCs w:val="24"/>
          <w:highlight w:val="none"/>
        </w:rPr>
        <w:t>联合体投标。</w:t>
      </w:r>
    </w:p>
    <w:p>
      <w:pPr>
        <w:pStyle w:val="5"/>
        <w:ind w:left="322" w:leftChars="0" w:firstLine="494" w:firstLineChars="0"/>
        <w:rPr>
          <w:rFonts w:cs="宋体"/>
          <w:color w:val="auto"/>
          <w:szCs w:val="24"/>
          <w:highlight w:val="none"/>
        </w:rPr>
      </w:pPr>
      <w:bookmarkStart w:id="85" w:name="_Toc217446047"/>
      <w:bookmarkStart w:id="86" w:name="_Toc28227"/>
      <w:r>
        <w:rPr>
          <w:rFonts w:hint="eastAsia" w:cs="宋体"/>
          <w:color w:val="auto"/>
          <w:szCs w:val="24"/>
          <w:highlight w:val="none"/>
        </w:rPr>
        <w:t>知识产权</w:t>
      </w:r>
      <w:bookmarkEnd w:id="85"/>
      <w:bookmarkEnd w:id="86"/>
      <w:r>
        <w:rPr>
          <w:rFonts w:hint="eastAsia"/>
          <w:color w:val="auto"/>
          <w:highlight w:val="none"/>
        </w:rPr>
        <w:t>（实质性要求）</w:t>
      </w:r>
    </w:p>
    <w:p>
      <w:pPr>
        <w:numPr>
          <w:ilvl w:val="0"/>
          <w:numId w:val="17"/>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人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0"/>
          <w:numId w:val="17"/>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采购人享有本项目实施过程中产生的知识成果及知识产权。</w:t>
      </w:r>
    </w:p>
    <w:p>
      <w:pPr>
        <w:numPr>
          <w:ilvl w:val="0"/>
          <w:numId w:val="17"/>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人如欲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numPr>
          <w:ilvl w:val="0"/>
          <w:numId w:val="17"/>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 xml:space="preserve">如采用投标人所不拥有的知识产权的产品，则在投标报价中必须包括合法获取该知识产权的相关费用。 </w:t>
      </w:r>
    </w:p>
    <w:p>
      <w:pPr>
        <w:pStyle w:val="5"/>
        <w:ind w:left="322" w:leftChars="0" w:firstLine="494" w:firstLineChars="0"/>
        <w:rPr>
          <w:rFonts w:cs="宋体"/>
          <w:color w:val="auto"/>
          <w:szCs w:val="24"/>
          <w:highlight w:val="none"/>
        </w:rPr>
      </w:pPr>
      <w:bookmarkStart w:id="87" w:name="_Toc183682354"/>
      <w:bookmarkStart w:id="88" w:name="_Toc4996"/>
      <w:bookmarkStart w:id="89" w:name="_Toc217446048"/>
      <w:bookmarkStart w:id="90" w:name="_Toc183582217"/>
      <w:r>
        <w:rPr>
          <w:rFonts w:hint="eastAsia" w:cs="宋体"/>
          <w:color w:val="auto"/>
          <w:szCs w:val="24"/>
          <w:highlight w:val="none"/>
        </w:rPr>
        <w:t>投标文件的组成</w:t>
      </w:r>
      <w:bookmarkEnd w:id="87"/>
      <w:bookmarkEnd w:id="88"/>
      <w:bookmarkEnd w:id="89"/>
      <w:bookmarkEnd w:id="90"/>
    </w:p>
    <w:p>
      <w:pPr>
        <w:ind w:firstLine="492"/>
        <w:rPr>
          <w:rFonts w:ascii="宋体" w:hAnsi="宋体" w:cs="宋体"/>
          <w:color w:val="auto"/>
          <w:szCs w:val="24"/>
          <w:highlight w:val="none"/>
        </w:rPr>
      </w:pPr>
      <w:r>
        <w:rPr>
          <w:rFonts w:hint="eastAsia" w:ascii="宋体" w:hAnsi="宋体" w:cs="宋体"/>
          <w:color w:val="auto"/>
          <w:szCs w:val="24"/>
          <w:highlight w:val="none"/>
        </w:rPr>
        <w:t>投标人应按照招标文件的规定和要求编制投标文件。投标文件分为资格性响应文件和技术、服务性响应文件。投标人拟在中标后将中标项目的非主体、非关键性工作交由他人完成的，应当在投标文件中载明。投标人编写的投标文件应包括下列部分：</w:t>
      </w:r>
    </w:p>
    <w:p>
      <w:pPr>
        <w:pStyle w:val="2"/>
        <w:spacing w:line="360" w:lineRule="auto"/>
        <w:ind w:firstLine="494"/>
        <w:rPr>
          <w:rFonts w:ascii="宋体" w:hAnsi="宋体" w:cs="宋体"/>
          <w:b/>
          <w:bCs/>
          <w:color w:val="auto"/>
          <w:szCs w:val="24"/>
          <w:highlight w:val="none"/>
        </w:rPr>
      </w:pPr>
      <w:r>
        <w:rPr>
          <w:rFonts w:hint="eastAsia" w:ascii="宋体" w:hAnsi="宋体" w:cs="宋体"/>
          <w:b/>
          <w:bCs/>
          <w:color w:val="auto"/>
          <w:szCs w:val="24"/>
          <w:highlight w:val="none"/>
        </w:rPr>
        <w:t>一、资格性响应文件：</w:t>
      </w:r>
    </w:p>
    <w:p>
      <w:pPr>
        <w:numPr>
          <w:ilvl w:val="0"/>
          <w:numId w:val="18"/>
        </w:numPr>
        <w:ind w:firstLine="492"/>
        <w:rPr>
          <w:rFonts w:ascii="宋体" w:hAnsi="宋体" w:cs="宋体"/>
          <w:color w:val="auto"/>
          <w:szCs w:val="24"/>
          <w:highlight w:val="none"/>
        </w:rPr>
      </w:pPr>
      <w:bookmarkStart w:id="91" w:name="_Toc316292020"/>
      <w:bookmarkEnd w:id="91"/>
      <w:bookmarkStart w:id="92" w:name="_Toc316291395"/>
      <w:bookmarkEnd w:id="92"/>
      <w:bookmarkStart w:id="93" w:name="_Toc316291396"/>
      <w:bookmarkEnd w:id="93"/>
      <w:bookmarkStart w:id="94" w:name="_Toc316292019"/>
      <w:bookmarkEnd w:id="94"/>
      <w:bookmarkStart w:id="95" w:name="_Toc183582218"/>
      <w:bookmarkStart w:id="96" w:name="_Toc183682355"/>
      <w:bookmarkStart w:id="97" w:name="_Toc217446049"/>
      <w:r>
        <w:rPr>
          <w:rFonts w:hint="eastAsia" w:ascii="宋体" w:hAnsi="宋体" w:cs="宋体"/>
          <w:color w:val="auto"/>
          <w:szCs w:val="24"/>
          <w:highlight w:val="none"/>
        </w:rPr>
        <w:t>投标函；</w:t>
      </w:r>
    </w:p>
    <w:p>
      <w:pPr>
        <w:numPr>
          <w:ilvl w:val="0"/>
          <w:numId w:val="18"/>
        </w:numPr>
        <w:ind w:firstLine="492"/>
        <w:rPr>
          <w:rFonts w:ascii="宋体" w:hAnsi="宋体" w:cs="宋体"/>
          <w:color w:val="auto"/>
          <w:szCs w:val="24"/>
          <w:highlight w:val="none"/>
        </w:rPr>
      </w:pPr>
      <w:r>
        <w:rPr>
          <w:rFonts w:hint="eastAsia" w:ascii="宋体" w:hAnsi="宋体" w:cs="宋体"/>
          <w:color w:val="auto"/>
          <w:szCs w:val="24"/>
          <w:highlight w:val="none"/>
        </w:rPr>
        <w:t>具有独立承担民事责任能力的证明材料；</w:t>
      </w:r>
    </w:p>
    <w:p>
      <w:pPr>
        <w:numPr>
          <w:ilvl w:val="0"/>
          <w:numId w:val="18"/>
        </w:numPr>
        <w:ind w:firstLine="492"/>
        <w:rPr>
          <w:rFonts w:ascii="宋体" w:hAnsi="宋体" w:cs="宋体"/>
          <w:color w:val="auto"/>
          <w:szCs w:val="24"/>
          <w:highlight w:val="none"/>
        </w:rPr>
      </w:pPr>
      <w:r>
        <w:rPr>
          <w:rFonts w:hint="eastAsia" w:ascii="宋体" w:hAnsi="宋体" w:cs="宋体"/>
          <w:color w:val="auto"/>
          <w:szCs w:val="24"/>
          <w:highlight w:val="none"/>
        </w:rPr>
        <w:t>健全的财务会计制度的证明材料；</w:t>
      </w:r>
    </w:p>
    <w:p>
      <w:pPr>
        <w:numPr>
          <w:ilvl w:val="0"/>
          <w:numId w:val="18"/>
        </w:numPr>
        <w:ind w:firstLine="492"/>
        <w:rPr>
          <w:rFonts w:ascii="宋体" w:hAnsi="宋体" w:cs="宋体"/>
          <w:color w:val="auto"/>
          <w:szCs w:val="24"/>
          <w:highlight w:val="none"/>
        </w:rPr>
      </w:pPr>
      <w:r>
        <w:rPr>
          <w:rFonts w:hint="eastAsia" w:ascii="宋体" w:hAnsi="宋体" w:cs="宋体"/>
          <w:color w:val="auto"/>
          <w:szCs w:val="24"/>
          <w:highlight w:val="none"/>
        </w:rPr>
        <w:t>投标人缴纳税收的证明材料；</w:t>
      </w:r>
    </w:p>
    <w:p>
      <w:pPr>
        <w:numPr>
          <w:ilvl w:val="0"/>
          <w:numId w:val="18"/>
        </w:numPr>
        <w:ind w:firstLine="492"/>
        <w:rPr>
          <w:rFonts w:ascii="宋体" w:hAnsi="宋体" w:cs="宋体"/>
          <w:color w:val="auto"/>
          <w:szCs w:val="24"/>
          <w:highlight w:val="none"/>
        </w:rPr>
      </w:pPr>
      <w:r>
        <w:rPr>
          <w:rFonts w:hint="eastAsia" w:ascii="宋体" w:hAnsi="宋体" w:cs="宋体"/>
          <w:color w:val="auto"/>
          <w:szCs w:val="24"/>
          <w:highlight w:val="none"/>
        </w:rPr>
        <w:t>投标人缴纳社会保障资金的证明材料 ；</w:t>
      </w:r>
    </w:p>
    <w:p>
      <w:pPr>
        <w:numPr>
          <w:ilvl w:val="0"/>
          <w:numId w:val="18"/>
        </w:numPr>
        <w:ind w:firstLine="492"/>
        <w:rPr>
          <w:rFonts w:ascii="宋体" w:hAnsi="宋体" w:cs="宋体"/>
          <w:color w:val="auto"/>
          <w:szCs w:val="24"/>
          <w:highlight w:val="none"/>
        </w:rPr>
      </w:pPr>
      <w:r>
        <w:rPr>
          <w:rFonts w:hint="eastAsia" w:ascii="宋体" w:hAnsi="宋体" w:cs="宋体"/>
          <w:color w:val="auto"/>
          <w:szCs w:val="24"/>
          <w:highlight w:val="none"/>
        </w:rPr>
        <w:t>承诺</w:t>
      </w:r>
      <w:r>
        <w:rPr>
          <w:rFonts w:hint="eastAsia" w:ascii="宋体" w:hAnsi="宋体" w:cs="宋体"/>
          <w:color w:val="auto"/>
          <w:szCs w:val="24"/>
          <w:highlight w:val="none"/>
          <w:lang w:val="en-US" w:eastAsia="zh-CN"/>
        </w:rPr>
        <w:t>函</w:t>
      </w:r>
      <w:r>
        <w:rPr>
          <w:rFonts w:hint="eastAsia" w:ascii="宋体" w:hAnsi="宋体" w:cs="宋体"/>
          <w:color w:val="auto"/>
          <w:szCs w:val="24"/>
          <w:highlight w:val="none"/>
        </w:rPr>
        <w:t>；</w:t>
      </w:r>
    </w:p>
    <w:p>
      <w:pPr>
        <w:numPr>
          <w:ilvl w:val="0"/>
          <w:numId w:val="18"/>
        </w:numPr>
        <w:ind w:firstLine="504"/>
        <w:rPr>
          <w:rFonts w:hint="eastAsia" w:ascii="宋体" w:hAnsi="宋体" w:eastAsia="宋体" w:cs="宋体"/>
          <w:color w:val="auto"/>
          <w:szCs w:val="24"/>
          <w:highlight w:val="none"/>
        </w:rPr>
      </w:pPr>
      <w:r>
        <w:rPr>
          <w:rFonts w:hint="eastAsia" w:ascii="宋体" w:hAnsi="宋体" w:cs="宋体"/>
          <w:color w:val="auto"/>
          <w:szCs w:val="24"/>
          <w:highlight w:val="none"/>
        </w:rPr>
        <w:t xml:space="preserve"> </w:t>
      </w:r>
      <w:r>
        <w:rPr>
          <w:rFonts w:hint="eastAsia" w:ascii="宋体" w:hAnsi="宋体" w:eastAsia="宋体" w:cs="宋体"/>
          <w:color w:val="auto"/>
          <w:szCs w:val="24"/>
          <w:highlight w:val="none"/>
        </w:rPr>
        <w:t>中小企业声明函</w:t>
      </w:r>
      <w:r>
        <w:rPr>
          <w:rFonts w:hint="eastAsia" w:ascii="宋体" w:hAnsi="宋体" w:eastAsia="宋体" w:cs="宋体"/>
          <w:color w:val="auto"/>
          <w:szCs w:val="24"/>
          <w:highlight w:val="none"/>
          <w:lang w:eastAsia="zh-CN"/>
        </w:rPr>
        <w:t>；</w:t>
      </w:r>
    </w:p>
    <w:p>
      <w:pPr>
        <w:numPr>
          <w:ilvl w:val="0"/>
          <w:numId w:val="18"/>
        </w:numPr>
        <w:ind w:firstLine="504"/>
        <w:rPr>
          <w:rFonts w:ascii="宋体" w:hAnsi="宋体" w:cs="宋体"/>
          <w:color w:val="auto"/>
          <w:sz w:val="24"/>
          <w:szCs w:val="24"/>
          <w:highlight w:val="none"/>
        </w:rPr>
      </w:pPr>
      <w:r>
        <w:rPr>
          <w:rFonts w:hint="eastAsia" w:ascii="宋体" w:hAnsi="宋体" w:eastAsia="宋体" w:cs="宋体"/>
          <w:color w:val="auto"/>
          <w:szCs w:val="24"/>
          <w:highlight w:val="none"/>
        </w:rPr>
        <w:t>残疾人福利性单位声明函</w:t>
      </w:r>
      <w:r>
        <w:rPr>
          <w:rFonts w:hint="eastAsia" w:ascii="宋体" w:hAnsi="宋体" w:cs="宋体"/>
          <w:color w:val="auto"/>
          <w:sz w:val="24"/>
          <w:szCs w:val="24"/>
          <w:highlight w:val="none"/>
          <w:lang w:eastAsia="zh-CN"/>
        </w:rPr>
        <w:t>；</w:t>
      </w:r>
    </w:p>
    <w:p>
      <w:pPr>
        <w:numPr>
          <w:ilvl w:val="0"/>
          <w:numId w:val="18"/>
        </w:numPr>
        <w:ind w:firstLine="492"/>
        <w:rPr>
          <w:rFonts w:ascii="宋体" w:hAnsi="宋体" w:cs="宋体"/>
          <w:color w:val="auto"/>
          <w:szCs w:val="24"/>
          <w:highlight w:val="none"/>
        </w:rPr>
      </w:pPr>
      <w:r>
        <w:rPr>
          <w:rFonts w:hint="eastAsia" w:ascii="宋体" w:hAnsi="宋体" w:cs="宋体"/>
          <w:color w:val="auto"/>
          <w:szCs w:val="24"/>
          <w:highlight w:val="none"/>
        </w:rPr>
        <w:t>法定代表人身份证明书；</w:t>
      </w:r>
    </w:p>
    <w:p>
      <w:pPr>
        <w:numPr>
          <w:ilvl w:val="0"/>
          <w:numId w:val="18"/>
        </w:numPr>
        <w:ind w:firstLine="492"/>
        <w:rPr>
          <w:rFonts w:ascii="宋体" w:hAnsi="宋体" w:cs="宋体"/>
          <w:color w:val="auto"/>
          <w:szCs w:val="24"/>
          <w:highlight w:val="none"/>
        </w:rPr>
      </w:pPr>
      <w:r>
        <w:rPr>
          <w:rFonts w:hint="eastAsia" w:ascii="宋体" w:hAnsi="宋体" w:cs="宋体"/>
          <w:color w:val="auto"/>
          <w:szCs w:val="24"/>
          <w:highlight w:val="none"/>
        </w:rPr>
        <w:t>法定代表人授权书原件；（投标文件均由供应商法定代表人签字的可不提供）</w:t>
      </w:r>
    </w:p>
    <w:p>
      <w:pPr>
        <w:numPr>
          <w:ilvl w:val="0"/>
          <w:numId w:val="18"/>
        </w:numPr>
        <w:spacing w:line="520" w:lineRule="exact"/>
        <w:ind w:firstLine="492"/>
        <w:rPr>
          <w:color w:val="auto"/>
          <w:highlight w:val="none"/>
        </w:rPr>
      </w:pPr>
      <w:r>
        <w:rPr>
          <w:rFonts w:hint="eastAsia" w:ascii="宋体" w:hAnsi="宋体"/>
          <w:color w:val="auto"/>
          <w:szCs w:val="24"/>
          <w:highlight w:val="none"/>
        </w:rPr>
        <w:t>采购人对法律、行政法规规定的其他条件无要求，投标人具有有效的营业执照或法人证书即可，可不提供其他证明材料。</w:t>
      </w:r>
    </w:p>
    <w:p>
      <w:pPr>
        <w:pStyle w:val="2"/>
        <w:spacing w:line="360" w:lineRule="auto"/>
        <w:ind w:firstLine="494"/>
        <w:rPr>
          <w:rFonts w:ascii="宋体" w:hAnsi="宋体" w:cs="宋体"/>
          <w:b/>
          <w:bCs/>
          <w:color w:val="auto"/>
          <w:szCs w:val="24"/>
          <w:highlight w:val="none"/>
        </w:rPr>
      </w:pPr>
      <w:r>
        <w:rPr>
          <w:rFonts w:hint="eastAsia" w:ascii="宋体" w:hAnsi="宋体" w:cs="宋体"/>
          <w:b/>
          <w:bCs/>
          <w:color w:val="auto"/>
          <w:szCs w:val="24"/>
          <w:highlight w:val="none"/>
        </w:rPr>
        <w:t>二、技术、服务性响应文件：</w:t>
      </w:r>
    </w:p>
    <w:p>
      <w:pPr>
        <w:numPr>
          <w:ilvl w:val="0"/>
          <w:numId w:val="19"/>
        </w:numPr>
        <w:ind w:firstLine="492"/>
        <w:rPr>
          <w:rFonts w:ascii="宋体" w:hAnsi="宋体" w:cs="宋体"/>
          <w:color w:val="auto"/>
          <w:szCs w:val="24"/>
          <w:highlight w:val="none"/>
        </w:rPr>
      </w:pPr>
      <w:r>
        <w:rPr>
          <w:rFonts w:hint="eastAsia" w:ascii="宋体" w:hAnsi="宋体" w:cs="宋体"/>
          <w:color w:val="auto"/>
          <w:szCs w:val="24"/>
          <w:highlight w:val="none"/>
        </w:rPr>
        <w:t>开标一览表；</w:t>
      </w:r>
    </w:p>
    <w:p>
      <w:pPr>
        <w:numPr>
          <w:ilvl w:val="0"/>
          <w:numId w:val="19"/>
        </w:numPr>
        <w:ind w:firstLine="492"/>
        <w:rPr>
          <w:rFonts w:ascii="宋体" w:hAnsi="宋体" w:cs="宋体"/>
          <w:color w:val="auto"/>
          <w:szCs w:val="24"/>
          <w:highlight w:val="none"/>
        </w:rPr>
      </w:pPr>
      <w:r>
        <w:rPr>
          <w:rFonts w:hint="eastAsia" w:ascii="宋体" w:hAnsi="宋体" w:cs="宋体"/>
          <w:color w:val="auto"/>
          <w:szCs w:val="24"/>
          <w:highlight w:val="none"/>
        </w:rPr>
        <w:t>投标人基本情况表；</w:t>
      </w:r>
    </w:p>
    <w:p>
      <w:pPr>
        <w:numPr>
          <w:ilvl w:val="0"/>
          <w:numId w:val="19"/>
        </w:numPr>
        <w:ind w:firstLine="492"/>
        <w:rPr>
          <w:rFonts w:ascii="宋体" w:hAnsi="宋体" w:cs="宋体"/>
          <w:color w:val="auto"/>
          <w:szCs w:val="24"/>
          <w:highlight w:val="none"/>
        </w:rPr>
      </w:pPr>
      <w:r>
        <w:rPr>
          <w:rFonts w:hint="eastAsia" w:ascii="宋体" w:hAnsi="宋体" w:cs="宋体"/>
          <w:color w:val="auto"/>
          <w:szCs w:val="24"/>
          <w:highlight w:val="none"/>
        </w:rPr>
        <w:t>商务条款偏离表；</w:t>
      </w:r>
    </w:p>
    <w:p>
      <w:pPr>
        <w:numPr>
          <w:ilvl w:val="0"/>
          <w:numId w:val="19"/>
        </w:numPr>
        <w:ind w:firstLine="492"/>
        <w:rPr>
          <w:rFonts w:ascii="宋体" w:hAnsi="宋体" w:cs="宋体"/>
          <w:color w:val="auto"/>
          <w:szCs w:val="24"/>
          <w:highlight w:val="none"/>
        </w:rPr>
      </w:pPr>
      <w:r>
        <w:rPr>
          <w:rFonts w:hint="eastAsia" w:ascii="宋体" w:hAnsi="宋体" w:cs="宋体"/>
          <w:color w:val="auto"/>
          <w:szCs w:val="24"/>
          <w:highlight w:val="none"/>
        </w:rPr>
        <w:t>技术条款偏离表；</w:t>
      </w:r>
    </w:p>
    <w:p>
      <w:pPr>
        <w:numPr>
          <w:ilvl w:val="0"/>
          <w:numId w:val="19"/>
        </w:numPr>
        <w:ind w:firstLine="492"/>
        <w:rPr>
          <w:rFonts w:ascii="宋体" w:hAnsi="宋体" w:cs="宋体"/>
          <w:color w:val="auto"/>
          <w:szCs w:val="24"/>
          <w:highlight w:val="none"/>
        </w:rPr>
      </w:pPr>
      <w:r>
        <w:rPr>
          <w:rFonts w:hint="eastAsia" w:ascii="宋体" w:hAnsi="宋体" w:cs="宋体"/>
          <w:color w:val="auto"/>
          <w:szCs w:val="24"/>
          <w:highlight w:val="none"/>
        </w:rPr>
        <w:t>业绩一览表；</w:t>
      </w:r>
    </w:p>
    <w:p>
      <w:pPr>
        <w:numPr>
          <w:ilvl w:val="0"/>
          <w:numId w:val="19"/>
        </w:numPr>
        <w:ind w:firstLine="492"/>
        <w:rPr>
          <w:rFonts w:ascii="宋体" w:hAnsi="宋体" w:cs="宋体"/>
          <w:color w:val="auto"/>
          <w:szCs w:val="24"/>
          <w:highlight w:val="none"/>
        </w:rPr>
      </w:pPr>
      <w:r>
        <w:rPr>
          <w:rFonts w:hint="eastAsia" w:ascii="宋体" w:hAnsi="宋体" w:cs="宋体"/>
          <w:color w:val="auto"/>
          <w:szCs w:val="24"/>
          <w:highlight w:val="none"/>
        </w:rPr>
        <w:t>服务方案；</w:t>
      </w:r>
    </w:p>
    <w:p>
      <w:pPr>
        <w:numPr>
          <w:ilvl w:val="0"/>
          <w:numId w:val="19"/>
        </w:numPr>
        <w:ind w:firstLine="492"/>
        <w:rPr>
          <w:rFonts w:ascii="宋体" w:hAnsi="宋体" w:cs="宋体"/>
          <w:color w:val="auto"/>
          <w:szCs w:val="24"/>
          <w:highlight w:val="none"/>
        </w:rPr>
      </w:pPr>
      <w:r>
        <w:rPr>
          <w:rFonts w:hint="eastAsia" w:ascii="宋体" w:hAnsi="宋体" w:cs="宋体"/>
          <w:color w:val="auto"/>
          <w:szCs w:val="24"/>
          <w:highlight w:val="none"/>
        </w:rPr>
        <w:t>其他投标人认为需要提供的文件和资料（如有）。</w:t>
      </w:r>
    </w:p>
    <w:p>
      <w:pPr>
        <w:pStyle w:val="2"/>
        <w:numPr>
          <w:ilvl w:val="0"/>
          <w:numId w:val="16"/>
        </w:numPr>
        <w:spacing w:line="360" w:lineRule="auto"/>
        <w:ind w:firstLine="494"/>
        <w:rPr>
          <w:rFonts w:ascii="宋体" w:hAnsi="宋体" w:cs="宋体"/>
          <w:b/>
          <w:bCs/>
          <w:color w:val="auto"/>
          <w:szCs w:val="24"/>
          <w:highlight w:val="none"/>
        </w:rPr>
      </w:pPr>
      <w:r>
        <w:rPr>
          <w:rFonts w:hint="eastAsia" w:ascii="宋体" w:hAnsi="宋体" w:cs="宋体"/>
          <w:b/>
          <w:bCs/>
          <w:color w:val="auto"/>
          <w:szCs w:val="24"/>
          <w:highlight w:val="none"/>
        </w:rPr>
        <w:t>开标一览表单独密封一份。</w:t>
      </w:r>
    </w:p>
    <w:p>
      <w:pPr>
        <w:pStyle w:val="2"/>
        <w:numPr>
          <w:ilvl w:val="0"/>
          <w:numId w:val="16"/>
        </w:numPr>
        <w:spacing w:line="360" w:lineRule="auto"/>
        <w:ind w:firstLine="494"/>
        <w:rPr>
          <w:rFonts w:ascii="宋体" w:hAnsi="宋体" w:cs="宋体"/>
          <w:b/>
          <w:bCs/>
          <w:color w:val="auto"/>
          <w:szCs w:val="24"/>
          <w:highlight w:val="none"/>
        </w:rPr>
      </w:pPr>
      <w:r>
        <w:rPr>
          <w:rFonts w:hint="eastAsia" w:ascii="宋体" w:hAnsi="宋体" w:cs="宋体"/>
          <w:b/>
          <w:bCs/>
          <w:color w:val="auto"/>
          <w:szCs w:val="24"/>
          <w:highlight w:val="none"/>
        </w:rPr>
        <w:t>电子文档一份。</w:t>
      </w:r>
    </w:p>
    <w:p>
      <w:pPr>
        <w:ind w:firstLine="494"/>
        <w:rPr>
          <w:rFonts w:ascii="宋体" w:hAnsi="宋体" w:cs="宋体"/>
          <w:b/>
          <w:bCs/>
          <w:color w:val="auto"/>
          <w:szCs w:val="24"/>
          <w:highlight w:val="none"/>
        </w:rPr>
      </w:pPr>
      <w:r>
        <w:rPr>
          <w:rFonts w:hint="eastAsia" w:ascii="宋体" w:hAnsi="宋体"/>
          <w:b/>
          <w:color w:val="auto"/>
          <w:highlight w:val="none"/>
        </w:rPr>
        <w:t>供应商还须另外提供与投标文件相一致的电子文档一份。（供应商递交投标文件后电子文档概不退还，电子文档与投标文件不一致的，以投标文件为准，但不影响有效性）。</w:t>
      </w:r>
    </w:p>
    <w:p>
      <w:pPr>
        <w:pStyle w:val="5"/>
        <w:ind w:left="322" w:leftChars="0" w:firstLine="494" w:firstLineChars="0"/>
        <w:rPr>
          <w:rFonts w:cs="宋体"/>
          <w:color w:val="auto"/>
          <w:szCs w:val="24"/>
          <w:highlight w:val="none"/>
        </w:rPr>
      </w:pPr>
      <w:bookmarkStart w:id="98" w:name="_Toc6280"/>
      <w:r>
        <w:rPr>
          <w:rFonts w:hint="eastAsia" w:cs="宋体"/>
          <w:color w:val="auto"/>
          <w:szCs w:val="24"/>
          <w:highlight w:val="none"/>
        </w:rPr>
        <w:t>投标文件格式</w:t>
      </w:r>
      <w:bookmarkEnd w:id="95"/>
      <w:bookmarkEnd w:id="96"/>
      <w:bookmarkEnd w:id="97"/>
      <w:bookmarkEnd w:id="98"/>
      <w:r>
        <w:rPr>
          <w:rFonts w:hint="eastAsia" w:cs="宋体"/>
          <w:color w:val="auto"/>
          <w:szCs w:val="24"/>
          <w:highlight w:val="none"/>
        </w:rPr>
        <w:tab/>
      </w:r>
    </w:p>
    <w:p>
      <w:pPr>
        <w:numPr>
          <w:ilvl w:val="0"/>
          <w:numId w:val="20"/>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投标人应按照招标文件第3章中提供的“投标文件格式”填写相关内容。</w:t>
      </w:r>
    </w:p>
    <w:p>
      <w:pPr>
        <w:numPr>
          <w:ilvl w:val="0"/>
          <w:numId w:val="20"/>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对于没有格式要求的投标文件由投标人自行编写。</w:t>
      </w:r>
    </w:p>
    <w:p>
      <w:pPr>
        <w:pStyle w:val="5"/>
        <w:ind w:left="322" w:leftChars="0" w:firstLine="494" w:firstLineChars="0"/>
        <w:rPr>
          <w:rFonts w:cs="宋体"/>
          <w:color w:val="auto"/>
          <w:szCs w:val="24"/>
          <w:highlight w:val="none"/>
        </w:rPr>
      </w:pPr>
      <w:bookmarkStart w:id="99" w:name="_Toc6545"/>
      <w:r>
        <w:rPr>
          <w:rFonts w:hint="eastAsia" w:cs="宋体"/>
          <w:color w:val="auto"/>
          <w:szCs w:val="24"/>
          <w:highlight w:val="none"/>
        </w:rPr>
        <w:t>投标报价</w:t>
      </w:r>
      <w:bookmarkEnd w:id="99"/>
    </w:p>
    <w:p>
      <w:pPr>
        <w:numPr>
          <w:ilvl w:val="0"/>
          <w:numId w:val="21"/>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投标人的报价是投标人响应招标项目要求的全部工作内容的价格体现，包括投标人完成本项目所需的一切费用。</w:t>
      </w:r>
    </w:p>
    <w:p>
      <w:pPr>
        <w:numPr>
          <w:ilvl w:val="0"/>
          <w:numId w:val="21"/>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投标人每种货物及服务内容只允许有一个报价，并且在合同履行过程中是固定不变的，任何有选择或可调整的报价将不予接受，并按无效投标处理。</w:t>
      </w:r>
    </w:p>
    <w:p>
      <w:pPr>
        <w:numPr>
          <w:ilvl w:val="0"/>
          <w:numId w:val="21"/>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投标文件报价出现前后不一致的，除招标文件另有规定外，按照下列规定修正：</w:t>
      </w:r>
    </w:p>
    <w:p>
      <w:pPr>
        <w:numPr>
          <w:ilvl w:val="0"/>
          <w:numId w:val="22"/>
        </w:numPr>
        <w:tabs>
          <w:tab w:val="left" w:pos="1134"/>
        </w:tabs>
        <w:ind w:firstLineChars="0"/>
        <w:rPr>
          <w:rFonts w:ascii="宋体" w:hAnsi="宋体"/>
          <w:color w:val="auto"/>
          <w:szCs w:val="24"/>
          <w:highlight w:val="none"/>
        </w:rPr>
      </w:pPr>
      <w:r>
        <w:rPr>
          <w:rFonts w:hint="eastAsia" w:ascii="宋体" w:hAnsi="宋体"/>
          <w:color w:val="auto"/>
          <w:szCs w:val="24"/>
          <w:highlight w:val="none"/>
        </w:rPr>
        <w:t>投标文件中开标一览表（报价表）内容与投标文件中相应内容不一致的，以开标一览表（报价表）为准；</w:t>
      </w:r>
    </w:p>
    <w:p>
      <w:pPr>
        <w:numPr>
          <w:ilvl w:val="0"/>
          <w:numId w:val="22"/>
        </w:numPr>
        <w:tabs>
          <w:tab w:val="left" w:pos="1134"/>
        </w:tabs>
        <w:ind w:firstLineChars="0"/>
        <w:rPr>
          <w:rFonts w:ascii="宋体" w:hAnsi="宋体" w:cs="宋体"/>
          <w:color w:val="auto"/>
          <w:szCs w:val="24"/>
          <w:highlight w:val="none"/>
        </w:rPr>
      </w:pPr>
      <w:r>
        <w:rPr>
          <w:rFonts w:hint="eastAsia" w:ascii="宋体" w:hAnsi="宋体" w:cs="宋体"/>
          <w:color w:val="auto"/>
          <w:szCs w:val="24"/>
          <w:highlight w:val="none"/>
        </w:rPr>
        <w:t>大写金额和小写金额不一致的，以大写金额为准；</w:t>
      </w:r>
    </w:p>
    <w:p>
      <w:pPr>
        <w:numPr>
          <w:ilvl w:val="0"/>
          <w:numId w:val="22"/>
        </w:numPr>
        <w:tabs>
          <w:tab w:val="left" w:pos="1134"/>
        </w:tabs>
        <w:ind w:firstLineChars="0"/>
        <w:rPr>
          <w:rFonts w:ascii="宋体" w:hAnsi="宋体"/>
          <w:color w:val="auto"/>
          <w:szCs w:val="24"/>
          <w:highlight w:val="none"/>
        </w:rPr>
      </w:pPr>
      <w:r>
        <w:rPr>
          <w:rFonts w:hint="eastAsia" w:ascii="宋体" w:hAnsi="宋体"/>
          <w:color w:val="auto"/>
          <w:szCs w:val="24"/>
          <w:highlight w:val="none"/>
        </w:rPr>
        <w:t>单价金额小数点或者百分比有明显错位的，以开标一览表的总价为准，并修改单价；</w:t>
      </w:r>
    </w:p>
    <w:p>
      <w:pPr>
        <w:numPr>
          <w:ilvl w:val="0"/>
          <w:numId w:val="22"/>
        </w:numPr>
        <w:tabs>
          <w:tab w:val="left" w:pos="1134"/>
        </w:tabs>
        <w:ind w:firstLineChars="0"/>
        <w:rPr>
          <w:rFonts w:ascii="宋体" w:hAnsi="宋体" w:cs="宋体"/>
          <w:color w:val="auto"/>
          <w:szCs w:val="24"/>
          <w:highlight w:val="none"/>
        </w:rPr>
      </w:pPr>
      <w:r>
        <w:rPr>
          <w:rFonts w:hint="eastAsia" w:ascii="宋体" w:hAnsi="宋体" w:cs="宋体"/>
          <w:color w:val="auto"/>
          <w:szCs w:val="24"/>
          <w:highlight w:val="none"/>
        </w:rPr>
        <w:t>总价金额与按单价汇总金额不一致的，以单价汇总金额计算结果为准；</w:t>
      </w:r>
    </w:p>
    <w:p>
      <w:pPr>
        <w:pStyle w:val="102"/>
        <w:tabs>
          <w:tab w:val="left" w:pos="1050"/>
        </w:tabs>
        <w:ind w:firstLine="492"/>
        <w:rPr>
          <w:rFonts w:ascii="宋体" w:hAnsi="宋体"/>
          <w:color w:val="auto"/>
          <w:szCs w:val="24"/>
          <w:highlight w:val="none"/>
        </w:rPr>
      </w:pPr>
      <w:r>
        <w:rPr>
          <w:rFonts w:hint="eastAsia" w:ascii="宋体" w:hAnsi="宋体"/>
          <w:color w:val="auto"/>
          <w:szCs w:val="24"/>
          <w:highlight w:val="none"/>
        </w:rPr>
        <w:t>同时出现两种以上不一致的，按照前款规定的顺序修正。修正后的报价经投标人确认后产生约束力，投标人不确认的，其投标无效。</w:t>
      </w:r>
    </w:p>
    <w:p>
      <w:pPr>
        <w:tabs>
          <w:tab w:val="left" w:pos="1134"/>
        </w:tabs>
        <w:ind w:firstLine="492"/>
        <w:rPr>
          <w:color w:val="auto"/>
          <w:highlight w:val="none"/>
        </w:rPr>
      </w:pPr>
      <w:r>
        <w:rPr>
          <w:rFonts w:hint="eastAsia" w:ascii="宋体" w:hAnsi="宋体"/>
          <w:color w:val="auto"/>
          <w:szCs w:val="24"/>
          <w:highlight w:val="none"/>
        </w:rPr>
        <w:t>出现本条第（4）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pStyle w:val="5"/>
        <w:tabs>
          <w:tab w:val="left" w:pos="851"/>
        </w:tabs>
        <w:ind w:left="322" w:leftChars="0" w:firstLine="494" w:firstLineChars="0"/>
        <w:rPr>
          <w:rFonts w:cs="宋体"/>
          <w:color w:val="auto"/>
          <w:szCs w:val="24"/>
          <w:highlight w:val="none"/>
        </w:rPr>
      </w:pPr>
      <w:bookmarkStart w:id="100" w:name="_Toc316291400"/>
      <w:bookmarkEnd w:id="100"/>
      <w:bookmarkStart w:id="101" w:name="_Toc316292024"/>
      <w:bookmarkEnd w:id="101"/>
      <w:bookmarkStart w:id="102" w:name="_Toc183582224"/>
      <w:bookmarkStart w:id="103" w:name="_Toc183682361"/>
      <w:bookmarkStart w:id="104" w:name="_Toc11141"/>
      <w:bookmarkStart w:id="105" w:name="_Toc217446051"/>
      <w:r>
        <w:rPr>
          <w:rFonts w:hint="eastAsia" w:cs="宋体"/>
          <w:color w:val="auto"/>
          <w:szCs w:val="24"/>
          <w:highlight w:val="none"/>
        </w:rPr>
        <w:t>投标有效期</w:t>
      </w:r>
      <w:bookmarkEnd w:id="102"/>
      <w:bookmarkEnd w:id="103"/>
      <w:bookmarkEnd w:id="104"/>
      <w:bookmarkEnd w:id="105"/>
      <w:r>
        <w:rPr>
          <w:rFonts w:hint="eastAsia" w:cs="宋体"/>
          <w:color w:val="auto"/>
          <w:szCs w:val="24"/>
          <w:highlight w:val="none"/>
        </w:rPr>
        <w:t>（实质性要求）</w:t>
      </w:r>
    </w:p>
    <w:p>
      <w:pPr>
        <w:numPr>
          <w:ilvl w:val="0"/>
          <w:numId w:val="23"/>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投标有效期为投标截止之日起</w:t>
      </w:r>
      <w:r>
        <w:rPr>
          <w:rFonts w:hint="eastAsia" w:ascii="宋体" w:hAnsi="宋体" w:cs="宋体"/>
          <w:color w:val="auto"/>
          <w:szCs w:val="24"/>
          <w:highlight w:val="none"/>
          <w:u w:val="single"/>
        </w:rPr>
        <w:t>90</w:t>
      </w:r>
      <w:r>
        <w:rPr>
          <w:rFonts w:hint="eastAsia" w:ascii="宋体" w:hAnsi="宋体" w:cs="宋体"/>
          <w:color w:val="auto"/>
          <w:szCs w:val="24"/>
          <w:highlight w:val="none"/>
        </w:rPr>
        <w:t>天。投标有效期短于此规定期限的或不作响应的，则其投标文件将按无效投标文件处理。</w:t>
      </w:r>
    </w:p>
    <w:p>
      <w:pPr>
        <w:numPr>
          <w:ilvl w:val="0"/>
          <w:numId w:val="23"/>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numPr>
          <w:ilvl w:val="0"/>
          <w:numId w:val="23"/>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tabs>
          <w:tab w:val="left" w:pos="851"/>
        </w:tabs>
        <w:ind w:left="322" w:leftChars="0" w:firstLine="494" w:firstLineChars="0"/>
        <w:rPr>
          <w:rFonts w:cs="宋体"/>
          <w:color w:val="auto"/>
          <w:szCs w:val="24"/>
          <w:highlight w:val="none"/>
        </w:rPr>
      </w:pPr>
      <w:bookmarkStart w:id="106" w:name="_Toc5624"/>
      <w:bookmarkStart w:id="107" w:name="_Toc183582225"/>
      <w:bookmarkStart w:id="108" w:name="_Toc183682362"/>
      <w:bookmarkStart w:id="109" w:name="_Toc217446052"/>
      <w:r>
        <w:rPr>
          <w:rFonts w:hint="eastAsia" w:cs="宋体"/>
          <w:color w:val="auto"/>
          <w:szCs w:val="24"/>
          <w:highlight w:val="none"/>
        </w:rPr>
        <w:t>投标文件的印制和签署</w:t>
      </w:r>
      <w:bookmarkEnd w:id="106"/>
      <w:bookmarkEnd w:id="107"/>
      <w:bookmarkEnd w:id="108"/>
      <w:bookmarkEnd w:id="109"/>
    </w:p>
    <w:p>
      <w:pPr>
        <w:numPr>
          <w:ilvl w:val="0"/>
          <w:numId w:val="24"/>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人应准备投标文件正本1份、副本2份（即资格性响应文件正本1份、副本2份，技术、服务性响应文件正本1份、副本2份）、“开标一览表”1份、电子文档1份。若正本和副本有不一致的内容，以正本书面投标文件为准。</w:t>
      </w:r>
    </w:p>
    <w:p>
      <w:pPr>
        <w:numPr>
          <w:ilvl w:val="0"/>
          <w:numId w:val="24"/>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 xml:space="preserve"> 投标文件的正本和副本均需打印或用不褪色、不变质的墨水书写，投标文件应由投标人法定代表人或经法定代表人正式授权的代理人在招标文件要求的地方签字或加盖单位公章。投标文件副本可采用正本的复印件，用于开标唱标单独提交的“开标一览表”应为原件。</w:t>
      </w:r>
    </w:p>
    <w:p>
      <w:pPr>
        <w:numPr>
          <w:ilvl w:val="0"/>
          <w:numId w:val="24"/>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投标文件的打印和书写应清楚工整，任何行间插字、涂改或增删，必须由投标人的法定代表人或其授权代表签字或盖个人印鉴。</w:t>
      </w:r>
    </w:p>
    <w:p>
      <w:pPr>
        <w:numPr>
          <w:ilvl w:val="0"/>
          <w:numId w:val="24"/>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投标文件正本和副本应当采取胶装方式装订成册（不能使用订书钉或活页夹装订，不能是散页；对投标文件的修改或撤回的书面通知除外）。（实质性要求）</w:t>
      </w:r>
    </w:p>
    <w:p>
      <w:pPr>
        <w:numPr>
          <w:ilvl w:val="0"/>
          <w:numId w:val="24"/>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文件应根据招标文件的要求制作，签署、盖章和内容应完整。（说明：1、招标文件中要求提供复印件证明材料的，系指提供原件的影印件。2、招标文件中要求提供复印件加盖单位公章的证明材料的，复印件所在页按要求加盖了公章或复印件为多页但至少有一页按要求加盖了公章的，视为满足复印件加盖公章的要求。）</w:t>
      </w:r>
    </w:p>
    <w:p>
      <w:pPr>
        <w:numPr>
          <w:ilvl w:val="0"/>
          <w:numId w:val="24"/>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投标文件统一用A4幅面纸印制（表、图及证件可以除外），并逐页编码。</w:t>
      </w:r>
    </w:p>
    <w:p>
      <w:pPr>
        <w:pStyle w:val="5"/>
        <w:tabs>
          <w:tab w:val="left" w:pos="851"/>
        </w:tabs>
        <w:ind w:left="322" w:leftChars="0" w:firstLine="494" w:firstLineChars="0"/>
        <w:rPr>
          <w:rFonts w:cs="宋体"/>
          <w:color w:val="auto"/>
          <w:szCs w:val="24"/>
          <w:highlight w:val="none"/>
        </w:rPr>
      </w:pPr>
      <w:bookmarkStart w:id="110" w:name="_Toc316475582"/>
      <w:bookmarkEnd w:id="110"/>
      <w:bookmarkStart w:id="111" w:name="_Toc316475579"/>
      <w:bookmarkEnd w:id="111"/>
      <w:bookmarkStart w:id="112" w:name="_Toc316475581"/>
      <w:bookmarkEnd w:id="112"/>
      <w:bookmarkStart w:id="113" w:name="_Toc316475583"/>
      <w:bookmarkEnd w:id="113"/>
      <w:bookmarkStart w:id="114" w:name="_Toc316475578"/>
      <w:bookmarkEnd w:id="114"/>
      <w:bookmarkStart w:id="115" w:name="_Toc316475577"/>
      <w:bookmarkEnd w:id="115"/>
      <w:bookmarkStart w:id="116" w:name="_Toc316475580"/>
      <w:bookmarkEnd w:id="116"/>
      <w:bookmarkStart w:id="117" w:name="_Toc77400781"/>
      <w:bookmarkStart w:id="118" w:name="_Toc183682363"/>
      <w:bookmarkStart w:id="119" w:name="_Toc89075877"/>
      <w:bookmarkStart w:id="120" w:name="_Toc217446053"/>
      <w:bookmarkStart w:id="121" w:name="_Toc183582226"/>
      <w:bookmarkStart w:id="122" w:name="_Toc13094"/>
      <w:r>
        <w:rPr>
          <w:rFonts w:hint="eastAsia" w:cs="宋体"/>
          <w:color w:val="auto"/>
          <w:szCs w:val="24"/>
          <w:highlight w:val="none"/>
        </w:rPr>
        <w:t>投标文件的密封和标注</w:t>
      </w:r>
      <w:bookmarkEnd w:id="117"/>
      <w:bookmarkEnd w:id="118"/>
      <w:bookmarkEnd w:id="119"/>
      <w:bookmarkEnd w:id="120"/>
      <w:bookmarkEnd w:id="121"/>
      <w:bookmarkEnd w:id="122"/>
    </w:p>
    <w:p>
      <w:pPr>
        <w:numPr>
          <w:ilvl w:val="0"/>
          <w:numId w:val="25"/>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投标文件标注要求：</w:t>
      </w:r>
    </w:p>
    <w:p>
      <w:pPr>
        <w:numPr>
          <w:ilvl w:val="0"/>
          <w:numId w:val="26"/>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投标文件封面标注要求：投标人应在投标文件正本和所有副本的封面上注明投标人名称、</w:t>
      </w:r>
      <w:r>
        <w:rPr>
          <w:rFonts w:hint="eastAsia" w:ascii="宋体" w:hAnsi="宋体" w:cs="宋体"/>
          <w:color w:val="auto"/>
          <w:szCs w:val="24"/>
          <w:highlight w:val="none"/>
          <w:lang w:eastAsia="zh-CN"/>
        </w:rPr>
        <w:t>项目编号</w:t>
      </w:r>
      <w:r>
        <w:rPr>
          <w:rFonts w:hint="eastAsia" w:ascii="宋体" w:hAnsi="宋体" w:cs="宋体"/>
          <w:color w:val="auto"/>
          <w:szCs w:val="24"/>
          <w:highlight w:val="none"/>
        </w:rPr>
        <w:t>、项目名称、日期及包件号并在封面上清晰地标注正本或副本字样。开标一览表封面注明供应商名称、项目编号、项目名称、日期及包件号（如有分包）及开标一览表字样。</w:t>
      </w:r>
      <w:r>
        <w:rPr>
          <w:rFonts w:hint="eastAsia"/>
          <w:color w:val="auto"/>
          <w:highlight w:val="none"/>
        </w:rPr>
        <w:t>电子文档封面注明</w:t>
      </w:r>
      <w:r>
        <w:rPr>
          <w:rFonts w:hint="eastAsia" w:ascii="宋体" w:hAnsi="宋体" w:cs="宋体"/>
          <w:color w:val="auto"/>
          <w:szCs w:val="24"/>
          <w:highlight w:val="none"/>
        </w:rPr>
        <w:t>供应商名称、项目编号、项目名称、日期及包件号及电子文档字样。</w:t>
      </w:r>
    </w:p>
    <w:p>
      <w:pPr>
        <w:pStyle w:val="2"/>
        <w:numPr>
          <w:ilvl w:val="0"/>
          <w:numId w:val="26"/>
        </w:numPr>
        <w:spacing w:line="360" w:lineRule="auto"/>
        <w:ind w:firstLine="492"/>
        <w:rPr>
          <w:color w:val="auto"/>
          <w:highlight w:val="none"/>
        </w:rPr>
      </w:pPr>
      <w:r>
        <w:rPr>
          <w:rFonts w:hint="eastAsia" w:ascii="宋体" w:hAnsi="宋体" w:cs="宋体"/>
          <w:color w:val="auto"/>
          <w:szCs w:val="24"/>
          <w:highlight w:val="none"/>
        </w:rPr>
        <w:t>投标文件密封袋标注要求：投标文件的密封袋上应当注明投标人名称、</w:t>
      </w:r>
      <w:r>
        <w:rPr>
          <w:rFonts w:hint="eastAsia" w:ascii="宋体" w:hAnsi="宋体" w:cs="宋体"/>
          <w:color w:val="auto"/>
          <w:szCs w:val="24"/>
          <w:highlight w:val="none"/>
          <w:lang w:eastAsia="zh-CN"/>
        </w:rPr>
        <w:t>项目编号</w:t>
      </w:r>
      <w:r>
        <w:rPr>
          <w:rFonts w:hint="eastAsia" w:ascii="宋体" w:hAnsi="宋体" w:cs="宋体"/>
          <w:color w:val="auto"/>
          <w:szCs w:val="24"/>
          <w:highlight w:val="none"/>
        </w:rPr>
        <w:t>、项目名称、日期及包件号。</w:t>
      </w:r>
    </w:p>
    <w:p>
      <w:pPr>
        <w:pStyle w:val="2"/>
        <w:numPr>
          <w:ilvl w:val="0"/>
          <w:numId w:val="26"/>
        </w:numPr>
        <w:spacing w:line="360" w:lineRule="auto"/>
        <w:ind w:firstLine="492"/>
        <w:rPr>
          <w:color w:val="auto"/>
          <w:highlight w:val="none"/>
        </w:rPr>
      </w:pPr>
      <w:r>
        <w:rPr>
          <w:rFonts w:hint="eastAsia" w:ascii="宋体" w:hAnsi="宋体" w:cs="宋体"/>
          <w:color w:val="auto"/>
          <w:szCs w:val="24"/>
          <w:highlight w:val="none"/>
        </w:rPr>
        <w:t>标注格式详见招标文件第三章。</w:t>
      </w:r>
    </w:p>
    <w:p>
      <w:pPr>
        <w:numPr>
          <w:ilvl w:val="0"/>
          <w:numId w:val="25"/>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投标文件密封要求：</w:t>
      </w:r>
    </w:p>
    <w:p>
      <w:p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资格性响应文件和技术、服务性响应文件及“开标一览表”均需单独密封。其中，资格性响应文件的正本和副本可密封在一起也可单独密封；技术、服务性响应文件的正本和副本可密封在一起也可单独密封。</w:t>
      </w:r>
    </w:p>
    <w:p>
      <w:pPr>
        <w:pStyle w:val="5"/>
        <w:ind w:left="322" w:leftChars="0" w:firstLine="494" w:firstLineChars="0"/>
        <w:rPr>
          <w:rFonts w:cs="宋体"/>
          <w:color w:val="auto"/>
          <w:szCs w:val="24"/>
          <w:highlight w:val="none"/>
        </w:rPr>
      </w:pPr>
      <w:bookmarkStart w:id="123" w:name="_Toc183682364"/>
      <w:bookmarkStart w:id="124" w:name="_Toc183582227"/>
      <w:bookmarkStart w:id="125" w:name="_Toc12728"/>
      <w:bookmarkStart w:id="126" w:name="_Toc217446054"/>
      <w:r>
        <w:rPr>
          <w:rFonts w:hint="eastAsia" w:cs="宋体"/>
          <w:color w:val="auto"/>
          <w:szCs w:val="24"/>
          <w:highlight w:val="none"/>
        </w:rPr>
        <w:t>投标文件的</w:t>
      </w:r>
      <w:bookmarkEnd w:id="123"/>
      <w:bookmarkEnd w:id="124"/>
      <w:r>
        <w:rPr>
          <w:rFonts w:hint="eastAsia" w:cs="宋体"/>
          <w:color w:val="auto"/>
          <w:szCs w:val="24"/>
          <w:highlight w:val="none"/>
        </w:rPr>
        <w:t>递交</w:t>
      </w:r>
      <w:bookmarkEnd w:id="125"/>
      <w:bookmarkEnd w:id="126"/>
    </w:p>
    <w:p>
      <w:pPr>
        <w:numPr>
          <w:ilvl w:val="0"/>
          <w:numId w:val="27"/>
        </w:numPr>
        <w:tabs>
          <w:tab w:val="left" w:pos="1134"/>
        </w:tabs>
        <w:ind w:firstLine="492"/>
        <w:rPr>
          <w:rFonts w:ascii="宋体" w:hAnsi="宋体" w:cs="宋体"/>
          <w:bCs/>
          <w:color w:val="auto"/>
          <w:szCs w:val="24"/>
          <w:highlight w:val="none"/>
        </w:rPr>
      </w:pPr>
      <w:r>
        <w:rPr>
          <w:rFonts w:hint="eastAsia" w:ascii="宋体" w:hAnsi="宋体" w:cs="宋体"/>
          <w:bCs/>
          <w:color w:val="auto"/>
          <w:szCs w:val="24"/>
          <w:highlight w:val="none"/>
        </w:rPr>
        <w:t>投标人应在投标截止时间之前将投标文件按照招标文件的规定密封后送达开标地点，投标截止时间后送达的投标文件将被拒绝接收。</w:t>
      </w:r>
    </w:p>
    <w:p>
      <w:pPr>
        <w:numPr>
          <w:ilvl w:val="0"/>
          <w:numId w:val="27"/>
        </w:numPr>
        <w:tabs>
          <w:tab w:val="left" w:pos="1134"/>
        </w:tabs>
        <w:ind w:firstLine="492"/>
        <w:rPr>
          <w:rFonts w:ascii="宋体" w:hAnsi="宋体" w:cs="宋体"/>
          <w:bCs/>
          <w:color w:val="auto"/>
          <w:szCs w:val="24"/>
          <w:highlight w:val="none"/>
        </w:rPr>
      </w:pPr>
      <w:r>
        <w:rPr>
          <w:rFonts w:hint="eastAsia" w:ascii="宋体" w:hAnsi="宋体" w:cs="宋体"/>
          <w:bCs/>
          <w:color w:val="auto"/>
          <w:szCs w:val="24"/>
          <w:highlight w:val="none"/>
        </w:rPr>
        <w:t>递交投标文件时，报名供应商名称和招标文件的文号、包件号应当与投标供应商名称和招标文件的文号、包件号一致。但是，投标文件实质内容报名供应商名称和招标文件的文号、包件号一致，只是封面文字错误的，可以在评标过程中当面予以澄清，以有效的澄清材料作为认定投标文件是否有效的依据。</w:t>
      </w:r>
    </w:p>
    <w:p>
      <w:pPr>
        <w:numPr>
          <w:ilvl w:val="0"/>
          <w:numId w:val="27"/>
        </w:numPr>
        <w:tabs>
          <w:tab w:val="left" w:pos="0"/>
        </w:tabs>
        <w:ind w:firstLine="492"/>
        <w:rPr>
          <w:rFonts w:ascii="宋体" w:hAnsi="宋体" w:cs="宋体"/>
          <w:bCs/>
          <w:color w:val="auto"/>
          <w:szCs w:val="24"/>
          <w:highlight w:val="none"/>
        </w:rPr>
      </w:pPr>
      <w:r>
        <w:rPr>
          <w:rFonts w:hint="eastAsia" w:ascii="宋体" w:hAnsi="宋体" w:cs="宋体"/>
          <w:bCs/>
          <w:color w:val="auto"/>
          <w:szCs w:val="24"/>
          <w:highlight w:val="none"/>
        </w:rPr>
        <w:t>因招标文件的修改推迟投标截止日期的，按采购代理机构书面通知修改的时间递交。</w:t>
      </w:r>
    </w:p>
    <w:p>
      <w:pPr>
        <w:numPr>
          <w:ilvl w:val="0"/>
          <w:numId w:val="27"/>
        </w:numPr>
        <w:tabs>
          <w:tab w:val="left" w:pos="0"/>
        </w:tabs>
        <w:ind w:firstLine="492"/>
        <w:rPr>
          <w:rFonts w:ascii="宋体" w:hAnsi="宋体" w:cs="宋体"/>
          <w:bCs/>
          <w:color w:val="auto"/>
          <w:szCs w:val="24"/>
          <w:highlight w:val="none"/>
        </w:rPr>
      </w:pPr>
      <w:r>
        <w:rPr>
          <w:rFonts w:hint="eastAsia" w:ascii="宋体" w:hAnsi="宋体" w:cs="宋体"/>
          <w:bCs/>
          <w:color w:val="auto"/>
          <w:szCs w:val="24"/>
          <w:highlight w:val="none"/>
        </w:rPr>
        <w:t>本次招标不接收以电子邮件、传真及邮寄方式递交的投标文件。</w:t>
      </w:r>
    </w:p>
    <w:p>
      <w:pPr>
        <w:pStyle w:val="5"/>
        <w:ind w:left="322" w:leftChars="0" w:firstLine="494" w:firstLineChars="0"/>
        <w:rPr>
          <w:rFonts w:cs="宋体"/>
          <w:color w:val="auto"/>
          <w:szCs w:val="24"/>
          <w:highlight w:val="none"/>
        </w:rPr>
      </w:pPr>
      <w:bookmarkStart w:id="127" w:name="_Toc316475587"/>
      <w:bookmarkEnd w:id="127"/>
      <w:bookmarkStart w:id="128" w:name="_Toc316475586"/>
      <w:bookmarkEnd w:id="128"/>
      <w:bookmarkStart w:id="129" w:name="_Toc183582228"/>
      <w:bookmarkStart w:id="130" w:name="_Toc183682365"/>
      <w:bookmarkStart w:id="131" w:name="_Toc12450"/>
      <w:bookmarkStart w:id="132" w:name="_Toc217446055"/>
      <w:r>
        <w:rPr>
          <w:rFonts w:hint="eastAsia" w:cs="宋体"/>
          <w:color w:val="auto"/>
          <w:szCs w:val="24"/>
          <w:highlight w:val="none"/>
        </w:rPr>
        <w:t>投标文件的修改和撤</w:t>
      </w:r>
      <w:bookmarkEnd w:id="129"/>
      <w:bookmarkEnd w:id="130"/>
      <w:r>
        <w:rPr>
          <w:rFonts w:hint="eastAsia" w:cs="宋体"/>
          <w:color w:val="auto"/>
          <w:szCs w:val="24"/>
          <w:highlight w:val="none"/>
        </w:rPr>
        <w:t>回</w:t>
      </w:r>
      <w:bookmarkEnd w:id="131"/>
      <w:bookmarkEnd w:id="132"/>
    </w:p>
    <w:p>
      <w:pPr>
        <w:numPr>
          <w:ilvl w:val="0"/>
          <w:numId w:val="28"/>
        </w:numPr>
        <w:tabs>
          <w:tab w:val="left" w:pos="1134"/>
        </w:tabs>
        <w:ind w:firstLine="492"/>
        <w:rPr>
          <w:rFonts w:ascii="宋体" w:hAnsi="宋体" w:cs="宋体"/>
          <w:bCs/>
          <w:color w:val="auto"/>
          <w:szCs w:val="24"/>
          <w:highlight w:val="none"/>
        </w:rPr>
      </w:pPr>
      <w:r>
        <w:rPr>
          <w:rFonts w:hint="eastAsia" w:ascii="宋体" w:hAnsi="宋体" w:cs="宋体"/>
          <w:bCs/>
          <w:color w:val="auto"/>
          <w:szCs w:val="24"/>
          <w:highlight w:val="none"/>
        </w:rPr>
        <w:t>投标人在提交投标文件后可对其投标文件进行修改或撤回，但该修改或撤回的书面通知须在投标截止时间之前送达开标地点。修改的内容为投标文件的组成部分。</w:t>
      </w:r>
    </w:p>
    <w:p>
      <w:pPr>
        <w:numPr>
          <w:ilvl w:val="0"/>
          <w:numId w:val="28"/>
        </w:numPr>
        <w:tabs>
          <w:tab w:val="left" w:pos="1134"/>
        </w:tabs>
        <w:ind w:firstLine="492"/>
        <w:rPr>
          <w:rFonts w:ascii="宋体" w:hAnsi="宋体" w:cs="宋体"/>
          <w:bCs/>
          <w:color w:val="auto"/>
          <w:szCs w:val="24"/>
          <w:highlight w:val="none"/>
        </w:rPr>
      </w:pPr>
      <w:r>
        <w:rPr>
          <w:rFonts w:hint="eastAsia" w:ascii="宋体" w:hAnsi="宋体" w:cs="宋体"/>
          <w:bCs/>
          <w:color w:val="auto"/>
          <w:szCs w:val="24"/>
          <w:highlight w:val="none"/>
        </w:rPr>
        <w:t>投标人修改或撤回的书面通知，应由其法定代表人或授权代理人签署并盖投标人公章。修改书应按投标人须知中“投标文件的包装和密封、标注”的规定进行编制、密封、标注，并在每个包装的最外层标明“修改投标文件”字样。</w:t>
      </w:r>
    </w:p>
    <w:p>
      <w:pPr>
        <w:ind w:firstLine="492"/>
        <w:rPr>
          <w:color w:val="auto"/>
          <w:highlight w:val="none"/>
        </w:rPr>
      </w:pPr>
      <w:r>
        <w:rPr>
          <w:rFonts w:hint="eastAsia" w:ascii="宋体" w:hAnsi="宋体" w:cs="宋体"/>
          <w:bCs/>
          <w:color w:val="auto"/>
          <w:szCs w:val="24"/>
          <w:highlight w:val="none"/>
        </w:rPr>
        <w:t>在投标截止时间之后，投标人不得对其递交的投标文件做任何修改，撤回投标的，将按照有关规定进行相应处理。</w:t>
      </w:r>
    </w:p>
    <w:p>
      <w:pPr>
        <w:pStyle w:val="4"/>
        <w:rPr>
          <w:color w:val="auto"/>
          <w:highlight w:val="none"/>
        </w:rPr>
      </w:pPr>
      <w:bookmarkStart w:id="133" w:name="_Toc217446056"/>
      <w:bookmarkStart w:id="134" w:name="_Toc183582231"/>
      <w:bookmarkStart w:id="135" w:name="_Toc89075878"/>
      <w:bookmarkStart w:id="136" w:name="_Toc3379"/>
      <w:bookmarkStart w:id="137" w:name="_Toc77400782"/>
      <w:bookmarkStart w:id="138" w:name="_Toc21163"/>
      <w:bookmarkStart w:id="139" w:name="_Toc27206"/>
      <w:bookmarkStart w:id="140" w:name="_Toc30326"/>
      <w:bookmarkStart w:id="141" w:name="_Toc183682368"/>
      <w:r>
        <w:rPr>
          <w:rFonts w:hint="eastAsia"/>
          <w:color w:val="auto"/>
          <w:highlight w:val="none"/>
        </w:rPr>
        <w:t>开标、评标和中标</w:t>
      </w:r>
      <w:bookmarkEnd w:id="133"/>
      <w:bookmarkEnd w:id="134"/>
      <w:bookmarkEnd w:id="135"/>
      <w:bookmarkEnd w:id="136"/>
      <w:bookmarkEnd w:id="137"/>
      <w:bookmarkEnd w:id="138"/>
      <w:bookmarkEnd w:id="139"/>
      <w:bookmarkEnd w:id="140"/>
      <w:bookmarkEnd w:id="141"/>
    </w:p>
    <w:p>
      <w:pPr>
        <w:pStyle w:val="5"/>
        <w:ind w:left="322" w:leftChars="0" w:firstLine="494" w:firstLineChars="0"/>
        <w:rPr>
          <w:rFonts w:cs="宋体"/>
          <w:color w:val="auto"/>
          <w:szCs w:val="24"/>
          <w:highlight w:val="none"/>
        </w:rPr>
      </w:pPr>
      <w:bookmarkStart w:id="142" w:name="_Toc20486"/>
      <w:bookmarkStart w:id="143" w:name="_Toc183682369"/>
      <w:bookmarkStart w:id="144" w:name="_Toc183582232"/>
      <w:bookmarkStart w:id="145" w:name="_Toc217446057"/>
      <w:r>
        <w:rPr>
          <w:rFonts w:hint="eastAsia" w:cs="宋体"/>
          <w:color w:val="auto"/>
          <w:szCs w:val="24"/>
          <w:highlight w:val="none"/>
        </w:rPr>
        <w:t>开标</w:t>
      </w:r>
      <w:bookmarkEnd w:id="142"/>
      <w:bookmarkEnd w:id="143"/>
      <w:bookmarkEnd w:id="144"/>
      <w:bookmarkEnd w:id="145"/>
    </w:p>
    <w:p>
      <w:pPr>
        <w:numPr>
          <w:ilvl w:val="0"/>
          <w:numId w:val="29"/>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开标在招标文件规定的时间和地点公开进行。开标由采购代理机构主持，评标专家不参加开标活动。</w:t>
      </w:r>
    </w:p>
    <w:p>
      <w:pPr>
        <w:numPr>
          <w:ilvl w:val="0"/>
          <w:numId w:val="29"/>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开标时，可能根据具体情况邀请有关监督管理部门对开标活动进行现场监督。</w:t>
      </w:r>
    </w:p>
    <w:p>
      <w:pPr>
        <w:numPr>
          <w:ilvl w:val="0"/>
          <w:numId w:val="29"/>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开标时，由投标人或其推选的代表先检查其自己递交的投标文件的密封情况，经确认无误后，由招标工作人员将投标人单独递交的“开标一览表”当众拆封，并由唱标人员按照招标文件规定的内容进行宣读。</w:t>
      </w:r>
    </w:p>
    <w:p>
      <w:pPr>
        <w:ind w:firstLine="492"/>
        <w:rPr>
          <w:rFonts w:ascii="宋体"/>
          <w:color w:val="auto"/>
          <w:highlight w:val="none"/>
        </w:rPr>
      </w:pPr>
      <w:r>
        <w:rPr>
          <w:rFonts w:hint="eastAsia" w:ascii="宋体"/>
          <w:color w:val="auto"/>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但不得干扰、阻挠开标工作的正常进行。</w:t>
      </w:r>
    </w:p>
    <w:p>
      <w:pPr>
        <w:numPr>
          <w:ilvl w:val="0"/>
          <w:numId w:val="29"/>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开标时，“开标一览表”中的大写金额与小写金额不一致的，以大写金额为准；总价金额与按单价计算的汇总金额不一致的，以单价计算的汇总金额为准；单价金额有明显小数点错误的，以总价为准，并修改单价。</w:t>
      </w:r>
    </w:p>
    <w:p>
      <w:pPr>
        <w:numPr>
          <w:ilvl w:val="0"/>
          <w:numId w:val="29"/>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投标文件中相关内容与“开标一览表”不一致的，以“开标一览表”为准。对不同文字文本投标文件的解释发生异议的，以中文文本为准。</w:t>
      </w:r>
    </w:p>
    <w:p>
      <w:pPr>
        <w:numPr>
          <w:ilvl w:val="0"/>
          <w:numId w:val="29"/>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所有投标唱标完毕，如投标人代表对宣读的“开标一览表”上的内容有异议的，应在获得开标会主持人同意后当场提出。如确实属于宣读错误，经现场监督人员核实后，当场予以更正。</w:t>
      </w:r>
    </w:p>
    <w:p>
      <w:pPr>
        <w:pStyle w:val="5"/>
        <w:ind w:left="322" w:leftChars="0" w:firstLine="494" w:firstLineChars="0"/>
        <w:rPr>
          <w:rFonts w:cs="宋体"/>
          <w:color w:val="auto"/>
          <w:szCs w:val="24"/>
          <w:highlight w:val="none"/>
        </w:rPr>
      </w:pPr>
      <w:bookmarkStart w:id="146" w:name="_Toc4270"/>
      <w:r>
        <w:rPr>
          <w:rFonts w:hint="eastAsia" w:cs="宋体"/>
          <w:color w:val="auto"/>
          <w:szCs w:val="24"/>
          <w:highlight w:val="none"/>
        </w:rPr>
        <w:t>开评标过程存档</w:t>
      </w:r>
      <w:bookmarkEnd w:id="146"/>
    </w:p>
    <w:p>
      <w:p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开标和评标过程进行全过程电子监控，并将电子监控资料存储介质留存归档。</w:t>
      </w:r>
    </w:p>
    <w:p>
      <w:pPr>
        <w:pStyle w:val="5"/>
        <w:ind w:left="322" w:leftChars="0" w:firstLine="494" w:firstLineChars="0"/>
        <w:rPr>
          <w:rFonts w:cs="宋体"/>
          <w:color w:val="auto"/>
          <w:szCs w:val="24"/>
          <w:highlight w:val="none"/>
        </w:rPr>
      </w:pPr>
      <w:bookmarkStart w:id="147" w:name="_Toc15169"/>
      <w:r>
        <w:rPr>
          <w:rFonts w:hint="eastAsia" w:cs="宋体"/>
          <w:color w:val="auto"/>
          <w:szCs w:val="24"/>
          <w:highlight w:val="none"/>
        </w:rPr>
        <w:t>评标情况公告</w:t>
      </w:r>
      <w:bookmarkEnd w:id="147"/>
    </w:p>
    <w:p>
      <w:pPr>
        <w:ind w:firstLine="492"/>
        <w:rPr>
          <w:rFonts w:ascii="宋体" w:hAnsi="宋体" w:cs="宋体"/>
          <w:color w:val="auto"/>
          <w:szCs w:val="24"/>
          <w:highlight w:val="none"/>
        </w:rPr>
      </w:pPr>
      <w:bookmarkStart w:id="148" w:name="_Toc183582238"/>
      <w:bookmarkStart w:id="149" w:name="_Toc183682375"/>
      <w:bookmarkStart w:id="150" w:name="_Toc217446063"/>
      <w:r>
        <w:rPr>
          <w:rFonts w:hint="eastAsia" w:ascii="宋体" w:hAnsi="宋体" w:cs="宋体"/>
          <w:color w:val="auto"/>
          <w:szCs w:val="24"/>
          <w:highlight w:val="none"/>
        </w:rPr>
        <w:t>所有供应商投标文件资格性、符合性检查情况、采用综合评分法时的总得分和分项汇总得分情况、评标结果等将在四川政府采购网上采购结果公告栏中予以公告。</w:t>
      </w:r>
    </w:p>
    <w:p>
      <w:pPr>
        <w:pStyle w:val="5"/>
        <w:ind w:left="322" w:leftChars="0" w:firstLine="494" w:firstLineChars="0"/>
        <w:rPr>
          <w:rFonts w:cs="宋体"/>
          <w:color w:val="auto"/>
          <w:szCs w:val="24"/>
          <w:highlight w:val="none"/>
        </w:rPr>
      </w:pPr>
      <w:bookmarkStart w:id="151" w:name="_Toc7698"/>
      <w:r>
        <w:rPr>
          <w:rFonts w:hint="eastAsia" w:cs="宋体"/>
          <w:color w:val="auto"/>
          <w:szCs w:val="24"/>
          <w:highlight w:val="none"/>
        </w:rPr>
        <w:t>中标通知</w:t>
      </w:r>
      <w:bookmarkEnd w:id="148"/>
      <w:bookmarkEnd w:id="149"/>
      <w:r>
        <w:rPr>
          <w:rFonts w:hint="eastAsia" w:cs="宋体"/>
          <w:color w:val="auto"/>
          <w:szCs w:val="24"/>
          <w:highlight w:val="none"/>
        </w:rPr>
        <w:t>书</w:t>
      </w:r>
      <w:bookmarkEnd w:id="150"/>
      <w:bookmarkEnd w:id="151"/>
    </w:p>
    <w:p>
      <w:pPr>
        <w:numPr>
          <w:ilvl w:val="0"/>
          <w:numId w:val="30"/>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 xml:space="preserve"> 中标通知书为签订政府采购合同的依据之一，是合同的有效组成部分。</w:t>
      </w:r>
    </w:p>
    <w:p>
      <w:pPr>
        <w:numPr>
          <w:ilvl w:val="0"/>
          <w:numId w:val="30"/>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投标人中标后，拒绝领取中标通知书的，招标采购单位将于中标供应商确定之日起两个工作日内采取邮寄、快递方式按照投标人投标文件中的地址发出中标通知书。</w:t>
      </w:r>
    </w:p>
    <w:p>
      <w:pPr>
        <w:numPr>
          <w:ilvl w:val="0"/>
          <w:numId w:val="30"/>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中标通知书对采购人和中标人均具有法律效力。中标通知书发出后，采购人改变中标结果，或者中标人无正当理由放弃中标的，应当承担相应的法律责任。</w:t>
      </w:r>
    </w:p>
    <w:p>
      <w:pPr>
        <w:numPr>
          <w:ilvl w:val="0"/>
          <w:numId w:val="30"/>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numPr>
          <w:ilvl w:val="0"/>
          <w:numId w:val="30"/>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中标公告发出后，中标供应商可凭有效身份证明证件到</w:t>
      </w:r>
      <w:r>
        <w:rPr>
          <w:rFonts w:hint="eastAsia" w:ascii="宋体" w:hAnsi="宋体" w:cs="宋体"/>
          <w:color w:val="auto"/>
          <w:szCs w:val="24"/>
          <w:highlight w:val="none"/>
          <w:lang w:val="zh-CN"/>
        </w:rPr>
        <w:t>四川世科工程咨询有限公司</w:t>
      </w:r>
      <w:r>
        <w:rPr>
          <w:rFonts w:hint="eastAsia" w:ascii="宋体" w:hAnsi="宋体" w:cs="宋体"/>
          <w:color w:val="auto"/>
          <w:szCs w:val="24"/>
          <w:highlight w:val="none"/>
        </w:rPr>
        <w:t>领取中标通知书。联系人：李老师，联系电话：028-61032618。</w:t>
      </w:r>
    </w:p>
    <w:p>
      <w:pPr>
        <w:pStyle w:val="4"/>
        <w:rPr>
          <w:color w:val="auto"/>
          <w:highlight w:val="none"/>
        </w:rPr>
      </w:pPr>
      <w:bookmarkStart w:id="152" w:name="_Toc5487"/>
      <w:bookmarkStart w:id="153" w:name="_Toc217446064"/>
      <w:bookmarkStart w:id="154" w:name="_Toc14401"/>
      <w:bookmarkStart w:id="155" w:name="_Toc10918"/>
      <w:bookmarkStart w:id="156" w:name="_Toc28651"/>
      <w:bookmarkStart w:id="157" w:name="_Toc183582240"/>
      <w:bookmarkStart w:id="158" w:name="_Toc183682377"/>
      <w:r>
        <w:rPr>
          <w:rFonts w:hint="eastAsia"/>
          <w:color w:val="auto"/>
          <w:highlight w:val="none"/>
        </w:rPr>
        <w:t>签订及履行合同和验收</w:t>
      </w:r>
      <w:bookmarkEnd w:id="152"/>
      <w:bookmarkEnd w:id="153"/>
      <w:bookmarkEnd w:id="154"/>
      <w:bookmarkEnd w:id="155"/>
      <w:bookmarkEnd w:id="156"/>
    </w:p>
    <w:p>
      <w:pPr>
        <w:pStyle w:val="5"/>
        <w:ind w:left="322" w:leftChars="0" w:firstLine="494" w:firstLineChars="0"/>
        <w:rPr>
          <w:rFonts w:cs="宋体"/>
          <w:color w:val="auto"/>
          <w:szCs w:val="24"/>
          <w:highlight w:val="none"/>
        </w:rPr>
      </w:pPr>
      <w:bookmarkStart w:id="159" w:name="_Toc217446065"/>
      <w:bookmarkStart w:id="160" w:name="_Toc14747"/>
      <w:r>
        <w:rPr>
          <w:rFonts w:hint="eastAsia" w:cs="宋体"/>
          <w:color w:val="auto"/>
          <w:szCs w:val="24"/>
          <w:highlight w:val="none"/>
        </w:rPr>
        <w:t>签订合同</w:t>
      </w:r>
      <w:bookmarkEnd w:id="159"/>
      <w:bookmarkEnd w:id="160"/>
    </w:p>
    <w:p>
      <w:pPr>
        <w:numPr>
          <w:ilvl w:val="0"/>
          <w:numId w:val="31"/>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中标人应在中标通知书发出之日起三十日内与采购人签订采购合同。由于中标人的原因逾期未与采购人签订采购合同的，将视为放弃中标，取消其中标资格并将按相关规定进行处理。</w:t>
      </w:r>
    </w:p>
    <w:p>
      <w:pPr>
        <w:numPr>
          <w:ilvl w:val="0"/>
          <w:numId w:val="31"/>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采购人不得向中标人提出任何不合理的要求，作为签订合同的条件，不得与中标人私下订立背离合同实质性内容的任何协议，所签订的合同不得对招标文件和中标人投标文件确定的事项进行修改。</w:t>
      </w:r>
    </w:p>
    <w:p>
      <w:pPr>
        <w:numPr>
          <w:ilvl w:val="0"/>
          <w:numId w:val="31"/>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中标人因不可抗力原因不能履行采购合同或放弃中标的，采购人可以与排在中标人之后第一位的中标候选人签订采购合同，以此类推。</w:t>
      </w:r>
    </w:p>
    <w:p>
      <w:pPr>
        <w:numPr>
          <w:ilvl w:val="0"/>
          <w:numId w:val="31"/>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中标人在合同签订之后三个工作日内，将签订的合同（一份）送采购代理机构。联系人：李老师，联系电话：028-61032618。</w:t>
      </w:r>
    </w:p>
    <w:p>
      <w:pPr>
        <w:numPr>
          <w:ilvl w:val="0"/>
          <w:numId w:val="31"/>
        </w:numPr>
        <w:tabs>
          <w:tab w:val="left" w:pos="1134"/>
        </w:tabs>
        <w:ind w:firstLine="492"/>
        <w:rPr>
          <w:rFonts w:ascii="宋体" w:hAnsi="宋体" w:cs="宋体"/>
          <w:color w:val="auto"/>
          <w:szCs w:val="24"/>
          <w:highlight w:val="none"/>
        </w:rPr>
      </w:pPr>
      <w:r>
        <w:rPr>
          <w:rFonts w:hint="eastAsia" w:ascii="宋体" w:hAnsi="宋体" w:cs="宋体"/>
          <w:color w:val="auto"/>
          <w:kern w:val="0"/>
          <w:szCs w:val="24"/>
          <w:highlight w:val="none"/>
        </w:rPr>
        <w:t>询问或者质疑事项可能影响中标、成交结果的，采购人应当暂停签订合同，已经签订合同的，应当中止履行合同。</w:t>
      </w:r>
    </w:p>
    <w:p>
      <w:pPr>
        <w:pStyle w:val="5"/>
        <w:ind w:left="322" w:leftChars="0" w:firstLine="494" w:firstLineChars="0"/>
        <w:rPr>
          <w:rFonts w:cs="宋体"/>
          <w:color w:val="auto"/>
          <w:szCs w:val="24"/>
          <w:highlight w:val="none"/>
        </w:rPr>
      </w:pPr>
      <w:bookmarkStart w:id="161" w:name="_Toc315871033"/>
      <w:bookmarkEnd w:id="161"/>
      <w:bookmarkStart w:id="162" w:name="_Toc217446066"/>
      <w:bookmarkStart w:id="163" w:name="_Toc12604"/>
      <w:r>
        <w:rPr>
          <w:rFonts w:hint="eastAsia" w:cs="宋体"/>
          <w:color w:val="auto"/>
          <w:szCs w:val="24"/>
          <w:highlight w:val="none"/>
        </w:rPr>
        <w:t>合同分包</w:t>
      </w:r>
      <w:bookmarkEnd w:id="162"/>
      <w:bookmarkEnd w:id="163"/>
      <w:r>
        <w:rPr>
          <w:rFonts w:hint="eastAsia" w:cs="宋体"/>
          <w:color w:val="auto"/>
          <w:szCs w:val="24"/>
          <w:highlight w:val="none"/>
        </w:rPr>
        <w:t>（实质性要求）</w:t>
      </w:r>
    </w:p>
    <w:p>
      <w:pPr>
        <w:numPr>
          <w:ilvl w:val="0"/>
          <w:numId w:val="32"/>
        </w:numPr>
        <w:tabs>
          <w:tab w:val="left" w:pos="1134"/>
        </w:tabs>
        <w:ind w:firstLine="492"/>
        <w:rPr>
          <w:rFonts w:ascii="宋体" w:hAnsi="宋体" w:cs="宋体"/>
          <w:color w:val="auto"/>
          <w:kern w:val="0"/>
          <w:szCs w:val="24"/>
          <w:highlight w:val="none"/>
        </w:rPr>
      </w:pPr>
      <w:bookmarkStart w:id="164" w:name="_Toc217446067"/>
      <w:r>
        <w:rPr>
          <w:rFonts w:hint="eastAsia" w:ascii="宋体" w:hAnsi="宋体" w:cs="宋体"/>
          <w:color w:val="auto"/>
          <w:kern w:val="0"/>
          <w:szCs w:val="24"/>
          <w:highlight w:val="none"/>
        </w:rPr>
        <w:t>经采购人同意，中标人可以依法采取分包方式履行合同。这种要求应当在合同签订之前征得采购人同意，并且分包供应商履行的分包项目的服务要求及技术要求等，必须与中标的一致。</w:t>
      </w:r>
    </w:p>
    <w:p>
      <w:pPr>
        <w:numPr>
          <w:ilvl w:val="0"/>
          <w:numId w:val="32"/>
        </w:numPr>
        <w:tabs>
          <w:tab w:val="left" w:pos="1134"/>
        </w:tabs>
        <w:ind w:firstLine="492"/>
        <w:rPr>
          <w:rFonts w:ascii="宋体" w:hAnsi="宋体" w:cs="宋体"/>
          <w:color w:val="auto"/>
          <w:kern w:val="0"/>
          <w:szCs w:val="24"/>
          <w:highlight w:val="none"/>
        </w:rPr>
      </w:pPr>
      <w:r>
        <w:rPr>
          <w:rFonts w:hint="eastAsia" w:ascii="宋体" w:hAnsi="宋体" w:cs="宋体"/>
          <w:color w:val="auto"/>
          <w:kern w:val="0"/>
          <w:szCs w:val="24"/>
          <w:highlight w:val="none"/>
        </w:rPr>
        <w:t>分包履行合同的部分应当为采购项目的非主体、非关键性工作，不属于中标人的主要合同义务。</w:t>
      </w:r>
    </w:p>
    <w:p>
      <w:pPr>
        <w:numPr>
          <w:ilvl w:val="0"/>
          <w:numId w:val="32"/>
        </w:numPr>
        <w:tabs>
          <w:tab w:val="left" w:pos="1134"/>
        </w:tabs>
        <w:ind w:firstLine="492"/>
        <w:rPr>
          <w:rFonts w:ascii="宋体" w:hAnsi="宋体" w:cs="宋体"/>
          <w:color w:val="auto"/>
          <w:kern w:val="0"/>
          <w:szCs w:val="24"/>
          <w:highlight w:val="none"/>
        </w:rPr>
      </w:pPr>
      <w:r>
        <w:rPr>
          <w:rFonts w:hint="eastAsia" w:ascii="宋体" w:hAnsi="宋体" w:cs="宋体"/>
          <w:color w:val="auto"/>
          <w:kern w:val="0"/>
          <w:szCs w:val="24"/>
          <w:highlight w:val="none"/>
        </w:rPr>
        <w:t>采购合同实行分包履行的，中标人就采购项目和分包项目向采购人负责，分包供应商就分包项目承担责任。</w:t>
      </w:r>
    </w:p>
    <w:p>
      <w:pPr>
        <w:numPr>
          <w:ilvl w:val="0"/>
          <w:numId w:val="32"/>
        </w:numPr>
        <w:tabs>
          <w:tab w:val="left" w:pos="1134"/>
        </w:tabs>
        <w:ind w:firstLine="492"/>
        <w:rPr>
          <w:rFonts w:ascii="宋体" w:hAnsi="宋体" w:cs="宋体"/>
          <w:color w:val="auto"/>
          <w:kern w:val="0"/>
          <w:szCs w:val="24"/>
          <w:highlight w:val="none"/>
        </w:rPr>
      </w:pPr>
      <w:r>
        <w:rPr>
          <w:rFonts w:hint="eastAsia" w:ascii="宋体" w:hAnsi="宋体" w:cs="宋体"/>
          <w:color w:val="auto"/>
          <w:kern w:val="0"/>
          <w:szCs w:val="24"/>
          <w:highlight w:val="none"/>
        </w:rPr>
        <w:t>中小企业依据《政府采购促进中小企业发展暂行办法》（财库[20</w:t>
      </w:r>
      <w:r>
        <w:rPr>
          <w:rFonts w:hint="eastAsia" w:ascii="宋体" w:hAnsi="宋体" w:cs="宋体"/>
          <w:color w:val="auto"/>
          <w:kern w:val="0"/>
          <w:szCs w:val="24"/>
          <w:highlight w:val="none"/>
          <w:lang w:val="en-US" w:eastAsia="zh-CN"/>
        </w:rPr>
        <w:t>20</w:t>
      </w: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46</w:t>
      </w:r>
      <w:r>
        <w:rPr>
          <w:rFonts w:hint="eastAsia" w:ascii="宋体" w:hAnsi="宋体" w:cs="宋体"/>
          <w:color w:val="auto"/>
          <w:kern w:val="0"/>
          <w:szCs w:val="24"/>
          <w:highlight w:val="none"/>
        </w:rPr>
        <w:t>号）规定的政策获取政府采购合同后，小型、微型企业不得分包或转包给大型、中型企业，中型企业不得分包或转包给大型企业。</w:t>
      </w:r>
    </w:p>
    <w:p>
      <w:pPr>
        <w:pStyle w:val="5"/>
        <w:ind w:left="322" w:leftChars="0" w:firstLine="494" w:firstLineChars="0"/>
        <w:rPr>
          <w:rFonts w:cs="宋体"/>
          <w:color w:val="auto"/>
          <w:szCs w:val="24"/>
          <w:highlight w:val="none"/>
        </w:rPr>
      </w:pPr>
      <w:bookmarkStart w:id="165" w:name="_Toc21789"/>
      <w:r>
        <w:rPr>
          <w:rFonts w:hint="eastAsia" w:cs="宋体"/>
          <w:color w:val="auto"/>
          <w:szCs w:val="24"/>
          <w:highlight w:val="none"/>
        </w:rPr>
        <w:t>合同转包</w:t>
      </w:r>
      <w:bookmarkEnd w:id="165"/>
      <w:r>
        <w:rPr>
          <w:rFonts w:hint="eastAsia" w:cs="宋体"/>
          <w:color w:val="auto"/>
          <w:szCs w:val="24"/>
          <w:highlight w:val="none"/>
        </w:rPr>
        <w:t>（实质性要求）</w:t>
      </w:r>
    </w:p>
    <w:p>
      <w:pPr>
        <w:numPr>
          <w:ilvl w:val="0"/>
          <w:numId w:val="33"/>
        </w:numPr>
        <w:tabs>
          <w:tab w:val="left" w:pos="1134"/>
        </w:tabs>
        <w:ind w:left="0" w:firstLine="492"/>
        <w:rPr>
          <w:rFonts w:ascii="宋体" w:hAnsi="宋体" w:cs="宋体"/>
          <w:color w:val="auto"/>
          <w:kern w:val="0"/>
          <w:szCs w:val="24"/>
          <w:highlight w:val="none"/>
        </w:rPr>
      </w:pPr>
      <w:r>
        <w:rPr>
          <w:rFonts w:hint="eastAsia" w:ascii="宋体" w:hAnsi="宋体" w:cs="宋体"/>
          <w:color w:val="auto"/>
          <w:kern w:val="0"/>
          <w:szCs w:val="24"/>
          <w:highlight w:val="none"/>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numPr>
          <w:ilvl w:val="0"/>
          <w:numId w:val="33"/>
        </w:numPr>
        <w:tabs>
          <w:tab w:val="left" w:pos="1134"/>
        </w:tabs>
        <w:ind w:left="0" w:firstLine="492"/>
        <w:rPr>
          <w:rFonts w:ascii="宋体" w:hAnsi="宋体" w:cs="宋体"/>
          <w:color w:val="auto"/>
          <w:szCs w:val="24"/>
          <w:highlight w:val="none"/>
        </w:rPr>
      </w:pPr>
      <w:r>
        <w:rPr>
          <w:rFonts w:hint="eastAsia" w:ascii="宋体" w:hAnsi="宋体" w:cs="宋体"/>
          <w:color w:val="auto"/>
          <w:kern w:val="0"/>
          <w:szCs w:val="24"/>
          <w:highlight w:val="none"/>
        </w:rPr>
        <w:t>中标人转包的，视同拒绝履行政府采购合同义务，将依法追究法律责任</w:t>
      </w:r>
      <w:r>
        <w:rPr>
          <w:rFonts w:hint="eastAsia" w:ascii="宋体" w:hAnsi="宋体" w:cs="宋体"/>
          <w:color w:val="auto"/>
          <w:szCs w:val="24"/>
          <w:highlight w:val="none"/>
        </w:rPr>
        <w:t>。</w:t>
      </w:r>
    </w:p>
    <w:p>
      <w:pPr>
        <w:pStyle w:val="5"/>
        <w:ind w:left="322" w:leftChars="0" w:firstLine="494" w:firstLineChars="0"/>
        <w:rPr>
          <w:rFonts w:cs="宋体"/>
          <w:color w:val="auto"/>
          <w:szCs w:val="24"/>
          <w:highlight w:val="none"/>
        </w:rPr>
      </w:pPr>
      <w:bookmarkStart w:id="166" w:name="_Toc25501"/>
      <w:r>
        <w:rPr>
          <w:rFonts w:hint="eastAsia" w:cs="宋体"/>
          <w:color w:val="auto"/>
          <w:szCs w:val="24"/>
          <w:highlight w:val="none"/>
        </w:rPr>
        <w:t>采购人增加合同标的的权</w:t>
      </w:r>
      <w:bookmarkEnd w:id="164"/>
      <w:r>
        <w:rPr>
          <w:rFonts w:hint="eastAsia" w:cs="宋体"/>
          <w:color w:val="auto"/>
          <w:szCs w:val="24"/>
          <w:highlight w:val="none"/>
        </w:rPr>
        <w:t>利</w:t>
      </w:r>
      <w:bookmarkEnd w:id="166"/>
    </w:p>
    <w:p>
      <w:pPr>
        <w:ind w:firstLine="492"/>
        <w:rPr>
          <w:rFonts w:ascii="宋体" w:hAnsi="宋体" w:cs="宋体"/>
          <w:color w:val="auto"/>
          <w:szCs w:val="24"/>
          <w:highlight w:val="none"/>
        </w:rPr>
      </w:pPr>
      <w:r>
        <w:rPr>
          <w:rFonts w:hint="eastAsia" w:ascii="宋体" w:hAnsi="宋体" w:cs="宋体"/>
          <w:color w:val="auto"/>
          <w:szCs w:val="24"/>
          <w:highlight w:val="none"/>
        </w:rPr>
        <w:t>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
        <w:ind w:left="322" w:leftChars="0" w:firstLine="494" w:firstLineChars="0"/>
        <w:rPr>
          <w:rFonts w:cs="宋体"/>
          <w:color w:val="auto"/>
          <w:szCs w:val="24"/>
          <w:highlight w:val="none"/>
        </w:rPr>
      </w:pPr>
      <w:bookmarkStart w:id="167" w:name="_Toc7487"/>
      <w:bookmarkStart w:id="168" w:name="_Toc217446069"/>
      <w:r>
        <w:rPr>
          <w:rFonts w:hint="eastAsia" w:cs="宋体"/>
          <w:color w:val="auto"/>
          <w:szCs w:val="24"/>
          <w:highlight w:val="none"/>
        </w:rPr>
        <w:t>合同公告</w:t>
      </w:r>
      <w:bookmarkEnd w:id="167"/>
    </w:p>
    <w:p>
      <w:p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pStyle w:val="5"/>
        <w:ind w:left="322" w:leftChars="0" w:firstLine="494" w:firstLineChars="0"/>
        <w:rPr>
          <w:rFonts w:cs="宋体"/>
          <w:color w:val="auto"/>
          <w:szCs w:val="24"/>
          <w:highlight w:val="none"/>
        </w:rPr>
      </w:pPr>
      <w:bookmarkStart w:id="169" w:name="_Toc13660"/>
      <w:r>
        <w:rPr>
          <w:rFonts w:hint="eastAsia" w:cs="宋体"/>
          <w:color w:val="auto"/>
          <w:szCs w:val="24"/>
          <w:highlight w:val="none"/>
        </w:rPr>
        <w:t>合同备案</w:t>
      </w:r>
      <w:bookmarkEnd w:id="169"/>
    </w:p>
    <w:p>
      <w:p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采购人应当将政府采购合同副本自签订（双方当事人均已签字盖章）之日起七个工作日内通过四川政府采购网报同级财政部门备案。</w:t>
      </w:r>
    </w:p>
    <w:p>
      <w:pPr>
        <w:pStyle w:val="5"/>
        <w:ind w:left="322" w:leftChars="0" w:firstLine="494" w:firstLineChars="0"/>
        <w:rPr>
          <w:rFonts w:cs="宋体"/>
          <w:color w:val="auto"/>
          <w:szCs w:val="24"/>
          <w:highlight w:val="none"/>
        </w:rPr>
      </w:pPr>
      <w:bookmarkStart w:id="170" w:name="_Toc2121"/>
      <w:r>
        <w:rPr>
          <w:rFonts w:hint="eastAsia" w:cs="宋体"/>
          <w:color w:val="auto"/>
          <w:szCs w:val="24"/>
          <w:highlight w:val="none"/>
        </w:rPr>
        <w:t>履行合同</w:t>
      </w:r>
      <w:bookmarkEnd w:id="168"/>
      <w:bookmarkEnd w:id="170"/>
    </w:p>
    <w:p>
      <w:pPr>
        <w:numPr>
          <w:ilvl w:val="0"/>
          <w:numId w:val="34"/>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合同一经签订，双方应严格履行合同规定的义务。</w:t>
      </w:r>
    </w:p>
    <w:p>
      <w:pPr>
        <w:numPr>
          <w:ilvl w:val="0"/>
          <w:numId w:val="34"/>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在合同履行过程中，如发生合同纠纷，合同双方应按照《合同法》及合同条款的有关规定进行处理。</w:t>
      </w:r>
    </w:p>
    <w:bookmarkEnd w:id="157"/>
    <w:bookmarkEnd w:id="158"/>
    <w:p>
      <w:pPr>
        <w:pStyle w:val="4"/>
        <w:rPr>
          <w:color w:val="auto"/>
          <w:highlight w:val="none"/>
        </w:rPr>
      </w:pPr>
      <w:bookmarkStart w:id="171" w:name="_Toc9342"/>
      <w:bookmarkStart w:id="172" w:name="_Toc29524"/>
      <w:bookmarkStart w:id="173" w:name="_Toc32075"/>
      <w:bookmarkStart w:id="174" w:name="_Toc5489"/>
      <w:bookmarkStart w:id="175" w:name="_Toc217446074"/>
      <w:bookmarkStart w:id="176" w:name="_Toc183582243"/>
      <w:bookmarkStart w:id="177" w:name="_Toc183682380"/>
      <w:r>
        <w:rPr>
          <w:rFonts w:hint="eastAsia"/>
          <w:color w:val="auto"/>
          <w:highlight w:val="none"/>
        </w:rPr>
        <w:t>投标纪律要求</w:t>
      </w:r>
      <w:bookmarkEnd w:id="171"/>
      <w:bookmarkEnd w:id="172"/>
      <w:bookmarkEnd w:id="173"/>
      <w:bookmarkEnd w:id="174"/>
      <w:bookmarkEnd w:id="175"/>
    </w:p>
    <w:p>
      <w:pPr>
        <w:pStyle w:val="5"/>
        <w:ind w:left="322" w:leftChars="0" w:firstLine="494" w:firstLineChars="0"/>
        <w:rPr>
          <w:rFonts w:cs="宋体"/>
          <w:color w:val="auto"/>
          <w:szCs w:val="24"/>
          <w:highlight w:val="none"/>
        </w:rPr>
      </w:pPr>
      <w:bookmarkStart w:id="178" w:name="_Toc217446075"/>
      <w:bookmarkStart w:id="179" w:name="_Toc5227"/>
      <w:r>
        <w:rPr>
          <w:rFonts w:hint="eastAsia" w:cs="宋体"/>
          <w:color w:val="auto"/>
          <w:szCs w:val="24"/>
          <w:highlight w:val="none"/>
        </w:rPr>
        <w:t>投标人不得具有的情形</w:t>
      </w:r>
      <w:bookmarkEnd w:id="178"/>
      <w:bookmarkEnd w:id="179"/>
    </w:p>
    <w:p>
      <w:pPr>
        <w:pStyle w:val="14"/>
        <w:spacing w:after="0" w:line="360" w:lineRule="auto"/>
        <w:ind w:firstLine="492"/>
        <w:rPr>
          <w:rFonts w:ascii="宋体" w:hAnsi="宋体" w:cs="宋体"/>
          <w:color w:val="auto"/>
          <w:szCs w:val="24"/>
          <w:highlight w:val="none"/>
        </w:rPr>
      </w:pPr>
      <w:r>
        <w:rPr>
          <w:rFonts w:hint="eastAsia" w:ascii="宋体" w:hAnsi="宋体" w:cs="宋体"/>
          <w:color w:val="auto"/>
          <w:szCs w:val="24"/>
          <w:highlight w:val="none"/>
        </w:rPr>
        <w:t>投标人参加投标不得有下列情形：</w:t>
      </w:r>
    </w:p>
    <w:p>
      <w:pPr>
        <w:numPr>
          <w:ilvl w:val="0"/>
          <w:numId w:val="35"/>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提供虚假材料谋取中标；</w:t>
      </w:r>
    </w:p>
    <w:p>
      <w:pPr>
        <w:numPr>
          <w:ilvl w:val="0"/>
          <w:numId w:val="35"/>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采取不正当手段诋毁、排挤其他投标人；</w:t>
      </w:r>
    </w:p>
    <w:p>
      <w:pPr>
        <w:numPr>
          <w:ilvl w:val="0"/>
          <w:numId w:val="35"/>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与招标采购单位、其他投标人恶意串通；</w:t>
      </w:r>
    </w:p>
    <w:p>
      <w:pPr>
        <w:numPr>
          <w:ilvl w:val="0"/>
          <w:numId w:val="35"/>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向招标采购单位、评标委员会成员行贿或者提供其他不正当利益；</w:t>
      </w:r>
    </w:p>
    <w:p>
      <w:pPr>
        <w:numPr>
          <w:ilvl w:val="0"/>
          <w:numId w:val="35"/>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在招标过程中与招标采购单位进行协商谈判；</w:t>
      </w:r>
    </w:p>
    <w:p>
      <w:pPr>
        <w:numPr>
          <w:ilvl w:val="0"/>
          <w:numId w:val="35"/>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中标或者成交后无正当理由拒不与采购人签订政府采购合同；</w:t>
      </w:r>
    </w:p>
    <w:p>
      <w:pPr>
        <w:numPr>
          <w:ilvl w:val="0"/>
          <w:numId w:val="35"/>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未按照招标文件确定的事项签订政府采购合同；</w:t>
      </w:r>
    </w:p>
    <w:p>
      <w:pPr>
        <w:numPr>
          <w:ilvl w:val="0"/>
          <w:numId w:val="35"/>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将政府采购合同转包或者违规分包；</w:t>
      </w:r>
    </w:p>
    <w:p>
      <w:pPr>
        <w:numPr>
          <w:ilvl w:val="0"/>
          <w:numId w:val="35"/>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提供假冒伪劣产品；</w:t>
      </w:r>
    </w:p>
    <w:p>
      <w:pPr>
        <w:numPr>
          <w:ilvl w:val="0"/>
          <w:numId w:val="35"/>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擅自变更、中止或者终止政府采购合同；</w:t>
      </w:r>
    </w:p>
    <w:p>
      <w:pPr>
        <w:numPr>
          <w:ilvl w:val="0"/>
          <w:numId w:val="35"/>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拒绝有关部门的监督检查或者向监督检查部门提供虚假情况；</w:t>
      </w:r>
    </w:p>
    <w:p>
      <w:pPr>
        <w:numPr>
          <w:ilvl w:val="0"/>
          <w:numId w:val="35"/>
        </w:numPr>
        <w:tabs>
          <w:tab w:val="left" w:pos="1134"/>
        </w:tabs>
        <w:ind w:firstLine="492"/>
        <w:rPr>
          <w:rFonts w:ascii="宋体" w:hAnsi="宋体" w:cs="宋体"/>
          <w:color w:val="auto"/>
          <w:szCs w:val="24"/>
          <w:highlight w:val="none"/>
        </w:rPr>
      </w:pPr>
      <w:r>
        <w:rPr>
          <w:rFonts w:hint="eastAsia" w:ascii="宋体" w:hAnsi="宋体" w:cs="宋体"/>
          <w:color w:val="auto"/>
          <w:szCs w:val="24"/>
          <w:highlight w:val="none"/>
        </w:rPr>
        <w:t>法律法规规定的其他情形。</w:t>
      </w:r>
    </w:p>
    <w:p>
      <w:pPr>
        <w:pStyle w:val="14"/>
        <w:spacing w:after="0" w:line="360" w:lineRule="auto"/>
        <w:ind w:firstLine="492"/>
        <w:rPr>
          <w:rFonts w:ascii="宋体" w:hAnsi="宋体" w:cs="宋体"/>
          <w:color w:val="auto"/>
          <w:szCs w:val="24"/>
          <w:highlight w:val="none"/>
        </w:rPr>
      </w:pPr>
      <w:r>
        <w:rPr>
          <w:rFonts w:hint="eastAsia" w:ascii="宋体" w:hAnsi="宋体" w:cs="宋体"/>
          <w:color w:val="auto"/>
          <w:szCs w:val="24"/>
          <w:highlight w:val="none"/>
        </w:rPr>
        <w:t>投标人有上述情形的，按照规定追究法律责任，具备（1）-（10）条情形之一的，同时将取消中标资格或者认定中标无效。</w:t>
      </w:r>
    </w:p>
    <w:p>
      <w:pPr>
        <w:pStyle w:val="5"/>
        <w:ind w:left="322" w:leftChars="0" w:firstLine="494" w:firstLineChars="0"/>
        <w:rPr>
          <w:rFonts w:cs="宋体"/>
          <w:color w:val="auto"/>
          <w:szCs w:val="24"/>
          <w:highlight w:val="none"/>
        </w:rPr>
      </w:pPr>
      <w:bookmarkStart w:id="180" w:name="_Toc314574786"/>
      <w:bookmarkStart w:id="181" w:name="_Toc31344"/>
      <w:r>
        <w:rPr>
          <w:rFonts w:hint="eastAsia" w:cs="宋体"/>
          <w:color w:val="auto"/>
          <w:szCs w:val="24"/>
          <w:highlight w:val="none"/>
        </w:rPr>
        <w:t>保密</w:t>
      </w:r>
      <w:bookmarkEnd w:id="180"/>
      <w:bookmarkEnd w:id="181"/>
    </w:p>
    <w:p>
      <w:pPr>
        <w:pStyle w:val="14"/>
        <w:numPr>
          <w:ilvl w:val="0"/>
          <w:numId w:val="36"/>
        </w:numPr>
        <w:tabs>
          <w:tab w:val="left" w:pos="1134"/>
        </w:tabs>
        <w:spacing w:after="0" w:line="360" w:lineRule="auto"/>
        <w:ind w:firstLine="492"/>
        <w:rPr>
          <w:rFonts w:ascii="宋体" w:hAnsi="宋体" w:cs="宋体"/>
          <w:color w:val="auto"/>
          <w:szCs w:val="24"/>
          <w:highlight w:val="none"/>
        </w:rPr>
      </w:pPr>
      <w:r>
        <w:rPr>
          <w:rFonts w:hint="eastAsia" w:ascii="宋体" w:hAnsi="宋体" w:cs="宋体"/>
          <w:color w:val="auto"/>
          <w:szCs w:val="24"/>
          <w:highlight w:val="none"/>
        </w:rPr>
        <w:t>不得透露有关潜在投标人的任何情况。</w:t>
      </w:r>
    </w:p>
    <w:p>
      <w:pPr>
        <w:pStyle w:val="14"/>
        <w:numPr>
          <w:ilvl w:val="0"/>
          <w:numId w:val="36"/>
        </w:numPr>
        <w:tabs>
          <w:tab w:val="left" w:pos="1134"/>
        </w:tabs>
        <w:spacing w:after="0" w:line="360" w:lineRule="auto"/>
        <w:ind w:firstLine="492"/>
        <w:rPr>
          <w:rFonts w:ascii="宋体" w:hAnsi="宋体" w:cs="宋体"/>
          <w:color w:val="auto"/>
          <w:szCs w:val="24"/>
          <w:highlight w:val="none"/>
        </w:rPr>
      </w:pPr>
      <w:r>
        <w:rPr>
          <w:rFonts w:hint="eastAsia" w:ascii="宋体" w:hAnsi="宋体" w:cs="宋体"/>
          <w:color w:val="auto"/>
          <w:szCs w:val="24"/>
          <w:highlight w:val="none"/>
        </w:rPr>
        <w:t>有关投标文件的审查、澄清、评估和比较以及合同授予意向等情况都不得对外透露。</w:t>
      </w:r>
    </w:p>
    <w:p>
      <w:pPr>
        <w:pStyle w:val="5"/>
        <w:ind w:left="322" w:leftChars="0" w:firstLine="494" w:firstLineChars="0"/>
        <w:rPr>
          <w:rFonts w:cs="宋体"/>
          <w:color w:val="auto"/>
          <w:szCs w:val="24"/>
          <w:highlight w:val="none"/>
        </w:rPr>
      </w:pPr>
      <w:bookmarkStart w:id="182" w:name="_Toc11830"/>
      <w:r>
        <w:rPr>
          <w:rFonts w:hint="eastAsia" w:cs="宋体"/>
          <w:color w:val="auto"/>
          <w:szCs w:val="24"/>
          <w:highlight w:val="none"/>
        </w:rPr>
        <w:t>回避</w:t>
      </w:r>
      <w:bookmarkEnd w:id="182"/>
    </w:p>
    <w:p>
      <w:pPr>
        <w:pStyle w:val="39"/>
        <w:shd w:val="clear" w:color="auto" w:fill="FFFFFF"/>
        <w:spacing w:before="0" w:beforeAutospacing="0" w:after="0" w:afterAutospacing="0"/>
        <w:ind w:firstLine="492"/>
        <w:rPr>
          <w:rFonts w:cs="宋体"/>
          <w:color w:val="auto"/>
          <w:highlight w:val="none"/>
        </w:rPr>
      </w:pPr>
      <w:r>
        <w:rPr>
          <w:rFonts w:hint="eastAsia" w:cs="宋体"/>
          <w:color w:val="auto"/>
          <w:highlight w:val="none"/>
        </w:rPr>
        <w:t>在政府采购活动中，采购人员（在政府采购活动中需要依法回避的采购人员包括采购人内部负责采购项目的具体经办工作人员和直接分管采购项目的负责人，以及采购代理机构负责采购项目的具体经办工作人员和直接分管采购活动的负责人）及相关人员与供应商有下列利害关系之一的，应当回避：</w:t>
      </w:r>
    </w:p>
    <w:p>
      <w:pPr>
        <w:pStyle w:val="39"/>
        <w:numPr>
          <w:ilvl w:val="0"/>
          <w:numId w:val="37"/>
        </w:numPr>
        <w:shd w:val="clear" w:color="auto" w:fill="FFFFFF"/>
        <w:spacing w:before="0" w:beforeAutospacing="0" w:after="0" w:afterAutospacing="0"/>
        <w:ind w:firstLine="492"/>
        <w:rPr>
          <w:rFonts w:cs="宋体"/>
          <w:color w:val="auto"/>
          <w:highlight w:val="none"/>
        </w:rPr>
      </w:pPr>
      <w:r>
        <w:rPr>
          <w:rFonts w:hint="eastAsia" w:cs="宋体"/>
          <w:color w:val="auto"/>
          <w:highlight w:val="none"/>
        </w:rPr>
        <w:t>参加采购活动前3年内与供应商存在劳动关系；</w:t>
      </w:r>
    </w:p>
    <w:p>
      <w:pPr>
        <w:pStyle w:val="39"/>
        <w:numPr>
          <w:ilvl w:val="0"/>
          <w:numId w:val="37"/>
        </w:numPr>
        <w:shd w:val="clear" w:color="auto" w:fill="FFFFFF"/>
        <w:spacing w:before="0" w:beforeAutospacing="0" w:after="0" w:afterAutospacing="0"/>
        <w:ind w:firstLine="492"/>
        <w:rPr>
          <w:rFonts w:cs="宋体"/>
          <w:color w:val="auto"/>
          <w:highlight w:val="none"/>
        </w:rPr>
      </w:pPr>
      <w:r>
        <w:rPr>
          <w:rFonts w:hint="eastAsia" w:cs="宋体"/>
          <w:color w:val="auto"/>
          <w:highlight w:val="none"/>
        </w:rPr>
        <w:t>参加采购活动前3年内担任供应商的董事、监事；</w:t>
      </w:r>
    </w:p>
    <w:p>
      <w:pPr>
        <w:pStyle w:val="39"/>
        <w:numPr>
          <w:ilvl w:val="0"/>
          <w:numId w:val="37"/>
        </w:numPr>
        <w:shd w:val="clear" w:color="auto" w:fill="FFFFFF"/>
        <w:spacing w:before="0" w:beforeAutospacing="0" w:after="0" w:afterAutospacing="0"/>
        <w:ind w:firstLine="492"/>
        <w:rPr>
          <w:rFonts w:cs="宋体"/>
          <w:color w:val="auto"/>
          <w:highlight w:val="none"/>
        </w:rPr>
      </w:pPr>
      <w:r>
        <w:rPr>
          <w:rFonts w:hint="eastAsia" w:cs="宋体"/>
          <w:color w:val="auto"/>
          <w:highlight w:val="none"/>
        </w:rPr>
        <w:t>参加采购活动前3年内是供应商的控股股东或者实际控制人；</w:t>
      </w:r>
    </w:p>
    <w:p>
      <w:pPr>
        <w:pStyle w:val="39"/>
        <w:numPr>
          <w:ilvl w:val="0"/>
          <w:numId w:val="37"/>
        </w:numPr>
        <w:shd w:val="clear" w:color="auto" w:fill="FFFFFF"/>
        <w:spacing w:before="0" w:beforeAutospacing="0" w:after="0" w:afterAutospacing="0"/>
        <w:ind w:firstLine="492"/>
        <w:rPr>
          <w:rFonts w:cs="宋体"/>
          <w:color w:val="auto"/>
          <w:highlight w:val="none"/>
        </w:rPr>
      </w:pPr>
      <w:r>
        <w:rPr>
          <w:rFonts w:hint="eastAsia" w:cs="宋体"/>
          <w:color w:val="auto"/>
          <w:highlight w:val="none"/>
        </w:rPr>
        <w:t>与供应商的法定代表人或者负责人有夫妻、直系血亲、三代以内旁系血亲或者近姻亲关系；</w:t>
      </w:r>
    </w:p>
    <w:p>
      <w:pPr>
        <w:pStyle w:val="39"/>
        <w:numPr>
          <w:ilvl w:val="0"/>
          <w:numId w:val="37"/>
        </w:numPr>
        <w:shd w:val="clear" w:color="auto" w:fill="FFFFFF"/>
        <w:tabs>
          <w:tab w:val="left" w:pos="709"/>
        </w:tabs>
        <w:spacing w:before="0" w:beforeAutospacing="0" w:after="0" w:afterAutospacing="0"/>
        <w:ind w:firstLine="492"/>
        <w:rPr>
          <w:rFonts w:cs="宋体"/>
          <w:color w:val="auto"/>
          <w:highlight w:val="none"/>
        </w:rPr>
      </w:pPr>
      <w:r>
        <w:rPr>
          <w:rFonts w:hint="eastAsia" w:cs="宋体"/>
          <w:color w:val="auto"/>
          <w:highlight w:val="none"/>
        </w:rPr>
        <w:t>与供应商有其他可能影响政府采购活动公平、公正进行的关系。</w:t>
      </w:r>
    </w:p>
    <w:p>
      <w:pPr>
        <w:pStyle w:val="39"/>
        <w:numPr>
          <w:ilvl w:val="0"/>
          <w:numId w:val="37"/>
        </w:numPr>
        <w:shd w:val="clear" w:color="auto" w:fill="FFFFFF"/>
        <w:spacing w:before="0" w:beforeAutospacing="0" w:after="0" w:afterAutospacing="0"/>
        <w:ind w:firstLine="492"/>
        <w:rPr>
          <w:rFonts w:cs="宋体"/>
          <w:color w:val="auto"/>
          <w:highlight w:val="none"/>
        </w:rPr>
      </w:pPr>
      <w:r>
        <w:rPr>
          <w:rFonts w:hint="eastAsia"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rPr>
          <w:color w:val="auto"/>
          <w:highlight w:val="none"/>
        </w:rPr>
      </w:pPr>
      <w:bookmarkStart w:id="183" w:name="_Toc30038"/>
      <w:bookmarkStart w:id="184" w:name="_Toc20902"/>
      <w:bookmarkStart w:id="185" w:name="_Toc217446076"/>
      <w:bookmarkStart w:id="186" w:name="_Toc23144"/>
      <w:bookmarkStart w:id="187" w:name="_Toc24794"/>
      <w:r>
        <w:rPr>
          <w:rFonts w:hint="eastAsia"/>
          <w:color w:val="auto"/>
          <w:highlight w:val="none"/>
        </w:rPr>
        <w:t>资金支付</w:t>
      </w:r>
      <w:bookmarkEnd w:id="183"/>
      <w:bookmarkEnd w:id="184"/>
      <w:bookmarkEnd w:id="185"/>
      <w:bookmarkEnd w:id="186"/>
      <w:bookmarkEnd w:id="187"/>
    </w:p>
    <w:p>
      <w:pPr>
        <w:pStyle w:val="35"/>
        <w:ind w:left="0" w:leftChars="0" w:firstLine="492"/>
        <w:rPr>
          <w:rFonts w:cs="宋体"/>
          <w:color w:val="auto"/>
          <w:sz w:val="24"/>
          <w:szCs w:val="24"/>
          <w:highlight w:val="none"/>
        </w:rPr>
      </w:pPr>
      <w:bookmarkStart w:id="188" w:name="_Toc316292046"/>
      <w:r>
        <w:rPr>
          <w:rFonts w:hint="eastAsia" w:cs="宋体"/>
          <w:color w:val="auto"/>
          <w:sz w:val="24"/>
          <w:szCs w:val="24"/>
          <w:highlight w:val="none"/>
        </w:rPr>
        <w:t>付款方式见第四章商务部分。</w:t>
      </w:r>
    </w:p>
    <w:bookmarkEnd w:id="188"/>
    <w:p>
      <w:pPr>
        <w:pStyle w:val="4"/>
        <w:rPr>
          <w:color w:val="auto"/>
          <w:highlight w:val="none"/>
        </w:rPr>
      </w:pPr>
      <w:bookmarkStart w:id="189" w:name="_Toc853"/>
      <w:bookmarkStart w:id="190" w:name="_Toc217446078"/>
      <w:bookmarkStart w:id="191" w:name="_Toc8314"/>
      <w:bookmarkStart w:id="192" w:name="_Toc21829"/>
      <w:bookmarkStart w:id="193" w:name="_Toc21201"/>
      <w:r>
        <w:rPr>
          <w:rFonts w:hint="eastAsia"/>
          <w:color w:val="auto"/>
          <w:highlight w:val="none"/>
        </w:rPr>
        <w:t>询问、质疑和投诉</w:t>
      </w:r>
      <w:bookmarkEnd w:id="189"/>
      <w:bookmarkEnd w:id="190"/>
      <w:bookmarkEnd w:id="191"/>
      <w:bookmarkEnd w:id="192"/>
      <w:bookmarkEnd w:id="193"/>
      <w:bookmarkStart w:id="194" w:name="_Toc217446079"/>
    </w:p>
    <w:bookmarkEnd w:id="194"/>
    <w:p>
      <w:pPr>
        <w:pStyle w:val="26"/>
        <w:numPr>
          <w:ilvl w:val="0"/>
          <w:numId w:val="38"/>
        </w:numPr>
        <w:tabs>
          <w:tab w:val="left" w:pos="1134"/>
        </w:tabs>
        <w:spacing w:after="0" w:line="360" w:lineRule="auto"/>
        <w:ind w:leftChars="0" w:firstLine="492"/>
        <w:rPr>
          <w:rFonts w:ascii="宋体" w:hAnsi="宋体" w:cs="宋体"/>
          <w:color w:val="auto"/>
          <w:szCs w:val="24"/>
          <w:highlight w:val="none"/>
        </w:rPr>
      </w:pPr>
      <w:r>
        <w:rPr>
          <w:rFonts w:hint="eastAsia" w:ascii="宋体" w:hAnsi="宋体" w:cs="宋体"/>
          <w:color w:val="auto"/>
          <w:szCs w:val="24"/>
          <w:highlight w:val="none"/>
        </w:rPr>
        <w:t>询问、质疑、投诉的接收和处理严格按照</w:t>
      </w:r>
      <w:bookmarkEnd w:id="176"/>
      <w:bookmarkEnd w:id="177"/>
      <w:r>
        <w:rPr>
          <w:rFonts w:hint="eastAsia" w:ascii="宋体" w:hAnsi="宋体" w:cs="宋体"/>
          <w:color w:val="auto"/>
          <w:szCs w:val="24"/>
          <w:highlight w:val="none"/>
        </w:rPr>
        <w:t>《中华人共和国政府采购法》(主席令【2002】第68号)、《中华人共和国政府采购法实施条例》(国务院令第658号)、《政府采购质疑和投诉办法》(财政部令第94号)以及《关于贯彻落实</w:t>
      </w:r>
      <w:r>
        <w:rPr>
          <w:rFonts w:hint="eastAsia" w:ascii="宋体" w:hAnsi="宋体" w:cs="宋体"/>
          <w:bCs/>
          <w:color w:val="auto"/>
          <w:kern w:val="36"/>
          <w:szCs w:val="24"/>
          <w:highlight w:val="none"/>
        </w:rPr>
        <w:t>&lt;中华人民共和国政府采购法实施条例&gt;等</w:t>
      </w:r>
      <w:r>
        <w:rPr>
          <w:rFonts w:hint="eastAsia" w:ascii="宋体" w:hAnsi="宋体" w:cs="宋体"/>
          <w:color w:val="auto"/>
          <w:szCs w:val="24"/>
          <w:highlight w:val="none"/>
        </w:rPr>
        <w:t>的规定办理。</w:t>
      </w:r>
    </w:p>
    <w:p>
      <w:pPr>
        <w:pStyle w:val="26"/>
        <w:numPr>
          <w:ilvl w:val="0"/>
          <w:numId w:val="38"/>
        </w:numPr>
        <w:tabs>
          <w:tab w:val="left" w:pos="1134"/>
        </w:tabs>
        <w:spacing w:after="0" w:line="360" w:lineRule="auto"/>
        <w:ind w:leftChars="0" w:firstLine="492"/>
        <w:rPr>
          <w:rFonts w:ascii="宋体" w:hAnsi="宋体" w:cs="宋体"/>
          <w:color w:val="auto"/>
          <w:szCs w:val="24"/>
          <w:highlight w:val="none"/>
        </w:rPr>
      </w:pPr>
      <w:r>
        <w:rPr>
          <w:rFonts w:hint="eastAsia" w:ascii="宋体" w:hAnsi="宋体" w:cs="宋体"/>
          <w:color w:val="auto"/>
          <w:szCs w:val="24"/>
          <w:highlight w:val="none"/>
        </w:rPr>
        <w:t>供应商提出的询问，应当明确询问事项，如以书面形式提出的，应由供应商签字并加盖单位公章。</w:t>
      </w:r>
    </w:p>
    <w:p>
      <w:pPr>
        <w:pStyle w:val="26"/>
        <w:numPr>
          <w:ilvl w:val="0"/>
          <w:numId w:val="38"/>
        </w:numPr>
        <w:tabs>
          <w:tab w:val="left" w:pos="1134"/>
        </w:tabs>
        <w:spacing w:after="0" w:line="360" w:lineRule="auto"/>
        <w:ind w:leftChars="0" w:firstLine="492"/>
        <w:rPr>
          <w:rFonts w:ascii="宋体" w:hAnsi="宋体" w:cs="宋体"/>
          <w:color w:val="auto"/>
          <w:szCs w:val="24"/>
          <w:highlight w:val="none"/>
        </w:rPr>
      </w:pPr>
      <w:r>
        <w:rPr>
          <w:rFonts w:hint="eastAsia" w:ascii="宋体" w:hAnsi="宋体" w:cs="宋体"/>
          <w:color w:val="auto"/>
          <w:szCs w:val="24"/>
          <w:highlight w:val="none"/>
        </w:rPr>
        <w:t>供应商对采购人、采购代理机构的质疑答复不满意，或者采购人、采购代理机构未在规定期限内作出答复的，供应商可以在答复期满后15个工作日内向同级财政部门提起投诉。</w:t>
      </w:r>
    </w:p>
    <w:p>
      <w:pPr>
        <w:pStyle w:val="26"/>
        <w:numPr>
          <w:ilvl w:val="0"/>
          <w:numId w:val="38"/>
        </w:numPr>
        <w:tabs>
          <w:tab w:val="left" w:pos="1134"/>
        </w:tabs>
        <w:spacing w:after="0" w:line="360" w:lineRule="auto"/>
        <w:ind w:leftChars="0" w:firstLine="492"/>
        <w:rPr>
          <w:rFonts w:ascii="宋体" w:hAnsi="宋体" w:cs="宋体"/>
          <w:color w:val="auto"/>
          <w:szCs w:val="24"/>
          <w:highlight w:val="none"/>
        </w:rPr>
      </w:pPr>
      <w:r>
        <w:rPr>
          <w:rFonts w:hint="eastAsia" w:ascii="宋体" w:hAnsi="宋体" w:cs="宋体"/>
          <w:color w:val="auto"/>
          <w:szCs w:val="24"/>
          <w:highlight w:val="none"/>
        </w:rPr>
        <w:t>供应商应当在法定质疑期内一次性提出针对同一采购程序环节的质疑。</w:t>
      </w:r>
    </w:p>
    <w:p>
      <w:pPr>
        <w:pStyle w:val="4"/>
        <w:rPr>
          <w:color w:val="auto"/>
          <w:highlight w:val="none"/>
        </w:rPr>
      </w:pPr>
      <w:bookmarkStart w:id="195" w:name="_Toc16036"/>
      <w:bookmarkStart w:id="196" w:name="_Toc19526"/>
      <w:bookmarkStart w:id="197" w:name="_Toc15619"/>
      <w:bookmarkStart w:id="198" w:name="_Toc17918"/>
      <w:r>
        <w:rPr>
          <w:rFonts w:hint="eastAsia"/>
          <w:color w:val="auto"/>
          <w:highlight w:val="none"/>
        </w:rPr>
        <w:t>其他</w:t>
      </w:r>
      <w:bookmarkEnd w:id="195"/>
      <w:bookmarkEnd w:id="196"/>
      <w:bookmarkEnd w:id="197"/>
      <w:bookmarkEnd w:id="198"/>
    </w:p>
    <w:p>
      <w:pPr>
        <w:ind w:firstLine="492"/>
        <w:rPr>
          <w:rFonts w:ascii="宋体" w:hAnsi="宋体" w:cs="宋体"/>
          <w:color w:val="auto"/>
          <w:szCs w:val="24"/>
          <w:highlight w:val="none"/>
        </w:rPr>
      </w:pPr>
      <w:r>
        <w:rPr>
          <w:rFonts w:hint="eastAsia" w:ascii="宋体" w:hAnsi="宋体" w:cs="宋体"/>
          <w:color w:val="auto"/>
          <w:szCs w:val="24"/>
          <w:highlight w:val="none"/>
        </w:rPr>
        <w:t>招标文件中所引相关法律制度规定，在政府采购中有变化的，按照变化后的相关法律制度规定执行。本章和第六章中“6.1总则、6.2评标方法、6.3评标程序”规定的内容条款，在本项目投标截止时间届满后，因相关法律制度规定的变化导致不符合相关法律制度规定的，直接按照变化后的相关法律制度规定执行，本招标文件不再做调整。</w:t>
      </w:r>
    </w:p>
    <w:p>
      <w:pPr>
        <w:ind w:firstLine="492"/>
        <w:rPr>
          <w:rFonts w:ascii="宋体" w:hAnsi="宋体" w:cs="宋体"/>
          <w:color w:val="auto"/>
          <w:szCs w:val="24"/>
          <w:highlight w:val="none"/>
        </w:rPr>
      </w:pPr>
      <w:r>
        <w:rPr>
          <w:rFonts w:hint="eastAsia" w:ascii="宋体" w:hAnsi="宋体" w:cs="宋体"/>
          <w:color w:val="auto"/>
          <w:szCs w:val="24"/>
          <w:highlight w:val="none"/>
        </w:rPr>
        <w:br w:type="page"/>
      </w:r>
    </w:p>
    <w:p>
      <w:pPr>
        <w:pStyle w:val="2"/>
        <w:ind w:left="0" w:leftChars="0" w:firstLine="0" w:firstLineChars="0"/>
        <w:rPr>
          <w:color w:val="auto"/>
          <w:highlight w:val="none"/>
        </w:rPr>
      </w:pPr>
    </w:p>
    <w:p>
      <w:pPr>
        <w:pStyle w:val="3"/>
        <w:rPr>
          <w:color w:val="auto"/>
          <w:highlight w:val="none"/>
        </w:rPr>
      </w:pPr>
      <w:bookmarkStart w:id="199" w:name="_Toc315871049"/>
      <w:bookmarkEnd w:id="199"/>
      <w:bookmarkStart w:id="200" w:name="_Toc316292049"/>
      <w:bookmarkEnd w:id="200"/>
      <w:bookmarkStart w:id="201" w:name="_Toc316292050"/>
      <w:bookmarkEnd w:id="201"/>
      <w:bookmarkStart w:id="202" w:name="_Toc315871048"/>
      <w:bookmarkEnd w:id="202"/>
      <w:bookmarkStart w:id="203" w:name="_Toc315871045"/>
      <w:bookmarkEnd w:id="203"/>
      <w:bookmarkStart w:id="204" w:name="_Toc315871046"/>
      <w:bookmarkEnd w:id="204"/>
      <w:bookmarkStart w:id="205" w:name="_Toc316292048"/>
      <w:bookmarkEnd w:id="205"/>
      <w:bookmarkStart w:id="206" w:name="_Toc315871050"/>
      <w:bookmarkEnd w:id="206"/>
      <w:bookmarkStart w:id="207" w:name="_Toc316292051"/>
      <w:bookmarkEnd w:id="207"/>
      <w:bookmarkStart w:id="208" w:name="_Toc315871047"/>
      <w:bookmarkEnd w:id="208"/>
      <w:bookmarkStart w:id="209" w:name="_Toc316292052"/>
      <w:bookmarkEnd w:id="209"/>
      <w:bookmarkStart w:id="210" w:name="_Toc28404"/>
      <w:bookmarkStart w:id="211" w:name="_Toc15382"/>
      <w:bookmarkStart w:id="212" w:name="_Toc15124"/>
      <w:bookmarkStart w:id="213" w:name="_Toc28280"/>
      <w:r>
        <w:rPr>
          <w:rFonts w:hint="eastAsia"/>
          <w:color w:val="auto"/>
          <w:highlight w:val="none"/>
        </w:rPr>
        <w:t>投标文件格式</w:t>
      </w:r>
      <w:bookmarkEnd w:id="210"/>
      <w:bookmarkEnd w:id="211"/>
      <w:bookmarkEnd w:id="212"/>
      <w:bookmarkEnd w:id="213"/>
    </w:p>
    <w:p>
      <w:pPr>
        <w:ind w:firstLine="492"/>
        <w:rPr>
          <w:color w:val="auto"/>
          <w:highlight w:val="none"/>
        </w:rPr>
      </w:pPr>
    </w:p>
    <w:p>
      <w:pPr>
        <w:pStyle w:val="2"/>
        <w:ind w:firstLine="492"/>
        <w:rPr>
          <w:color w:val="auto"/>
          <w:highlight w:val="none"/>
        </w:rPr>
      </w:pPr>
    </w:p>
    <w:p>
      <w:pPr>
        <w:pStyle w:val="2"/>
        <w:ind w:firstLine="492"/>
        <w:rPr>
          <w:color w:val="auto"/>
          <w:highlight w:val="none"/>
        </w:rPr>
      </w:pPr>
    </w:p>
    <w:p>
      <w:pPr>
        <w:pStyle w:val="2"/>
        <w:ind w:firstLine="492"/>
        <w:rPr>
          <w:color w:val="auto"/>
          <w:highlight w:val="none"/>
        </w:rPr>
      </w:pPr>
    </w:p>
    <w:p>
      <w:pPr>
        <w:pStyle w:val="2"/>
        <w:ind w:firstLine="492"/>
        <w:rPr>
          <w:color w:val="auto"/>
          <w:highlight w:val="none"/>
        </w:rPr>
      </w:pPr>
    </w:p>
    <w:p>
      <w:pPr>
        <w:spacing w:line="500" w:lineRule="exact"/>
        <w:ind w:firstLine="572"/>
        <w:rPr>
          <w:rFonts w:ascii="宋体" w:hAnsi="宋体"/>
          <w:color w:val="auto"/>
          <w:sz w:val="28"/>
          <w:szCs w:val="28"/>
          <w:highlight w:val="none"/>
        </w:rPr>
      </w:pPr>
    </w:p>
    <w:p>
      <w:pPr>
        <w:ind w:firstLine="492"/>
        <w:rPr>
          <w:color w:val="auto"/>
          <w:highlight w:val="none"/>
        </w:rPr>
      </w:pPr>
      <w:r>
        <w:rPr>
          <w:rFonts w:hint="eastAsia"/>
          <w:color w:val="auto"/>
          <w:highlight w:val="none"/>
        </w:rPr>
        <w:t>一、本章所制投标文件格式，除格式中明确将该格式作为实质性要求的，一律不具有强制性，但是，投标人投标文件相关资料和本章所制格式不一致的，评标委员会将在评分时以投标文件不规范予以扣分处理。</w:t>
      </w:r>
    </w:p>
    <w:p>
      <w:pPr>
        <w:ind w:firstLine="492"/>
        <w:rPr>
          <w:color w:val="auto"/>
          <w:highlight w:val="none"/>
        </w:rPr>
      </w:pPr>
      <w:r>
        <w:rPr>
          <w:rFonts w:hint="eastAsia"/>
          <w:color w:val="auto"/>
          <w:highlight w:val="none"/>
        </w:rPr>
        <w:t>二、本章所制投标文件格式有关表格中的备注栏，由投标人根据自身投标情况作解释性说明，不作为必填项。</w:t>
      </w:r>
    </w:p>
    <w:p>
      <w:pPr>
        <w:ind w:firstLine="492"/>
        <w:rPr>
          <w:color w:val="auto"/>
          <w:highlight w:val="none"/>
        </w:rPr>
      </w:pPr>
      <w:r>
        <w:rPr>
          <w:rFonts w:hint="eastAsia"/>
          <w:color w:val="auto"/>
          <w:highlight w:val="none"/>
        </w:rPr>
        <w:t>三、本章所制投标文件格式中需要填写的相关内容事项，可能会与本采购项目无关，在不改变投标文件原义、不影响本项目采购需求的情况下，投标人可以不予填写，但应当注明。</w:t>
      </w: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4"/>
        <w:rPr>
          <w:color w:val="auto"/>
          <w:highlight w:val="none"/>
        </w:rPr>
      </w:pPr>
      <w:bookmarkStart w:id="214" w:name="_Toc2690"/>
      <w:bookmarkStart w:id="215" w:name="_Toc7701"/>
      <w:bookmarkStart w:id="216" w:name="_Toc12929"/>
      <w:bookmarkStart w:id="217" w:name="_Toc3025"/>
      <w:bookmarkStart w:id="218" w:name="_Toc217446082"/>
      <w:r>
        <w:rPr>
          <w:rFonts w:hint="eastAsia"/>
          <w:color w:val="auto"/>
          <w:highlight w:val="none"/>
        </w:rPr>
        <w:t>资格性响应文件</w:t>
      </w:r>
      <w:bookmarkEnd w:id="214"/>
      <w:bookmarkEnd w:id="215"/>
      <w:bookmarkEnd w:id="216"/>
      <w:bookmarkEnd w:id="217"/>
    </w:p>
    <w:p>
      <w:pPr>
        <w:pStyle w:val="5"/>
        <w:ind w:left="322" w:leftChars="0" w:firstLine="494" w:firstLineChars="0"/>
        <w:rPr>
          <w:color w:val="auto"/>
          <w:highlight w:val="none"/>
        </w:rPr>
      </w:pPr>
      <w:bookmarkStart w:id="219" w:name="_Toc30921"/>
      <w:bookmarkStart w:id="220" w:name="_Toc320698761"/>
      <w:r>
        <w:rPr>
          <w:rFonts w:hint="eastAsia"/>
          <w:color w:val="auto"/>
          <w:highlight w:val="none"/>
        </w:rPr>
        <w:t>资格性响应件密封包装最外层格式</w:t>
      </w:r>
      <w:bookmarkEnd w:id="219"/>
      <w:bookmarkEnd w:id="220"/>
    </w:p>
    <w:tbl>
      <w:tblPr>
        <w:tblStyle w:val="4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trPr>
        <w:tc>
          <w:tcPr>
            <w:tcW w:w="9464" w:type="dxa"/>
          </w:tcPr>
          <w:p>
            <w:pPr>
              <w:ind w:firstLine="494"/>
              <w:rPr>
                <w:rFonts w:ascii="宋体" w:hAnsi="宋体"/>
                <w:b/>
                <w:color w:val="auto"/>
                <w:szCs w:val="24"/>
                <w:highlight w:val="none"/>
                <w:u w:val="single"/>
              </w:rPr>
            </w:pPr>
            <w:r>
              <w:rPr>
                <w:rFonts w:hint="eastAsia" w:ascii="宋体" w:hAnsi="宋体"/>
                <w:b/>
                <w:color w:val="auto"/>
                <w:szCs w:val="24"/>
                <w:highlight w:val="none"/>
              </w:rPr>
              <w:t>项目名称：</w:t>
            </w:r>
            <w:r>
              <w:rPr>
                <w:rFonts w:hint="eastAsia" w:ascii="宋体" w:hAnsi="宋体"/>
                <w:b/>
                <w:color w:val="auto"/>
                <w:szCs w:val="24"/>
                <w:highlight w:val="none"/>
                <w:u w:val="single"/>
                <w:lang w:eastAsia="zh-CN"/>
              </w:rPr>
              <w:t>成都市龙泉驿区城市绿地建设管理中心零星维护服务采购项目</w:t>
            </w:r>
          </w:p>
          <w:p>
            <w:pPr>
              <w:ind w:firstLine="494"/>
              <w:rPr>
                <w:rFonts w:hint="eastAsia" w:ascii="宋体" w:hAnsi="宋体" w:eastAsia="宋体"/>
                <w:b/>
                <w:bCs/>
                <w:color w:val="auto"/>
                <w:szCs w:val="24"/>
                <w:highlight w:val="none"/>
                <w:u w:val="single"/>
                <w:lang w:eastAsia="zh-CN"/>
              </w:rPr>
            </w:pPr>
            <w:r>
              <w:rPr>
                <w:rFonts w:hint="eastAsia" w:ascii="宋体" w:hAnsi="宋体"/>
                <w:b/>
                <w:color w:val="auto"/>
                <w:szCs w:val="24"/>
                <w:highlight w:val="none"/>
                <w:lang w:eastAsia="zh-CN"/>
              </w:rPr>
              <w:t>项目编号</w:t>
            </w:r>
            <w:r>
              <w:rPr>
                <w:rFonts w:hint="eastAsia" w:ascii="宋体" w:hAnsi="宋体"/>
                <w:b/>
                <w:color w:val="auto"/>
                <w:szCs w:val="24"/>
                <w:highlight w:val="none"/>
              </w:rPr>
              <w:t>：</w:t>
            </w:r>
            <w:r>
              <w:rPr>
                <w:rFonts w:hint="eastAsia" w:ascii="宋体" w:hAnsi="宋体"/>
                <w:b/>
                <w:bCs/>
                <w:color w:val="auto"/>
                <w:szCs w:val="24"/>
                <w:highlight w:val="none"/>
                <w:u w:val="single"/>
                <w:lang w:eastAsia="zh-CN"/>
              </w:rPr>
              <w:t>510112202100104</w:t>
            </w:r>
          </w:p>
          <w:p>
            <w:pPr>
              <w:ind w:firstLine="494"/>
              <w:rPr>
                <w:rFonts w:ascii="宋体" w:hAnsi="宋体"/>
                <w:b/>
                <w:color w:val="auto"/>
                <w:sz w:val="28"/>
                <w:szCs w:val="28"/>
                <w:highlight w:val="none"/>
                <w:u w:val="single"/>
              </w:rPr>
            </w:pPr>
            <w:r>
              <w:rPr>
                <w:rFonts w:hint="eastAsia" w:ascii="宋体" w:hAnsi="宋体"/>
                <w:b/>
                <w:color w:val="auto"/>
                <w:szCs w:val="24"/>
                <w:highlight w:val="none"/>
              </w:rPr>
              <w:t>包 件 号：</w:t>
            </w:r>
            <w:r>
              <w:rPr>
                <w:rFonts w:hint="eastAsia" w:ascii="宋体" w:hAnsi="宋体"/>
                <w:b/>
                <w:color w:val="auto"/>
                <w:szCs w:val="24"/>
                <w:highlight w:val="none"/>
                <w:u w:val="single"/>
              </w:rPr>
              <w:t xml:space="preserve"> </w:t>
            </w:r>
            <w:r>
              <w:rPr>
                <w:rFonts w:hint="eastAsia" w:ascii="宋体" w:hAnsi="宋体"/>
                <w:b/>
                <w:color w:val="auto"/>
                <w:sz w:val="28"/>
                <w:szCs w:val="28"/>
                <w:highlight w:val="none"/>
                <w:u w:val="single"/>
              </w:rPr>
              <w:t xml:space="preserve">         </w:t>
            </w:r>
          </w:p>
          <w:p>
            <w:pPr>
              <w:ind w:firstLine="652"/>
              <w:jc w:val="center"/>
              <w:rPr>
                <w:rFonts w:ascii="宋体" w:hAnsi="宋体"/>
                <w:color w:val="auto"/>
                <w:sz w:val="32"/>
                <w:szCs w:val="32"/>
                <w:highlight w:val="none"/>
              </w:rPr>
            </w:pPr>
            <w:r>
              <w:rPr>
                <w:rFonts w:hint="eastAsia" w:ascii="宋体" w:hAnsi="宋体"/>
                <w:color w:val="auto"/>
                <w:sz w:val="32"/>
                <w:szCs w:val="32"/>
                <w:highlight w:val="none"/>
              </w:rPr>
              <w:t>资格性响应文件</w:t>
            </w:r>
          </w:p>
          <w:p>
            <w:pPr>
              <w:ind w:firstLine="572"/>
              <w:jc w:val="center"/>
              <w:rPr>
                <w:rFonts w:ascii="宋体" w:hAnsi="宋体"/>
                <w:color w:val="auto"/>
                <w:sz w:val="28"/>
                <w:szCs w:val="28"/>
                <w:highlight w:val="none"/>
              </w:rPr>
            </w:pPr>
          </w:p>
          <w:p>
            <w:pPr>
              <w:ind w:firstLine="1920" w:firstLineChars="800"/>
              <w:jc w:val="both"/>
              <w:rPr>
                <w:rFonts w:ascii="宋体" w:hAnsi="宋体"/>
                <w:color w:val="auto"/>
                <w:szCs w:val="24"/>
                <w:highlight w:val="none"/>
              </w:rPr>
            </w:pPr>
            <w:r>
              <w:rPr>
                <w:rFonts w:hint="eastAsia" w:ascii="宋体" w:hAnsi="宋体"/>
                <w:color w:val="auto"/>
                <w:szCs w:val="24"/>
                <w:highlight w:val="none"/>
              </w:rPr>
              <w:t>供应商名称：</w:t>
            </w:r>
            <w:r>
              <w:rPr>
                <w:rFonts w:hint="eastAsia" w:ascii="宋体" w:hAnsi="宋体"/>
                <w:bCs/>
                <w:color w:val="auto"/>
                <w:szCs w:val="24"/>
                <w:highlight w:val="none"/>
                <w:u w:val="single"/>
              </w:rPr>
              <w:t xml:space="preserve">                       </w:t>
            </w:r>
            <w:r>
              <w:rPr>
                <w:rFonts w:hint="eastAsia" w:ascii="宋体" w:hAnsi="宋体"/>
                <w:color w:val="auto"/>
                <w:szCs w:val="24"/>
                <w:highlight w:val="none"/>
              </w:rPr>
              <w:t>（加盖单位公章）</w:t>
            </w:r>
          </w:p>
          <w:p>
            <w:pPr>
              <w:pStyle w:val="26"/>
              <w:spacing w:after="0" w:line="360" w:lineRule="auto"/>
              <w:ind w:left="0" w:leftChars="0" w:firstLine="1920" w:firstLineChars="800"/>
              <w:rPr>
                <w:rFonts w:ascii="宋体" w:hAnsi="宋体"/>
                <w:b/>
                <w:color w:val="auto"/>
                <w:sz w:val="28"/>
                <w:szCs w:val="28"/>
                <w:highlight w:val="none"/>
              </w:rPr>
            </w:pPr>
            <w:r>
              <w:rPr>
                <w:rFonts w:ascii="宋体" w:hAnsi="宋体"/>
                <w:color w:val="auto"/>
                <w:szCs w:val="24"/>
                <w:highlight w:val="none"/>
              </w:rPr>
              <w:t>日期：</w:t>
            </w:r>
            <w:r>
              <w:rPr>
                <w:rFonts w:hint="eastAsia" w:ascii="宋体" w:hAnsi="宋体"/>
                <w:color w:val="auto"/>
                <w:szCs w:val="24"/>
                <w:highlight w:val="none"/>
                <w:u w:val="single"/>
              </w:rPr>
              <w:t xml:space="preserve">      </w:t>
            </w:r>
            <w:r>
              <w:rPr>
                <w:rFonts w:ascii="宋体" w:hAnsi="宋体"/>
                <w:color w:val="auto"/>
                <w:szCs w:val="24"/>
                <w:highlight w:val="none"/>
              </w:rPr>
              <w:t>年</w:t>
            </w:r>
            <w:r>
              <w:rPr>
                <w:rFonts w:hint="eastAsia" w:ascii="宋体" w:hAnsi="宋体"/>
                <w:color w:val="auto"/>
                <w:szCs w:val="24"/>
                <w:highlight w:val="none"/>
                <w:u w:val="single"/>
              </w:rPr>
              <w:t xml:space="preserve">      </w:t>
            </w:r>
            <w:r>
              <w:rPr>
                <w:rFonts w:ascii="宋体" w:hAnsi="宋体"/>
                <w:color w:val="auto"/>
                <w:szCs w:val="24"/>
                <w:highlight w:val="none"/>
              </w:rPr>
              <w:t>月</w:t>
            </w:r>
            <w:r>
              <w:rPr>
                <w:rFonts w:hint="eastAsia" w:ascii="宋体" w:hAnsi="宋体"/>
                <w:color w:val="auto"/>
                <w:szCs w:val="24"/>
                <w:highlight w:val="none"/>
                <w:u w:val="single"/>
              </w:rPr>
              <w:t xml:space="preserve">      </w:t>
            </w:r>
            <w:r>
              <w:rPr>
                <w:rFonts w:ascii="宋体" w:hAnsi="宋体"/>
                <w:color w:val="auto"/>
                <w:szCs w:val="24"/>
                <w:highlight w:val="none"/>
              </w:rPr>
              <w:t>日</w:t>
            </w:r>
          </w:p>
        </w:tc>
      </w:tr>
    </w:tbl>
    <w:p>
      <w:pPr>
        <w:pStyle w:val="5"/>
        <w:ind w:left="322" w:leftChars="0" w:firstLine="494" w:firstLineChars="0"/>
        <w:rPr>
          <w:color w:val="auto"/>
          <w:highlight w:val="none"/>
        </w:rPr>
      </w:pPr>
      <w:bookmarkStart w:id="221" w:name="_Toc22475"/>
      <w:r>
        <w:rPr>
          <w:rFonts w:hint="eastAsia"/>
          <w:color w:val="auto"/>
          <w:highlight w:val="none"/>
        </w:rPr>
        <w:t>资格性响应文件封面格式</w:t>
      </w:r>
      <w:bookmarkEnd w:id="221"/>
    </w:p>
    <w:tbl>
      <w:tblPr>
        <w:tblStyle w:val="43"/>
        <w:tblW w:w="93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tcPr>
          <w:p>
            <w:pPr>
              <w:ind w:firstLine="494"/>
              <w:rPr>
                <w:rFonts w:ascii="宋体" w:hAnsi="宋体"/>
                <w:b/>
                <w:color w:val="auto"/>
                <w:szCs w:val="24"/>
                <w:highlight w:val="none"/>
                <w:u w:val="single"/>
              </w:rPr>
            </w:pPr>
            <w:r>
              <w:rPr>
                <w:rFonts w:hint="eastAsia" w:ascii="宋体" w:hAnsi="宋体"/>
                <w:b/>
                <w:color w:val="auto"/>
                <w:szCs w:val="24"/>
                <w:highlight w:val="none"/>
              </w:rPr>
              <w:t>项目名称：</w:t>
            </w:r>
            <w:r>
              <w:rPr>
                <w:rFonts w:hint="eastAsia" w:ascii="宋体" w:hAnsi="宋体"/>
                <w:b/>
                <w:color w:val="auto"/>
                <w:szCs w:val="24"/>
                <w:highlight w:val="none"/>
                <w:u w:val="single"/>
                <w:lang w:eastAsia="zh-CN"/>
              </w:rPr>
              <w:t>成都市龙泉驿区城市绿地建设管理中心零星维护服务采购项目</w:t>
            </w:r>
          </w:p>
          <w:p>
            <w:pPr>
              <w:ind w:firstLine="494"/>
              <w:rPr>
                <w:rFonts w:hint="eastAsia" w:ascii="宋体" w:hAnsi="宋体" w:eastAsia="宋体"/>
                <w:b/>
                <w:bCs/>
                <w:color w:val="auto"/>
                <w:szCs w:val="24"/>
                <w:highlight w:val="none"/>
                <w:u w:val="single"/>
                <w:lang w:eastAsia="zh-CN"/>
              </w:rPr>
            </w:pPr>
            <w:r>
              <w:rPr>
                <w:rFonts w:hint="eastAsia" w:ascii="宋体" w:hAnsi="宋体"/>
                <w:b/>
                <w:color w:val="auto"/>
                <w:szCs w:val="21"/>
                <w:highlight w:val="none"/>
                <w:lang w:eastAsia="zh-CN"/>
              </w:rPr>
              <w:t>项目编号</w:t>
            </w:r>
            <w:r>
              <w:rPr>
                <w:rFonts w:hint="eastAsia" w:ascii="宋体" w:hAnsi="宋体"/>
                <w:b/>
                <w:color w:val="auto"/>
                <w:szCs w:val="24"/>
                <w:highlight w:val="none"/>
              </w:rPr>
              <w:t>：</w:t>
            </w:r>
            <w:r>
              <w:rPr>
                <w:rFonts w:hint="eastAsia" w:ascii="宋体" w:hAnsi="宋体"/>
                <w:b/>
                <w:bCs/>
                <w:color w:val="auto"/>
                <w:szCs w:val="24"/>
                <w:highlight w:val="none"/>
                <w:u w:val="single"/>
                <w:lang w:eastAsia="zh-CN"/>
              </w:rPr>
              <w:t>510112202100104</w:t>
            </w:r>
          </w:p>
          <w:p>
            <w:pPr>
              <w:ind w:firstLine="494"/>
              <w:rPr>
                <w:rFonts w:ascii="宋体" w:hAnsi="宋体"/>
                <w:b/>
                <w:color w:val="auto"/>
                <w:szCs w:val="24"/>
                <w:highlight w:val="none"/>
              </w:rPr>
            </w:pPr>
            <w:r>
              <w:rPr>
                <w:rFonts w:hint="eastAsia" w:ascii="宋体" w:hAnsi="宋体"/>
                <w:b/>
                <w:color w:val="auto"/>
                <w:szCs w:val="24"/>
                <w:highlight w:val="none"/>
              </w:rPr>
              <w:t>包 件 号：</w:t>
            </w:r>
            <w:r>
              <w:rPr>
                <w:rFonts w:hint="eastAsia" w:ascii="宋体" w:hAnsi="宋体"/>
                <w:b/>
                <w:color w:val="auto"/>
                <w:szCs w:val="24"/>
                <w:highlight w:val="none"/>
                <w:u w:val="single"/>
              </w:rPr>
              <w:t xml:space="preserve"> </w:t>
            </w:r>
            <w:r>
              <w:rPr>
                <w:rFonts w:hint="eastAsia" w:ascii="宋体" w:hAnsi="宋体"/>
                <w:b/>
                <w:color w:val="auto"/>
                <w:sz w:val="28"/>
                <w:szCs w:val="28"/>
                <w:highlight w:val="none"/>
                <w:u w:val="single"/>
              </w:rPr>
              <w:t xml:space="preserve">  </w:t>
            </w:r>
            <w:r>
              <w:rPr>
                <w:rFonts w:hint="eastAsia" w:ascii="宋体" w:hAnsi="宋体"/>
                <w:color w:val="auto"/>
                <w:szCs w:val="24"/>
                <w:highlight w:val="none"/>
                <w:u w:val="single"/>
              </w:rPr>
              <w:t xml:space="preserve">          </w:t>
            </w:r>
          </w:p>
          <w:p>
            <w:pPr>
              <w:ind w:firstLine="652"/>
              <w:jc w:val="center"/>
              <w:rPr>
                <w:rFonts w:ascii="宋体" w:hAnsi="宋体"/>
                <w:color w:val="auto"/>
                <w:sz w:val="32"/>
                <w:szCs w:val="32"/>
                <w:highlight w:val="none"/>
              </w:rPr>
            </w:pPr>
            <w:r>
              <w:rPr>
                <w:rFonts w:hint="eastAsia" w:ascii="宋体" w:hAnsi="宋体"/>
                <w:color w:val="auto"/>
                <w:sz w:val="32"/>
                <w:szCs w:val="32"/>
                <w:highlight w:val="none"/>
              </w:rPr>
              <w:t>资格性响应文件</w:t>
            </w:r>
          </w:p>
          <w:p>
            <w:pPr>
              <w:ind w:firstLine="652"/>
              <w:jc w:val="center"/>
              <w:rPr>
                <w:rFonts w:ascii="宋体" w:hAnsi="宋体"/>
                <w:color w:val="auto"/>
                <w:sz w:val="32"/>
                <w:szCs w:val="32"/>
                <w:highlight w:val="none"/>
              </w:rPr>
            </w:pPr>
            <w:r>
              <w:rPr>
                <w:rFonts w:hint="eastAsia" w:ascii="宋体" w:hAnsi="宋体"/>
                <w:color w:val="auto"/>
                <w:sz w:val="32"/>
                <w:szCs w:val="32"/>
                <w:highlight w:val="none"/>
              </w:rPr>
              <w:t>（正本或副本）</w:t>
            </w:r>
          </w:p>
          <w:p>
            <w:pPr>
              <w:pStyle w:val="2"/>
              <w:ind w:firstLine="492"/>
              <w:rPr>
                <w:color w:val="auto"/>
                <w:highlight w:val="none"/>
              </w:rPr>
            </w:pPr>
          </w:p>
          <w:p>
            <w:pPr>
              <w:ind w:firstLine="1920" w:firstLineChars="800"/>
              <w:jc w:val="both"/>
              <w:rPr>
                <w:rFonts w:ascii="宋体" w:hAnsi="宋体"/>
                <w:color w:val="auto"/>
                <w:szCs w:val="24"/>
                <w:highlight w:val="none"/>
              </w:rPr>
            </w:pPr>
            <w:r>
              <w:rPr>
                <w:rFonts w:hint="eastAsia" w:ascii="宋体" w:hAnsi="宋体"/>
                <w:color w:val="auto"/>
                <w:szCs w:val="24"/>
                <w:highlight w:val="none"/>
              </w:rPr>
              <w:t>供应商名称：</w:t>
            </w:r>
            <w:r>
              <w:rPr>
                <w:rFonts w:hint="eastAsia" w:ascii="宋体" w:hAnsi="宋体"/>
                <w:bCs/>
                <w:color w:val="auto"/>
                <w:szCs w:val="24"/>
                <w:highlight w:val="none"/>
                <w:u w:val="single"/>
              </w:rPr>
              <w:t xml:space="preserve">                       </w:t>
            </w:r>
            <w:r>
              <w:rPr>
                <w:rFonts w:hint="eastAsia" w:ascii="宋体" w:hAnsi="宋体"/>
                <w:color w:val="auto"/>
                <w:szCs w:val="24"/>
                <w:highlight w:val="none"/>
              </w:rPr>
              <w:t>（加盖单位公章）</w:t>
            </w:r>
          </w:p>
          <w:p>
            <w:pPr>
              <w:pStyle w:val="26"/>
              <w:spacing w:after="0" w:line="360" w:lineRule="auto"/>
              <w:ind w:left="0" w:leftChars="0" w:firstLine="1920" w:firstLineChars="800"/>
              <w:rPr>
                <w:rFonts w:ascii="宋体" w:hAnsi="宋体"/>
                <w:color w:val="auto"/>
                <w:sz w:val="28"/>
                <w:szCs w:val="28"/>
                <w:highlight w:val="none"/>
              </w:rPr>
            </w:pPr>
            <w:r>
              <w:rPr>
                <w:rFonts w:ascii="宋体" w:hAnsi="宋体"/>
                <w:color w:val="auto"/>
                <w:szCs w:val="24"/>
                <w:highlight w:val="none"/>
              </w:rPr>
              <w:t>日期：</w:t>
            </w:r>
            <w:r>
              <w:rPr>
                <w:rFonts w:hint="eastAsia" w:ascii="宋体" w:hAnsi="宋体"/>
                <w:color w:val="auto"/>
                <w:szCs w:val="24"/>
                <w:highlight w:val="none"/>
                <w:u w:val="single"/>
              </w:rPr>
              <w:t xml:space="preserve">      </w:t>
            </w:r>
            <w:r>
              <w:rPr>
                <w:rFonts w:ascii="宋体" w:hAnsi="宋体"/>
                <w:color w:val="auto"/>
                <w:szCs w:val="24"/>
                <w:highlight w:val="none"/>
              </w:rPr>
              <w:t>年</w:t>
            </w:r>
            <w:r>
              <w:rPr>
                <w:rFonts w:hint="eastAsia" w:ascii="宋体" w:hAnsi="宋体"/>
                <w:color w:val="auto"/>
                <w:szCs w:val="24"/>
                <w:highlight w:val="none"/>
                <w:u w:val="single"/>
              </w:rPr>
              <w:t xml:space="preserve">      </w:t>
            </w:r>
            <w:r>
              <w:rPr>
                <w:rFonts w:ascii="宋体" w:hAnsi="宋体"/>
                <w:color w:val="auto"/>
                <w:szCs w:val="24"/>
                <w:highlight w:val="none"/>
              </w:rPr>
              <w:t>月</w:t>
            </w:r>
            <w:r>
              <w:rPr>
                <w:rFonts w:hint="eastAsia" w:ascii="宋体" w:hAnsi="宋体"/>
                <w:color w:val="auto"/>
                <w:szCs w:val="24"/>
                <w:highlight w:val="none"/>
                <w:u w:val="single"/>
              </w:rPr>
              <w:t xml:space="preserve">      </w:t>
            </w:r>
            <w:r>
              <w:rPr>
                <w:rFonts w:ascii="宋体" w:hAnsi="宋体"/>
                <w:color w:val="auto"/>
                <w:szCs w:val="24"/>
                <w:highlight w:val="none"/>
              </w:rPr>
              <w:t>日</w:t>
            </w:r>
          </w:p>
        </w:tc>
      </w:tr>
    </w:tbl>
    <w:p>
      <w:pPr>
        <w:ind w:firstLine="492"/>
        <w:rPr>
          <w:color w:val="auto"/>
          <w:highlight w:val="none"/>
        </w:rPr>
      </w:pPr>
    </w:p>
    <w:p>
      <w:pPr>
        <w:spacing w:line="380" w:lineRule="exact"/>
        <w:ind w:firstLine="494"/>
        <w:rPr>
          <w:rFonts w:ascii="宋体" w:hAnsi="宋体"/>
          <w:b/>
          <w:color w:val="auto"/>
          <w:szCs w:val="24"/>
          <w:highlight w:val="none"/>
        </w:rPr>
      </w:pPr>
      <w:r>
        <w:rPr>
          <w:rFonts w:hint="eastAsia" w:ascii="宋体" w:hAnsi="宋体"/>
          <w:b/>
          <w:color w:val="auto"/>
          <w:szCs w:val="24"/>
          <w:highlight w:val="none"/>
        </w:rPr>
        <w:t>温馨提示：</w:t>
      </w:r>
    </w:p>
    <w:p>
      <w:pPr>
        <w:numPr>
          <w:ilvl w:val="0"/>
          <w:numId w:val="39"/>
        </w:numPr>
        <w:spacing w:line="380" w:lineRule="exact"/>
        <w:ind w:firstLine="494"/>
        <w:rPr>
          <w:rFonts w:ascii="宋体" w:hAnsi="宋体"/>
          <w:b/>
          <w:color w:val="auto"/>
          <w:szCs w:val="24"/>
          <w:highlight w:val="none"/>
        </w:rPr>
      </w:pPr>
      <w:r>
        <w:rPr>
          <w:rFonts w:hint="eastAsia" w:ascii="宋体" w:hAnsi="宋体"/>
          <w:b/>
          <w:color w:val="auto"/>
          <w:szCs w:val="24"/>
          <w:highlight w:val="none"/>
        </w:rPr>
        <w:t>资格性响应文件正本一份、副本二份；</w:t>
      </w:r>
    </w:p>
    <w:p>
      <w:pPr>
        <w:numPr>
          <w:ilvl w:val="0"/>
          <w:numId w:val="39"/>
        </w:numPr>
        <w:ind w:firstLine="494"/>
        <w:rPr>
          <w:rFonts w:ascii="宋体" w:hAnsi="宋体"/>
          <w:b/>
          <w:color w:val="auto"/>
          <w:szCs w:val="24"/>
          <w:highlight w:val="none"/>
        </w:rPr>
      </w:pPr>
      <w:r>
        <w:rPr>
          <w:rFonts w:hint="eastAsia" w:ascii="宋体" w:hAnsi="宋体"/>
          <w:b/>
          <w:color w:val="auto"/>
          <w:szCs w:val="24"/>
          <w:highlight w:val="none"/>
        </w:rPr>
        <w:t>资格性响应文件应单独密封包装，并于截止时间前送达指定地点。</w:t>
      </w:r>
    </w:p>
    <w:p>
      <w:pPr>
        <w:pStyle w:val="2"/>
        <w:ind w:firstLine="0" w:firstLineChars="0"/>
        <w:rPr>
          <w:color w:val="auto"/>
          <w:highlight w:val="none"/>
        </w:rPr>
      </w:pPr>
    </w:p>
    <w:p>
      <w:pPr>
        <w:pStyle w:val="2"/>
        <w:ind w:firstLine="0" w:firstLineChars="0"/>
        <w:rPr>
          <w:color w:val="auto"/>
          <w:highlight w:val="none"/>
        </w:rPr>
      </w:pPr>
    </w:p>
    <w:p>
      <w:pPr>
        <w:pStyle w:val="2"/>
        <w:ind w:firstLine="0" w:firstLineChars="0"/>
        <w:rPr>
          <w:color w:val="auto"/>
          <w:highlight w:val="none"/>
        </w:rPr>
      </w:pPr>
    </w:p>
    <w:p>
      <w:pPr>
        <w:pStyle w:val="2"/>
        <w:ind w:firstLine="0" w:firstLineChars="0"/>
        <w:rPr>
          <w:color w:val="auto"/>
          <w:highlight w:val="none"/>
        </w:rPr>
      </w:pPr>
    </w:p>
    <w:p>
      <w:pPr>
        <w:pStyle w:val="2"/>
        <w:ind w:firstLine="0" w:firstLineChars="0"/>
        <w:rPr>
          <w:color w:val="auto"/>
          <w:highlight w:val="none"/>
        </w:rPr>
      </w:pPr>
    </w:p>
    <w:p>
      <w:pPr>
        <w:pStyle w:val="2"/>
        <w:ind w:firstLine="0" w:firstLineChars="0"/>
        <w:rPr>
          <w:color w:val="auto"/>
          <w:highlight w:val="none"/>
        </w:rPr>
      </w:pPr>
    </w:p>
    <w:p>
      <w:pPr>
        <w:pStyle w:val="5"/>
        <w:ind w:left="322" w:leftChars="0" w:firstLine="494" w:firstLineChars="0"/>
        <w:rPr>
          <w:color w:val="auto"/>
          <w:highlight w:val="none"/>
        </w:rPr>
      </w:pPr>
      <w:bookmarkStart w:id="222" w:name="_Toc14132"/>
      <w:r>
        <w:rPr>
          <w:rFonts w:hint="eastAsia"/>
          <w:color w:val="auto"/>
          <w:highlight w:val="none"/>
        </w:rPr>
        <w:t>投标函</w:t>
      </w:r>
      <w:bookmarkEnd w:id="222"/>
    </w:p>
    <w:p>
      <w:pPr>
        <w:pStyle w:val="26"/>
        <w:spacing w:after="0" w:line="500" w:lineRule="exact"/>
        <w:ind w:left="0" w:leftChars="0" w:firstLine="0" w:firstLineChars="0"/>
        <w:jc w:val="both"/>
        <w:rPr>
          <w:rFonts w:ascii="宋体" w:hAnsi="宋体"/>
          <w:bCs/>
          <w:color w:val="auto"/>
          <w:szCs w:val="24"/>
          <w:highlight w:val="none"/>
        </w:rPr>
      </w:pPr>
      <w:r>
        <w:rPr>
          <w:rFonts w:hint="eastAsia" w:ascii="宋体" w:hAnsi="宋体"/>
          <w:bCs/>
          <w:color w:val="auto"/>
          <w:szCs w:val="24"/>
          <w:highlight w:val="none"/>
        </w:rPr>
        <w:t>四川世科工程咨询有限公司：</w:t>
      </w: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我方全面研究了“</w:t>
      </w:r>
      <w:r>
        <w:rPr>
          <w:rFonts w:hint="eastAsia" w:ascii="宋体" w:hAnsi="宋体"/>
          <w:b/>
          <w:color w:val="auto"/>
          <w:szCs w:val="24"/>
          <w:highlight w:val="none"/>
          <w:u w:val="single"/>
          <w:lang w:eastAsia="zh-CN"/>
        </w:rPr>
        <w:t>成都市龙泉驿区城市绿地建设管理中心零星维护服务采购项目</w:t>
      </w:r>
      <w:r>
        <w:rPr>
          <w:rFonts w:hint="eastAsia" w:ascii="宋体" w:hAnsi="宋体"/>
          <w:b/>
          <w:bCs/>
          <w:color w:val="auto"/>
          <w:szCs w:val="24"/>
          <w:highlight w:val="none"/>
          <w:u w:val="single"/>
        </w:rPr>
        <w:t>”（</w:t>
      </w:r>
      <w:r>
        <w:rPr>
          <w:rFonts w:hint="eastAsia" w:ascii="宋体" w:hAnsi="宋体"/>
          <w:b/>
          <w:bCs/>
          <w:color w:val="auto"/>
          <w:szCs w:val="24"/>
          <w:highlight w:val="none"/>
          <w:u w:val="single"/>
          <w:lang w:eastAsia="zh-CN"/>
        </w:rPr>
        <w:t>项目编号</w:t>
      </w:r>
      <w:r>
        <w:rPr>
          <w:rFonts w:hint="eastAsia" w:ascii="宋体" w:hAnsi="宋体"/>
          <w:b/>
          <w:bCs/>
          <w:color w:val="auto"/>
          <w:szCs w:val="24"/>
          <w:highlight w:val="none"/>
          <w:u w:val="single"/>
        </w:rPr>
        <w:t>：</w:t>
      </w:r>
      <w:r>
        <w:rPr>
          <w:rFonts w:hint="eastAsia" w:ascii="宋体" w:hAnsi="宋体"/>
          <w:b/>
          <w:bCs/>
          <w:color w:val="auto"/>
          <w:szCs w:val="24"/>
          <w:highlight w:val="none"/>
          <w:u w:val="single"/>
          <w:lang w:eastAsia="zh-CN"/>
        </w:rPr>
        <w:t>510112202100104</w:t>
      </w:r>
      <w:r>
        <w:rPr>
          <w:rFonts w:hint="eastAsia" w:ascii="宋体" w:hAnsi="宋体"/>
          <w:b/>
          <w:bCs/>
          <w:color w:val="auto"/>
          <w:szCs w:val="24"/>
          <w:highlight w:val="none"/>
        </w:rPr>
        <w:t>）</w:t>
      </w:r>
      <w:r>
        <w:rPr>
          <w:rFonts w:hint="eastAsia" w:ascii="宋体" w:hAnsi="宋体"/>
          <w:bCs/>
          <w:color w:val="auto"/>
          <w:szCs w:val="24"/>
          <w:highlight w:val="none"/>
        </w:rPr>
        <w:t>招标文件，决定参加贵单位组织的本项目</w:t>
      </w:r>
      <w:r>
        <w:rPr>
          <w:rFonts w:hint="eastAsia" w:ascii="宋体" w:hAnsi="宋体"/>
          <w:b/>
          <w:color w:val="auto"/>
          <w:szCs w:val="24"/>
          <w:highlight w:val="none"/>
        </w:rPr>
        <w:t>包件</w:t>
      </w:r>
      <w:r>
        <w:rPr>
          <w:rFonts w:hint="eastAsia" w:ascii="宋体" w:hAnsi="宋体"/>
          <w:b/>
          <w:color w:val="auto"/>
          <w:szCs w:val="24"/>
          <w:highlight w:val="none"/>
          <w:u w:val="single"/>
        </w:rPr>
        <w:t xml:space="preserve"> </w:t>
      </w:r>
      <w:r>
        <w:rPr>
          <w:rFonts w:hint="eastAsia" w:ascii="宋体" w:hAnsi="宋体"/>
          <w:b/>
          <w:color w:val="auto"/>
          <w:sz w:val="28"/>
          <w:szCs w:val="28"/>
          <w:highlight w:val="none"/>
          <w:u w:val="single"/>
        </w:rPr>
        <w:t xml:space="preserve">  </w:t>
      </w:r>
      <w:r>
        <w:rPr>
          <w:rFonts w:hint="eastAsia" w:ascii="宋体" w:hAnsi="宋体"/>
          <w:bCs/>
          <w:color w:val="auto"/>
          <w:szCs w:val="24"/>
          <w:highlight w:val="none"/>
        </w:rPr>
        <w:t>的投标。我方授权</w:t>
      </w:r>
      <w:r>
        <w:rPr>
          <w:rFonts w:hint="eastAsia" w:ascii="宋体" w:hAnsi="宋体"/>
          <w:bCs/>
          <w:color w:val="auto"/>
          <w:szCs w:val="24"/>
          <w:highlight w:val="none"/>
          <w:u w:val="single"/>
        </w:rPr>
        <w:t xml:space="preserve">       （姓名、职务）</w:t>
      </w:r>
      <w:r>
        <w:rPr>
          <w:rFonts w:hint="eastAsia" w:ascii="宋体" w:hAnsi="宋体"/>
          <w:bCs/>
          <w:color w:val="auto"/>
          <w:szCs w:val="24"/>
          <w:highlight w:val="none"/>
        </w:rPr>
        <w:t xml:space="preserve">代表我方 </w:t>
      </w:r>
      <w:r>
        <w:rPr>
          <w:rFonts w:hint="eastAsia" w:ascii="宋体" w:hAnsi="宋体"/>
          <w:bCs/>
          <w:color w:val="auto"/>
          <w:szCs w:val="24"/>
          <w:highlight w:val="none"/>
          <w:u w:val="single"/>
        </w:rPr>
        <w:t xml:space="preserve">     （投标人名称）</w:t>
      </w:r>
      <w:r>
        <w:rPr>
          <w:rFonts w:hint="eastAsia" w:ascii="宋体" w:hAnsi="宋体"/>
          <w:bCs/>
          <w:color w:val="auto"/>
          <w:szCs w:val="24"/>
          <w:highlight w:val="none"/>
        </w:rPr>
        <w:t>全权处理本项目投标的有关事宜。</w:t>
      </w:r>
    </w:p>
    <w:p>
      <w:pPr>
        <w:numPr>
          <w:ilvl w:val="1"/>
          <w:numId w:val="40"/>
        </w:numPr>
        <w:tabs>
          <w:tab w:val="left" w:pos="1134"/>
        </w:tabs>
        <w:ind w:left="0" w:firstLine="492"/>
        <w:rPr>
          <w:rFonts w:ascii="宋体" w:hAnsi="宋体"/>
          <w:color w:val="auto"/>
          <w:szCs w:val="24"/>
          <w:highlight w:val="none"/>
        </w:rPr>
      </w:pPr>
      <w:r>
        <w:rPr>
          <w:rFonts w:hint="eastAsia" w:ascii="宋体" w:hAnsi="宋体"/>
          <w:color w:val="auto"/>
          <w:szCs w:val="24"/>
          <w:highlight w:val="none"/>
        </w:rPr>
        <w:t>我方自愿按照招标文件规定的各项要求向采购人提供所需货物及服务，</w:t>
      </w:r>
      <w:r>
        <w:rPr>
          <w:rFonts w:hint="eastAsia" w:ascii="宋体" w:hAnsi="宋体"/>
          <w:b/>
          <w:color w:val="auto"/>
          <w:szCs w:val="24"/>
          <w:highlight w:val="none"/>
        </w:rPr>
        <w:t>投标报价以《开标一览表》为准</w:t>
      </w:r>
      <w:r>
        <w:rPr>
          <w:rFonts w:hint="eastAsia" w:ascii="宋体" w:hAnsi="宋体"/>
          <w:color w:val="auto"/>
          <w:szCs w:val="24"/>
          <w:highlight w:val="none"/>
        </w:rPr>
        <w:t>。</w:t>
      </w:r>
    </w:p>
    <w:p>
      <w:pPr>
        <w:numPr>
          <w:ilvl w:val="1"/>
          <w:numId w:val="40"/>
        </w:numPr>
        <w:tabs>
          <w:tab w:val="left" w:pos="1134"/>
        </w:tabs>
        <w:ind w:left="0" w:firstLine="492"/>
        <w:rPr>
          <w:rFonts w:ascii="宋体" w:hAnsi="宋体"/>
          <w:color w:val="auto"/>
          <w:szCs w:val="24"/>
          <w:highlight w:val="none"/>
        </w:rPr>
      </w:pPr>
      <w:r>
        <w:rPr>
          <w:rFonts w:hint="eastAsia" w:ascii="宋体" w:hAnsi="宋体"/>
          <w:color w:val="auto"/>
          <w:szCs w:val="24"/>
          <w:highlight w:val="none"/>
        </w:rPr>
        <w:t>如果我方中标，我方将严格履行合同规定的责任和义务，否则将承担由此产生的一切责任。</w:t>
      </w:r>
    </w:p>
    <w:p>
      <w:pPr>
        <w:numPr>
          <w:ilvl w:val="1"/>
          <w:numId w:val="40"/>
        </w:numPr>
        <w:tabs>
          <w:tab w:val="left" w:pos="1134"/>
        </w:tabs>
        <w:ind w:left="0" w:firstLine="492"/>
        <w:rPr>
          <w:rFonts w:ascii="宋体" w:hAnsi="宋体"/>
          <w:color w:val="auto"/>
          <w:szCs w:val="24"/>
          <w:highlight w:val="none"/>
        </w:rPr>
      </w:pPr>
      <w:r>
        <w:rPr>
          <w:rFonts w:hint="eastAsia" w:ascii="宋体" w:hAnsi="宋体"/>
          <w:color w:val="auto"/>
          <w:szCs w:val="24"/>
          <w:highlight w:val="none"/>
        </w:rPr>
        <w:t>我方已知晓全部招标文件的内容，包括修改文件（如有）以及全部相关资料和有关附件，并对上述文件均无异议。</w:t>
      </w:r>
    </w:p>
    <w:p>
      <w:pPr>
        <w:numPr>
          <w:ilvl w:val="1"/>
          <w:numId w:val="40"/>
        </w:numPr>
        <w:tabs>
          <w:tab w:val="left" w:pos="1134"/>
        </w:tabs>
        <w:ind w:left="0" w:firstLine="504"/>
        <w:rPr>
          <w:rFonts w:ascii="宋体" w:hAnsi="宋体"/>
          <w:color w:val="auto"/>
          <w:szCs w:val="24"/>
          <w:highlight w:val="none"/>
        </w:rPr>
      </w:pPr>
      <w:r>
        <w:rPr>
          <w:rFonts w:hint="eastAsia" w:ascii="宋体" w:hAnsi="宋体"/>
          <w:color w:val="auto"/>
          <w:szCs w:val="24"/>
          <w:highlight w:val="none"/>
        </w:rPr>
        <w:t>我方同意本招标文件依据</w:t>
      </w:r>
      <w:r>
        <w:rPr>
          <w:rFonts w:hint="eastAsia"/>
          <w:color w:val="auto"/>
          <w:highlight w:val="none"/>
          <w:lang w:val="en-US" w:eastAsia="zh-CN"/>
        </w:rPr>
        <w:t>《四川省公共资源交易领域严重失信联合惩戒实施办法》（川发改信用规【2019】405号）、《关于对政府采购领域严重违法失信主体开展联合惩戒的合作备案录》（发改财经【2018】1614号）等相关文件</w:t>
      </w:r>
      <w:r>
        <w:rPr>
          <w:rFonts w:hint="eastAsia" w:ascii="宋体" w:hAnsi="宋体"/>
          <w:color w:val="auto"/>
          <w:szCs w:val="24"/>
          <w:highlight w:val="none"/>
        </w:rPr>
        <w:t>对我方可能存在的失信行为进行的惩戒。</w:t>
      </w:r>
    </w:p>
    <w:p>
      <w:pPr>
        <w:numPr>
          <w:ilvl w:val="1"/>
          <w:numId w:val="40"/>
        </w:numPr>
        <w:tabs>
          <w:tab w:val="left" w:pos="1134"/>
        </w:tabs>
        <w:ind w:left="0" w:firstLine="492"/>
        <w:rPr>
          <w:rFonts w:ascii="宋体" w:hAnsi="宋体"/>
          <w:color w:val="auto"/>
          <w:szCs w:val="24"/>
          <w:highlight w:val="none"/>
        </w:rPr>
      </w:pPr>
      <w:r>
        <w:rPr>
          <w:rFonts w:hint="eastAsia" w:ascii="宋体" w:hAnsi="宋体"/>
          <w:color w:val="auto"/>
          <w:szCs w:val="24"/>
          <w:highlight w:val="none"/>
        </w:rPr>
        <w:t>投标有效期为从投标截止之日起90天。</w:t>
      </w:r>
    </w:p>
    <w:p>
      <w:pPr>
        <w:numPr>
          <w:ilvl w:val="1"/>
          <w:numId w:val="40"/>
        </w:numPr>
        <w:tabs>
          <w:tab w:val="left" w:pos="1134"/>
        </w:tabs>
        <w:ind w:left="0" w:firstLine="492"/>
        <w:rPr>
          <w:rFonts w:ascii="宋体" w:hAnsi="宋体"/>
          <w:color w:val="auto"/>
          <w:szCs w:val="24"/>
          <w:highlight w:val="none"/>
        </w:rPr>
      </w:pPr>
      <w:r>
        <w:rPr>
          <w:rFonts w:hint="eastAsia" w:ascii="宋体" w:hAnsi="宋体"/>
          <w:color w:val="auto"/>
          <w:szCs w:val="24"/>
          <w:highlight w:val="none"/>
        </w:rPr>
        <w:t>我方承诺一旦我公司成为本项目中标供应商，将按照招标文件的规定向四川世科工程咨询有限公司缴纳代理服务费。</w:t>
      </w:r>
    </w:p>
    <w:p>
      <w:pPr>
        <w:numPr>
          <w:ilvl w:val="1"/>
          <w:numId w:val="40"/>
        </w:numPr>
        <w:tabs>
          <w:tab w:val="left" w:pos="1134"/>
        </w:tabs>
        <w:ind w:left="0" w:firstLine="492"/>
        <w:rPr>
          <w:rFonts w:ascii="宋体" w:hAnsi="宋体"/>
          <w:color w:val="auto"/>
          <w:szCs w:val="24"/>
          <w:highlight w:val="none"/>
        </w:rPr>
      </w:pPr>
      <w:r>
        <w:rPr>
          <w:rFonts w:hint="eastAsia" w:ascii="宋体" w:hAnsi="宋体"/>
          <w:color w:val="auto"/>
          <w:szCs w:val="24"/>
          <w:highlight w:val="none"/>
        </w:rPr>
        <w:t>我方愿意提供贵方可能另外要求的，与投标有关的文件资料，并保证我方已提供和将要提供的文件资料是真实、准确的，并对此承担一切法律后果。</w:t>
      </w:r>
    </w:p>
    <w:p>
      <w:pPr>
        <w:numPr>
          <w:ilvl w:val="1"/>
          <w:numId w:val="40"/>
        </w:numPr>
        <w:tabs>
          <w:tab w:val="left" w:pos="1134"/>
        </w:tabs>
        <w:ind w:left="0" w:firstLine="492"/>
        <w:rPr>
          <w:rFonts w:ascii="宋体" w:hAnsi="宋体"/>
          <w:color w:val="auto"/>
          <w:szCs w:val="24"/>
          <w:highlight w:val="none"/>
        </w:rPr>
      </w:pPr>
      <w:r>
        <w:rPr>
          <w:rFonts w:hint="eastAsia" w:ascii="宋体" w:hAnsi="宋体"/>
          <w:color w:val="auto"/>
          <w:szCs w:val="24"/>
          <w:highlight w:val="none"/>
        </w:rPr>
        <w:t>我单位联系方式：</w:t>
      </w:r>
    </w:p>
    <w:p>
      <w:pPr>
        <w:pStyle w:val="26"/>
        <w:spacing w:after="0" w:line="360" w:lineRule="auto"/>
        <w:ind w:left="0" w:leftChars="0" w:firstLine="492"/>
        <w:rPr>
          <w:rFonts w:ascii="宋体" w:hAnsi="宋体"/>
          <w:color w:val="auto"/>
          <w:szCs w:val="24"/>
          <w:highlight w:val="none"/>
          <w:u w:val="single"/>
        </w:rPr>
      </w:pPr>
      <w:r>
        <w:rPr>
          <w:rFonts w:hint="eastAsia" w:ascii="宋体" w:hAnsi="宋体"/>
          <w:color w:val="auto"/>
          <w:szCs w:val="24"/>
          <w:highlight w:val="none"/>
        </w:rPr>
        <w:t>地址：</w:t>
      </w:r>
      <w:r>
        <w:rPr>
          <w:rFonts w:hint="eastAsia" w:ascii="宋体" w:hAnsi="宋体"/>
          <w:color w:val="auto"/>
          <w:szCs w:val="24"/>
          <w:highlight w:val="none"/>
          <w:u w:val="single"/>
        </w:rPr>
        <w:t xml:space="preserve">                </w:t>
      </w:r>
      <w:r>
        <w:rPr>
          <w:rFonts w:hint="eastAsia" w:ascii="宋体" w:hAnsi="宋体"/>
          <w:color w:val="auto"/>
          <w:szCs w:val="24"/>
          <w:highlight w:val="none"/>
        </w:rPr>
        <w:t>传真：</w:t>
      </w:r>
      <w:r>
        <w:rPr>
          <w:rFonts w:hint="eastAsia" w:ascii="宋体" w:hAnsi="宋体"/>
          <w:color w:val="auto"/>
          <w:szCs w:val="24"/>
          <w:highlight w:val="none"/>
          <w:u w:val="single"/>
        </w:rPr>
        <w:t xml:space="preserve">          </w:t>
      </w:r>
      <w:r>
        <w:rPr>
          <w:rFonts w:hint="eastAsia" w:ascii="宋体" w:hAnsi="宋体"/>
          <w:color w:val="auto"/>
          <w:szCs w:val="24"/>
          <w:highlight w:val="none"/>
        </w:rPr>
        <w:t>邮政编码：</w:t>
      </w:r>
      <w:r>
        <w:rPr>
          <w:rFonts w:hint="eastAsia" w:ascii="宋体" w:hAnsi="宋体"/>
          <w:color w:val="auto"/>
          <w:szCs w:val="24"/>
          <w:highlight w:val="none"/>
          <w:u w:val="single"/>
        </w:rPr>
        <w:tab/>
      </w:r>
      <w:r>
        <w:rPr>
          <w:rFonts w:hint="eastAsia" w:ascii="宋体" w:hAnsi="宋体"/>
          <w:color w:val="auto"/>
          <w:szCs w:val="24"/>
          <w:highlight w:val="none"/>
          <w:u w:val="single"/>
        </w:rPr>
        <w:tab/>
      </w:r>
      <w:r>
        <w:rPr>
          <w:rFonts w:hint="eastAsia" w:ascii="宋体" w:hAnsi="宋体"/>
          <w:color w:val="auto"/>
          <w:szCs w:val="24"/>
          <w:highlight w:val="none"/>
          <w:u w:val="single"/>
        </w:rPr>
        <w:tab/>
      </w:r>
      <w:r>
        <w:rPr>
          <w:rFonts w:hint="eastAsia" w:ascii="宋体" w:hAnsi="宋体"/>
          <w:color w:val="auto"/>
          <w:szCs w:val="24"/>
          <w:highlight w:val="none"/>
          <w:u w:val="single"/>
        </w:rPr>
        <w:tab/>
      </w:r>
      <w:r>
        <w:rPr>
          <w:rFonts w:hint="eastAsia" w:ascii="宋体" w:hAnsi="宋体"/>
          <w:color w:val="auto"/>
          <w:szCs w:val="24"/>
          <w:highlight w:val="none"/>
          <w:u w:val="single"/>
        </w:rPr>
        <w:t xml:space="preserve">  </w:t>
      </w:r>
      <w:r>
        <w:rPr>
          <w:rFonts w:hint="eastAsia" w:ascii="宋体" w:hAnsi="宋体"/>
          <w:color w:val="auto"/>
          <w:szCs w:val="24"/>
          <w:highlight w:val="none"/>
          <w:u w:val="single"/>
        </w:rPr>
        <w:tab/>
      </w:r>
      <w:r>
        <w:rPr>
          <w:rFonts w:hint="eastAsia" w:ascii="宋体" w:hAnsi="宋体"/>
          <w:color w:val="auto"/>
          <w:szCs w:val="24"/>
          <w:highlight w:val="none"/>
          <w:u w:val="single"/>
        </w:rPr>
        <w:tab/>
      </w: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投标人名称：</w:t>
      </w:r>
      <w:r>
        <w:rPr>
          <w:rFonts w:hint="eastAsia" w:ascii="宋体" w:hAnsi="宋体"/>
          <w:bCs/>
          <w:color w:val="auto"/>
          <w:szCs w:val="24"/>
          <w:highlight w:val="none"/>
          <w:u w:val="single"/>
        </w:rPr>
        <w:t xml:space="preserve">                       </w:t>
      </w:r>
      <w:r>
        <w:rPr>
          <w:rFonts w:hint="eastAsia" w:ascii="宋体" w:hAnsi="宋体"/>
          <w:bCs/>
          <w:color w:val="auto"/>
          <w:szCs w:val="24"/>
          <w:highlight w:val="none"/>
        </w:rPr>
        <w:t>（加盖单位公章）</w:t>
      </w: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法定代表人或代理人：</w:t>
      </w:r>
      <w:r>
        <w:rPr>
          <w:rFonts w:hint="eastAsia" w:ascii="宋体" w:hAnsi="宋体"/>
          <w:bCs/>
          <w:color w:val="auto"/>
          <w:szCs w:val="24"/>
          <w:highlight w:val="none"/>
          <w:u w:val="single"/>
        </w:rPr>
        <w:t xml:space="preserve">               </w:t>
      </w:r>
      <w:r>
        <w:rPr>
          <w:rFonts w:hint="eastAsia" w:ascii="宋体" w:hAnsi="宋体"/>
          <w:bCs/>
          <w:color w:val="auto"/>
          <w:szCs w:val="24"/>
          <w:highlight w:val="none"/>
        </w:rPr>
        <w:t>（签字）</w:t>
      </w:r>
    </w:p>
    <w:p>
      <w:pPr>
        <w:pStyle w:val="26"/>
        <w:spacing w:after="0" w:line="500" w:lineRule="exact"/>
        <w:ind w:left="492" w:firstLine="492"/>
        <w:jc w:val="both"/>
        <w:rPr>
          <w:rFonts w:ascii="宋体" w:hAnsi="宋体"/>
          <w:bCs/>
          <w:color w:val="auto"/>
          <w:szCs w:val="24"/>
          <w:highlight w:val="none"/>
        </w:rPr>
      </w:pPr>
      <w:r>
        <w:rPr>
          <w:rFonts w:hint="eastAsia" w:ascii="宋体" w:hAnsi="宋体"/>
          <w:bCs/>
          <w:color w:val="auto"/>
          <w:szCs w:val="24"/>
          <w:highlight w:val="none"/>
        </w:rPr>
        <w:br w:type="page"/>
      </w:r>
    </w:p>
    <w:p>
      <w:pPr>
        <w:pStyle w:val="5"/>
        <w:ind w:left="322" w:leftChars="0" w:firstLine="494" w:firstLineChars="0"/>
        <w:rPr>
          <w:color w:val="auto"/>
          <w:sz w:val="28"/>
          <w:highlight w:val="none"/>
        </w:rPr>
      </w:pPr>
      <w:bookmarkStart w:id="223" w:name="_Toc30172"/>
      <w:r>
        <w:rPr>
          <w:rFonts w:hint="eastAsia"/>
          <w:color w:val="auto"/>
          <w:highlight w:val="none"/>
        </w:rPr>
        <w:t>具有独立承担民事责任的能力证明材料</w:t>
      </w:r>
      <w:bookmarkEnd w:id="223"/>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rPr>
          <w:rFonts w:ascii="宋体" w:hAnsi="宋体"/>
          <w:color w:val="auto"/>
          <w:sz w:val="28"/>
          <w:szCs w:val="28"/>
          <w:highlight w:val="none"/>
        </w:rPr>
      </w:pPr>
    </w:p>
    <w:p>
      <w:pPr>
        <w:pStyle w:val="2"/>
        <w:rPr>
          <w:rFonts w:ascii="宋体" w:hAnsi="宋体"/>
          <w:color w:val="auto"/>
          <w:sz w:val="28"/>
          <w:szCs w:val="28"/>
          <w:highlight w:val="none"/>
        </w:rPr>
      </w:pPr>
    </w:p>
    <w:p>
      <w:pPr>
        <w:rPr>
          <w:rFonts w:ascii="宋体" w:hAnsi="宋体"/>
          <w:color w:val="auto"/>
          <w:sz w:val="28"/>
          <w:szCs w:val="28"/>
          <w:highlight w:val="none"/>
        </w:rPr>
      </w:pPr>
    </w:p>
    <w:p>
      <w:pPr>
        <w:pStyle w:val="2"/>
        <w:rPr>
          <w:color w:val="auto"/>
          <w:highlight w:val="none"/>
        </w:rPr>
      </w:pPr>
    </w:p>
    <w:p>
      <w:pPr>
        <w:pStyle w:val="5"/>
        <w:ind w:left="322" w:leftChars="0" w:firstLine="494" w:firstLineChars="0"/>
        <w:rPr>
          <w:color w:val="auto"/>
          <w:highlight w:val="none"/>
        </w:rPr>
      </w:pPr>
      <w:bookmarkStart w:id="224" w:name="_Toc27818"/>
      <w:bookmarkStart w:id="225" w:name="_Toc26535"/>
      <w:r>
        <w:rPr>
          <w:rFonts w:hint="eastAsia" w:cs="宋体"/>
          <w:color w:val="auto"/>
          <w:szCs w:val="24"/>
          <w:highlight w:val="none"/>
        </w:rPr>
        <w:t>健全的财务会计制度的证明材料</w:t>
      </w:r>
    </w:p>
    <w:p>
      <w:pPr>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pStyle w:val="2"/>
        <w:ind w:firstLine="492"/>
        <w:rPr>
          <w:rFonts w:ascii="宋体" w:hAnsi="宋体" w:cs="宋体"/>
          <w:color w:val="auto"/>
          <w:szCs w:val="24"/>
          <w:highlight w:val="none"/>
        </w:rPr>
      </w:pPr>
    </w:p>
    <w:p>
      <w:pPr>
        <w:rPr>
          <w:rFonts w:ascii="宋体" w:hAnsi="宋体" w:cs="宋体"/>
          <w:color w:val="auto"/>
          <w:szCs w:val="24"/>
          <w:highlight w:val="none"/>
        </w:rPr>
      </w:pPr>
    </w:p>
    <w:p>
      <w:pPr>
        <w:pStyle w:val="2"/>
        <w:rPr>
          <w:rFonts w:ascii="宋体" w:hAnsi="宋体" w:cs="宋体"/>
          <w:color w:val="auto"/>
          <w:szCs w:val="24"/>
          <w:highlight w:val="none"/>
        </w:rPr>
      </w:pPr>
    </w:p>
    <w:p>
      <w:pPr>
        <w:rPr>
          <w:color w:val="auto"/>
          <w:highlight w:val="none"/>
        </w:rPr>
      </w:pPr>
    </w:p>
    <w:p>
      <w:pPr>
        <w:pStyle w:val="2"/>
        <w:ind w:firstLine="492"/>
        <w:rPr>
          <w:rFonts w:ascii="宋体" w:hAnsi="宋体" w:cs="宋体"/>
          <w:color w:val="auto"/>
          <w:szCs w:val="24"/>
          <w:highlight w:val="none"/>
        </w:rPr>
      </w:pPr>
    </w:p>
    <w:p>
      <w:pPr>
        <w:pStyle w:val="5"/>
        <w:ind w:left="322" w:leftChars="0" w:firstLine="494" w:firstLineChars="0"/>
        <w:rPr>
          <w:color w:val="auto"/>
          <w:highlight w:val="none"/>
        </w:rPr>
      </w:pPr>
      <w:r>
        <w:rPr>
          <w:rFonts w:hint="eastAsia"/>
          <w:color w:val="auto"/>
          <w:highlight w:val="none"/>
        </w:rPr>
        <w:t>投标人缴纳税收的证明材料</w:t>
      </w:r>
      <w:bookmarkEnd w:id="224"/>
    </w:p>
    <w:p>
      <w:pPr>
        <w:ind w:firstLine="492"/>
        <w:rPr>
          <w:color w:val="auto"/>
          <w:highlight w:val="none"/>
        </w:rPr>
      </w:pPr>
    </w:p>
    <w:p>
      <w:pPr>
        <w:ind w:firstLine="572"/>
        <w:rPr>
          <w:rFonts w:ascii="宋体" w:hAnsi="宋体" w:cs="宋体"/>
          <w:color w:val="auto"/>
          <w:sz w:val="28"/>
          <w:szCs w:val="28"/>
          <w:highlight w:val="none"/>
          <w:shd w:val="clear" w:color="auto" w:fill="FFFFFF"/>
        </w:rPr>
      </w:pPr>
    </w:p>
    <w:p>
      <w:pPr>
        <w:pStyle w:val="2"/>
        <w:ind w:firstLine="572"/>
        <w:rPr>
          <w:rFonts w:ascii="宋体" w:hAnsi="宋体" w:cs="宋体"/>
          <w:color w:val="auto"/>
          <w:sz w:val="28"/>
          <w:szCs w:val="28"/>
          <w:highlight w:val="none"/>
          <w:shd w:val="clear" w:color="auto" w:fill="FFFFFF"/>
        </w:rPr>
      </w:pPr>
    </w:p>
    <w:p>
      <w:pPr>
        <w:pStyle w:val="2"/>
        <w:ind w:firstLine="572"/>
        <w:rPr>
          <w:rFonts w:ascii="宋体" w:hAnsi="宋体" w:cs="宋体"/>
          <w:color w:val="auto"/>
          <w:sz w:val="28"/>
          <w:szCs w:val="28"/>
          <w:highlight w:val="none"/>
          <w:shd w:val="clear" w:color="auto" w:fill="FFFFFF"/>
        </w:rPr>
      </w:pPr>
    </w:p>
    <w:p>
      <w:pPr>
        <w:pStyle w:val="2"/>
        <w:ind w:firstLine="572"/>
        <w:rPr>
          <w:rFonts w:ascii="宋体" w:hAnsi="宋体" w:cs="宋体"/>
          <w:color w:val="auto"/>
          <w:sz w:val="28"/>
          <w:szCs w:val="28"/>
          <w:highlight w:val="none"/>
          <w:shd w:val="clear" w:color="auto" w:fill="FFFFFF"/>
        </w:rPr>
      </w:pPr>
    </w:p>
    <w:p>
      <w:pPr>
        <w:pStyle w:val="2"/>
        <w:ind w:firstLine="572"/>
        <w:rPr>
          <w:rFonts w:ascii="宋体" w:hAnsi="宋体" w:cs="宋体"/>
          <w:color w:val="auto"/>
          <w:sz w:val="28"/>
          <w:szCs w:val="28"/>
          <w:highlight w:val="none"/>
          <w:shd w:val="clear" w:color="auto" w:fill="FFFFFF"/>
        </w:rPr>
      </w:pPr>
    </w:p>
    <w:p>
      <w:pPr>
        <w:pStyle w:val="2"/>
        <w:ind w:firstLine="572"/>
        <w:rPr>
          <w:rFonts w:ascii="宋体" w:hAnsi="宋体" w:cs="宋体"/>
          <w:color w:val="auto"/>
          <w:sz w:val="28"/>
          <w:szCs w:val="28"/>
          <w:highlight w:val="none"/>
          <w:shd w:val="clear" w:color="auto" w:fill="FFFFFF"/>
        </w:rPr>
      </w:pPr>
    </w:p>
    <w:p>
      <w:pPr>
        <w:pStyle w:val="2"/>
        <w:ind w:firstLine="572"/>
        <w:rPr>
          <w:rFonts w:ascii="宋体" w:hAnsi="宋体" w:cs="宋体"/>
          <w:color w:val="auto"/>
          <w:sz w:val="28"/>
          <w:szCs w:val="28"/>
          <w:highlight w:val="none"/>
          <w:shd w:val="clear" w:color="auto" w:fill="FFFFFF"/>
        </w:rPr>
      </w:pPr>
    </w:p>
    <w:p>
      <w:pPr>
        <w:pStyle w:val="2"/>
        <w:ind w:firstLine="572"/>
        <w:rPr>
          <w:rFonts w:ascii="宋体" w:hAnsi="宋体" w:cs="宋体"/>
          <w:color w:val="auto"/>
          <w:sz w:val="28"/>
          <w:szCs w:val="28"/>
          <w:highlight w:val="none"/>
          <w:shd w:val="clear" w:color="auto" w:fill="FFFFFF"/>
        </w:rPr>
      </w:pPr>
    </w:p>
    <w:p>
      <w:pPr>
        <w:pStyle w:val="2"/>
        <w:ind w:firstLine="572"/>
        <w:rPr>
          <w:rFonts w:ascii="宋体" w:hAnsi="宋体" w:cs="宋体"/>
          <w:color w:val="auto"/>
          <w:sz w:val="28"/>
          <w:szCs w:val="28"/>
          <w:highlight w:val="none"/>
          <w:shd w:val="clear" w:color="auto" w:fill="FFFFFF"/>
        </w:rPr>
      </w:pPr>
    </w:p>
    <w:p>
      <w:pPr>
        <w:pStyle w:val="2"/>
        <w:ind w:firstLine="572"/>
        <w:rPr>
          <w:rFonts w:ascii="宋体" w:hAnsi="宋体" w:cs="宋体"/>
          <w:color w:val="auto"/>
          <w:sz w:val="28"/>
          <w:szCs w:val="28"/>
          <w:highlight w:val="none"/>
          <w:shd w:val="clear" w:color="auto" w:fill="FFFFFF"/>
        </w:rPr>
      </w:pPr>
    </w:p>
    <w:p>
      <w:pPr>
        <w:pStyle w:val="2"/>
        <w:ind w:firstLine="572"/>
        <w:rPr>
          <w:rFonts w:ascii="宋体" w:hAnsi="宋体" w:cs="宋体"/>
          <w:color w:val="auto"/>
          <w:sz w:val="28"/>
          <w:szCs w:val="28"/>
          <w:highlight w:val="none"/>
          <w:shd w:val="clear" w:color="auto" w:fill="FFFFFF"/>
        </w:rPr>
      </w:pPr>
    </w:p>
    <w:p>
      <w:pPr>
        <w:pStyle w:val="2"/>
        <w:ind w:firstLine="572"/>
        <w:rPr>
          <w:rFonts w:ascii="宋体" w:hAnsi="宋体" w:cs="宋体"/>
          <w:color w:val="auto"/>
          <w:sz w:val="28"/>
          <w:szCs w:val="28"/>
          <w:highlight w:val="none"/>
          <w:shd w:val="clear" w:color="auto" w:fill="FFFFFF"/>
        </w:rPr>
      </w:pPr>
    </w:p>
    <w:p>
      <w:pPr>
        <w:ind w:firstLine="492"/>
        <w:rPr>
          <w:color w:val="auto"/>
          <w:highlight w:val="none"/>
        </w:rPr>
      </w:pPr>
    </w:p>
    <w:p>
      <w:pPr>
        <w:pStyle w:val="2"/>
        <w:ind w:firstLine="572"/>
        <w:rPr>
          <w:rFonts w:ascii="宋体" w:hAnsi="宋体" w:cs="宋体"/>
          <w:color w:val="auto"/>
          <w:sz w:val="28"/>
          <w:szCs w:val="28"/>
          <w:highlight w:val="none"/>
          <w:shd w:val="clear" w:color="auto" w:fill="FFFFFF"/>
        </w:rPr>
      </w:pPr>
    </w:p>
    <w:p>
      <w:pPr>
        <w:rPr>
          <w:rFonts w:ascii="宋体" w:hAnsi="宋体" w:cs="宋体"/>
          <w:color w:val="auto"/>
          <w:sz w:val="28"/>
          <w:szCs w:val="28"/>
          <w:highlight w:val="none"/>
          <w:shd w:val="clear" w:color="auto" w:fill="FFFFFF"/>
        </w:rPr>
      </w:pPr>
    </w:p>
    <w:p>
      <w:pPr>
        <w:pStyle w:val="2"/>
        <w:rPr>
          <w:color w:val="auto"/>
          <w:highlight w:val="none"/>
        </w:rPr>
      </w:pPr>
    </w:p>
    <w:p>
      <w:pPr>
        <w:pStyle w:val="2"/>
        <w:ind w:firstLine="572"/>
        <w:rPr>
          <w:rFonts w:ascii="宋体" w:hAnsi="宋体" w:cs="宋体"/>
          <w:color w:val="auto"/>
          <w:sz w:val="28"/>
          <w:szCs w:val="28"/>
          <w:highlight w:val="none"/>
          <w:shd w:val="clear" w:color="auto" w:fill="FFFFFF"/>
        </w:rPr>
      </w:pPr>
    </w:p>
    <w:p>
      <w:pPr>
        <w:pStyle w:val="2"/>
        <w:ind w:firstLine="572"/>
        <w:rPr>
          <w:rFonts w:ascii="宋体" w:hAnsi="宋体" w:cs="宋体"/>
          <w:color w:val="auto"/>
          <w:sz w:val="28"/>
          <w:szCs w:val="28"/>
          <w:highlight w:val="none"/>
          <w:shd w:val="clear" w:color="auto" w:fill="FFFFFF"/>
        </w:rPr>
      </w:pPr>
    </w:p>
    <w:p>
      <w:pPr>
        <w:pStyle w:val="2"/>
        <w:ind w:firstLine="572"/>
        <w:rPr>
          <w:rFonts w:ascii="宋体" w:hAnsi="宋体" w:cs="宋体"/>
          <w:color w:val="auto"/>
          <w:sz w:val="28"/>
          <w:szCs w:val="28"/>
          <w:highlight w:val="none"/>
          <w:shd w:val="clear" w:color="auto" w:fill="FFFFFF"/>
        </w:rPr>
      </w:pPr>
    </w:p>
    <w:p>
      <w:pPr>
        <w:pStyle w:val="2"/>
        <w:ind w:firstLine="572"/>
        <w:rPr>
          <w:rFonts w:ascii="宋体" w:hAnsi="宋体" w:cs="宋体"/>
          <w:color w:val="auto"/>
          <w:sz w:val="28"/>
          <w:szCs w:val="28"/>
          <w:highlight w:val="none"/>
          <w:shd w:val="clear" w:color="auto" w:fill="FFFFFF"/>
        </w:rPr>
      </w:pPr>
    </w:p>
    <w:p>
      <w:pPr>
        <w:pStyle w:val="5"/>
        <w:ind w:left="322" w:leftChars="0" w:firstLine="494" w:firstLineChars="0"/>
        <w:rPr>
          <w:color w:val="auto"/>
          <w:highlight w:val="none"/>
        </w:rPr>
      </w:pPr>
      <w:r>
        <w:rPr>
          <w:rFonts w:hint="eastAsia"/>
          <w:color w:val="auto"/>
          <w:highlight w:val="none"/>
        </w:rPr>
        <w:t xml:space="preserve"> </w:t>
      </w:r>
      <w:bookmarkStart w:id="226" w:name="_Toc21408"/>
      <w:r>
        <w:rPr>
          <w:rFonts w:hint="eastAsia"/>
          <w:color w:val="auto"/>
          <w:highlight w:val="none"/>
        </w:rPr>
        <w:t>投标人缴纳社会保障资金的证明材料</w:t>
      </w:r>
      <w:bookmarkEnd w:id="226"/>
    </w:p>
    <w:p>
      <w:pPr>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pStyle w:val="2"/>
        <w:ind w:firstLine="572"/>
        <w:rPr>
          <w:rFonts w:ascii="宋体" w:hAnsi="宋体"/>
          <w:color w:val="auto"/>
          <w:sz w:val="28"/>
          <w:szCs w:val="28"/>
          <w:highlight w:val="none"/>
        </w:rPr>
      </w:pPr>
    </w:p>
    <w:p>
      <w:pPr>
        <w:ind w:firstLine="492"/>
        <w:rPr>
          <w:color w:val="auto"/>
          <w:highlight w:val="none"/>
        </w:rPr>
      </w:pPr>
    </w:p>
    <w:p>
      <w:pPr>
        <w:ind w:firstLine="492"/>
        <w:rPr>
          <w:color w:val="auto"/>
          <w:highlight w:val="none"/>
        </w:rPr>
      </w:pPr>
      <w:r>
        <w:rPr>
          <w:rFonts w:hint="eastAsia"/>
          <w:color w:val="auto"/>
          <w:highlight w:val="none"/>
        </w:rPr>
        <w:br w:type="page"/>
      </w:r>
    </w:p>
    <w:p>
      <w:pPr>
        <w:pStyle w:val="5"/>
        <w:ind w:left="322" w:leftChars="0" w:firstLine="494" w:firstLineChars="0"/>
        <w:rPr>
          <w:color w:val="auto"/>
          <w:highlight w:val="none"/>
        </w:rPr>
      </w:pPr>
      <w:bookmarkStart w:id="227" w:name="_Toc20876"/>
      <w:r>
        <w:rPr>
          <w:rFonts w:hint="eastAsia"/>
          <w:color w:val="auto"/>
          <w:highlight w:val="none"/>
        </w:rPr>
        <w:t>承诺</w:t>
      </w:r>
      <w:bookmarkEnd w:id="227"/>
      <w:r>
        <w:rPr>
          <w:rFonts w:hint="eastAsia"/>
          <w:color w:val="auto"/>
          <w:highlight w:val="none"/>
          <w:lang w:val="en-US" w:eastAsia="zh-CN"/>
        </w:rPr>
        <w:t>函</w:t>
      </w:r>
    </w:p>
    <w:p>
      <w:pPr>
        <w:ind w:firstLine="0" w:firstLineChars="0"/>
        <w:rPr>
          <w:rFonts w:ascii="宋体" w:hAnsi="宋体"/>
          <w:color w:val="auto"/>
          <w:szCs w:val="24"/>
          <w:highlight w:val="none"/>
        </w:rPr>
      </w:pPr>
      <w:r>
        <w:rPr>
          <w:rFonts w:hint="eastAsia" w:ascii="宋体" w:hAnsi="宋体"/>
          <w:b/>
          <w:bCs/>
          <w:color w:val="auto"/>
          <w:szCs w:val="24"/>
          <w:highlight w:val="none"/>
        </w:rPr>
        <w:t>四川世科工程咨询有限公司：</w:t>
      </w:r>
    </w:p>
    <w:p>
      <w:pPr>
        <w:ind w:firstLine="504"/>
        <w:rPr>
          <w:rFonts w:ascii="宋体" w:hAnsi="宋体"/>
          <w:color w:val="auto"/>
          <w:szCs w:val="24"/>
          <w:highlight w:val="none"/>
        </w:rPr>
      </w:pPr>
      <w:r>
        <w:rPr>
          <w:rFonts w:hint="eastAsia" w:ascii="宋体" w:hAnsi="宋体"/>
          <w:color w:val="auto"/>
          <w:szCs w:val="24"/>
          <w:highlight w:val="none"/>
        </w:rPr>
        <w:t>我公司作为本次采购项目的投标人，根据招标文件的要求，在此郑重承诺：</w:t>
      </w:r>
    </w:p>
    <w:p>
      <w:pPr>
        <w:numPr>
          <w:ilvl w:val="0"/>
          <w:numId w:val="41"/>
        </w:numPr>
        <w:ind w:firstLine="504"/>
        <w:rPr>
          <w:rFonts w:ascii="宋体" w:hAnsi="宋体"/>
          <w:color w:val="auto"/>
          <w:szCs w:val="24"/>
          <w:highlight w:val="none"/>
        </w:rPr>
      </w:pPr>
      <w:r>
        <w:rPr>
          <w:rFonts w:hint="eastAsia" w:ascii="宋体" w:hAnsi="宋体"/>
          <w:color w:val="auto"/>
          <w:szCs w:val="24"/>
          <w:highlight w:val="none"/>
        </w:rPr>
        <w:t>我公司具有良好的商业信誉。</w:t>
      </w:r>
    </w:p>
    <w:p>
      <w:pPr>
        <w:pStyle w:val="2"/>
        <w:numPr>
          <w:ilvl w:val="0"/>
          <w:numId w:val="41"/>
        </w:numPr>
        <w:spacing w:line="360" w:lineRule="auto"/>
        <w:ind w:firstLine="504"/>
        <w:rPr>
          <w:color w:val="auto"/>
          <w:highlight w:val="none"/>
        </w:rPr>
      </w:pPr>
      <w:r>
        <w:rPr>
          <w:rFonts w:hint="eastAsia"/>
          <w:color w:val="auto"/>
          <w:highlight w:val="none"/>
        </w:rPr>
        <w:t>我公司具有履行合同所必须的设备和专业技术能力。</w:t>
      </w:r>
    </w:p>
    <w:p>
      <w:pPr>
        <w:pStyle w:val="2"/>
        <w:numPr>
          <w:ilvl w:val="0"/>
          <w:numId w:val="41"/>
        </w:numPr>
        <w:spacing w:line="360" w:lineRule="auto"/>
        <w:ind w:firstLine="504"/>
        <w:rPr>
          <w:rFonts w:ascii="宋体" w:hAnsi="宋体"/>
          <w:color w:val="auto"/>
          <w:szCs w:val="24"/>
          <w:highlight w:val="none"/>
        </w:rPr>
      </w:pPr>
      <w:r>
        <w:rPr>
          <w:rFonts w:hint="eastAsia" w:ascii="宋体" w:hAnsi="宋体"/>
          <w:color w:val="auto"/>
          <w:szCs w:val="24"/>
          <w:highlight w:val="none"/>
        </w:rPr>
        <w:t>我公司参加政府采购活动前三年内（成立不足三年的，从成立之日起算），在经营活动中无重大违法记录。（</w:t>
      </w:r>
      <w:r>
        <w:rPr>
          <w:rFonts w:hint="eastAsia" w:ascii="宋体" w:hAnsi="宋体" w:cs="宋体"/>
          <w:color w:val="auto"/>
          <w:szCs w:val="24"/>
          <w:highlight w:val="none"/>
        </w:rPr>
        <w:t>重大违法记录是指投标人因违法经营受到刑事处罚或责令停产停业；吊销许可证或者执照；较大数额罚款；较大数额没收财产等行政处罚。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317号）现定的行政处罚罚款听证标准金额为准。本规定所称较大数额，是指对非经营活动职业培训教育网民的违法行为处以罚款或者没收财产2000元以上、法人或者其他组织的违法行为处以罚款或者没收财产2万元以上；对在经营活动中的违法行为 处以罚款或者没收财产5万元以上。国务院有关部门规定的较大数额标准低于前款规定的，从其规定。)</w:t>
      </w:r>
    </w:p>
    <w:p>
      <w:pPr>
        <w:numPr>
          <w:ilvl w:val="0"/>
          <w:numId w:val="41"/>
        </w:numPr>
        <w:ind w:firstLine="504"/>
        <w:rPr>
          <w:rFonts w:ascii="宋体" w:hAnsi="宋体"/>
          <w:color w:val="auto"/>
          <w:szCs w:val="24"/>
          <w:highlight w:val="none"/>
        </w:rPr>
      </w:pPr>
      <w:r>
        <w:rPr>
          <w:rFonts w:hint="eastAsia" w:ascii="宋体" w:hAnsi="宋体"/>
          <w:color w:val="auto"/>
          <w:szCs w:val="24"/>
          <w:highlight w:val="none"/>
        </w:rPr>
        <w:t>我公司及我公司法定代表人或主要负责人</w:t>
      </w:r>
      <w:r>
        <w:rPr>
          <w:rFonts w:hint="eastAsia" w:ascii="宋体" w:hAnsi="宋体" w:cs="宋体"/>
          <w:color w:val="auto"/>
          <w:szCs w:val="24"/>
          <w:highlight w:val="none"/>
        </w:rPr>
        <w:t>不具有行贿犯罪记录</w:t>
      </w:r>
      <w:r>
        <w:rPr>
          <w:rFonts w:hint="eastAsia" w:ascii="宋体" w:hAnsi="宋体"/>
          <w:color w:val="auto"/>
          <w:szCs w:val="24"/>
          <w:highlight w:val="none"/>
        </w:rPr>
        <w:t>。</w:t>
      </w:r>
    </w:p>
    <w:p>
      <w:pPr>
        <w:numPr>
          <w:ilvl w:val="0"/>
          <w:numId w:val="41"/>
        </w:numPr>
        <w:ind w:firstLine="504"/>
        <w:rPr>
          <w:color w:val="auto"/>
          <w:highlight w:val="none"/>
        </w:rPr>
      </w:pPr>
      <w:r>
        <w:rPr>
          <w:color w:val="auto"/>
          <w:highlight w:val="none"/>
        </w:rPr>
        <w:t>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numPr>
          <w:ilvl w:val="0"/>
          <w:numId w:val="41"/>
        </w:numPr>
        <w:ind w:firstLine="504"/>
        <w:rPr>
          <w:rFonts w:ascii="宋体" w:hAnsi="宋体"/>
          <w:color w:val="auto"/>
          <w:szCs w:val="24"/>
          <w:highlight w:val="none"/>
        </w:rPr>
      </w:pPr>
      <w:r>
        <w:rPr>
          <w:rFonts w:hint="eastAsia" w:ascii="宋体" w:hAnsi="宋体"/>
          <w:color w:val="auto"/>
          <w:szCs w:val="24"/>
          <w:highlight w:val="none"/>
        </w:rPr>
        <w:t>参加本次采购活动，我公司不存在和其他供应商在同一合同项下的采购项目中，同时委托同一个自然人、同一家庭的人员、同一单位的人员作为代理人的行为。</w:t>
      </w:r>
    </w:p>
    <w:p>
      <w:pPr>
        <w:numPr>
          <w:ilvl w:val="0"/>
          <w:numId w:val="41"/>
        </w:numPr>
        <w:ind w:firstLine="504"/>
        <w:rPr>
          <w:rFonts w:ascii="宋体" w:hAnsi="宋体"/>
          <w:color w:val="auto"/>
          <w:szCs w:val="24"/>
          <w:highlight w:val="none"/>
        </w:rPr>
      </w:pPr>
      <w:r>
        <w:rPr>
          <w:rFonts w:hint="eastAsia" w:ascii="宋体" w:hAnsi="宋体"/>
          <w:color w:val="auto"/>
          <w:szCs w:val="24"/>
          <w:highlight w:val="none"/>
        </w:rPr>
        <w:t>参加本次采购活动，我公司不存在与单位负责人为同一人或者存在直接控股、管理关系的其他供应商参与同一合同项下的政府采购活动的行为。</w:t>
      </w:r>
    </w:p>
    <w:p>
      <w:pPr>
        <w:numPr>
          <w:ilvl w:val="0"/>
          <w:numId w:val="41"/>
        </w:numPr>
        <w:ind w:firstLine="504"/>
        <w:rPr>
          <w:rFonts w:ascii="宋体" w:hAnsi="宋体"/>
          <w:color w:val="auto"/>
          <w:szCs w:val="24"/>
          <w:highlight w:val="none"/>
        </w:rPr>
      </w:pPr>
      <w:r>
        <w:rPr>
          <w:rFonts w:hint="eastAsia" w:ascii="宋体" w:hAnsi="宋体"/>
          <w:color w:val="auto"/>
          <w:szCs w:val="24"/>
          <w:highlight w:val="none"/>
        </w:rPr>
        <w:t>我公司没有为本项目提供过整体设计、规范编制或者项目管理、监理、检测等服务。</w:t>
      </w:r>
    </w:p>
    <w:p>
      <w:pPr>
        <w:widowControl w:val="0"/>
        <w:numPr>
          <w:ilvl w:val="0"/>
          <w:numId w:val="41"/>
        </w:numPr>
        <w:spacing w:line="360" w:lineRule="auto"/>
        <w:ind w:firstLine="480" w:firstLineChars="200"/>
        <w:rPr>
          <w:rFonts w:ascii="宋体" w:hAnsi="宋体"/>
          <w:color w:val="auto"/>
          <w:highlight w:val="none"/>
        </w:rPr>
      </w:pPr>
      <w:r>
        <w:rPr>
          <w:rFonts w:hint="eastAsia" w:ascii="宋体" w:hAnsi="宋体"/>
          <w:color w:val="auto"/>
          <w:highlight w:val="none"/>
        </w:rPr>
        <w:t>我公司如果有</w:t>
      </w:r>
      <w:r>
        <w:rPr>
          <w:rFonts w:hint="eastAsia"/>
          <w:color w:val="auto"/>
          <w:highlight w:val="none"/>
          <w:lang w:val="en-US" w:eastAsia="zh-CN"/>
        </w:rPr>
        <w:t>《四川省公共资源交易领域严重失信联合惩戒实施办法》（川发改信用规【2019】405号）、《关于对政府采购领域严重违法失信主体开展联合惩戒的合作备案录》（发改财经【2018】1614号）</w:t>
      </w:r>
      <w:r>
        <w:rPr>
          <w:rFonts w:hint="eastAsia" w:ascii="宋体" w:hAnsi="宋体"/>
          <w:color w:val="auto"/>
          <w:highlight w:val="none"/>
        </w:rPr>
        <w:t>规定的失信行为，将在磋商文件中全面如实反映。</w:t>
      </w:r>
    </w:p>
    <w:p>
      <w:pPr>
        <w:numPr>
          <w:ilvl w:val="0"/>
          <w:numId w:val="41"/>
        </w:numPr>
        <w:ind w:firstLine="504"/>
        <w:rPr>
          <w:rFonts w:ascii="宋体" w:hAnsi="宋体"/>
          <w:color w:val="auto"/>
          <w:szCs w:val="24"/>
          <w:highlight w:val="none"/>
        </w:rPr>
      </w:pPr>
      <w:r>
        <w:rPr>
          <w:rFonts w:hint="eastAsia" w:ascii="宋体" w:hAnsi="宋体"/>
          <w:color w:val="auto"/>
          <w:szCs w:val="24"/>
          <w:highlight w:val="none"/>
        </w:rPr>
        <w:t>我公司在本项目使用的任何产品和服务（包括部分使用）时，不会产生因第三方提出侵犯其专利权、商标权或其它知识产权而引起的法律和经济纠纷，如因专利权、商标权或其它知识产权而引起法律和经济纠纷，由我公司承担所有相关责任。</w:t>
      </w:r>
    </w:p>
    <w:p>
      <w:pPr>
        <w:numPr>
          <w:ilvl w:val="0"/>
          <w:numId w:val="41"/>
        </w:numPr>
        <w:ind w:firstLine="504"/>
        <w:rPr>
          <w:rFonts w:ascii="宋体" w:hAnsi="宋体"/>
          <w:color w:val="auto"/>
          <w:szCs w:val="24"/>
          <w:highlight w:val="none"/>
        </w:rPr>
      </w:pPr>
      <w:r>
        <w:rPr>
          <w:rFonts w:hint="eastAsia" w:ascii="宋体" w:hAnsi="宋体"/>
          <w:color w:val="auto"/>
          <w:szCs w:val="24"/>
          <w:highlight w:val="none"/>
        </w:rPr>
        <w:t>采购人享有本项目实施过程中产生的知识成果及知识产权。</w:t>
      </w:r>
    </w:p>
    <w:p>
      <w:pPr>
        <w:numPr>
          <w:ilvl w:val="0"/>
          <w:numId w:val="41"/>
        </w:numPr>
        <w:ind w:firstLine="504"/>
        <w:rPr>
          <w:rFonts w:ascii="宋体" w:hAnsi="宋体"/>
          <w:color w:val="auto"/>
          <w:szCs w:val="24"/>
          <w:highlight w:val="none"/>
        </w:rPr>
      </w:pPr>
      <w:r>
        <w:rPr>
          <w:rFonts w:hint="eastAsia" w:ascii="宋体" w:hAnsi="宋体"/>
          <w:color w:val="auto"/>
          <w:szCs w:val="24"/>
          <w:highlight w:val="none"/>
        </w:rPr>
        <w:t>我公司如欲在项目实施过程中采用自有知识成果，将在投标文件中声明，并提供相关知识产权证明文件。使用该知识成果后，我公司将提供开发接口和开发手册等技术文档，并提供无限期技术支持，采购人享有永久使用权（含采购人委托第三方在该项目后续开发的使用权）。</w:t>
      </w:r>
    </w:p>
    <w:p>
      <w:pPr>
        <w:numPr>
          <w:ilvl w:val="0"/>
          <w:numId w:val="41"/>
        </w:numPr>
        <w:ind w:firstLine="504"/>
        <w:rPr>
          <w:color w:val="auto"/>
          <w:highlight w:val="none"/>
        </w:rPr>
      </w:pPr>
      <w:r>
        <w:rPr>
          <w:rFonts w:hint="eastAsia" w:ascii="宋体" w:hAnsi="宋体"/>
          <w:color w:val="auto"/>
          <w:szCs w:val="24"/>
          <w:highlight w:val="none"/>
        </w:rPr>
        <w:t xml:space="preserve">如采用我公司所不拥有的知识产权的产品，则在投标报价中已包括合法获取该知识产权的相关费用。 </w:t>
      </w:r>
    </w:p>
    <w:p>
      <w:pPr>
        <w:pStyle w:val="2"/>
        <w:numPr>
          <w:ilvl w:val="0"/>
          <w:numId w:val="41"/>
        </w:numPr>
        <w:spacing w:line="360" w:lineRule="auto"/>
        <w:ind w:firstLine="504"/>
        <w:rPr>
          <w:rFonts w:ascii="宋体" w:hAnsi="宋体"/>
          <w:color w:val="auto"/>
          <w:szCs w:val="24"/>
          <w:highlight w:val="none"/>
        </w:rPr>
      </w:pPr>
      <w:r>
        <w:rPr>
          <w:rFonts w:hint="eastAsia" w:ascii="宋体" w:hAnsi="宋体"/>
          <w:color w:val="auto"/>
          <w:szCs w:val="24"/>
          <w:highlight w:val="none"/>
        </w:rPr>
        <w:t>我公司符合法律、行政法规规定的其他条件。</w:t>
      </w:r>
    </w:p>
    <w:p>
      <w:pPr>
        <w:ind w:firstLine="504"/>
        <w:rPr>
          <w:rFonts w:ascii="宋体" w:hAnsi="宋体"/>
          <w:color w:val="auto"/>
          <w:szCs w:val="24"/>
          <w:highlight w:val="none"/>
        </w:rPr>
      </w:pPr>
      <w:r>
        <w:rPr>
          <w:rFonts w:hint="eastAsia" w:ascii="宋体" w:hAnsi="宋体"/>
          <w:color w:val="auto"/>
          <w:szCs w:val="24"/>
          <w:highlight w:val="none"/>
        </w:rPr>
        <w:t>如违反以上承诺，本公司愿承担一切法律责任。</w:t>
      </w:r>
    </w:p>
    <w:p>
      <w:pPr>
        <w:pStyle w:val="2"/>
        <w:spacing w:line="360" w:lineRule="auto"/>
        <w:ind w:firstLine="492"/>
        <w:rPr>
          <w:color w:val="auto"/>
          <w:szCs w:val="24"/>
          <w:highlight w:val="none"/>
        </w:rPr>
      </w:pP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投标人名称：</w:t>
      </w:r>
      <w:r>
        <w:rPr>
          <w:rFonts w:hint="eastAsia" w:ascii="宋体" w:hAnsi="宋体"/>
          <w:bCs/>
          <w:color w:val="auto"/>
          <w:szCs w:val="24"/>
          <w:highlight w:val="none"/>
          <w:u w:val="single"/>
        </w:rPr>
        <w:t xml:space="preserve">                       </w:t>
      </w:r>
      <w:r>
        <w:rPr>
          <w:rFonts w:hint="eastAsia" w:ascii="宋体" w:hAnsi="宋体"/>
          <w:bCs/>
          <w:color w:val="auto"/>
          <w:szCs w:val="24"/>
          <w:highlight w:val="none"/>
        </w:rPr>
        <w:t>（加盖单位公章）</w:t>
      </w: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法定代表人或代理人：</w:t>
      </w:r>
      <w:r>
        <w:rPr>
          <w:rFonts w:hint="eastAsia" w:ascii="宋体" w:hAnsi="宋体"/>
          <w:bCs/>
          <w:color w:val="auto"/>
          <w:szCs w:val="24"/>
          <w:highlight w:val="none"/>
          <w:u w:val="single"/>
        </w:rPr>
        <w:t xml:space="preserve">               </w:t>
      </w:r>
      <w:r>
        <w:rPr>
          <w:rFonts w:hint="eastAsia" w:ascii="宋体" w:hAnsi="宋体"/>
          <w:bCs/>
          <w:color w:val="auto"/>
          <w:szCs w:val="24"/>
          <w:highlight w:val="none"/>
        </w:rPr>
        <w:t>（签字）</w:t>
      </w:r>
    </w:p>
    <w:p>
      <w:pPr>
        <w:pStyle w:val="26"/>
        <w:spacing w:after="0" w:line="360" w:lineRule="auto"/>
        <w:ind w:left="0" w:leftChars="0" w:firstLine="492"/>
        <w:rPr>
          <w:rFonts w:ascii="宋体" w:hAnsi="宋体"/>
          <w:bCs/>
          <w:color w:val="auto"/>
          <w:sz w:val="28"/>
          <w:szCs w:val="28"/>
          <w:highlight w:val="none"/>
          <w:u w:val="single"/>
        </w:rPr>
      </w:pPr>
      <w:r>
        <w:rPr>
          <w:rFonts w:ascii="宋体" w:hAnsi="宋体"/>
          <w:color w:val="auto"/>
          <w:szCs w:val="24"/>
          <w:highlight w:val="none"/>
        </w:rPr>
        <w:t>日期：</w:t>
      </w:r>
      <w:r>
        <w:rPr>
          <w:rFonts w:hint="eastAsia" w:ascii="宋体" w:hAnsi="宋体"/>
          <w:color w:val="auto"/>
          <w:szCs w:val="24"/>
          <w:highlight w:val="none"/>
          <w:u w:val="single"/>
        </w:rPr>
        <w:t xml:space="preserve">      </w:t>
      </w:r>
      <w:r>
        <w:rPr>
          <w:rFonts w:ascii="宋体" w:hAnsi="宋体"/>
          <w:color w:val="auto"/>
          <w:szCs w:val="24"/>
          <w:highlight w:val="none"/>
        </w:rPr>
        <w:t>年</w:t>
      </w:r>
      <w:r>
        <w:rPr>
          <w:rFonts w:hint="eastAsia" w:ascii="宋体" w:hAnsi="宋体"/>
          <w:color w:val="auto"/>
          <w:szCs w:val="24"/>
          <w:highlight w:val="none"/>
          <w:u w:val="single"/>
        </w:rPr>
        <w:t xml:space="preserve">      </w:t>
      </w:r>
      <w:r>
        <w:rPr>
          <w:rFonts w:ascii="宋体" w:hAnsi="宋体"/>
          <w:color w:val="auto"/>
          <w:szCs w:val="24"/>
          <w:highlight w:val="none"/>
        </w:rPr>
        <w:t>月</w:t>
      </w:r>
      <w:r>
        <w:rPr>
          <w:rFonts w:hint="eastAsia" w:ascii="宋体" w:hAnsi="宋体"/>
          <w:color w:val="auto"/>
          <w:szCs w:val="24"/>
          <w:highlight w:val="none"/>
          <w:u w:val="single"/>
        </w:rPr>
        <w:t xml:space="preserve">      </w:t>
      </w:r>
      <w:r>
        <w:rPr>
          <w:rFonts w:ascii="宋体" w:hAnsi="宋体"/>
          <w:color w:val="auto"/>
          <w:szCs w:val="24"/>
          <w:highlight w:val="none"/>
        </w:rPr>
        <w:t>日</w:t>
      </w:r>
    </w:p>
    <w:p>
      <w:pPr>
        <w:pStyle w:val="2"/>
        <w:spacing w:line="480" w:lineRule="exact"/>
        <w:ind w:firstLine="572"/>
        <w:jc w:val="both"/>
        <w:rPr>
          <w:rFonts w:ascii="宋体" w:hAnsi="宋体"/>
          <w:bCs/>
          <w:color w:val="auto"/>
          <w:sz w:val="28"/>
          <w:highlight w:val="none"/>
        </w:rPr>
      </w:pPr>
    </w:p>
    <w:p>
      <w:pPr>
        <w:pStyle w:val="2"/>
        <w:spacing w:line="480" w:lineRule="exact"/>
        <w:ind w:firstLine="572"/>
        <w:jc w:val="both"/>
        <w:rPr>
          <w:rFonts w:ascii="宋体" w:hAnsi="宋体"/>
          <w:bCs/>
          <w:color w:val="auto"/>
          <w:sz w:val="28"/>
          <w:highlight w:val="none"/>
        </w:rPr>
      </w:pPr>
    </w:p>
    <w:p>
      <w:pPr>
        <w:pStyle w:val="2"/>
        <w:spacing w:line="480" w:lineRule="exact"/>
        <w:ind w:firstLine="572"/>
        <w:jc w:val="both"/>
        <w:rPr>
          <w:rFonts w:ascii="宋体" w:hAnsi="宋体"/>
          <w:bCs/>
          <w:color w:val="auto"/>
          <w:sz w:val="28"/>
          <w:highlight w:val="none"/>
        </w:rPr>
      </w:pPr>
    </w:p>
    <w:p>
      <w:pPr>
        <w:pStyle w:val="2"/>
        <w:spacing w:line="480" w:lineRule="exact"/>
        <w:ind w:firstLine="572"/>
        <w:jc w:val="both"/>
        <w:rPr>
          <w:rFonts w:ascii="宋体" w:hAnsi="宋体"/>
          <w:bCs/>
          <w:color w:val="auto"/>
          <w:sz w:val="28"/>
          <w:highlight w:val="none"/>
        </w:rPr>
      </w:pPr>
    </w:p>
    <w:p>
      <w:pPr>
        <w:pStyle w:val="2"/>
        <w:spacing w:line="480" w:lineRule="exact"/>
        <w:ind w:firstLine="572"/>
        <w:jc w:val="both"/>
        <w:rPr>
          <w:rFonts w:ascii="宋体" w:hAnsi="宋体"/>
          <w:bCs/>
          <w:color w:val="auto"/>
          <w:sz w:val="28"/>
          <w:highlight w:val="none"/>
        </w:rPr>
      </w:pPr>
    </w:p>
    <w:p>
      <w:pPr>
        <w:pStyle w:val="2"/>
        <w:spacing w:line="480" w:lineRule="exact"/>
        <w:ind w:firstLine="572"/>
        <w:jc w:val="both"/>
        <w:rPr>
          <w:rFonts w:ascii="宋体" w:hAnsi="宋体"/>
          <w:bCs/>
          <w:color w:val="auto"/>
          <w:sz w:val="28"/>
          <w:highlight w:val="none"/>
        </w:rPr>
      </w:pPr>
    </w:p>
    <w:p/>
    <w:p>
      <w:pPr>
        <w:pStyle w:val="2"/>
        <w:spacing w:line="480" w:lineRule="exact"/>
        <w:ind w:firstLine="572"/>
        <w:jc w:val="both"/>
        <w:rPr>
          <w:rFonts w:ascii="宋体" w:hAnsi="宋体"/>
          <w:bCs/>
          <w:color w:val="auto"/>
          <w:sz w:val="28"/>
          <w:highlight w:val="none"/>
        </w:rPr>
      </w:pPr>
    </w:p>
    <w:p>
      <w:pPr>
        <w:pStyle w:val="2"/>
        <w:spacing w:line="480" w:lineRule="exact"/>
        <w:ind w:firstLine="572"/>
        <w:jc w:val="both"/>
        <w:rPr>
          <w:rFonts w:ascii="宋体" w:hAnsi="宋体"/>
          <w:bCs/>
          <w:color w:val="auto"/>
          <w:sz w:val="28"/>
          <w:highlight w:val="none"/>
        </w:rPr>
      </w:pPr>
    </w:p>
    <w:p>
      <w:pPr>
        <w:pStyle w:val="2"/>
        <w:spacing w:line="480" w:lineRule="exact"/>
        <w:ind w:firstLine="572"/>
        <w:jc w:val="both"/>
        <w:rPr>
          <w:rFonts w:ascii="宋体" w:hAnsi="宋体"/>
          <w:bCs/>
          <w:color w:val="auto"/>
          <w:sz w:val="28"/>
          <w:highlight w:val="none"/>
        </w:rPr>
      </w:pPr>
    </w:p>
    <w:bookmarkEnd w:id="225"/>
    <w:p>
      <w:pPr>
        <w:pStyle w:val="5"/>
        <w:ind w:left="322" w:leftChars="0" w:firstLine="494" w:firstLineChars="0"/>
        <w:rPr>
          <w:color w:val="auto"/>
          <w:highlight w:val="none"/>
        </w:rPr>
      </w:pPr>
      <w:bookmarkStart w:id="228" w:name="_Toc16526"/>
      <w:r>
        <w:rPr>
          <w:rFonts w:hint="eastAsia"/>
          <w:color w:val="auto"/>
          <w:highlight w:val="none"/>
          <w:lang w:val="en-US" w:eastAsia="zh-CN"/>
        </w:rPr>
        <w:t>中小企业声明函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本公司（联合体）郑重声明，根据《政府采购促进中小企业发展管理办法》（财库﹝2020﹞46 号）的规定，本公司（联合体）参加（单位名称）的（项目名称）采购活动，工 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 xml:space="preserve">1. </w:t>
      </w:r>
      <w:r>
        <w:rPr>
          <w:rFonts w:hint="eastAsia" w:ascii="宋体" w:hAnsi="宋体" w:eastAsia="宋体" w:cs="宋体"/>
          <w:i w:val="0"/>
          <w:iCs w:val="0"/>
          <w:color w:val="auto"/>
          <w:kern w:val="0"/>
          <w:sz w:val="24"/>
          <w:szCs w:val="24"/>
          <w:highlight w:val="none"/>
          <w:u w:val="single"/>
          <w:lang w:val="en-US" w:eastAsia="zh-CN" w:bidi="ar"/>
        </w:rPr>
        <w:t xml:space="preserve">         （标的名称）</w:t>
      </w:r>
      <w:r>
        <w:rPr>
          <w:rFonts w:hint="eastAsia" w:ascii="宋体" w:hAnsi="宋体" w:eastAsia="宋体" w:cs="宋体"/>
          <w:i w:val="0"/>
          <w:iCs w:val="0"/>
          <w:color w:val="auto"/>
          <w:kern w:val="0"/>
          <w:sz w:val="24"/>
          <w:szCs w:val="24"/>
          <w:highlight w:val="none"/>
          <w:lang w:val="en-US" w:eastAsia="zh-CN" w:bidi="ar"/>
        </w:rPr>
        <w:t xml:space="preserve"> ，属于</w:t>
      </w:r>
      <w:r>
        <w:rPr>
          <w:rFonts w:hint="eastAsia" w:ascii="宋体" w:hAnsi="宋体" w:eastAsia="宋体" w:cs="宋体"/>
          <w:i w:val="0"/>
          <w:iCs w:val="0"/>
          <w:color w:val="auto"/>
          <w:kern w:val="0"/>
          <w:sz w:val="24"/>
          <w:szCs w:val="24"/>
          <w:highlight w:val="none"/>
          <w:u w:val="single"/>
          <w:lang w:val="en-US" w:eastAsia="zh-CN" w:bidi="ar"/>
        </w:rPr>
        <w:t xml:space="preserve">         （采购文件中明确的所属行业）</w:t>
      </w:r>
      <w:r>
        <w:rPr>
          <w:rFonts w:hint="eastAsia" w:ascii="宋体" w:hAnsi="宋体" w:eastAsia="宋体" w:cs="宋体"/>
          <w:i w:val="0"/>
          <w:iCs w:val="0"/>
          <w:color w:val="auto"/>
          <w:kern w:val="0"/>
          <w:sz w:val="24"/>
          <w:szCs w:val="24"/>
          <w:highlight w:val="none"/>
          <w:lang w:val="en-US" w:eastAsia="zh-CN" w:bidi="ar"/>
        </w:rPr>
        <w:t>；承建（承接）企业为</w:t>
      </w:r>
      <w:r>
        <w:rPr>
          <w:rFonts w:hint="eastAsia" w:ascii="宋体" w:hAnsi="宋体" w:eastAsia="宋体" w:cs="宋体"/>
          <w:i w:val="0"/>
          <w:iCs w:val="0"/>
          <w:color w:val="auto"/>
          <w:kern w:val="0"/>
          <w:sz w:val="24"/>
          <w:szCs w:val="24"/>
          <w:highlight w:val="none"/>
          <w:u w:val="single"/>
          <w:lang w:val="en-US" w:eastAsia="zh-CN" w:bidi="ar"/>
        </w:rPr>
        <w:t xml:space="preserve">         （企业名称</w:t>
      </w:r>
      <w:r>
        <w:rPr>
          <w:rFonts w:hint="eastAsia" w:ascii="宋体" w:hAnsi="宋体" w:eastAsia="宋体" w:cs="宋体"/>
          <w:i w:val="0"/>
          <w:iCs w:val="0"/>
          <w:color w:val="auto"/>
          <w:kern w:val="0"/>
          <w:sz w:val="24"/>
          <w:szCs w:val="24"/>
          <w:highlight w:val="none"/>
          <w:lang w:val="en-US" w:eastAsia="zh-CN" w:bidi="ar"/>
        </w:rPr>
        <w:t>），从业人员</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人，营业收入为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万元，资产总额为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万元，属于</w:t>
      </w:r>
      <w:r>
        <w:rPr>
          <w:rFonts w:hint="eastAsia" w:ascii="宋体" w:hAnsi="宋体" w:eastAsia="宋体" w:cs="宋体"/>
          <w:i w:val="0"/>
          <w:iCs w:val="0"/>
          <w:color w:val="auto"/>
          <w:kern w:val="0"/>
          <w:sz w:val="24"/>
          <w:szCs w:val="24"/>
          <w:highlight w:val="none"/>
          <w:u w:val="single"/>
          <w:lang w:val="en-US" w:eastAsia="zh-CN" w:bidi="ar"/>
        </w:rPr>
        <w:t xml:space="preserve">         （中型企业、小型企业、微型企业）</w:t>
      </w:r>
      <w:r>
        <w:rPr>
          <w:rFonts w:hint="eastAsia" w:ascii="宋体" w:hAnsi="宋体" w:eastAsia="宋体" w:cs="宋体"/>
          <w:i w:val="0"/>
          <w:iCs w:val="0"/>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 xml:space="preserve">2. </w:t>
      </w:r>
      <w:r>
        <w:rPr>
          <w:rFonts w:hint="eastAsia" w:ascii="宋体" w:hAnsi="宋体" w:eastAsia="宋体" w:cs="宋体"/>
          <w:i w:val="0"/>
          <w:iCs w:val="0"/>
          <w:color w:val="auto"/>
          <w:kern w:val="0"/>
          <w:sz w:val="24"/>
          <w:szCs w:val="24"/>
          <w:highlight w:val="none"/>
          <w:u w:val="single"/>
          <w:lang w:val="en-US" w:eastAsia="zh-CN" w:bidi="ar"/>
        </w:rPr>
        <w:t xml:space="preserve">         （标的名称）</w:t>
      </w:r>
      <w:r>
        <w:rPr>
          <w:rFonts w:hint="eastAsia" w:ascii="宋体" w:hAnsi="宋体" w:eastAsia="宋体" w:cs="宋体"/>
          <w:i w:val="0"/>
          <w:iCs w:val="0"/>
          <w:color w:val="auto"/>
          <w:kern w:val="0"/>
          <w:sz w:val="24"/>
          <w:szCs w:val="24"/>
          <w:highlight w:val="none"/>
          <w:lang w:val="en-US" w:eastAsia="zh-CN" w:bidi="ar"/>
        </w:rPr>
        <w:t xml:space="preserve"> ，属于</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（采购文件中明确的所属行业）；承建（承接）企业为</w:t>
      </w:r>
      <w:r>
        <w:rPr>
          <w:rFonts w:hint="eastAsia" w:ascii="宋体" w:hAnsi="宋体" w:eastAsia="宋体" w:cs="宋体"/>
          <w:i w:val="0"/>
          <w:iCs w:val="0"/>
          <w:color w:val="auto"/>
          <w:kern w:val="0"/>
          <w:sz w:val="24"/>
          <w:szCs w:val="24"/>
          <w:highlight w:val="none"/>
          <w:u w:val="single"/>
          <w:lang w:val="en-US" w:eastAsia="zh-CN" w:bidi="ar"/>
        </w:rPr>
        <w:t xml:space="preserve">         （企业名称）</w:t>
      </w:r>
      <w:r>
        <w:rPr>
          <w:rFonts w:hint="eastAsia" w:ascii="宋体" w:hAnsi="宋体" w:eastAsia="宋体" w:cs="宋体"/>
          <w:i w:val="0"/>
          <w:iCs w:val="0"/>
          <w:color w:val="auto"/>
          <w:kern w:val="0"/>
          <w:sz w:val="24"/>
          <w:szCs w:val="24"/>
          <w:highlight w:val="none"/>
          <w:lang w:val="en-US" w:eastAsia="zh-CN" w:bidi="ar"/>
        </w:rPr>
        <w:t>，从业人员</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人</w:t>
      </w:r>
      <w:r>
        <w:rPr>
          <w:rFonts w:hint="eastAsia" w:ascii="宋体" w:hAnsi="宋体" w:eastAsia="宋体" w:cs="宋体"/>
          <w:i w:val="0"/>
          <w:iCs w:val="0"/>
          <w:color w:val="auto"/>
          <w:kern w:val="0"/>
          <w:sz w:val="24"/>
          <w:szCs w:val="24"/>
          <w:highlight w:val="none"/>
          <w:lang w:val="en-US" w:eastAsia="zh-CN" w:bidi="ar"/>
        </w:rPr>
        <w:t>，营业收入为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万元</w:t>
      </w:r>
      <w:r>
        <w:rPr>
          <w:rFonts w:hint="eastAsia" w:ascii="宋体" w:hAnsi="宋体" w:eastAsia="宋体" w:cs="宋体"/>
          <w:i w:val="0"/>
          <w:iCs w:val="0"/>
          <w:color w:val="auto"/>
          <w:kern w:val="0"/>
          <w:sz w:val="24"/>
          <w:szCs w:val="24"/>
          <w:highlight w:val="none"/>
          <w:lang w:val="en-US" w:eastAsia="zh-CN" w:bidi="ar"/>
        </w:rPr>
        <w:t>，资产总额为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万元，属于</w:t>
      </w:r>
      <w:r>
        <w:rPr>
          <w:rFonts w:hint="eastAsia" w:ascii="宋体" w:hAnsi="宋体" w:eastAsia="宋体" w:cs="宋体"/>
          <w:i w:val="0"/>
          <w:iCs w:val="0"/>
          <w:color w:val="auto"/>
          <w:kern w:val="0"/>
          <w:sz w:val="24"/>
          <w:szCs w:val="24"/>
          <w:highlight w:val="none"/>
          <w:u w:val="single"/>
          <w:lang w:val="en-US" w:eastAsia="zh-CN" w:bidi="ar"/>
        </w:rPr>
        <w:t xml:space="preserve">         （中型企业、小型企业、微型企业</w:t>
      </w:r>
      <w:r>
        <w:rPr>
          <w:rFonts w:hint="eastAsia" w:ascii="宋体" w:hAnsi="宋体" w:eastAsia="宋体" w:cs="宋体"/>
          <w:i w:val="0"/>
          <w:iCs w:val="0"/>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600" w:firstLineChars="15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 xml:space="preserve">日 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从业人员、营业收入、资产总额填报上一年度数据，无上一年度数据的新成立企业可不填报。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eastAsia="宋体"/>
          <w:color w:val="auto"/>
          <w:highlight w:val="none"/>
          <w:lang w:eastAsia="zh-CN"/>
        </w:rPr>
        <w:sectPr>
          <w:pgSz w:w="11906" w:h="16838"/>
          <w:pgMar w:top="1440" w:right="1274" w:bottom="1440" w:left="1418" w:header="851" w:footer="992" w:gutter="0"/>
          <w:pgNumType w:fmt="decimal"/>
          <w:cols w:space="720" w:num="1"/>
          <w:docGrid w:type="lines" w:linePitch="312" w:charSpace="0"/>
        </w:sectPr>
      </w:pPr>
      <w:r>
        <w:rPr>
          <w:rFonts w:hint="eastAsia" w:ascii="宋体" w:hAnsi="宋体" w:eastAsia="宋体" w:cs="宋体"/>
          <w:b/>
          <w:bCs/>
          <w:color w:val="auto"/>
          <w:kern w:val="0"/>
          <w:sz w:val="24"/>
          <w:szCs w:val="24"/>
          <w:highlight w:val="none"/>
          <w:lang w:val="en-US" w:eastAsia="zh-CN" w:bidi="ar"/>
        </w:rPr>
        <w:t>说明： 供应商为监狱企业的，提供由省级以上监狱管理局、戒毒管理局（含新疆生产建设兵团）出具的供应商属于监狱企业的证明文件复印件。监狱企业视同小型、微型企业。如提供虚假中小企业声明函的，则采购人有权取消参加磋商、成交资格，有权终止合同，并报政府采购监管部门。本项目采购标的对应的中小企业划分标准所属行业为</w:t>
      </w:r>
      <w:r>
        <w:rPr>
          <w:rFonts w:hint="eastAsia" w:ascii="宋体" w:hAnsi="宋体" w:cs="宋体"/>
          <w:b/>
          <w:bCs/>
          <w:color w:val="auto"/>
          <w:kern w:val="0"/>
          <w:sz w:val="24"/>
          <w:szCs w:val="24"/>
          <w:highlight w:val="none"/>
          <w:lang w:val="en-US" w:eastAsia="zh-CN" w:bidi="ar"/>
        </w:rPr>
        <w:t>其他暂未列明行业</w:t>
      </w:r>
      <w:r>
        <w:rPr>
          <w:rFonts w:hint="eastAsia" w:ascii="宋体" w:hAnsi="宋体" w:cs="宋体"/>
          <w:b/>
          <w:color w:val="auto"/>
          <w:szCs w:val="24"/>
          <w:highlight w:val="none"/>
          <w:lang w:eastAsia="zh-CN"/>
        </w:rPr>
        <w:t>。</w:t>
      </w:r>
    </w:p>
    <w:p/>
    <w:p>
      <w:pPr>
        <w:pStyle w:val="5"/>
        <w:ind w:left="322" w:leftChars="0" w:firstLine="494" w:firstLineChars="0"/>
        <w:rPr>
          <w:color w:val="auto"/>
          <w:highlight w:val="none"/>
        </w:rPr>
      </w:pPr>
      <w:r>
        <w:rPr>
          <w:rFonts w:hint="eastAsia"/>
          <w:color w:val="auto"/>
          <w:highlight w:val="none"/>
          <w:lang w:val="en-US" w:eastAsia="zh-CN"/>
        </w:rPr>
        <w:t>残疾人福利性单位声明函</w:t>
      </w:r>
    </w:p>
    <w:p>
      <w:pPr>
        <w:spacing w:line="360" w:lineRule="auto"/>
        <w:ind w:firstLine="490" w:firstLineChars="200"/>
        <w:jc w:val="center"/>
        <w:rPr>
          <w:rFonts w:ascii="宋体" w:hAnsi="宋体" w:cs="宋体"/>
          <w:b/>
          <w:color w:val="auto"/>
          <w:highlight w:val="none"/>
        </w:rPr>
      </w:pPr>
      <w:r>
        <w:rPr>
          <w:rFonts w:hint="eastAsia" w:ascii="宋体" w:hAnsi="宋体" w:cs="宋体"/>
          <w:b/>
          <w:color w:val="auto"/>
          <w:highlight w:val="none"/>
        </w:rPr>
        <w:t>残疾人福利性单位声明函</w:t>
      </w:r>
    </w:p>
    <w:p>
      <w:pPr>
        <w:pStyle w:val="2"/>
        <w:rPr>
          <w:color w:val="auto"/>
          <w:highlight w:val="none"/>
        </w:rPr>
      </w:pPr>
    </w:p>
    <w:p>
      <w:pPr>
        <w:spacing w:line="360" w:lineRule="auto"/>
        <w:ind w:firstLine="514" w:firstLineChars="200"/>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中国残疾人联合会关于促进残疾人就业政府采购政策的通知》（财库〔2017〕141号）的规定，本单位参加</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单位的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项目采购活动提供</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（请填写：本单位或XX单位）制造的货物，该单位为符合条件的残疾人福利性单位，不包括使用非残疾人福利性单位注册商标的货物。</w:t>
      </w:r>
    </w:p>
    <w:p>
      <w:pPr>
        <w:spacing w:line="360" w:lineRule="auto"/>
        <w:ind w:firstLine="514" w:firstLineChars="200"/>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spacing w:line="360" w:lineRule="auto"/>
        <w:ind w:firstLine="514" w:firstLineChars="200"/>
        <w:rPr>
          <w:rFonts w:ascii="宋体" w:hAnsi="宋体" w:cs="宋体"/>
          <w:color w:val="auto"/>
          <w:spacing w:val="6"/>
          <w:highlight w:val="none"/>
        </w:rPr>
      </w:pPr>
    </w:p>
    <w:p>
      <w:pPr>
        <w:spacing w:line="360" w:lineRule="auto"/>
        <w:ind w:firstLine="514" w:firstLineChars="200"/>
        <w:rPr>
          <w:rFonts w:ascii="宋体" w:hAnsi="宋体" w:cs="宋体"/>
          <w:color w:val="auto"/>
          <w:spacing w:val="6"/>
          <w:highlight w:val="none"/>
        </w:rPr>
      </w:pPr>
    </w:p>
    <w:p>
      <w:pPr>
        <w:spacing w:line="360" w:lineRule="auto"/>
        <w:ind w:firstLine="514" w:firstLineChars="200"/>
        <w:rPr>
          <w:rFonts w:ascii="宋体" w:hAnsi="宋体" w:cs="宋体"/>
          <w:color w:val="auto"/>
          <w:spacing w:val="6"/>
          <w:highlight w:val="none"/>
        </w:rPr>
      </w:pPr>
    </w:p>
    <w:p>
      <w:pPr>
        <w:spacing w:line="360" w:lineRule="auto"/>
        <w:ind w:firstLine="514" w:firstLineChars="200"/>
        <w:rPr>
          <w:rFonts w:ascii="宋体" w:hAnsi="宋体" w:cs="宋体"/>
          <w:color w:val="auto"/>
          <w:spacing w:val="6"/>
          <w:highlight w:val="none"/>
        </w:rPr>
      </w:pPr>
    </w:p>
    <w:p>
      <w:pPr>
        <w:spacing w:line="360" w:lineRule="auto"/>
        <w:ind w:firstLine="514" w:firstLineChars="200"/>
        <w:rPr>
          <w:rFonts w:ascii="宋体" w:hAnsi="宋体" w:cs="宋体"/>
          <w:color w:val="auto"/>
          <w:spacing w:val="6"/>
          <w:highlight w:val="none"/>
        </w:rPr>
      </w:pPr>
    </w:p>
    <w:p>
      <w:pPr>
        <w:spacing w:line="360" w:lineRule="auto"/>
        <w:ind w:firstLine="514" w:firstLineChars="200"/>
        <w:rPr>
          <w:rFonts w:ascii="宋体" w:hAnsi="宋体" w:cs="宋体"/>
          <w:color w:val="auto"/>
          <w:spacing w:val="6"/>
          <w:highlight w:val="none"/>
        </w:rPr>
      </w:pPr>
    </w:p>
    <w:p>
      <w:pPr>
        <w:tabs>
          <w:tab w:val="left" w:pos="3969"/>
        </w:tabs>
        <w:spacing w:line="360" w:lineRule="auto"/>
        <w:ind w:right="-58" w:firstLine="514" w:firstLineChars="200"/>
        <w:rPr>
          <w:rFonts w:ascii="宋体" w:hAnsi="宋体" w:cs="宋体"/>
          <w:color w:val="auto"/>
          <w:spacing w:val="6"/>
          <w:highlight w:val="none"/>
        </w:rPr>
      </w:pPr>
      <w:r>
        <w:rPr>
          <w:rFonts w:hint="eastAsia" w:ascii="宋体" w:hAnsi="宋体" w:cs="宋体"/>
          <w:color w:val="auto"/>
          <w:spacing w:val="6"/>
          <w:highlight w:val="none"/>
        </w:rPr>
        <w:t>供应商名称：</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（加盖单位公章）</w:t>
      </w:r>
    </w:p>
    <w:p>
      <w:pPr>
        <w:spacing w:line="360" w:lineRule="auto"/>
        <w:ind w:right="560" w:firstLine="49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tabs>
          <w:tab w:val="left" w:pos="3969"/>
        </w:tabs>
        <w:spacing w:line="360" w:lineRule="auto"/>
        <w:ind w:right="-58" w:firstLine="514" w:firstLineChars="200"/>
        <w:rPr>
          <w:rFonts w:ascii="宋体" w:hAnsi="宋体" w:cs="宋体"/>
          <w:color w:val="auto"/>
          <w:spacing w:val="6"/>
          <w:highlight w:val="none"/>
        </w:rPr>
      </w:pPr>
    </w:p>
    <w:p>
      <w:pPr>
        <w:spacing w:line="520" w:lineRule="exact"/>
        <w:ind w:firstLine="561" w:firstLineChars="0"/>
        <w:jc w:val="both"/>
        <w:rPr>
          <w:rFonts w:hint="eastAsia" w:ascii="宋体" w:hAnsi="宋体"/>
          <w:b/>
          <w:color w:val="auto"/>
          <w:spacing w:val="6"/>
          <w:szCs w:val="24"/>
          <w:highlight w:val="none"/>
        </w:rPr>
      </w:pPr>
      <w:r>
        <w:rPr>
          <w:rFonts w:hint="eastAsia" w:ascii="宋体" w:hAnsi="宋体"/>
          <w:b/>
          <w:color w:val="auto"/>
          <w:spacing w:val="6"/>
          <w:szCs w:val="24"/>
          <w:highlight w:val="none"/>
        </w:rPr>
        <w:t>说明：</w:t>
      </w:r>
      <w:r>
        <w:rPr>
          <w:rFonts w:hint="eastAsia" w:ascii="宋体" w:hAnsi="宋体"/>
          <w:b/>
          <w:color w:val="auto"/>
          <w:spacing w:val="6"/>
          <w:highlight w:val="none"/>
        </w:rPr>
        <w:t>非残疾人福利性单位不提供此声明函</w:t>
      </w:r>
      <w:r>
        <w:rPr>
          <w:rFonts w:hint="eastAsia" w:ascii="宋体" w:hAnsi="宋体"/>
          <w:b/>
          <w:color w:val="auto"/>
          <w:spacing w:val="6"/>
          <w:szCs w:val="24"/>
          <w:highlight w:val="none"/>
        </w:rPr>
        <w:t>。</w:t>
      </w:r>
      <w:r>
        <w:rPr>
          <w:rFonts w:hint="eastAsia" w:ascii="宋体" w:hAnsi="宋体"/>
          <w:b/>
          <w:color w:val="auto"/>
          <w:spacing w:val="6"/>
          <w:szCs w:val="24"/>
          <w:highlight w:val="none"/>
          <w:lang w:val="en-US" w:eastAsia="zh-CN"/>
        </w:rPr>
        <w:t>成交</w:t>
      </w:r>
      <w:r>
        <w:rPr>
          <w:rFonts w:hint="eastAsia" w:ascii="宋体" w:hAnsi="宋体"/>
          <w:b/>
          <w:color w:val="auto"/>
          <w:spacing w:val="6"/>
          <w:szCs w:val="24"/>
          <w:highlight w:val="none"/>
        </w:rPr>
        <w:t>供应商为残疾人福利性单位的，采购人或者其委托的采购代理机构应当随</w:t>
      </w:r>
      <w:r>
        <w:rPr>
          <w:rFonts w:hint="eastAsia" w:ascii="宋体" w:hAnsi="宋体"/>
          <w:b/>
          <w:color w:val="auto"/>
          <w:spacing w:val="6"/>
          <w:szCs w:val="24"/>
          <w:highlight w:val="none"/>
          <w:lang w:val="en-US" w:eastAsia="zh-CN"/>
        </w:rPr>
        <w:t>成交</w:t>
      </w:r>
      <w:r>
        <w:rPr>
          <w:rFonts w:hint="eastAsia" w:ascii="宋体" w:hAnsi="宋体"/>
          <w:b/>
          <w:color w:val="auto"/>
          <w:spacing w:val="6"/>
          <w:szCs w:val="24"/>
          <w:highlight w:val="none"/>
        </w:rPr>
        <w:t>结果同时公告其《残疾人福利性单位声明函》，接受社会监督。供应商提供的《残疾人福利性单位声明函》与事实不符的，依照《政府采购法》第七十七条第一款的规定追究法律责任。</w:t>
      </w:r>
    </w:p>
    <w:p>
      <w:pPr>
        <w:pStyle w:val="2"/>
        <w:rPr>
          <w:rFonts w:hint="eastAsia" w:ascii="宋体" w:hAnsi="宋体"/>
          <w:b/>
          <w:color w:val="auto"/>
          <w:spacing w:val="6"/>
          <w:szCs w:val="24"/>
          <w:highlight w:val="none"/>
        </w:rPr>
      </w:pPr>
    </w:p>
    <w:p/>
    <w:p>
      <w:pPr>
        <w:pStyle w:val="2"/>
      </w:pPr>
    </w:p>
    <w:p/>
    <w:p>
      <w:pPr>
        <w:pStyle w:val="5"/>
        <w:ind w:left="322" w:leftChars="0" w:firstLine="494" w:firstLineChars="0"/>
        <w:rPr>
          <w:color w:val="auto"/>
          <w:highlight w:val="none"/>
        </w:rPr>
      </w:pPr>
      <w:r>
        <w:rPr>
          <w:rFonts w:hint="eastAsia"/>
          <w:color w:val="auto"/>
          <w:highlight w:val="none"/>
        </w:rPr>
        <w:t>法定代表人身份证明书</w:t>
      </w:r>
      <w:bookmarkEnd w:id="228"/>
    </w:p>
    <w:p>
      <w:pPr>
        <w:tabs>
          <w:tab w:val="left" w:pos="6300"/>
        </w:tabs>
        <w:ind w:firstLine="572"/>
        <w:rPr>
          <w:rFonts w:ascii="宋体" w:hAnsi="宋体"/>
          <w:color w:val="auto"/>
          <w:sz w:val="28"/>
          <w:highlight w:val="none"/>
          <w:u w:val="single"/>
          <w:lang w:val="zh-CN"/>
        </w:rPr>
      </w:pPr>
    </w:p>
    <w:p>
      <w:pPr>
        <w:tabs>
          <w:tab w:val="left" w:pos="6300"/>
        </w:tabs>
        <w:ind w:firstLine="492"/>
        <w:rPr>
          <w:rFonts w:ascii="宋体" w:hAnsi="宋体"/>
          <w:color w:val="auto"/>
          <w:szCs w:val="24"/>
          <w:highlight w:val="none"/>
          <w:lang w:val="zh-CN"/>
        </w:rPr>
      </w:pPr>
      <w:r>
        <w:rPr>
          <w:rFonts w:hint="eastAsia" w:ascii="宋体" w:hAnsi="宋体"/>
          <w:color w:val="auto"/>
          <w:szCs w:val="24"/>
          <w:highlight w:val="none"/>
          <w:u w:val="single"/>
          <w:lang w:val="zh-CN"/>
        </w:rPr>
        <w:t xml:space="preserve">   （法定代表人姓名）         </w:t>
      </w:r>
      <w:r>
        <w:rPr>
          <w:rFonts w:hint="eastAsia" w:ascii="宋体" w:hAnsi="宋体"/>
          <w:color w:val="auto"/>
          <w:szCs w:val="24"/>
          <w:highlight w:val="none"/>
          <w:lang w:val="zh-CN"/>
        </w:rPr>
        <w:t>在</w:t>
      </w:r>
      <w:r>
        <w:rPr>
          <w:rFonts w:hint="eastAsia" w:ascii="宋体" w:hAnsi="宋体"/>
          <w:color w:val="auto"/>
          <w:szCs w:val="24"/>
          <w:highlight w:val="none"/>
          <w:u w:val="single"/>
          <w:lang w:val="zh-CN"/>
        </w:rPr>
        <w:t xml:space="preserve">          （投标人名称）  </w:t>
      </w:r>
      <w:r>
        <w:rPr>
          <w:rFonts w:hint="eastAsia" w:ascii="宋体" w:hAnsi="宋体"/>
          <w:color w:val="auto"/>
          <w:szCs w:val="24"/>
          <w:highlight w:val="none"/>
          <w:lang w:val="zh-CN"/>
        </w:rPr>
        <w:t>处 任</w:t>
      </w:r>
      <w:r>
        <w:rPr>
          <w:rFonts w:hint="eastAsia" w:ascii="宋体" w:hAnsi="宋体"/>
          <w:color w:val="auto"/>
          <w:szCs w:val="24"/>
          <w:highlight w:val="none"/>
          <w:u w:val="single"/>
          <w:lang w:val="zh-CN"/>
        </w:rPr>
        <w:t xml:space="preserve">         （职务名称）        </w:t>
      </w:r>
      <w:r>
        <w:rPr>
          <w:rFonts w:hint="eastAsia" w:ascii="宋体" w:hAnsi="宋体"/>
          <w:color w:val="auto"/>
          <w:szCs w:val="24"/>
          <w:highlight w:val="none"/>
          <w:lang w:val="zh-CN"/>
        </w:rPr>
        <w:t>职务，是</w:t>
      </w:r>
      <w:r>
        <w:rPr>
          <w:rFonts w:hint="eastAsia" w:ascii="宋体" w:hAnsi="宋体"/>
          <w:color w:val="auto"/>
          <w:szCs w:val="24"/>
          <w:highlight w:val="none"/>
          <w:u w:val="single"/>
          <w:lang w:val="zh-CN"/>
        </w:rPr>
        <w:t xml:space="preserve">      （投标人名称）    </w:t>
      </w:r>
      <w:r>
        <w:rPr>
          <w:rFonts w:hint="eastAsia" w:ascii="宋体" w:hAnsi="宋体"/>
          <w:color w:val="auto"/>
          <w:szCs w:val="24"/>
          <w:highlight w:val="none"/>
          <w:lang w:val="zh-CN"/>
        </w:rPr>
        <w:t>的法定代表人。</w:t>
      </w:r>
    </w:p>
    <w:p>
      <w:pPr>
        <w:tabs>
          <w:tab w:val="left" w:pos="6300"/>
        </w:tabs>
        <w:ind w:firstLine="492"/>
        <w:rPr>
          <w:rFonts w:ascii="宋体" w:hAnsi="宋体"/>
          <w:color w:val="auto"/>
          <w:szCs w:val="24"/>
          <w:highlight w:val="none"/>
          <w:lang w:val="zh-CN"/>
        </w:rPr>
      </w:pPr>
    </w:p>
    <w:p>
      <w:pPr>
        <w:tabs>
          <w:tab w:val="left" w:pos="6300"/>
        </w:tabs>
        <w:ind w:firstLine="492"/>
        <w:rPr>
          <w:rFonts w:ascii="宋体" w:hAnsi="宋体"/>
          <w:color w:val="auto"/>
          <w:szCs w:val="24"/>
          <w:highlight w:val="none"/>
          <w:lang w:val="zh-CN"/>
        </w:rPr>
      </w:pPr>
    </w:p>
    <w:p>
      <w:pPr>
        <w:tabs>
          <w:tab w:val="left" w:pos="6300"/>
        </w:tabs>
        <w:ind w:firstLine="492"/>
        <w:rPr>
          <w:rFonts w:ascii="宋体" w:hAnsi="宋体"/>
          <w:color w:val="auto"/>
          <w:szCs w:val="24"/>
          <w:highlight w:val="none"/>
          <w:lang w:val="zh-CN"/>
        </w:rPr>
      </w:pPr>
    </w:p>
    <w:p>
      <w:pPr>
        <w:tabs>
          <w:tab w:val="left" w:pos="6300"/>
        </w:tabs>
        <w:ind w:firstLine="492"/>
        <w:rPr>
          <w:rFonts w:ascii="宋体" w:hAnsi="宋体"/>
          <w:color w:val="auto"/>
          <w:szCs w:val="24"/>
          <w:highlight w:val="none"/>
          <w:lang w:val="zh-CN"/>
        </w:rPr>
      </w:pPr>
      <w:r>
        <w:rPr>
          <w:rFonts w:hint="eastAsia" w:ascii="宋体" w:hAnsi="宋体"/>
          <w:color w:val="auto"/>
          <w:szCs w:val="24"/>
          <w:highlight w:val="none"/>
          <w:lang w:val="zh-CN"/>
        </w:rPr>
        <w:t>特此证明。</w:t>
      </w:r>
    </w:p>
    <w:p>
      <w:pPr>
        <w:tabs>
          <w:tab w:val="left" w:pos="6300"/>
        </w:tabs>
        <w:ind w:firstLine="492"/>
        <w:rPr>
          <w:rFonts w:ascii="宋体" w:hAnsi="宋体"/>
          <w:color w:val="auto"/>
          <w:szCs w:val="24"/>
          <w:highlight w:val="none"/>
          <w:lang w:val="zh-CN"/>
        </w:rPr>
      </w:pPr>
    </w:p>
    <w:p>
      <w:pPr>
        <w:tabs>
          <w:tab w:val="left" w:pos="6300"/>
        </w:tabs>
        <w:ind w:firstLine="492"/>
        <w:rPr>
          <w:rFonts w:ascii="宋体" w:hAnsi="宋体"/>
          <w:color w:val="auto"/>
          <w:szCs w:val="24"/>
          <w:highlight w:val="none"/>
          <w:lang w:val="zh-CN"/>
        </w:rPr>
      </w:pPr>
    </w:p>
    <w:p>
      <w:pPr>
        <w:tabs>
          <w:tab w:val="left" w:pos="6300"/>
        </w:tabs>
        <w:ind w:firstLine="492"/>
        <w:rPr>
          <w:rFonts w:ascii="宋体" w:hAnsi="宋体"/>
          <w:color w:val="auto"/>
          <w:szCs w:val="24"/>
          <w:highlight w:val="none"/>
          <w:lang w:val="zh-CN"/>
        </w:rPr>
      </w:pPr>
    </w:p>
    <w:p>
      <w:pPr>
        <w:tabs>
          <w:tab w:val="left" w:pos="6300"/>
        </w:tabs>
        <w:ind w:firstLine="492"/>
        <w:rPr>
          <w:rFonts w:ascii="宋体" w:hAnsi="宋体"/>
          <w:color w:val="auto"/>
          <w:szCs w:val="24"/>
          <w:highlight w:val="none"/>
          <w:lang w:val="zh-CN"/>
        </w:rPr>
      </w:pPr>
    </w:p>
    <w:p>
      <w:pPr>
        <w:ind w:firstLine="492"/>
        <w:rPr>
          <w:rFonts w:ascii="宋体" w:hAnsi="宋体"/>
          <w:color w:val="auto"/>
          <w:szCs w:val="24"/>
          <w:highlight w:val="none"/>
          <w:lang w:val="zh-CN"/>
        </w:rPr>
      </w:pPr>
      <w:r>
        <w:rPr>
          <w:rFonts w:hint="eastAsia" w:ascii="宋体" w:hAnsi="宋体"/>
          <w:color w:val="auto"/>
          <w:szCs w:val="24"/>
          <w:highlight w:val="none"/>
          <w:lang w:val="zh-CN"/>
        </w:rPr>
        <w:t>投标人名称：</w:t>
      </w:r>
      <w:r>
        <w:rPr>
          <w:rFonts w:hint="eastAsia" w:ascii="宋体" w:hAnsi="宋体"/>
          <w:bCs/>
          <w:color w:val="auto"/>
          <w:szCs w:val="24"/>
          <w:highlight w:val="none"/>
          <w:u w:val="single"/>
        </w:rPr>
        <w:t xml:space="preserve">                       </w:t>
      </w:r>
      <w:r>
        <w:rPr>
          <w:rFonts w:hint="eastAsia" w:ascii="宋体" w:hAnsi="宋体"/>
          <w:color w:val="auto"/>
          <w:szCs w:val="24"/>
          <w:highlight w:val="none"/>
          <w:lang w:val="zh-CN"/>
        </w:rPr>
        <w:t>（加盖单位公章）</w:t>
      </w:r>
    </w:p>
    <w:p>
      <w:pPr>
        <w:pStyle w:val="26"/>
        <w:spacing w:after="0" w:line="360" w:lineRule="auto"/>
        <w:ind w:left="0" w:leftChars="0" w:firstLine="492"/>
        <w:rPr>
          <w:rFonts w:ascii="宋体" w:hAnsi="宋体"/>
          <w:color w:val="auto"/>
          <w:szCs w:val="24"/>
          <w:highlight w:val="none"/>
        </w:rPr>
      </w:pPr>
      <w:r>
        <w:rPr>
          <w:rFonts w:ascii="宋体" w:hAnsi="宋体"/>
          <w:color w:val="auto"/>
          <w:szCs w:val="24"/>
          <w:highlight w:val="none"/>
        </w:rPr>
        <w:t>日期：</w:t>
      </w:r>
      <w:r>
        <w:rPr>
          <w:rFonts w:hint="eastAsia" w:ascii="宋体" w:hAnsi="宋体"/>
          <w:color w:val="auto"/>
          <w:szCs w:val="24"/>
          <w:highlight w:val="none"/>
          <w:u w:val="single"/>
        </w:rPr>
        <w:t xml:space="preserve">      </w:t>
      </w:r>
      <w:r>
        <w:rPr>
          <w:rFonts w:ascii="宋体" w:hAnsi="宋体"/>
          <w:color w:val="auto"/>
          <w:szCs w:val="24"/>
          <w:highlight w:val="none"/>
        </w:rPr>
        <w:t>年</w:t>
      </w:r>
      <w:r>
        <w:rPr>
          <w:rFonts w:hint="eastAsia" w:ascii="宋体" w:hAnsi="宋体"/>
          <w:color w:val="auto"/>
          <w:szCs w:val="24"/>
          <w:highlight w:val="none"/>
          <w:u w:val="single"/>
        </w:rPr>
        <w:t xml:space="preserve">      </w:t>
      </w:r>
      <w:r>
        <w:rPr>
          <w:rFonts w:ascii="宋体" w:hAnsi="宋体"/>
          <w:color w:val="auto"/>
          <w:szCs w:val="24"/>
          <w:highlight w:val="none"/>
        </w:rPr>
        <w:t>月</w:t>
      </w:r>
      <w:r>
        <w:rPr>
          <w:rFonts w:hint="eastAsia" w:ascii="宋体" w:hAnsi="宋体"/>
          <w:color w:val="auto"/>
          <w:szCs w:val="24"/>
          <w:highlight w:val="none"/>
          <w:u w:val="single"/>
        </w:rPr>
        <w:t xml:space="preserve">      </w:t>
      </w:r>
      <w:r>
        <w:rPr>
          <w:rFonts w:ascii="宋体" w:hAnsi="宋体"/>
          <w:color w:val="auto"/>
          <w:szCs w:val="24"/>
          <w:highlight w:val="none"/>
        </w:rPr>
        <w:t>日</w:t>
      </w:r>
    </w:p>
    <w:p>
      <w:pPr>
        <w:pStyle w:val="2"/>
        <w:ind w:firstLine="492"/>
        <w:rPr>
          <w:color w:val="auto"/>
          <w:highlight w:val="none"/>
        </w:rPr>
      </w:pPr>
    </w:p>
    <w:p>
      <w:pPr>
        <w:pStyle w:val="14"/>
        <w:spacing w:after="0" w:line="360" w:lineRule="auto"/>
        <w:ind w:firstLine="494"/>
        <w:rPr>
          <w:rFonts w:hint="eastAsia" w:ascii="宋体" w:hAnsi="宋体" w:eastAsia="宋体" w:cs="宋体"/>
          <w:b/>
          <w:color w:val="auto"/>
          <w:sz w:val="24"/>
          <w:szCs w:val="24"/>
          <w:highlight w:val="none"/>
        </w:rPr>
      </w:pPr>
      <w:r>
        <w:rPr>
          <w:rFonts w:hint="eastAsia" w:ascii="宋体" w:hAnsi="宋体"/>
          <w:b/>
          <w:color w:val="auto"/>
          <w:szCs w:val="24"/>
          <w:highlight w:val="none"/>
        </w:rPr>
        <w:t>注：后附法定代表人身份证复印件（身份证两面均应复印）或护照复印件（供应商的法定代表人为外籍人士的，则提供护照复印件），复印件加盖单位公章。</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为自然人无须提供身份证明书，仅提供身份证复印件或护照复印件。</w:t>
      </w:r>
    </w:p>
    <w:p>
      <w:pPr>
        <w:pStyle w:val="14"/>
        <w:spacing w:after="0" w:line="360" w:lineRule="auto"/>
        <w:ind w:firstLine="494"/>
        <w:rPr>
          <w:rFonts w:ascii="宋体" w:hAnsi="宋体"/>
          <w:b/>
          <w:color w:val="auto"/>
          <w:szCs w:val="24"/>
          <w:highlight w:val="none"/>
        </w:rPr>
      </w:pPr>
    </w:p>
    <w:p>
      <w:pPr>
        <w:pStyle w:val="14"/>
        <w:spacing w:after="0" w:line="360" w:lineRule="auto"/>
        <w:ind w:firstLine="494"/>
        <w:rPr>
          <w:rFonts w:ascii="宋体" w:hAnsi="宋体"/>
          <w:b/>
          <w:color w:val="auto"/>
          <w:szCs w:val="24"/>
          <w:highlight w:val="none"/>
        </w:rPr>
      </w:pPr>
    </w:p>
    <w:p>
      <w:pPr>
        <w:pStyle w:val="14"/>
        <w:spacing w:after="0" w:line="360" w:lineRule="auto"/>
        <w:ind w:firstLine="494"/>
        <w:rPr>
          <w:rFonts w:ascii="宋体" w:hAnsi="宋体"/>
          <w:b/>
          <w:color w:val="auto"/>
          <w:szCs w:val="24"/>
          <w:highlight w:val="none"/>
        </w:rPr>
      </w:pPr>
    </w:p>
    <w:p>
      <w:pPr>
        <w:pStyle w:val="14"/>
        <w:spacing w:after="0" w:line="360" w:lineRule="auto"/>
        <w:ind w:firstLine="494"/>
        <w:rPr>
          <w:rFonts w:ascii="宋体" w:hAnsi="宋体"/>
          <w:b/>
          <w:color w:val="auto"/>
          <w:szCs w:val="24"/>
          <w:highlight w:val="none"/>
        </w:rPr>
      </w:pPr>
    </w:p>
    <w:p>
      <w:pPr>
        <w:pStyle w:val="14"/>
        <w:spacing w:after="0" w:line="360" w:lineRule="auto"/>
        <w:ind w:firstLine="494"/>
        <w:rPr>
          <w:rFonts w:ascii="宋体" w:hAnsi="宋体"/>
          <w:b/>
          <w:color w:val="auto"/>
          <w:szCs w:val="24"/>
          <w:highlight w:val="none"/>
        </w:rPr>
      </w:pPr>
    </w:p>
    <w:p>
      <w:pPr>
        <w:pStyle w:val="14"/>
        <w:spacing w:after="0" w:line="360" w:lineRule="auto"/>
        <w:ind w:firstLine="494"/>
        <w:rPr>
          <w:rFonts w:ascii="宋体" w:hAnsi="宋体"/>
          <w:b/>
          <w:color w:val="auto"/>
          <w:szCs w:val="24"/>
          <w:highlight w:val="none"/>
        </w:rPr>
      </w:pPr>
    </w:p>
    <w:p>
      <w:pPr>
        <w:pStyle w:val="14"/>
        <w:spacing w:after="0" w:line="360" w:lineRule="auto"/>
        <w:ind w:firstLine="494"/>
        <w:rPr>
          <w:rFonts w:ascii="宋体" w:hAnsi="宋体"/>
          <w:b/>
          <w:color w:val="auto"/>
          <w:szCs w:val="24"/>
          <w:highlight w:val="none"/>
        </w:rPr>
      </w:pPr>
    </w:p>
    <w:p>
      <w:pPr>
        <w:pStyle w:val="14"/>
        <w:spacing w:after="0" w:line="360" w:lineRule="auto"/>
        <w:ind w:firstLine="494"/>
        <w:rPr>
          <w:rFonts w:ascii="宋体" w:hAnsi="宋体"/>
          <w:b/>
          <w:color w:val="auto"/>
          <w:szCs w:val="24"/>
          <w:highlight w:val="none"/>
        </w:rPr>
      </w:pPr>
    </w:p>
    <w:p>
      <w:pPr>
        <w:pStyle w:val="14"/>
        <w:spacing w:after="0" w:line="360" w:lineRule="auto"/>
        <w:ind w:firstLine="494"/>
        <w:rPr>
          <w:rFonts w:ascii="宋体" w:hAnsi="宋体"/>
          <w:b/>
          <w:color w:val="auto"/>
          <w:szCs w:val="24"/>
          <w:highlight w:val="none"/>
        </w:rPr>
      </w:pPr>
    </w:p>
    <w:p>
      <w:pPr>
        <w:pStyle w:val="14"/>
        <w:spacing w:after="0" w:line="360" w:lineRule="auto"/>
        <w:ind w:firstLine="494"/>
        <w:rPr>
          <w:rFonts w:ascii="宋体" w:hAnsi="宋体"/>
          <w:b/>
          <w:color w:val="auto"/>
          <w:szCs w:val="24"/>
          <w:highlight w:val="none"/>
        </w:rPr>
      </w:pPr>
    </w:p>
    <w:p>
      <w:pPr>
        <w:pStyle w:val="14"/>
        <w:spacing w:after="0" w:line="360" w:lineRule="auto"/>
        <w:ind w:firstLine="494"/>
        <w:rPr>
          <w:rFonts w:ascii="宋体" w:hAnsi="宋体"/>
          <w:b/>
          <w:color w:val="auto"/>
          <w:szCs w:val="24"/>
          <w:highlight w:val="none"/>
        </w:rPr>
      </w:pPr>
    </w:p>
    <w:p>
      <w:pPr>
        <w:pStyle w:val="5"/>
        <w:ind w:left="322" w:leftChars="0" w:firstLine="494" w:firstLineChars="0"/>
        <w:rPr>
          <w:color w:val="auto"/>
          <w:highlight w:val="none"/>
        </w:rPr>
      </w:pPr>
      <w:bookmarkStart w:id="229" w:name="_Toc30122"/>
      <w:r>
        <w:rPr>
          <w:rFonts w:hint="eastAsia"/>
          <w:color w:val="auto"/>
          <w:highlight w:val="none"/>
        </w:rPr>
        <w:t>法定代表人授权委托书</w:t>
      </w:r>
      <w:bookmarkEnd w:id="229"/>
    </w:p>
    <w:p>
      <w:pPr>
        <w:ind w:firstLine="492"/>
        <w:rPr>
          <w:color w:val="auto"/>
          <w:highlight w:val="none"/>
        </w:rPr>
      </w:pPr>
    </w:p>
    <w:p>
      <w:pPr>
        <w:ind w:firstLine="0" w:firstLineChars="0"/>
        <w:rPr>
          <w:rFonts w:ascii="宋体" w:hAnsi="宋体"/>
          <w:color w:val="auto"/>
          <w:szCs w:val="24"/>
          <w:highlight w:val="none"/>
        </w:rPr>
      </w:pPr>
      <w:r>
        <w:rPr>
          <w:rFonts w:hint="eastAsia" w:ascii="宋体" w:hAnsi="宋体"/>
          <w:color w:val="auto"/>
          <w:szCs w:val="24"/>
          <w:highlight w:val="none"/>
        </w:rPr>
        <w:t>四川世科工程咨询有限公司：</w:t>
      </w:r>
    </w:p>
    <w:p>
      <w:pPr>
        <w:ind w:firstLine="492"/>
        <w:rPr>
          <w:rFonts w:ascii="宋体" w:hAnsi="宋体"/>
          <w:color w:val="auto"/>
          <w:szCs w:val="24"/>
          <w:highlight w:val="none"/>
        </w:rPr>
      </w:pPr>
      <w:r>
        <w:rPr>
          <w:rFonts w:hint="eastAsia" w:ascii="宋体" w:hAnsi="宋体"/>
          <w:color w:val="auto"/>
          <w:szCs w:val="24"/>
          <w:highlight w:val="none"/>
          <w:u w:val="single"/>
        </w:rPr>
        <w:t xml:space="preserve">        （投标人名称）</w:t>
      </w:r>
      <w:r>
        <w:rPr>
          <w:rFonts w:hint="eastAsia" w:ascii="宋体" w:hAnsi="宋体"/>
          <w:color w:val="auto"/>
          <w:szCs w:val="24"/>
          <w:highlight w:val="none"/>
        </w:rPr>
        <w:t>法定代表人____________ 授权委托___________</w:t>
      </w:r>
      <w:r>
        <w:rPr>
          <w:rFonts w:hint="eastAsia" w:ascii="宋体" w:hAnsi="宋体"/>
          <w:color w:val="auto"/>
          <w:szCs w:val="24"/>
          <w:highlight w:val="none"/>
          <w:u w:val="single"/>
        </w:rPr>
        <w:t xml:space="preserve"> </w:t>
      </w:r>
      <w:r>
        <w:rPr>
          <w:rFonts w:hint="eastAsia" w:ascii="宋体" w:hAnsi="宋体"/>
          <w:color w:val="auto"/>
          <w:szCs w:val="24"/>
          <w:highlight w:val="none"/>
        </w:rPr>
        <w:t>为我的代理人，参加贵单位组织的</w:t>
      </w:r>
      <w:r>
        <w:rPr>
          <w:rFonts w:hint="eastAsia" w:ascii="宋体" w:hAnsi="宋体"/>
          <w:b/>
          <w:color w:val="auto"/>
          <w:szCs w:val="24"/>
          <w:highlight w:val="none"/>
          <w:u w:val="single"/>
          <w:lang w:eastAsia="zh-CN"/>
        </w:rPr>
        <w:t>成都市龙泉驿区城市绿地建设管理中心零星维护服务采购项目</w:t>
      </w:r>
      <w:r>
        <w:rPr>
          <w:rFonts w:hint="eastAsia" w:ascii="宋体" w:hAnsi="宋体"/>
          <w:b/>
          <w:color w:val="auto"/>
          <w:szCs w:val="24"/>
          <w:highlight w:val="none"/>
        </w:rPr>
        <w:t>（</w:t>
      </w:r>
      <w:r>
        <w:rPr>
          <w:rFonts w:hint="eastAsia" w:ascii="宋体" w:hAnsi="宋体"/>
          <w:b/>
          <w:color w:val="auto"/>
          <w:szCs w:val="24"/>
          <w:highlight w:val="none"/>
          <w:lang w:eastAsia="zh-CN"/>
        </w:rPr>
        <w:t>项目编号</w:t>
      </w:r>
      <w:r>
        <w:rPr>
          <w:rFonts w:hint="eastAsia" w:ascii="宋体" w:hAnsi="宋体"/>
          <w:b/>
          <w:color w:val="auto"/>
          <w:szCs w:val="24"/>
          <w:highlight w:val="none"/>
        </w:rPr>
        <w:t>：</w:t>
      </w:r>
      <w:r>
        <w:rPr>
          <w:rFonts w:hint="eastAsia" w:ascii="宋体" w:hAnsi="宋体" w:cs="宋体"/>
          <w:b/>
          <w:color w:val="auto"/>
          <w:kern w:val="0"/>
          <w:szCs w:val="24"/>
          <w:highlight w:val="none"/>
          <w:u w:val="single"/>
          <w:lang w:eastAsia="zh-CN"/>
        </w:rPr>
        <w:t>510112202100104</w:t>
      </w:r>
      <w:r>
        <w:rPr>
          <w:rFonts w:hint="eastAsia" w:ascii="宋体" w:hAnsi="宋体"/>
          <w:b/>
          <w:color w:val="auto"/>
          <w:szCs w:val="24"/>
          <w:highlight w:val="none"/>
        </w:rPr>
        <w:t>）包件</w:t>
      </w:r>
      <w:r>
        <w:rPr>
          <w:rFonts w:hint="eastAsia" w:ascii="宋体" w:hAnsi="宋体"/>
          <w:b/>
          <w:color w:val="auto"/>
          <w:szCs w:val="24"/>
          <w:highlight w:val="none"/>
          <w:u w:val="single"/>
        </w:rPr>
        <w:t xml:space="preserve"> </w:t>
      </w:r>
      <w:r>
        <w:rPr>
          <w:rFonts w:hint="eastAsia" w:ascii="宋体" w:hAnsi="宋体"/>
          <w:b/>
          <w:color w:val="auto"/>
          <w:sz w:val="28"/>
          <w:szCs w:val="28"/>
          <w:highlight w:val="none"/>
          <w:u w:val="single"/>
        </w:rPr>
        <w:t xml:space="preserve">  </w:t>
      </w:r>
      <w:r>
        <w:rPr>
          <w:rFonts w:hint="eastAsia" w:ascii="宋体" w:hAnsi="宋体"/>
          <w:color w:val="auto"/>
          <w:szCs w:val="24"/>
          <w:highlight w:val="none"/>
        </w:rPr>
        <w:t>的投标。代理人在本次招标中所签署的一切文件和处理的一切有关事宜，我公司均予承认，所产生的法律后果均由我单位承担。</w:t>
      </w:r>
    </w:p>
    <w:p>
      <w:pPr>
        <w:ind w:firstLine="492"/>
        <w:rPr>
          <w:rFonts w:ascii="宋体" w:hAnsi="宋体"/>
          <w:color w:val="auto"/>
          <w:szCs w:val="24"/>
          <w:highlight w:val="none"/>
        </w:rPr>
      </w:pPr>
      <w:r>
        <w:rPr>
          <w:rFonts w:hint="eastAsia" w:ascii="宋体" w:hAnsi="宋体"/>
          <w:color w:val="auto"/>
          <w:szCs w:val="24"/>
          <w:highlight w:val="none"/>
        </w:rPr>
        <w:t>代理人无转委托权，本授权书自</w:t>
      </w:r>
      <w:r>
        <w:rPr>
          <w:rFonts w:hint="eastAsia" w:ascii="宋体" w:hAnsi="宋体"/>
          <w:color w:val="auto"/>
          <w:szCs w:val="24"/>
          <w:highlight w:val="none"/>
          <w:u w:val="single"/>
        </w:rPr>
        <w:t xml:space="preserve">   </w:t>
      </w:r>
      <w:r>
        <w:rPr>
          <w:rFonts w:hint="eastAsia" w:ascii="宋体" w:hAnsi="宋体"/>
          <w:color w:val="auto"/>
          <w:szCs w:val="24"/>
          <w:highlight w:val="none"/>
        </w:rPr>
        <w:t>年</w:t>
      </w:r>
      <w:r>
        <w:rPr>
          <w:rFonts w:hint="eastAsia" w:ascii="宋体" w:hAnsi="宋体"/>
          <w:color w:val="auto"/>
          <w:szCs w:val="24"/>
          <w:highlight w:val="none"/>
          <w:u w:val="single"/>
        </w:rPr>
        <w:t xml:space="preserve">  </w:t>
      </w:r>
      <w:r>
        <w:rPr>
          <w:rFonts w:hint="eastAsia" w:ascii="宋体" w:hAnsi="宋体"/>
          <w:color w:val="auto"/>
          <w:szCs w:val="24"/>
          <w:highlight w:val="none"/>
        </w:rPr>
        <w:t>月</w:t>
      </w:r>
      <w:r>
        <w:rPr>
          <w:rFonts w:hint="eastAsia" w:ascii="宋体" w:hAnsi="宋体"/>
          <w:color w:val="auto"/>
          <w:szCs w:val="24"/>
          <w:highlight w:val="none"/>
          <w:u w:val="single"/>
        </w:rPr>
        <w:t xml:space="preserve">  </w:t>
      </w:r>
      <w:r>
        <w:rPr>
          <w:rFonts w:hint="eastAsia" w:ascii="宋体" w:hAnsi="宋体"/>
          <w:color w:val="auto"/>
          <w:szCs w:val="24"/>
          <w:highlight w:val="none"/>
        </w:rPr>
        <w:t>日签字生效，特此声明。</w:t>
      </w:r>
    </w:p>
    <w:p>
      <w:pPr>
        <w:pStyle w:val="23"/>
        <w:ind w:firstLine="492"/>
        <w:rPr>
          <w:rFonts w:hAnsi="宋体"/>
          <w:color w:val="auto"/>
          <w:sz w:val="24"/>
          <w:szCs w:val="24"/>
          <w:highlight w:val="none"/>
        </w:rPr>
      </w:pPr>
    </w:p>
    <w:p>
      <w:pPr>
        <w:ind w:firstLine="492"/>
        <w:rPr>
          <w:rFonts w:ascii="宋体" w:hAnsi="宋体"/>
          <w:color w:val="auto"/>
          <w:szCs w:val="24"/>
          <w:highlight w:val="none"/>
        </w:rPr>
      </w:pPr>
      <w:r>
        <w:rPr>
          <w:rFonts w:hint="eastAsia" w:ascii="宋体" w:hAnsi="宋体"/>
          <w:color w:val="auto"/>
          <w:szCs w:val="24"/>
          <w:highlight w:val="none"/>
        </w:rPr>
        <w:t>法定代表人：</w:t>
      </w:r>
      <w:r>
        <w:rPr>
          <w:rFonts w:hint="eastAsia" w:ascii="宋体" w:hAnsi="宋体"/>
          <w:bCs/>
          <w:color w:val="auto"/>
          <w:szCs w:val="24"/>
          <w:highlight w:val="none"/>
          <w:u w:val="single"/>
        </w:rPr>
        <w:t xml:space="preserve">               </w:t>
      </w:r>
      <w:r>
        <w:rPr>
          <w:rFonts w:hint="eastAsia" w:ascii="宋体" w:hAnsi="宋体"/>
          <w:color w:val="auto"/>
          <w:szCs w:val="24"/>
          <w:highlight w:val="none"/>
        </w:rPr>
        <w:t>（签字或盖法定代表人印章）</w:t>
      </w:r>
    </w:p>
    <w:p>
      <w:pPr>
        <w:ind w:firstLine="492"/>
        <w:rPr>
          <w:rFonts w:ascii="宋体" w:hAnsi="宋体"/>
          <w:color w:val="auto"/>
          <w:szCs w:val="24"/>
          <w:highlight w:val="none"/>
        </w:rPr>
      </w:pPr>
    </w:p>
    <w:p>
      <w:pPr>
        <w:pStyle w:val="23"/>
        <w:ind w:firstLine="492"/>
        <w:rPr>
          <w:rFonts w:hAnsi="宋体"/>
          <w:color w:val="auto"/>
          <w:sz w:val="24"/>
          <w:szCs w:val="24"/>
          <w:highlight w:val="none"/>
        </w:rPr>
      </w:pPr>
      <w:r>
        <w:rPr>
          <w:rFonts w:hint="eastAsia" w:hAnsi="宋体"/>
          <w:color w:val="auto"/>
          <w:sz w:val="24"/>
          <w:szCs w:val="24"/>
          <w:highlight w:val="none"/>
        </w:rPr>
        <w:t>代理人：</w:t>
      </w:r>
      <w:r>
        <w:rPr>
          <w:rFonts w:hint="eastAsia" w:hAnsi="宋体"/>
          <w:bCs/>
          <w:color w:val="auto"/>
          <w:sz w:val="24"/>
          <w:szCs w:val="24"/>
          <w:highlight w:val="none"/>
          <w:u w:val="single"/>
        </w:rPr>
        <w:t xml:space="preserve">               </w:t>
      </w:r>
      <w:r>
        <w:rPr>
          <w:rFonts w:hint="eastAsia" w:hAnsi="宋体"/>
          <w:color w:val="auto"/>
          <w:sz w:val="24"/>
          <w:szCs w:val="24"/>
          <w:highlight w:val="none"/>
        </w:rPr>
        <w:t>（签字）</w:t>
      </w:r>
    </w:p>
    <w:p>
      <w:pPr>
        <w:ind w:firstLine="492"/>
        <w:rPr>
          <w:rFonts w:ascii="宋体" w:hAnsi="宋体"/>
          <w:color w:val="auto"/>
          <w:szCs w:val="24"/>
          <w:highlight w:val="none"/>
        </w:rPr>
      </w:pPr>
    </w:p>
    <w:p>
      <w:pPr>
        <w:ind w:firstLine="492"/>
        <w:rPr>
          <w:rFonts w:ascii="宋体" w:hAnsi="宋体"/>
          <w:color w:val="auto"/>
          <w:szCs w:val="24"/>
          <w:highlight w:val="none"/>
        </w:rPr>
      </w:pPr>
      <w:r>
        <w:rPr>
          <w:rFonts w:hint="eastAsia" w:ascii="宋体" w:hAnsi="宋体"/>
          <w:color w:val="auto"/>
          <w:szCs w:val="24"/>
          <w:highlight w:val="none"/>
        </w:rPr>
        <w:t>投标人名称：</w:t>
      </w:r>
      <w:r>
        <w:rPr>
          <w:rFonts w:hint="eastAsia" w:ascii="宋体" w:hAnsi="宋体"/>
          <w:bCs/>
          <w:color w:val="auto"/>
          <w:szCs w:val="24"/>
          <w:highlight w:val="none"/>
          <w:u w:val="single"/>
        </w:rPr>
        <w:t xml:space="preserve">                       </w:t>
      </w:r>
      <w:r>
        <w:rPr>
          <w:rFonts w:hint="eastAsia" w:ascii="宋体" w:hAnsi="宋体"/>
          <w:color w:val="auto"/>
          <w:szCs w:val="24"/>
          <w:highlight w:val="none"/>
        </w:rPr>
        <w:t>（加盖单位公章）</w:t>
      </w:r>
    </w:p>
    <w:p>
      <w:pPr>
        <w:ind w:firstLine="492"/>
        <w:rPr>
          <w:rFonts w:ascii="宋体" w:hAnsi="宋体"/>
          <w:color w:val="auto"/>
          <w:szCs w:val="24"/>
          <w:highlight w:val="none"/>
        </w:rPr>
      </w:pPr>
    </w:p>
    <w:p>
      <w:pPr>
        <w:pStyle w:val="26"/>
        <w:spacing w:after="0" w:line="360" w:lineRule="auto"/>
        <w:ind w:left="0" w:leftChars="0" w:firstLine="506"/>
        <w:rPr>
          <w:rFonts w:ascii="宋体" w:hAnsi="宋体"/>
          <w:b/>
          <w:color w:val="auto"/>
          <w:szCs w:val="24"/>
          <w:highlight w:val="none"/>
        </w:rPr>
      </w:pPr>
      <w:r>
        <w:rPr>
          <w:rFonts w:hint="eastAsia" w:ascii="宋体" w:hAnsi="宋体"/>
          <w:b/>
          <w:color w:val="auto"/>
          <w:szCs w:val="24"/>
          <w:highlight w:val="none"/>
          <w:lang w:val="zh-CN"/>
        </w:rPr>
        <w:t>注：</w:t>
      </w:r>
      <w:r>
        <w:rPr>
          <w:rFonts w:hint="eastAsia" w:ascii="宋体" w:hAnsi="宋体"/>
          <w:b/>
          <w:color w:val="auto"/>
          <w:szCs w:val="24"/>
          <w:highlight w:val="none"/>
        </w:rPr>
        <w:t>1、后</w:t>
      </w:r>
      <w:r>
        <w:rPr>
          <w:rFonts w:ascii="宋体" w:hAnsi="宋体"/>
          <w:b/>
          <w:color w:val="auto"/>
          <w:szCs w:val="24"/>
          <w:highlight w:val="none"/>
          <w:lang w:val="zh-CN"/>
        </w:rPr>
        <w:t>附代理人身份证复印件（身份证</w:t>
      </w:r>
      <w:r>
        <w:rPr>
          <w:rFonts w:hint="eastAsia" w:ascii="宋体" w:hAnsi="宋体"/>
          <w:b/>
          <w:color w:val="auto"/>
          <w:szCs w:val="24"/>
          <w:highlight w:val="none"/>
          <w:lang w:val="zh-CN"/>
        </w:rPr>
        <w:t>两面均应复印</w:t>
      </w:r>
      <w:r>
        <w:rPr>
          <w:rFonts w:ascii="宋体" w:hAnsi="宋体"/>
          <w:b/>
          <w:color w:val="auto"/>
          <w:szCs w:val="24"/>
          <w:highlight w:val="none"/>
          <w:lang w:val="zh-CN"/>
        </w:rPr>
        <w:t>）</w:t>
      </w:r>
      <w:r>
        <w:rPr>
          <w:rFonts w:hint="eastAsia" w:ascii="宋体" w:hAnsi="宋体"/>
          <w:b/>
          <w:color w:val="auto"/>
          <w:szCs w:val="24"/>
          <w:highlight w:val="none"/>
          <w:lang w:val="zh-CN"/>
        </w:rPr>
        <w:t>并</w:t>
      </w:r>
      <w:r>
        <w:rPr>
          <w:rFonts w:hint="eastAsia" w:ascii="宋体" w:hAnsi="宋体"/>
          <w:b/>
          <w:color w:val="auto"/>
          <w:szCs w:val="24"/>
          <w:highlight w:val="none"/>
        </w:rPr>
        <w:t>加盖单位公章</w:t>
      </w:r>
      <w:r>
        <w:rPr>
          <w:rFonts w:ascii="宋体" w:hAnsi="宋体"/>
          <w:b/>
          <w:color w:val="auto"/>
          <w:szCs w:val="24"/>
          <w:highlight w:val="none"/>
        </w:rPr>
        <w:t>。</w:t>
      </w:r>
    </w:p>
    <w:p>
      <w:pPr>
        <w:pStyle w:val="26"/>
        <w:spacing w:after="0" w:line="360" w:lineRule="auto"/>
        <w:ind w:left="0" w:leftChars="0" w:firstLine="506"/>
        <w:rPr>
          <w:rFonts w:ascii="宋体" w:hAnsi="宋体"/>
          <w:b/>
          <w:color w:val="auto"/>
          <w:szCs w:val="24"/>
          <w:highlight w:val="none"/>
        </w:rPr>
      </w:pPr>
      <w:r>
        <w:rPr>
          <w:rFonts w:hint="eastAsia" w:ascii="宋体" w:hAnsi="宋体"/>
          <w:b/>
          <w:color w:val="auto"/>
          <w:szCs w:val="24"/>
          <w:highlight w:val="none"/>
          <w:lang w:val="zh-CN"/>
        </w:rPr>
        <w:t>2、</w:t>
      </w:r>
      <w:r>
        <w:rPr>
          <w:rFonts w:hint="eastAsia" w:ascii="宋体" w:hAnsi="宋体"/>
          <w:b/>
          <w:color w:val="auto"/>
          <w:szCs w:val="24"/>
          <w:highlight w:val="none"/>
        </w:rPr>
        <w:t>供应商的投标文件均由供应商法定代表人签字的，可不提供该附件的内容。</w:t>
      </w:r>
    </w:p>
    <w:p>
      <w:pPr>
        <w:pStyle w:val="26"/>
        <w:spacing w:after="0" w:line="360" w:lineRule="auto"/>
        <w:ind w:left="0" w:leftChars="0" w:firstLine="494"/>
        <w:rPr>
          <w:rFonts w:ascii="宋体" w:hAnsi="宋体"/>
          <w:b/>
          <w:color w:val="auto"/>
          <w:szCs w:val="24"/>
          <w:highlight w:val="none"/>
        </w:rPr>
      </w:pPr>
      <w:r>
        <w:rPr>
          <w:rFonts w:hint="eastAsia" w:ascii="宋体" w:hAnsi="宋体"/>
          <w:b/>
          <w:color w:val="auto"/>
          <w:szCs w:val="24"/>
          <w:highlight w:val="none"/>
        </w:rPr>
        <w:br w:type="page"/>
      </w:r>
    </w:p>
    <w:p>
      <w:pPr>
        <w:pStyle w:val="4"/>
        <w:rPr>
          <w:color w:val="auto"/>
          <w:highlight w:val="none"/>
        </w:rPr>
      </w:pPr>
      <w:bookmarkStart w:id="230" w:name="_Toc734"/>
      <w:bookmarkStart w:id="231" w:name="_Toc2536"/>
      <w:bookmarkStart w:id="232" w:name="_Toc20963"/>
      <w:bookmarkStart w:id="233" w:name="_Toc16091"/>
      <w:r>
        <w:rPr>
          <w:rFonts w:hint="eastAsia"/>
          <w:color w:val="auto"/>
          <w:highlight w:val="none"/>
        </w:rPr>
        <w:t>技术、服务性响应文件</w:t>
      </w:r>
      <w:bookmarkEnd w:id="230"/>
      <w:bookmarkEnd w:id="231"/>
      <w:bookmarkEnd w:id="232"/>
      <w:bookmarkEnd w:id="233"/>
    </w:p>
    <w:p>
      <w:pPr>
        <w:pStyle w:val="5"/>
        <w:ind w:left="322" w:leftChars="0" w:firstLine="494" w:firstLineChars="0"/>
        <w:rPr>
          <w:color w:val="auto"/>
          <w:highlight w:val="none"/>
        </w:rPr>
      </w:pPr>
      <w:bookmarkStart w:id="234" w:name="_Toc14598"/>
      <w:r>
        <w:rPr>
          <w:rFonts w:hint="eastAsia"/>
          <w:color w:val="auto"/>
          <w:highlight w:val="none"/>
        </w:rPr>
        <w:t>技术、服务性响应件密封包装最外层格式</w:t>
      </w:r>
      <w:bookmarkEnd w:id="234"/>
    </w:p>
    <w:tbl>
      <w:tblPr>
        <w:tblStyle w:val="43"/>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trPr>
        <w:tc>
          <w:tcPr>
            <w:tcW w:w="9309" w:type="dxa"/>
          </w:tcPr>
          <w:p>
            <w:pPr>
              <w:ind w:firstLine="494"/>
              <w:rPr>
                <w:rFonts w:ascii="宋体" w:hAnsi="宋体"/>
                <w:b/>
                <w:color w:val="auto"/>
                <w:szCs w:val="24"/>
                <w:highlight w:val="none"/>
                <w:u w:val="single"/>
              </w:rPr>
            </w:pPr>
            <w:r>
              <w:rPr>
                <w:rFonts w:hint="eastAsia" w:ascii="宋体" w:hAnsi="宋体"/>
                <w:b/>
                <w:color w:val="auto"/>
                <w:szCs w:val="24"/>
                <w:highlight w:val="none"/>
              </w:rPr>
              <w:t>项目名称：</w:t>
            </w:r>
            <w:r>
              <w:rPr>
                <w:rFonts w:hint="eastAsia" w:ascii="宋体" w:hAnsi="宋体"/>
                <w:b/>
                <w:color w:val="auto"/>
                <w:szCs w:val="24"/>
                <w:highlight w:val="none"/>
                <w:u w:val="single"/>
                <w:lang w:eastAsia="zh-CN"/>
              </w:rPr>
              <w:t>成都市龙泉驿区城市绿地建设管理中心零星维护服务采购项目</w:t>
            </w:r>
          </w:p>
          <w:p>
            <w:pPr>
              <w:ind w:firstLine="494"/>
              <w:rPr>
                <w:rFonts w:hint="eastAsia" w:ascii="宋体" w:hAnsi="宋体" w:eastAsia="宋体"/>
                <w:b/>
                <w:bCs/>
                <w:color w:val="auto"/>
                <w:szCs w:val="24"/>
                <w:highlight w:val="none"/>
                <w:u w:val="single"/>
                <w:lang w:eastAsia="zh-CN"/>
              </w:rPr>
            </w:pPr>
            <w:r>
              <w:rPr>
                <w:rFonts w:hint="eastAsia" w:ascii="宋体" w:hAnsi="宋体"/>
                <w:b/>
                <w:color w:val="auto"/>
                <w:szCs w:val="21"/>
                <w:highlight w:val="none"/>
                <w:lang w:eastAsia="zh-CN"/>
              </w:rPr>
              <w:t>项目编号</w:t>
            </w:r>
            <w:r>
              <w:rPr>
                <w:rFonts w:hint="eastAsia" w:ascii="宋体" w:hAnsi="宋体"/>
                <w:b/>
                <w:color w:val="auto"/>
                <w:szCs w:val="24"/>
                <w:highlight w:val="none"/>
              </w:rPr>
              <w:t>：</w:t>
            </w:r>
            <w:r>
              <w:rPr>
                <w:rFonts w:hint="eastAsia" w:ascii="宋体" w:hAnsi="宋体"/>
                <w:b/>
                <w:bCs/>
                <w:color w:val="auto"/>
                <w:szCs w:val="24"/>
                <w:highlight w:val="none"/>
                <w:u w:val="single"/>
                <w:lang w:eastAsia="zh-CN"/>
              </w:rPr>
              <w:t>510112202100104</w:t>
            </w:r>
          </w:p>
          <w:p>
            <w:pPr>
              <w:ind w:firstLine="494"/>
              <w:rPr>
                <w:rFonts w:ascii="宋体" w:hAnsi="宋体"/>
                <w:b/>
                <w:color w:val="auto"/>
                <w:sz w:val="28"/>
                <w:szCs w:val="28"/>
                <w:highlight w:val="none"/>
              </w:rPr>
            </w:pPr>
            <w:r>
              <w:rPr>
                <w:rFonts w:hint="eastAsia" w:ascii="宋体" w:hAnsi="宋体"/>
                <w:b/>
                <w:color w:val="auto"/>
                <w:szCs w:val="24"/>
                <w:highlight w:val="none"/>
              </w:rPr>
              <w:t>包 件 号：</w:t>
            </w:r>
            <w:r>
              <w:rPr>
                <w:rFonts w:hint="eastAsia" w:ascii="宋体" w:hAnsi="宋体"/>
                <w:b/>
                <w:color w:val="auto"/>
                <w:szCs w:val="24"/>
                <w:highlight w:val="none"/>
                <w:u w:val="single"/>
              </w:rPr>
              <w:t xml:space="preserve"> </w:t>
            </w:r>
            <w:r>
              <w:rPr>
                <w:rFonts w:hint="eastAsia" w:ascii="宋体" w:hAnsi="宋体"/>
                <w:b/>
                <w:color w:val="auto"/>
                <w:sz w:val="28"/>
                <w:szCs w:val="28"/>
                <w:highlight w:val="none"/>
                <w:u w:val="single"/>
              </w:rPr>
              <w:t xml:space="preserve">          </w:t>
            </w:r>
          </w:p>
          <w:p>
            <w:pPr>
              <w:ind w:firstLine="652"/>
              <w:jc w:val="center"/>
              <w:rPr>
                <w:rFonts w:ascii="宋体" w:hAnsi="宋体"/>
                <w:color w:val="auto"/>
                <w:sz w:val="32"/>
                <w:szCs w:val="32"/>
                <w:highlight w:val="none"/>
              </w:rPr>
            </w:pPr>
            <w:r>
              <w:rPr>
                <w:rFonts w:hint="eastAsia" w:ascii="宋体" w:hAnsi="宋体"/>
                <w:color w:val="auto"/>
                <w:sz w:val="32"/>
                <w:szCs w:val="32"/>
                <w:highlight w:val="none"/>
              </w:rPr>
              <w:t>技术、服务性响应文件</w:t>
            </w:r>
          </w:p>
          <w:p>
            <w:pPr>
              <w:ind w:firstLine="572"/>
              <w:jc w:val="center"/>
              <w:rPr>
                <w:rFonts w:ascii="宋体" w:hAnsi="宋体"/>
                <w:color w:val="auto"/>
                <w:sz w:val="28"/>
                <w:szCs w:val="28"/>
                <w:highlight w:val="none"/>
              </w:rPr>
            </w:pPr>
          </w:p>
          <w:p>
            <w:pPr>
              <w:ind w:firstLine="492"/>
              <w:rPr>
                <w:rFonts w:ascii="宋体" w:hAnsi="宋体"/>
                <w:color w:val="auto"/>
                <w:szCs w:val="24"/>
                <w:highlight w:val="none"/>
              </w:rPr>
            </w:pPr>
            <w:r>
              <w:rPr>
                <w:rFonts w:hint="eastAsia" w:ascii="宋体" w:hAnsi="宋体"/>
                <w:color w:val="auto"/>
                <w:szCs w:val="24"/>
                <w:highlight w:val="none"/>
              </w:rPr>
              <w:t>供应商名称：</w:t>
            </w:r>
            <w:r>
              <w:rPr>
                <w:rFonts w:hint="eastAsia" w:ascii="宋体" w:hAnsi="宋体"/>
                <w:bCs/>
                <w:color w:val="auto"/>
                <w:szCs w:val="24"/>
                <w:highlight w:val="none"/>
                <w:u w:val="single"/>
              </w:rPr>
              <w:t xml:space="preserve">                       </w:t>
            </w:r>
            <w:r>
              <w:rPr>
                <w:rFonts w:hint="eastAsia" w:ascii="宋体" w:hAnsi="宋体"/>
                <w:color w:val="auto"/>
                <w:szCs w:val="24"/>
                <w:highlight w:val="none"/>
              </w:rPr>
              <w:t>（加盖单位公章）</w:t>
            </w:r>
          </w:p>
          <w:p>
            <w:pPr>
              <w:ind w:firstLine="492"/>
              <w:rPr>
                <w:rFonts w:ascii="宋体" w:hAnsi="宋体"/>
                <w:b/>
                <w:color w:val="auto"/>
                <w:sz w:val="28"/>
                <w:szCs w:val="28"/>
                <w:highlight w:val="none"/>
              </w:rPr>
            </w:pPr>
            <w:r>
              <w:rPr>
                <w:rFonts w:ascii="宋体" w:hAnsi="宋体"/>
                <w:color w:val="auto"/>
                <w:szCs w:val="24"/>
                <w:highlight w:val="none"/>
              </w:rPr>
              <w:t>日期：</w:t>
            </w:r>
            <w:r>
              <w:rPr>
                <w:rFonts w:hint="eastAsia" w:ascii="宋体" w:hAnsi="宋体"/>
                <w:color w:val="auto"/>
                <w:szCs w:val="24"/>
                <w:highlight w:val="none"/>
                <w:u w:val="single"/>
              </w:rPr>
              <w:t xml:space="preserve">      </w:t>
            </w:r>
            <w:r>
              <w:rPr>
                <w:rFonts w:ascii="宋体" w:hAnsi="宋体"/>
                <w:color w:val="auto"/>
                <w:szCs w:val="24"/>
                <w:highlight w:val="none"/>
              </w:rPr>
              <w:t>年</w:t>
            </w:r>
            <w:r>
              <w:rPr>
                <w:rFonts w:hint="eastAsia" w:ascii="宋体" w:hAnsi="宋体"/>
                <w:color w:val="auto"/>
                <w:szCs w:val="24"/>
                <w:highlight w:val="none"/>
                <w:u w:val="single"/>
              </w:rPr>
              <w:t xml:space="preserve">      </w:t>
            </w:r>
            <w:r>
              <w:rPr>
                <w:rFonts w:ascii="宋体" w:hAnsi="宋体"/>
                <w:color w:val="auto"/>
                <w:szCs w:val="24"/>
                <w:highlight w:val="none"/>
              </w:rPr>
              <w:t>月</w:t>
            </w:r>
            <w:r>
              <w:rPr>
                <w:rFonts w:hint="eastAsia" w:ascii="宋体" w:hAnsi="宋体"/>
                <w:color w:val="auto"/>
                <w:szCs w:val="24"/>
                <w:highlight w:val="none"/>
                <w:u w:val="single"/>
              </w:rPr>
              <w:t xml:space="preserve">      </w:t>
            </w:r>
            <w:r>
              <w:rPr>
                <w:rFonts w:ascii="宋体" w:hAnsi="宋体"/>
                <w:color w:val="auto"/>
                <w:szCs w:val="24"/>
                <w:highlight w:val="none"/>
              </w:rPr>
              <w:t>日</w:t>
            </w:r>
          </w:p>
        </w:tc>
      </w:tr>
    </w:tbl>
    <w:p>
      <w:pPr>
        <w:pStyle w:val="5"/>
        <w:tabs>
          <w:tab w:val="left" w:pos="709"/>
        </w:tabs>
        <w:ind w:left="1457" w:leftChars="0" w:firstLine="494" w:firstLineChars="0"/>
        <w:rPr>
          <w:color w:val="auto"/>
          <w:highlight w:val="none"/>
        </w:rPr>
      </w:pPr>
      <w:bookmarkStart w:id="235" w:name="_Toc30033"/>
      <w:r>
        <w:rPr>
          <w:rFonts w:hint="eastAsia"/>
          <w:color w:val="auto"/>
          <w:highlight w:val="none"/>
        </w:rPr>
        <w:t>技术、服务性响应文件封面格式</w:t>
      </w:r>
      <w:bookmarkEnd w:id="235"/>
    </w:p>
    <w:tbl>
      <w:tblPr>
        <w:tblStyle w:val="43"/>
        <w:tblW w:w="93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tcPr>
          <w:p>
            <w:pPr>
              <w:ind w:firstLine="494"/>
              <w:rPr>
                <w:rFonts w:ascii="宋体" w:hAnsi="宋体"/>
                <w:b/>
                <w:color w:val="auto"/>
                <w:szCs w:val="24"/>
                <w:highlight w:val="none"/>
                <w:u w:val="single"/>
              </w:rPr>
            </w:pPr>
            <w:r>
              <w:rPr>
                <w:rFonts w:hint="eastAsia" w:ascii="宋体" w:hAnsi="宋体"/>
                <w:b/>
                <w:color w:val="auto"/>
                <w:szCs w:val="24"/>
                <w:highlight w:val="none"/>
              </w:rPr>
              <w:t>项目名称：</w:t>
            </w:r>
            <w:r>
              <w:rPr>
                <w:rFonts w:hint="eastAsia" w:ascii="宋体" w:hAnsi="宋体"/>
                <w:b/>
                <w:color w:val="auto"/>
                <w:szCs w:val="24"/>
                <w:highlight w:val="none"/>
                <w:u w:val="single"/>
                <w:lang w:eastAsia="zh-CN"/>
              </w:rPr>
              <w:t>成都市龙泉驿区城市绿地建设管理中心零星维护服务采购项目</w:t>
            </w:r>
          </w:p>
          <w:p>
            <w:pPr>
              <w:ind w:firstLine="494"/>
              <w:rPr>
                <w:rFonts w:ascii="宋体" w:hAnsi="宋体"/>
                <w:b/>
                <w:color w:val="auto"/>
                <w:sz w:val="28"/>
                <w:szCs w:val="28"/>
                <w:highlight w:val="none"/>
              </w:rPr>
            </w:pPr>
            <w:r>
              <w:rPr>
                <w:rFonts w:hint="eastAsia" w:ascii="宋体" w:hAnsi="宋体"/>
                <w:b/>
                <w:color w:val="auto"/>
                <w:szCs w:val="21"/>
                <w:highlight w:val="none"/>
                <w:lang w:eastAsia="zh-CN"/>
              </w:rPr>
              <w:t>项目编号</w:t>
            </w:r>
            <w:r>
              <w:rPr>
                <w:rFonts w:hint="eastAsia" w:ascii="宋体" w:hAnsi="宋体"/>
                <w:b/>
                <w:color w:val="auto"/>
                <w:szCs w:val="24"/>
                <w:highlight w:val="none"/>
              </w:rPr>
              <w:t>：</w:t>
            </w:r>
            <w:r>
              <w:rPr>
                <w:rFonts w:hint="eastAsia" w:ascii="宋体" w:hAnsi="宋体"/>
                <w:b/>
                <w:bCs/>
                <w:color w:val="auto"/>
                <w:szCs w:val="24"/>
                <w:highlight w:val="none"/>
                <w:u w:val="single"/>
                <w:lang w:eastAsia="zh-CN"/>
              </w:rPr>
              <w:t>510112202100104</w:t>
            </w:r>
            <w:r>
              <w:rPr>
                <w:rFonts w:hint="eastAsia" w:ascii="宋体" w:hAnsi="宋体"/>
                <w:color w:val="auto"/>
                <w:spacing w:val="6"/>
                <w:sz w:val="28"/>
                <w:szCs w:val="28"/>
                <w:highlight w:val="none"/>
                <w:u w:val="single"/>
              </w:rPr>
              <w:t xml:space="preserve">   </w:t>
            </w:r>
          </w:p>
          <w:p>
            <w:pPr>
              <w:ind w:firstLine="494"/>
              <w:rPr>
                <w:rFonts w:ascii="宋体" w:hAnsi="宋体"/>
                <w:color w:val="auto"/>
                <w:sz w:val="28"/>
                <w:szCs w:val="28"/>
                <w:highlight w:val="none"/>
              </w:rPr>
            </w:pPr>
            <w:r>
              <w:rPr>
                <w:rFonts w:hint="eastAsia" w:ascii="宋体" w:hAnsi="宋体"/>
                <w:b/>
                <w:color w:val="auto"/>
                <w:szCs w:val="24"/>
                <w:highlight w:val="none"/>
              </w:rPr>
              <w:t>包 件 号：</w:t>
            </w:r>
            <w:r>
              <w:rPr>
                <w:rFonts w:hint="eastAsia" w:ascii="宋体" w:hAnsi="宋体"/>
                <w:b/>
                <w:color w:val="auto"/>
                <w:szCs w:val="24"/>
                <w:highlight w:val="none"/>
                <w:u w:val="single"/>
              </w:rPr>
              <w:t xml:space="preserve"> </w:t>
            </w:r>
            <w:r>
              <w:rPr>
                <w:rFonts w:hint="eastAsia" w:ascii="宋体" w:hAnsi="宋体"/>
                <w:b/>
                <w:color w:val="auto"/>
                <w:sz w:val="28"/>
                <w:szCs w:val="28"/>
                <w:highlight w:val="none"/>
                <w:u w:val="single"/>
              </w:rPr>
              <w:t xml:space="preserve">  </w:t>
            </w:r>
          </w:p>
          <w:p>
            <w:pPr>
              <w:ind w:firstLine="652"/>
              <w:jc w:val="center"/>
              <w:rPr>
                <w:rFonts w:ascii="宋体" w:hAnsi="宋体"/>
                <w:color w:val="auto"/>
                <w:sz w:val="32"/>
                <w:szCs w:val="32"/>
                <w:highlight w:val="none"/>
              </w:rPr>
            </w:pPr>
            <w:r>
              <w:rPr>
                <w:rFonts w:hint="eastAsia" w:ascii="宋体" w:hAnsi="宋体"/>
                <w:color w:val="auto"/>
                <w:sz w:val="32"/>
                <w:szCs w:val="32"/>
                <w:highlight w:val="none"/>
              </w:rPr>
              <w:t>技术、服务性响应文件</w:t>
            </w:r>
          </w:p>
          <w:p>
            <w:pPr>
              <w:ind w:firstLine="652"/>
              <w:jc w:val="center"/>
              <w:rPr>
                <w:rFonts w:ascii="宋体" w:hAnsi="宋体"/>
                <w:color w:val="auto"/>
                <w:sz w:val="32"/>
                <w:szCs w:val="32"/>
                <w:highlight w:val="none"/>
              </w:rPr>
            </w:pPr>
            <w:r>
              <w:rPr>
                <w:rFonts w:hint="eastAsia" w:ascii="宋体" w:hAnsi="宋体"/>
                <w:color w:val="auto"/>
                <w:sz w:val="32"/>
                <w:szCs w:val="32"/>
                <w:highlight w:val="none"/>
              </w:rPr>
              <w:t>（正本或副本）</w:t>
            </w:r>
          </w:p>
          <w:p>
            <w:pPr>
              <w:pStyle w:val="2"/>
              <w:ind w:firstLine="492"/>
              <w:rPr>
                <w:rFonts w:ascii="宋体" w:hAnsi="宋体"/>
                <w:color w:val="auto"/>
                <w:szCs w:val="24"/>
                <w:highlight w:val="none"/>
              </w:rPr>
            </w:pPr>
          </w:p>
          <w:p>
            <w:pPr>
              <w:pStyle w:val="2"/>
              <w:ind w:firstLine="492"/>
              <w:rPr>
                <w:rFonts w:ascii="宋体" w:hAnsi="宋体"/>
                <w:color w:val="auto"/>
                <w:szCs w:val="24"/>
                <w:highlight w:val="none"/>
              </w:rPr>
            </w:pPr>
          </w:p>
          <w:p>
            <w:pPr>
              <w:ind w:firstLine="492"/>
              <w:rPr>
                <w:rFonts w:ascii="宋体" w:hAnsi="宋体"/>
                <w:color w:val="auto"/>
                <w:szCs w:val="24"/>
                <w:highlight w:val="none"/>
              </w:rPr>
            </w:pPr>
            <w:r>
              <w:rPr>
                <w:rFonts w:hint="eastAsia" w:ascii="宋体" w:hAnsi="宋体"/>
                <w:color w:val="auto"/>
                <w:szCs w:val="24"/>
                <w:highlight w:val="none"/>
              </w:rPr>
              <w:t>供应商名称：</w:t>
            </w:r>
            <w:r>
              <w:rPr>
                <w:rFonts w:hint="eastAsia" w:ascii="宋体" w:hAnsi="宋体"/>
                <w:bCs/>
                <w:color w:val="auto"/>
                <w:szCs w:val="24"/>
                <w:highlight w:val="none"/>
                <w:u w:val="single"/>
              </w:rPr>
              <w:t xml:space="preserve">                       </w:t>
            </w:r>
            <w:r>
              <w:rPr>
                <w:rFonts w:hint="eastAsia" w:ascii="宋体" w:hAnsi="宋体"/>
                <w:color w:val="auto"/>
                <w:spacing w:val="6"/>
                <w:szCs w:val="24"/>
                <w:highlight w:val="none"/>
              </w:rPr>
              <w:t xml:space="preserve"> </w:t>
            </w:r>
            <w:r>
              <w:rPr>
                <w:rFonts w:hint="eastAsia" w:ascii="宋体" w:hAnsi="宋体"/>
                <w:color w:val="auto"/>
                <w:szCs w:val="24"/>
                <w:highlight w:val="none"/>
              </w:rPr>
              <w:t>（加盖单位公章）</w:t>
            </w:r>
          </w:p>
          <w:p>
            <w:pPr>
              <w:ind w:firstLine="492"/>
              <w:jc w:val="both"/>
              <w:rPr>
                <w:rFonts w:ascii="宋体" w:hAnsi="宋体"/>
                <w:color w:val="auto"/>
                <w:sz w:val="28"/>
                <w:szCs w:val="28"/>
                <w:highlight w:val="none"/>
              </w:rPr>
            </w:pPr>
            <w:r>
              <w:rPr>
                <w:rFonts w:ascii="宋体" w:hAnsi="宋体"/>
                <w:color w:val="auto"/>
                <w:szCs w:val="24"/>
                <w:highlight w:val="none"/>
              </w:rPr>
              <w:t>日期：</w:t>
            </w:r>
            <w:r>
              <w:rPr>
                <w:rFonts w:hint="eastAsia" w:ascii="宋体" w:hAnsi="宋体"/>
                <w:color w:val="auto"/>
                <w:szCs w:val="24"/>
                <w:highlight w:val="none"/>
                <w:u w:val="single"/>
              </w:rPr>
              <w:t xml:space="preserve">      </w:t>
            </w:r>
            <w:r>
              <w:rPr>
                <w:rFonts w:ascii="宋体" w:hAnsi="宋体"/>
                <w:color w:val="auto"/>
                <w:szCs w:val="24"/>
                <w:highlight w:val="none"/>
              </w:rPr>
              <w:t>年</w:t>
            </w:r>
            <w:r>
              <w:rPr>
                <w:rFonts w:hint="eastAsia" w:ascii="宋体" w:hAnsi="宋体"/>
                <w:color w:val="auto"/>
                <w:szCs w:val="24"/>
                <w:highlight w:val="none"/>
                <w:u w:val="single"/>
              </w:rPr>
              <w:t xml:space="preserve">      </w:t>
            </w:r>
            <w:r>
              <w:rPr>
                <w:rFonts w:ascii="宋体" w:hAnsi="宋体"/>
                <w:color w:val="auto"/>
                <w:szCs w:val="24"/>
                <w:highlight w:val="none"/>
              </w:rPr>
              <w:t>月</w:t>
            </w:r>
            <w:r>
              <w:rPr>
                <w:rFonts w:hint="eastAsia" w:ascii="宋体" w:hAnsi="宋体"/>
                <w:color w:val="auto"/>
                <w:szCs w:val="24"/>
                <w:highlight w:val="none"/>
                <w:u w:val="single"/>
              </w:rPr>
              <w:t xml:space="preserve">      </w:t>
            </w:r>
            <w:r>
              <w:rPr>
                <w:rFonts w:ascii="宋体" w:hAnsi="宋体"/>
                <w:color w:val="auto"/>
                <w:szCs w:val="24"/>
                <w:highlight w:val="none"/>
              </w:rPr>
              <w:t>日</w:t>
            </w:r>
          </w:p>
        </w:tc>
      </w:tr>
    </w:tbl>
    <w:p>
      <w:pPr>
        <w:ind w:firstLine="494"/>
        <w:rPr>
          <w:rFonts w:ascii="宋体" w:hAnsi="宋体"/>
          <w:b/>
          <w:color w:val="auto"/>
          <w:szCs w:val="24"/>
          <w:highlight w:val="none"/>
        </w:rPr>
      </w:pPr>
      <w:r>
        <w:rPr>
          <w:rFonts w:hint="eastAsia" w:ascii="宋体" w:hAnsi="宋体"/>
          <w:b/>
          <w:color w:val="auto"/>
          <w:szCs w:val="24"/>
          <w:highlight w:val="none"/>
        </w:rPr>
        <w:t>温馨提示：</w:t>
      </w:r>
    </w:p>
    <w:p>
      <w:pPr>
        <w:ind w:firstLine="494"/>
        <w:rPr>
          <w:rFonts w:ascii="宋体" w:hAnsi="宋体"/>
          <w:b/>
          <w:color w:val="auto"/>
          <w:szCs w:val="24"/>
          <w:highlight w:val="none"/>
        </w:rPr>
      </w:pPr>
      <w:r>
        <w:rPr>
          <w:rFonts w:hint="eastAsia" w:ascii="宋体" w:hAnsi="宋体"/>
          <w:b/>
          <w:color w:val="auto"/>
          <w:szCs w:val="24"/>
          <w:highlight w:val="none"/>
        </w:rPr>
        <w:t>1.技术、服务性响应文件正本一份、副本二份；</w:t>
      </w:r>
    </w:p>
    <w:p>
      <w:pPr>
        <w:ind w:firstLine="494"/>
        <w:rPr>
          <w:rFonts w:ascii="宋体" w:hAnsi="宋体"/>
          <w:b/>
          <w:color w:val="auto"/>
          <w:szCs w:val="24"/>
          <w:highlight w:val="none"/>
        </w:rPr>
      </w:pPr>
      <w:r>
        <w:rPr>
          <w:rFonts w:hint="eastAsia" w:ascii="宋体" w:hAnsi="宋体"/>
          <w:b/>
          <w:color w:val="auto"/>
          <w:szCs w:val="24"/>
          <w:highlight w:val="none"/>
        </w:rPr>
        <w:t>2.技术、服务性响应文件应单独密封包装，并于截止时间前送指定地点。</w:t>
      </w:r>
    </w:p>
    <w:p>
      <w:pPr>
        <w:pStyle w:val="2"/>
        <w:ind w:firstLine="494"/>
        <w:rPr>
          <w:rFonts w:ascii="宋体" w:hAnsi="宋体"/>
          <w:b/>
          <w:color w:val="auto"/>
          <w:szCs w:val="24"/>
          <w:highlight w:val="none"/>
        </w:rPr>
      </w:pPr>
    </w:p>
    <w:p>
      <w:pPr>
        <w:pStyle w:val="2"/>
        <w:ind w:firstLine="494"/>
        <w:rPr>
          <w:rFonts w:ascii="宋体" w:hAnsi="宋体"/>
          <w:b/>
          <w:color w:val="auto"/>
          <w:szCs w:val="24"/>
          <w:highlight w:val="none"/>
        </w:rPr>
      </w:pPr>
    </w:p>
    <w:p>
      <w:pPr>
        <w:pStyle w:val="2"/>
        <w:ind w:firstLine="494"/>
        <w:rPr>
          <w:rFonts w:ascii="宋体" w:hAnsi="宋体"/>
          <w:b/>
          <w:color w:val="auto"/>
          <w:szCs w:val="24"/>
          <w:highlight w:val="none"/>
        </w:rPr>
      </w:pPr>
    </w:p>
    <w:p>
      <w:pPr>
        <w:pStyle w:val="2"/>
        <w:ind w:firstLine="494"/>
        <w:rPr>
          <w:rFonts w:ascii="宋体" w:hAnsi="宋体"/>
          <w:b/>
          <w:color w:val="auto"/>
          <w:szCs w:val="24"/>
          <w:highlight w:val="none"/>
        </w:rPr>
      </w:pPr>
    </w:p>
    <w:p>
      <w:pPr>
        <w:pStyle w:val="2"/>
        <w:ind w:firstLine="494"/>
        <w:rPr>
          <w:rFonts w:ascii="宋体" w:hAnsi="宋体"/>
          <w:b/>
          <w:color w:val="auto"/>
          <w:szCs w:val="24"/>
          <w:highlight w:val="none"/>
        </w:rPr>
      </w:pPr>
    </w:p>
    <w:p>
      <w:pPr>
        <w:pStyle w:val="2"/>
        <w:ind w:firstLine="494"/>
        <w:rPr>
          <w:rFonts w:ascii="宋体" w:hAnsi="宋体"/>
          <w:b/>
          <w:color w:val="auto"/>
          <w:szCs w:val="24"/>
          <w:highlight w:val="none"/>
        </w:rPr>
      </w:pPr>
    </w:p>
    <w:bookmarkEnd w:id="218"/>
    <w:p>
      <w:pPr>
        <w:pStyle w:val="5"/>
        <w:ind w:left="322" w:leftChars="0" w:firstLine="494" w:firstLineChars="0"/>
        <w:rPr>
          <w:color w:val="auto"/>
          <w:highlight w:val="none"/>
        </w:rPr>
      </w:pPr>
      <w:bookmarkStart w:id="236" w:name="_Toc8633"/>
      <w:r>
        <w:rPr>
          <w:rFonts w:hint="eastAsia"/>
          <w:color w:val="auto"/>
          <w:highlight w:val="none"/>
        </w:rPr>
        <w:t>开标一览表</w:t>
      </w:r>
      <w:bookmarkEnd w:id="236"/>
    </w:p>
    <w:p>
      <w:pPr>
        <w:ind w:firstLine="494"/>
        <w:rPr>
          <w:b/>
          <w:bCs/>
          <w:color w:val="auto"/>
          <w:highlight w:val="none"/>
        </w:rPr>
      </w:pPr>
    </w:p>
    <w:p>
      <w:pPr>
        <w:ind w:firstLine="494"/>
        <w:rPr>
          <w:b/>
          <w:bCs/>
          <w:color w:val="auto"/>
          <w:highlight w:val="none"/>
          <w:u w:val="single"/>
        </w:rPr>
      </w:pPr>
      <w:bookmarkStart w:id="237" w:name="_Toc5012"/>
      <w:bookmarkStart w:id="238" w:name="_Toc237145395"/>
      <w:bookmarkStart w:id="239" w:name="_Toc239846734"/>
      <w:bookmarkStart w:id="240" w:name="_Toc229802674"/>
      <w:bookmarkStart w:id="241" w:name="_Toc239849853"/>
      <w:bookmarkStart w:id="242" w:name="_Toc314574804"/>
      <w:bookmarkStart w:id="243" w:name="_Toc265494342"/>
      <w:bookmarkStart w:id="244" w:name="_Toc240865266"/>
      <w:bookmarkStart w:id="245" w:name="_Toc231030275"/>
      <w:bookmarkStart w:id="246" w:name="_Toc240367172"/>
      <w:r>
        <w:rPr>
          <w:rFonts w:hint="eastAsia"/>
          <w:b/>
          <w:bCs/>
          <w:color w:val="auto"/>
          <w:highlight w:val="none"/>
        </w:rPr>
        <w:t>项目名称</w:t>
      </w:r>
      <w:r>
        <w:rPr>
          <w:rFonts w:hint="eastAsia"/>
          <w:color w:val="auto"/>
          <w:highlight w:val="none"/>
        </w:rPr>
        <w:t>：</w:t>
      </w:r>
      <w:bookmarkEnd w:id="237"/>
      <w:r>
        <w:rPr>
          <w:rFonts w:hint="eastAsia" w:ascii="宋体" w:hAnsi="宋体"/>
          <w:b/>
          <w:color w:val="auto"/>
          <w:szCs w:val="24"/>
          <w:highlight w:val="none"/>
          <w:u w:val="single"/>
          <w:lang w:eastAsia="zh-CN"/>
        </w:rPr>
        <w:t>成都市龙泉驿区城市绿地建设管理中心零星维护服务采购项目</w:t>
      </w:r>
    </w:p>
    <w:p>
      <w:pPr>
        <w:snapToGrid w:val="0"/>
        <w:ind w:firstLine="494"/>
        <w:rPr>
          <w:rFonts w:hint="eastAsia" w:ascii="宋体" w:hAnsi="宋体" w:eastAsia="宋体"/>
          <w:b/>
          <w:color w:val="auto"/>
          <w:szCs w:val="24"/>
          <w:highlight w:val="none"/>
          <w:u w:val="single"/>
          <w:lang w:eastAsia="zh-CN"/>
        </w:rPr>
      </w:pPr>
      <w:r>
        <w:rPr>
          <w:rFonts w:hint="eastAsia" w:ascii="宋体" w:hAnsi="宋体"/>
          <w:b/>
          <w:color w:val="auto"/>
          <w:szCs w:val="24"/>
          <w:highlight w:val="none"/>
          <w:lang w:eastAsia="zh-CN"/>
        </w:rPr>
        <w:t>项目编号</w:t>
      </w:r>
      <w:r>
        <w:rPr>
          <w:rFonts w:hint="eastAsia" w:ascii="宋体" w:hAnsi="宋体"/>
          <w:b/>
          <w:color w:val="auto"/>
          <w:szCs w:val="24"/>
          <w:highlight w:val="none"/>
        </w:rPr>
        <w:t>：</w:t>
      </w:r>
      <w:r>
        <w:rPr>
          <w:rFonts w:hint="eastAsia" w:ascii="宋体" w:hAnsi="宋体"/>
          <w:b/>
          <w:color w:val="auto"/>
          <w:szCs w:val="24"/>
          <w:highlight w:val="none"/>
          <w:u w:val="single"/>
          <w:lang w:eastAsia="zh-CN"/>
        </w:rPr>
        <w:t>510112202100104</w:t>
      </w:r>
    </w:p>
    <w:p>
      <w:pPr>
        <w:pStyle w:val="2"/>
        <w:ind w:firstLine="494"/>
        <w:rPr>
          <w:rFonts w:hint="eastAsia" w:ascii="宋体" w:hAnsi="宋体"/>
          <w:b/>
          <w:color w:val="auto"/>
          <w:szCs w:val="24"/>
          <w:highlight w:val="none"/>
          <w:u w:val="single"/>
        </w:rPr>
      </w:pPr>
      <w:r>
        <w:rPr>
          <w:rFonts w:hint="eastAsia" w:ascii="宋体" w:hAnsi="宋体"/>
          <w:b/>
          <w:color w:val="auto"/>
          <w:szCs w:val="24"/>
          <w:highlight w:val="none"/>
        </w:rPr>
        <w:t>包 件 号：</w:t>
      </w:r>
      <w:r>
        <w:rPr>
          <w:rFonts w:hint="eastAsia" w:ascii="宋体" w:hAnsi="宋体"/>
          <w:b/>
          <w:color w:val="auto"/>
          <w:szCs w:val="24"/>
          <w:highlight w:val="none"/>
          <w:u w:val="single"/>
        </w:rPr>
        <w:t xml:space="preserve"> </w:t>
      </w:r>
    </w:p>
    <w:p>
      <w:pPr>
        <w:rPr>
          <w:rFonts w:hint="eastAsia"/>
        </w:rPr>
      </w:pPr>
    </w:p>
    <w:tbl>
      <w:tblPr>
        <w:tblStyle w:val="44"/>
        <w:tblW w:w="8715"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4350"/>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5"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b w:val="0"/>
                <w:bCs/>
                <w:color w:val="auto"/>
                <w:szCs w:val="24"/>
                <w:highlight w:val="none"/>
                <w:u w:val="none"/>
                <w:vertAlign w:val="baseline"/>
                <w:lang w:val="en-US" w:eastAsia="zh-CN"/>
              </w:rPr>
            </w:pPr>
            <w:r>
              <w:rPr>
                <w:rFonts w:hint="eastAsia" w:ascii="宋体" w:hAnsi="宋体"/>
                <w:b w:val="0"/>
                <w:bCs/>
                <w:color w:val="auto"/>
                <w:szCs w:val="24"/>
                <w:highlight w:val="none"/>
                <w:u w:val="none"/>
                <w:vertAlign w:val="baseline"/>
                <w:lang w:val="en-US" w:eastAsia="zh-CN"/>
              </w:rPr>
              <w:t>序号</w:t>
            </w:r>
          </w:p>
        </w:tc>
        <w:tc>
          <w:tcPr>
            <w:tcW w:w="435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b w:val="0"/>
                <w:bCs/>
                <w:color w:val="auto"/>
                <w:szCs w:val="24"/>
                <w:highlight w:val="none"/>
                <w:u w:val="none"/>
                <w:vertAlign w:val="baseline"/>
                <w:lang w:val="en-US" w:eastAsia="zh-CN"/>
              </w:rPr>
            </w:pPr>
            <w:r>
              <w:rPr>
                <w:rFonts w:hint="eastAsia" w:ascii="宋体" w:hAnsi="宋体"/>
                <w:b w:val="0"/>
                <w:bCs/>
                <w:color w:val="auto"/>
                <w:szCs w:val="24"/>
                <w:highlight w:val="none"/>
                <w:u w:val="none"/>
                <w:vertAlign w:val="baseline"/>
                <w:lang w:val="en-US" w:eastAsia="zh-CN"/>
              </w:rPr>
              <w:t>项目名称</w:t>
            </w:r>
          </w:p>
        </w:tc>
        <w:tc>
          <w:tcPr>
            <w:tcW w:w="354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b w:val="0"/>
                <w:bCs/>
                <w:color w:val="auto"/>
                <w:szCs w:val="24"/>
                <w:highlight w:val="none"/>
                <w:u w:val="none"/>
                <w:vertAlign w:val="baseline"/>
                <w:lang w:val="en-US" w:eastAsia="zh-CN"/>
              </w:rPr>
            </w:pPr>
            <w:r>
              <w:rPr>
                <w:rFonts w:hint="eastAsia" w:ascii="宋体" w:hAnsi="宋体"/>
                <w:b w:val="0"/>
                <w:bCs/>
                <w:color w:val="auto"/>
                <w:szCs w:val="24"/>
                <w:highlight w:val="none"/>
                <w:u w:val="none"/>
                <w:vertAlign w:val="baseline"/>
                <w:lang w:val="en-US" w:eastAsia="zh-CN"/>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5"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b w:val="0"/>
                <w:bCs/>
                <w:color w:val="auto"/>
                <w:szCs w:val="24"/>
                <w:highlight w:val="none"/>
                <w:u w:val="none"/>
                <w:vertAlign w:val="baseline"/>
                <w:lang w:val="en-US" w:eastAsia="zh-CN"/>
              </w:rPr>
            </w:pPr>
            <w:r>
              <w:rPr>
                <w:rFonts w:hint="eastAsia" w:ascii="宋体" w:hAnsi="宋体"/>
                <w:b w:val="0"/>
                <w:bCs/>
                <w:color w:val="auto"/>
                <w:szCs w:val="24"/>
                <w:highlight w:val="none"/>
                <w:u w:val="none"/>
                <w:vertAlign w:val="baseline"/>
                <w:lang w:val="en-US" w:eastAsia="zh-CN"/>
              </w:rPr>
              <w:t>1</w:t>
            </w:r>
          </w:p>
        </w:tc>
        <w:tc>
          <w:tcPr>
            <w:tcW w:w="4350" w:type="dxa"/>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b w:val="0"/>
                <w:bCs/>
                <w:color w:val="auto"/>
                <w:highlight w:val="none"/>
                <w:u w:val="none"/>
              </w:rPr>
            </w:pPr>
            <w:r>
              <w:rPr>
                <w:rFonts w:hint="eastAsia" w:ascii="宋体" w:hAnsi="宋体"/>
                <w:b w:val="0"/>
                <w:bCs/>
                <w:color w:val="auto"/>
                <w:szCs w:val="24"/>
                <w:highlight w:val="none"/>
                <w:u w:val="none"/>
                <w:lang w:eastAsia="zh-CN"/>
              </w:rPr>
              <w:t>成都市龙泉驿区城市绿地建设管理中心零星维护服务采购项目</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b w:val="0"/>
                <w:bCs/>
                <w:color w:val="auto"/>
                <w:szCs w:val="24"/>
                <w:highlight w:val="none"/>
                <w:u w:val="none"/>
                <w:vertAlign w:val="baseline"/>
              </w:rPr>
            </w:pPr>
          </w:p>
        </w:tc>
        <w:tc>
          <w:tcPr>
            <w:tcW w:w="354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b w:val="0"/>
                <w:bCs/>
                <w:color w:val="auto"/>
                <w:szCs w:val="24"/>
                <w:highlight w:val="none"/>
                <w:u w:val="single"/>
                <w:vertAlign w:val="baseline"/>
                <w:lang w:val="en-US" w:eastAsia="zh-CN"/>
              </w:rPr>
            </w:pPr>
            <w:r>
              <w:rPr>
                <w:rFonts w:hint="eastAsia" w:ascii="宋体" w:hAnsi="宋体"/>
                <w:b w:val="0"/>
                <w:bCs/>
                <w:color w:val="auto"/>
                <w:szCs w:val="24"/>
                <w:highlight w:val="none"/>
                <w:u w:val="none"/>
                <w:vertAlign w:val="baseline"/>
                <w:lang w:val="en-US" w:eastAsia="zh-CN"/>
              </w:rPr>
              <w:t>维护清单中所有品名内容统一下浮率</w:t>
            </w:r>
            <w:r>
              <w:rPr>
                <w:rFonts w:hint="eastAsia" w:ascii="宋体" w:hAnsi="宋体"/>
                <w:b w:val="0"/>
                <w:bCs/>
                <w:color w:val="auto"/>
                <w:szCs w:val="24"/>
                <w:highlight w:val="none"/>
                <w:u w:val="single"/>
                <w:vertAlign w:val="baseline"/>
                <w:lang w:val="en-US" w:eastAsia="zh-CN"/>
              </w:rPr>
              <w:t xml:space="preserve"> </w:t>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lang w:val="en-US" w:eastAsia="zh-CN"/>
              </w:rPr>
              <w:t>%</w:t>
            </w:r>
            <w:r>
              <w:rPr>
                <w:rFonts w:hint="eastAsia" w:ascii="宋体" w:hAnsi="宋体"/>
                <w:b w:val="0"/>
                <w:bCs/>
                <w:color w:val="auto"/>
                <w:szCs w:val="24"/>
                <w:highlight w:val="none"/>
                <w:u w:val="none"/>
                <w:vertAlign w:val="baseline"/>
                <w:lang w:val="en-US" w:eastAsia="zh-CN"/>
              </w:rPr>
              <w:t xml:space="preserve">  </w:t>
            </w:r>
          </w:p>
        </w:tc>
      </w:tr>
    </w:tbl>
    <w:p>
      <w:pPr>
        <w:pStyle w:val="2"/>
        <w:ind w:firstLine="494"/>
        <w:rPr>
          <w:rFonts w:hint="eastAsia" w:ascii="宋体" w:hAnsi="宋体"/>
          <w:b/>
          <w:color w:val="auto"/>
          <w:szCs w:val="24"/>
          <w:highlight w:val="none"/>
          <w:u w:val="single"/>
        </w:rPr>
      </w:pPr>
    </w:p>
    <w:p>
      <w:pPr>
        <w:ind w:firstLine="494"/>
        <w:rPr>
          <w:rFonts w:ascii="宋体" w:hAnsi="宋体"/>
          <w:b/>
          <w:color w:val="auto"/>
          <w:szCs w:val="24"/>
          <w:highlight w:val="none"/>
        </w:rPr>
      </w:pPr>
    </w:p>
    <w:p>
      <w:pPr>
        <w:pStyle w:val="2"/>
        <w:rPr>
          <w:rFonts w:ascii="宋体" w:hAnsi="宋体"/>
          <w:b/>
          <w:color w:val="auto"/>
          <w:szCs w:val="24"/>
          <w:highlight w:val="none"/>
        </w:rPr>
      </w:pPr>
    </w:p>
    <w:p>
      <w:pPr>
        <w:pStyle w:val="2"/>
        <w:rPr>
          <w:rFonts w:ascii="宋体" w:hAnsi="宋体"/>
          <w:b/>
          <w:color w:val="auto"/>
          <w:szCs w:val="24"/>
          <w:highlight w:val="none"/>
        </w:rPr>
      </w:pPr>
    </w:p>
    <w:p/>
    <w:p/>
    <w:p>
      <w:pPr>
        <w:ind w:firstLine="494"/>
        <w:rPr>
          <w:rFonts w:ascii="宋体" w:hAnsi="宋体"/>
          <w:b/>
          <w:color w:val="auto"/>
          <w:szCs w:val="24"/>
          <w:highlight w:val="none"/>
        </w:rPr>
      </w:pPr>
    </w:p>
    <w:p>
      <w:pPr>
        <w:ind w:firstLine="494"/>
        <w:rPr>
          <w:rFonts w:ascii="宋体" w:hAnsi="宋体"/>
          <w:b/>
          <w:color w:val="auto"/>
          <w:szCs w:val="24"/>
          <w:highlight w:val="none"/>
          <w:u w:val="single"/>
        </w:rPr>
      </w:pPr>
      <w:r>
        <w:rPr>
          <w:rFonts w:hint="eastAsia" w:ascii="宋体" w:hAnsi="宋体"/>
          <w:b/>
          <w:color w:val="auto"/>
          <w:szCs w:val="24"/>
          <w:highlight w:val="none"/>
        </w:rPr>
        <w:t>投标报价（人民币大写）：</w:t>
      </w:r>
      <w:r>
        <w:rPr>
          <w:rFonts w:hint="eastAsia" w:ascii="宋体" w:hAnsi="宋体"/>
          <w:b/>
          <w:color w:val="auto"/>
          <w:szCs w:val="24"/>
          <w:highlight w:val="none"/>
          <w:u w:val="single"/>
        </w:rPr>
        <w:t xml:space="preserve"> </w:t>
      </w:r>
      <w:r>
        <w:rPr>
          <w:rFonts w:hint="eastAsia" w:ascii="宋体" w:hAnsi="宋体"/>
          <w:b/>
          <w:color w:val="auto"/>
          <w:szCs w:val="24"/>
          <w:highlight w:val="none"/>
          <w:u w:val="single"/>
        </w:rPr>
        <w:tab/>
      </w:r>
      <w:r>
        <w:rPr>
          <w:rFonts w:hint="eastAsia" w:ascii="宋体" w:hAnsi="宋体"/>
          <w:b/>
          <w:color w:val="auto"/>
          <w:szCs w:val="24"/>
          <w:highlight w:val="none"/>
          <w:u w:val="single"/>
          <w:lang w:eastAsia="zh-CN"/>
        </w:rPr>
        <w:t>（</w:t>
      </w:r>
      <w:r>
        <w:rPr>
          <w:rFonts w:hint="eastAsia" w:ascii="宋体" w:hAnsi="宋体"/>
          <w:b/>
          <w:color w:val="auto"/>
          <w:szCs w:val="24"/>
          <w:highlight w:val="none"/>
          <w:u w:val="single"/>
          <w:lang w:val="en-US" w:eastAsia="zh-CN"/>
        </w:rPr>
        <w:t>下浮率</w:t>
      </w:r>
      <w:r>
        <w:rPr>
          <w:rFonts w:hint="eastAsia" w:ascii="宋体" w:hAnsi="宋体"/>
          <w:b/>
          <w:color w:val="auto"/>
          <w:szCs w:val="24"/>
          <w:highlight w:val="none"/>
          <w:u w:val="single"/>
          <w:lang w:eastAsia="zh-CN"/>
        </w:rPr>
        <w:t>）</w:t>
      </w:r>
      <w:r>
        <w:rPr>
          <w:rFonts w:hint="eastAsia" w:ascii="宋体" w:hAnsi="宋体"/>
          <w:b/>
          <w:color w:val="auto"/>
          <w:szCs w:val="24"/>
          <w:highlight w:val="none"/>
          <w:u w:val="single"/>
          <w:lang w:val="en-US" w:eastAsia="zh-CN"/>
        </w:rPr>
        <w:t>百分之</w:t>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ab/>
      </w:r>
      <w:r>
        <w:rPr>
          <w:rFonts w:hint="eastAsia" w:ascii="宋体" w:hAnsi="宋体"/>
          <w:b/>
          <w:color w:val="auto"/>
          <w:szCs w:val="24"/>
          <w:highlight w:val="none"/>
          <w:u w:val="single"/>
        </w:rPr>
        <w:t xml:space="preserve">                     </w:t>
      </w:r>
    </w:p>
    <w:p>
      <w:pPr>
        <w:pStyle w:val="26"/>
        <w:spacing w:after="0" w:line="360" w:lineRule="auto"/>
        <w:ind w:left="0" w:leftChars="0" w:firstLine="492"/>
        <w:rPr>
          <w:rFonts w:ascii="宋体" w:hAnsi="宋体"/>
          <w:bCs/>
          <w:color w:val="auto"/>
          <w:szCs w:val="24"/>
          <w:highlight w:val="none"/>
        </w:rPr>
      </w:pP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投标人名称：</w:t>
      </w:r>
      <w:r>
        <w:rPr>
          <w:rFonts w:hint="eastAsia" w:ascii="宋体" w:hAnsi="宋体"/>
          <w:bCs/>
          <w:color w:val="auto"/>
          <w:szCs w:val="24"/>
          <w:highlight w:val="none"/>
          <w:u w:val="single"/>
        </w:rPr>
        <w:t xml:space="preserve">                       </w:t>
      </w:r>
      <w:r>
        <w:rPr>
          <w:rFonts w:hint="eastAsia" w:ascii="宋体" w:hAnsi="宋体"/>
          <w:bCs/>
          <w:color w:val="auto"/>
          <w:szCs w:val="24"/>
          <w:highlight w:val="none"/>
        </w:rPr>
        <w:t>（加盖单位公章）</w:t>
      </w: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法定代表人或代理人：</w:t>
      </w:r>
      <w:r>
        <w:rPr>
          <w:rFonts w:hint="eastAsia" w:ascii="宋体" w:hAnsi="宋体"/>
          <w:bCs/>
          <w:color w:val="auto"/>
          <w:szCs w:val="24"/>
          <w:highlight w:val="none"/>
          <w:u w:val="single"/>
        </w:rPr>
        <w:t xml:space="preserve">               </w:t>
      </w:r>
      <w:r>
        <w:rPr>
          <w:rFonts w:hint="eastAsia" w:ascii="宋体" w:hAnsi="宋体"/>
          <w:bCs/>
          <w:color w:val="auto"/>
          <w:szCs w:val="24"/>
          <w:highlight w:val="none"/>
        </w:rPr>
        <w:t>（签字）</w:t>
      </w:r>
    </w:p>
    <w:p>
      <w:pPr>
        <w:pStyle w:val="26"/>
        <w:spacing w:after="0" w:line="360" w:lineRule="auto"/>
        <w:ind w:left="0" w:leftChars="0" w:firstLine="492"/>
        <w:rPr>
          <w:rFonts w:ascii="宋体" w:hAnsi="宋体"/>
          <w:color w:val="auto"/>
          <w:szCs w:val="24"/>
          <w:highlight w:val="none"/>
        </w:rPr>
      </w:pPr>
      <w:r>
        <w:rPr>
          <w:rFonts w:ascii="宋体" w:hAnsi="宋体"/>
          <w:color w:val="auto"/>
          <w:szCs w:val="24"/>
          <w:highlight w:val="none"/>
        </w:rPr>
        <w:t>日期：</w:t>
      </w:r>
      <w:r>
        <w:rPr>
          <w:rFonts w:hint="eastAsia" w:ascii="宋体" w:hAnsi="宋体"/>
          <w:color w:val="auto"/>
          <w:szCs w:val="24"/>
          <w:highlight w:val="none"/>
          <w:u w:val="single"/>
        </w:rPr>
        <w:t xml:space="preserve">      </w:t>
      </w:r>
      <w:r>
        <w:rPr>
          <w:rFonts w:ascii="宋体" w:hAnsi="宋体"/>
          <w:color w:val="auto"/>
          <w:szCs w:val="24"/>
          <w:highlight w:val="none"/>
        </w:rPr>
        <w:t>年</w:t>
      </w:r>
      <w:r>
        <w:rPr>
          <w:rFonts w:hint="eastAsia" w:ascii="宋体" w:hAnsi="宋体"/>
          <w:color w:val="auto"/>
          <w:szCs w:val="24"/>
          <w:highlight w:val="none"/>
          <w:u w:val="single"/>
        </w:rPr>
        <w:t xml:space="preserve">      </w:t>
      </w:r>
      <w:r>
        <w:rPr>
          <w:rFonts w:ascii="宋体" w:hAnsi="宋体"/>
          <w:color w:val="auto"/>
          <w:szCs w:val="24"/>
          <w:highlight w:val="none"/>
        </w:rPr>
        <w:t>月</w:t>
      </w:r>
      <w:r>
        <w:rPr>
          <w:rFonts w:hint="eastAsia" w:ascii="宋体" w:hAnsi="宋体"/>
          <w:color w:val="auto"/>
          <w:szCs w:val="24"/>
          <w:highlight w:val="none"/>
          <w:u w:val="single"/>
        </w:rPr>
        <w:t xml:space="preserve">      </w:t>
      </w:r>
      <w:r>
        <w:rPr>
          <w:rFonts w:ascii="宋体" w:hAnsi="宋体"/>
          <w:color w:val="auto"/>
          <w:szCs w:val="24"/>
          <w:highlight w:val="none"/>
        </w:rPr>
        <w:t>日</w:t>
      </w:r>
    </w:p>
    <w:p>
      <w:pPr>
        <w:pStyle w:val="26"/>
        <w:spacing w:after="0" w:line="360" w:lineRule="auto"/>
        <w:ind w:left="0" w:leftChars="0" w:firstLine="492"/>
        <w:rPr>
          <w:rFonts w:ascii="宋体" w:hAnsi="宋体"/>
          <w:color w:val="auto"/>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90" w:firstLineChars="200"/>
        <w:textAlignment w:val="auto"/>
        <w:rPr>
          <w:rFonts w:hint="default" w:ascii="宋体" w:hAnsi="宋体" w:eastAsia="宋体"/>
          <w:color w:val="auto"/>
          <w:szCs w:val="24"/>
          <w:highlight w:val="none"/>
          <w:lang w:val="en-US" w:eastAsia="zh-CN"/>
        </w:rPr>
      </w:pPr>
      <w:bookmarkStart w:id="247" w:name="_Toc351709662"/>
      <w:bookmarkStart w:id="248" w:name="_Toc17556"/>
      <w:r>
        <w:rPr>
          <w:rFonts w:ascii="宋体" w:hAnsi="宋体"/>
          <w:bCs/>
          <w:color w:val="auto"/>
          <w:szCs w:val="24"/>
          <w:highlight w:val="none"/>
        </w:rPr>
        <w:t xml:space="preserve"> </w:t>
      </w:r>
      <w:r>
        <w:rPr>
          <w:rFonts w:hint="eastAsia" w:ascii="宋体" w:hAnsi="宋体"/>
          <w:bCs/>
          <w:color w:val="auto"/>
          <w:szCs w:val="24"/>
          <w:highlight w:val="none"/>
        </w:rPr>
        <w:t>说明：</w:t>
      </w:r>
      <w:r>
        <w:rPr>
          <w:rFonts w:hint="eastAsia" w:ascii="宋体" w:hAnsi="宋体" w:eastAsia="宋体" w:cs="宋体"/>
          <w:color w:val="auto"/>
          <w:kern w:val="2"/>
          <w:sz w:val="24"/>
          <w:szCs w:val="24"/>
          <w:highlight w:val="none"/>
          <w:lang w:val="en-US" w:eastAsia="zh-CN" w:bidi="ar-SA"/>
        </w:rPr>
        <w:t>本项目采取报下浮比例方式进行报价，招标文件4.2各包零星维护清单中各品名内容下浮比例均为同一比例，最终各品名内容中标单价=其单价限价×（1-下浮比例）。例：如投标人报下浮率为5%，则白玉兰中标单价=5090.00 ×（1-5%）=4835.5</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元/株，其他品名货物以此类推。</w:t>
      </w:r>
    </w:p>
    <w:p>
      <w:pPr>
        <w:pStyle w:val="2"/>
        <w:keepNext w:val="0"/>
        <w:keepLines w:val="0"/>
        <w:pageBreakBefore w:val="0"/>
        <w:widowControl w:val="0"/>
        <w:kinsoku/>
        <w:wordWrap/>
        <w:overflowPunct/>
        <w:topLinePunct w:val="0"/>
        <w:autoSpaceDE/>
        <w:autoSpaceDN/>
        <w:bidi w:val="0"/>
        <w:adjustRightInd/>
        <w:snapToGrid/>
        <w:spacing w:line="360" w:lineRule="auto"/>
        <w:ind w:firstLine="49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下浮比例不能为负，否则按无效投标文件处理。</w:t>
      </w:r>
    </w:p>
    <w:p>
      <w:pPr>
        <w:pStyle w:val="195"/>
        <w:ind w:firstLine="490" w:firstLineChars="200"/>
        <w:rPr>
          <w:rFonts w:hint="default"/>
          <w:color w:val="auto"/>
          <w:highlight w:val="none"/>
          <w:lang w:val="en-US" w:eastAsia="zh-CN"/>
        </w:rPr>
      </w:pPr>
      <w:r>
        <w:rPr>
          <w:rFonts w:hint="eastAsia"/>
          <w:color w:val="auto"/>
          <w:highlight w:val="none"/>
          <w:lang w:val="en-US" w:eastAsia="zh-CN"/>
        </w:rPr>
        <w:t>所有中标单价均为综合单价，包含所有服务及配套产品、税金、管理费、利润等所有费用。</w:t>
      </w:r>
    </w:p>
    <w:bookmarkEnd w:id="247"/>
    <w:bookmarkEnd w:id="248"/>
    <w:p>
      <w:pPr>
        <w:pStyle w:val="2"/>
        <w:ind w:firstLine="492"/>
        <w:rPr>
          <w:color w:val="auto"/>
          <w:highlight w:val="none"/>
        </w:rPr>
      </w:pPr>
      <w:r>
        <w:rPr>
          <w:color w:val="auto"/>
          <w:highlight w:val="none"/>
        </w:rPr>
        <w:br w:type="page"/>
      </w:r>
    </w:p>
    <w:bookmarkEnd w:id="238"/>
    <w:bookmarkEnd w:id="239"/>
    <w:bookmarkEnd w:id="240"/>
    <w:bookmarkEnd w:id="241"/>
    <w:bookmarkEnd w:id="242"/>
    <w:bookmarkEnd w:id="243"/>
    <w:bookmarkEnd w:id="244"/>
    <w:bookmarkEnd w:id="245"/>
    <w:bookmarkEnd w:id="246"/>
    <w:p>
      <w:pPr>
        <w:pStyle w:val="5"/>
        <w:ind w:left="322" w:leftChars="0" w:firstLine="494" w:firstLineChars="0"/>
        <w:rPr>
          <w:color w:val="auto"/>
          <w:highlight w:val="none"/>
        </w:rPr>
      </w:pPr>
      <w:bookmarkStart w:id="249" w:name="_Toc302997926"/>
      <w:bookmarkStart w:id="250" w:name="_Toc15436"/>
      <w:bookmarkStart w:id="251" w:name="_Toc263768870"/>
      <w:bookmarkStart w:id="252" w:name="_Toc220299393"/>
      <w:bookmarkStart w:id="253" w:name="_Toc263753605"/>
      <w:bookmarkStart w:id="254" w:name="_Toc217446083"/>
      <w:r>
        <w:rPr>
          <w:rFonts w:hint="eastAsia"/>
          <w:color w:val="auto"/>
          <w:highlight w:val="none"/>
        </w:rPr>
        <w:t>投标人基本情况表</w:t>
      </w:r>
      <w:bookmarkEnd w:id="249"/>
      <w:bookmarkEnd w:id="250"/>
    </w:p>
    <w:tbl>
      <w:tblPr>
        <w:tblStyle w:val="43"/>
        <w:tblW w:w="8625" w:type="dxa"/>
        <w:tblInd w:w="-10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25"/>
        <w:gridCol w:w="1020"/>
        <w:gridCol w:w="1067"/>
        <w:gridCol w:w="1248"/>
        <w:gridCol w:w="8"/>
        <w:gridCol w:w="1318"/>
        <w:gridCol w:w="379"/>
        <w:gridCol w:w="793"/>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25" w:type="dxa"/>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投标人名称</w:t>
            </w:r>
          </w:p>
        </w:tc>
        <w:tc>
          <w:tcPr>
            <w:tcW w:w="6900" w:type="dxa"/>
            <w:gridSpan w:val="8"/>
            <w:vAlign w:val="center"/>
          </w:tcPr>
          <w:p>
            <w:pPr>
              <w:autoSpaceDE w:val="0"/>
              <w:autoSpaceDN w:val="0"/>
              <w:adjustRightInd w:val="0"/>
              <w:ind w:firstLine="0" w:firstLineChars="0"/>
              <w:jc w:val="center"/>
              <w:rPr>
                <w:rFonts w:ascii="宋体" w:hAnsi="宋体"/>
                <w:color w:val="auto"/>
                <w:kern w:val="0"/>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25" w:type="dxa"/>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注册地址</w:t>
            </w:r>
          </w:p>
        </w:tc>
        <w:tc>
          <w:tcPr>
            <w:tcW w:w="3343" w:type="dxa"/>
            <w:gridSpan w:val="4"/>
            <w:vAlign w:val="center"/>
          </w:tcPr>
          <w:p>
            <w:pPr>
              <w:autoSpaceDE w:val="0"/>
              <w:autoSpaceDN w:val="0"/>
              <w:adjustRightInd w:val="0"/>
              <w:ind w:firstLine="0" w:firstLineChars="0"/>
              <w:jc w:val="center"/>
              <w:rPr>
                <w:rFonts w:ascii="宋体" w:hAnsi="宋体"/>
                <w:color w:val="auto"/>
                <w:kern w:val="0"/>
                <w:szCs w:val="24"/>
                <w:highlight w:val="none"/>
              </w:rPr>
            </w:pPr>
          </w:p>
        </w:tc>
        <w:tc>
          <w:tcPr>
            <w:tcW w:w="1318" w:type="dxa"/>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邮政编码</w:t>
            </w:r>
          </w:p>
        </w:tc>
        <w:tc>
          <w:tcPr>
            <w:tcW w:w="2239" w:type="dxa"/>
            <w:gridSpan w:val="3"/>
            <w:vAlign w:val="center"/>
          </w:tcPr>
          <w:p>
            <w:pPr>
              <w:autoSpaceDE w:val="0"/>
              <w:autoSpaceDN w:val="0"/>
              <w:adjustRightInd w:val="0"/>
              <w:ind w:firstLine="0" w:firstLineChars="0"/>
              <w:jc w:val="center"/>
              <w:rPr>
                <w:rFonts w:ascii="宋体" w:hAnsi="宋体"/>
                <w:color w:val="auto"/>
                <w:kern w:val="0"/>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25" w:type="dxa"/>
            <w:vMerge w:val="restart"/>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联系方式</w:t>
            </w:r>
          </w:p>
        </w:tc>
        <w:tc>
          <w:tcPr>
            <w:tcW w:w="1020" w:type="dxa"/>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联系人</w:t>
            </w:r>
          </w:p>
        </w:tc>
        <w:tc>
          <w:tcPr>
            <w:tcW w:w="2315" w:type="dxa"/>
            <w:gridSpan w:val="2"/>
            <w:vAlign w:val="center"/>
          </w:tcPr>
          <w:p>
            <w:pPr>
              <w:autoSpaceDE w:val="0"/>
              <w:autoSpaceDN w:val="0"/>
              <w:adjustRightInd w:val="0"/>
              <w:ind w:firstLine="0" w:firstLineChars="0"/>
              <w:jc w:val="center"/>
              <w:rPr>
                <w:rFonts w:ascii="宋体" w:hAnsi="宋体"/>
                <w:color w:val="auto"/>
                <w:kern w:val="0"/>
                <w:szCs w:val="24"/>
                <w:highlight w:val="none"/>
              </w:rPr>
            </w:pPr>
          </w:p>
        </w:tc>
        <w:tc>
          <w:tcPr>
            <w:tcW w:w="1326" w:type="dxa"/>
            <w:gridSpan w:val="2"/>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电话</w:t>
            </w:r>
          </w:p>
        </w:tc>
        <w:tc>
          <w:tcPr>
            <w:tcW w:w="2239" w:type="dxa"/>
            <w:gridSpan w:val="3"/>
            <w:vAlign w:val="center"/>
          </w:tcPr>
          <w:p>
            <w:pPr>
              <w:autoSpaceDE w:val="0"/>
              <w:autoSpaceDN w:val="0"/>
              <w:adjustRightInd w:val="0"/>
              <w:ind w:firstLine="0" w:firstLineChars="0"/>
              <w:jc w:val="center"/>
              <w:rPr>
                <w:rFonts w:ascii="宋体" w:hAnsi="宋体"/>
                <w:color w:val="auto"/>
                <w:kern w:val="0"/>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725" w:type="dxa"/>
            <w:vMerge w:val="continue"/>
            <w:vAlign w:val="center"/>
          </w:tcPr>
          <w:p>
            <w:pPr>
              <w:autoSpaceDE w:val="0"/>
              <w:autoSpaceDN w:val="0"/>
              <w:adjustRightInd w:val="0"/>
              <w:ind w:firstLine="0" w:firstLineChars="0"/>
              <w:jc w:val="center"/>
              <w:rPr>
                <w:rFonts w:ascii="宋体" w:hAnsi="宋体"/>
                <w:color w:val="auto"/>
                <w:kern w:val="0"/>
                <w:szCs w:val="24"/>
                <w:highlight w:val="none"/>
              </w:rPr>
            </w:pPr>
          </w:p>
        </w:tc>
        <w:tc>
          <w:tcPr>
            <w:tcW w:w="1020" w:type="dxa"/>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传真</w:t>
            </w:r>
          </w:p>
        </w:tc>
        <w:tc>
          <w:tcPr>
            <w:tcW w:w="2315" w:type="dxa"/>
            <w:gridSpan w:val="2"/>
            <w:vAlign w:val="center"/>
          </w:tcPr>
          <w:p>
            <w:pPr>
              <w:autoSpaceDE w:val="0"/>
              <w:autoSpaceDN w:val="0"/>
              <w:adjustRightInd w:val="0"/>
              <w:ind w:firstLine="0" w:firstLineChars="0"/>
              <w:jc w:val="center"/>
              <w:rPr>
                <w:rFonts w:ascii="宋体" w:hAnsi="宋体"/>
                <w:color w:val="auto"/>
                <w:kern w:val="0"/>
                <w:szCs w:val="24"/>
                <w:highlight w:val="none"/>
              </w:rPr>
            </w:pPr>
          </w:p>
        </w:tc>
        <w:tc>
          <w:tcPr>
            <w:tcW w:w="1326" w:type="dxa"/>
            <w:gridSpan w:val="2"/>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网址</w:t>
            </w:r>
          </w:p>
        </w:tc>
        <w:tc>
          <w:tcPr>
            <w:tcW w:w="2239" w:type="dxa"/>
            <w:gridSpan w:val="3"/>
            <w:vAlign w:val="center"/>
          </w:tcPr>
          <w:p>
            <w:pPr>
              <w:autoSpaceDE w:val="0"/>
              <w:autoSpaceDN w:val="0"/>
              <w:adjustRightInd w:val="0"/>
              <w:ind w:firstLine="0" w:firstLineChars="0"/>
              <w:jc w:val="center"/>
              <w:rPr>
                <w:rFonts w:ascii="宋体" w:hAnsi="宋体"/>
                <w:color w:val="auto"/>
                <w:kern w:val="0"/>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25" w:type="dxa"/>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单位性质</w:t>
            </w:r>
          </w:p>
        </w:tc>
        <w:tc>
          <w:tcPr>
            <w:tcW w:w="6900" w:type="dxa"/>
            <w:gridSpan w:val="8"/>
            <w:vAlign w:val="center"/>
          </w:tcPr>
          <w:p>
            <w:pPr>
              <w:autoSpaceDE w:val="0"/>
              <w:autoSpaceDN w:val="0"/>
              <w:adjustRightInd w:val="0"/>
              <w:ind w:firstLine="0" w:firstLineChars="0"/>
              <w:jc w:val="center"/>
              <w:rPr>
                <w:rFonts w:ascii="宋体" w:hAnsi="宋体"/>
                <w:color w:val="auto"/>
                <w:kern w:val="0"/>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725" w:type="dxa"/>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法定代表人</w:t>
            </w:r>
          </w:p>
        </w:tc>
        <w:tc>
          <w:tcPr>
            <w:tcW w:w="1020" w:type="dxa"/>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姓名</w:t>
            </w:r>
          </w:p>
        </w:tc>
        <w:tc>
          <w:tcPr>
            <w:tcW w:w="1067" w:type="dxa"/>
            <w:vAlign w:val="center"/>
          </w:tcPr>
          <w:p>
            <w:pPr>
              <w:autoSpaceDE w:val="0"/>
              <w:autoSpaceDN w:val="0"/>
              <w:adjustRightInd w:val="0"/>
              <w:ind w:firstLine="0" w:firstLineChars="0"/>
              <w:jc w:val="center"/>
              <w:rPr>
                <w:rFonts w:ascii="宋体" w:hAnsi="宋体"/>
                <w:color w:val="auto"/>
                <w:kern w:val="0"/>
                <w:szCs w:val="24"/>
                <w:highlight w:val="none"/>
              </w:rPr>
            </w:pPr>
          </w:p>
        </w:tc>
        <w:tc>
          <w:tcPr>
            <w:tcW w:w="1248" w:type="dxa"/>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技术职称</w:t>
            </w:r>
          </w:p>
        </w:tc>
        <w:tc>
          <w:tcPr>
            <w:tcW w:w="1326" w:type="dxa"/>
            <w:gridSpan w:val="2"/>
            <w:vAlign w:val="center"/>
          </w:tcPr>
          <w:p>
            <w:pPr>
              <w:autoSpaceDE w:val="0"/>
              <w:autoSpaceDN w:val="0"/>
              <w:adjustRightInd w:val="0"/>
              <w:ind w:firstLine="0" w:firstLineChars="0"/>
              <w:jc w:val="center"/>
              <w:rPr>
                <w:rFonts w:ascii="宋体" w:hAnsi="宋体"/>
                <w:color w:val="auto"/>
                <w:kern w:val="0"/>
                <w:szCs w:val="24"/>
                <w:highlight w:val="none"/>
              </w:rPr>
            </w:pPr>
          </w:p>
        </w:tc>
        <w:tc>
          <w:tcPr>
            <w:tcW w:w="1172" w:type="dxa"/>
            <w:gridSpan w:val="2"/>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电话</w:t>
            </w:r>
          </w:p>
        </w:tc>
        <w:tc>
          <w:tcPr>
            <w:tcW w:w="1067" w:type="dxa"/>
            <w:vAlign w:val="center"/>
          </w:tcPr>
          <w:p>
            <w:pPr>
              <w:autoSpaceDE w:val="0"/>
              <w:autoSpaceDN w:val="0"/>
              <w:adjustRightInd w:val="0"/>
              <w:ind w:firstLine="0" w:firstLineChars="0"/>
              <w:jc w:val="center"/>
              <w:rPr>
                <w:rFonts w:ascii="宋体" w:hAnsi="宋体"/>
                <w:bCs/>
                <w:color w:val="auto"/>
                <w:kern w:val="0"/>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 w:hRule="atLeast"/>
        </w:trPr>
        <w:tc>
          <w:tcPr>
            <w:tcW w:w="1725" w:type="dxa"/>
            <w:tcBorders>
              <w:bottom w:val="single" w:color="auto" w:sz="4" w:space="0"/>
            </w:tcBorders>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技术负责人</w:t>
            </w:r>
          </w:p>
        </w:tc>
        <w:tc>
          <w:tcPr>
            <w:tcW w:w="1020" w:type="dxa"/>
            <w:tcBorders>
              <w:bottom w:val="single" w:color="auto" w:sz="4" w:space="0"/>
            </w:tcBorders>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姓名</w:t>
            </w:r>
          </w:p>
        </w:tc>
        <w:tc>
          <w:tcPr>
            <w:tcW w:w="1067" w:type="dxa"/>
            <w:tcBorders>
              <w:bottom w:val="single" w:color="auto" w:sz="4" w:space="0"/>
            </w:tcBorders>
            <w:vAlign w:val="center"/>
          </w:tcPr>
          <w:p>
            <w:pPr>
              <w:autoSpaceDE w:val="0"/>
              <w:autoSpaceDN w:val="0"/>
              <w:adjustRightInd w:val="0"/>
              <w:ind w:firstLine="0" w:firstLineChars="0"/>
              <w:jc w:val="center"/>
              <w:rPr>
                <w:rFonts w:ascii="宋体" w:hAnsi="宋体"/>
                <w:color w:val="auto"/>
                <w:kern w:val="0"/>
                <w:szCs w:val="24"/>
                <w:highlight w:val="none"/>
              </w:rPr>
            </w:pPr>
          </w:p>
        </w:tc>
        <w:tc>
          <w:tcPr>
            <w:tcW w:w="1248" w:type="dxa"/>
            <w:tcBorders>
              <w:bottom w:val="single" w:color="auto" w:sz="4" w:space="0"/>
            </w:tcBorders>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技术职称</w:t>
            </w:r>
          </w:p>
        </w:tc>
        <w:tc>
          <w:tcPr>
            <w:tcW w:w="1326" w:type="dxa"/>
            <w:gridSpan w:val="2"/>
            <w:tcBorders>
              <w:bottom w:val="single" w:color="auto" w:sz="4" w:space="0"/>
            </w:tcBorders>
            <w:vAlign w:val="center"/>
          </w:tcPr>
          <w:p>
            <w:pPr>
              <w:autoSpaceDE w:val="0"/>
              <w:autoSpaceDN w:val="0"/>
              <w:adjustRightInd w:val="0"/>
              <w:ind w:firstLine="0" w:firstLineChars="0"/>
              <w:jc w:val="center"/>
              <w:rPr>
                <w:rFonts w:ascii="宋体" w:hAnsi="宋体"/>
                <w:color w:val="auto"/>
                <w:kern w:val="0"/>
                <w:szCs w:val="24"/>
                <w:highlight w:val="none"/>
              </w:rPr>
            </w:pPr>
          </w:p>
        </w:tc>
        <w:tc>
          <w:tcPr>
            <w:tcW w:w="1172" w:type="dxa"/>
            <w:gridSpan w:val="2"/>
            <w:tcBorders>
              <w:bottom w:val="single" w:color="auto" w:sz="4" w:space="0"/>
            </w:tcBorders>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电话</w:t>
            </w:r>
          </w:p>
        </w:tc>
        <w:tc>
          <w:tcPr>
            <w:tcW w:w="1067" w:type="dxa"/>
            <w:tcBorders>
              <w:bottom w:val="single" w:color="auto" w:sz="4" w:space="0"/>
            </w:tcBorders>
            <w:vAlign w:val="center"/>
          </w:tcPr>
          <w:p>
            <w:pPr>
              <w:autoSpaceDE w:val="0"/>
              <w:autoSpaceDN w:val="0"/>
              <w:adjustRightInd w:val="0"/>
              <w:ind w:firstLine="0" w:firstLineChars="0"/>
              <w:jc w:val="center"/>
              <w:rPr>
                <w:rFonts w:ascii="宋体" w:hAnsi="宋体"/>
                <w:bCs/>
                <w:color w:val="auto"/>
                <w:kern w:val="0"/>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1725" w:type="dxa"/>
            <w:tcBorders>
              <w:top w:val="single" w:color="auto" w:sz="4" w:space="0"/>
            </w:tcBorders>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财务负责人</w:t>
            </w:r>
          </w:p>
        </w:tc>
        <w:tc>
          <w:tcPr>
            <w:tcW w:w="1020" w:type="dxa"/>
            <w:tcBorders>
              <w:top w:val="single" w:color="auto" w:sz="4" w:space="0"/>
            </w:tcBorders>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姓名</w:t>
            </w:r>
          </w:p>
        </w:tc>
        <w:tc>
          <w:tcPr>
            <w:tcW w:w="1067" w:type="dxa"/>
            <w:tcBorders>
              <w:top w:val="single" w:color="auto" w:sz="4" w:space="0"/>
            </w:tcBorders>
            <w:vAlign w:val="center"/>
          </w:tcPr>
          <w:p>
            <w:pPr>
              <w:autoSpaceDE w:val="0"/>
              <w:autoSpaceDN w:val="0"/>
              <w:adjustRightInd w:val="0"/>
              <w:ind w:firstLine="0" w:firstLineChars="0"/>
              <w:jc w:val="center"/>
              <w:rPr>
                <w:rFonts w:ascii="宋体" w:hAnsi="宋体"/>
                <w:color w:val="auto"/>
                <w:kern w:val="0"/>
                <w:szCs w:val="24"/>
                <w:highlight w:val="none"/>
              </w:rPr>
            </w:pPr>
          </w:p>
        </w:tc>
        <w:tc>
          <w:tcPr>
            <w:tcW w:w="1248" w:type="dxa"/>
            <w:tcBorders>
              <w:top w:val="single" w:color="auto" w:sz="4" w:space="0"/>
            </w:tcBorders>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技术职称</w:t>
            </w:r>
          </w:p>
        </w:tc>
        <w:tc>
          <w:tcPr>
            <w:tcW w:w="1326" w:type="dxa"/>
            <w:gridSpan w:val="2"/>
            <w:tcBorders>
              <w:top w:val="single" w:color="auto" w:sz="4" w:space="0"/>
            </w:tcBorders>
            <w:vAlign w:val="center"/>
          </w:tcPr>
          <w:p>
            <w:pPr>
              <w:autoSpaceDE w:val="0"/>
              <w:autoSpaceDN w:val="0"/>
              <w:adjustRightInd w:val="0"/>
              <w:ind w:firstLine="0" w:firstLineChars="0"/>
              <w:jc w:val="center"/>
              <w:rPr>
                <w:rFonts w:ascii="宋体" w:hAnsi="宋体"/>
                <w:color w:val="auto"/>
                <w:kern w:val="0"/>
                <w:szCs w:val="24"/>
                <w:highlight w:val="none"/>
              </w:rPr>
            </w:pPr>
          </w:p>
        </w:tc>
        <w:tc>
          <w:tcPr>
            <w:tcW w:w="1172" w:type="dxa"/>
            <w:gridSpan w:val="2"/>
            <w:tcBorders>
              <w:top w:val="single" w:color="auto" w:sz="4" w:space="0"/>
            </w:tcBorders>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电话</w:t>
            </w:r>
          </w:p>
        </w:tc>
        <w:tc>
          <w:tcPr>
            <w:tcW w:w="1067" w:type="dxa"/>
            <w:tcBorders>
              <w:top w:val="single" w:color="auto" w:sz="4" w:space="0"/>
            </w:tcBorders>
            <w:vAlign w:val="center"/>
          </w:tcPr>
          <w:p>
            <w:pPr>
              <w:autoSpaceDE w:val="0"/>
              <w:autoSpaceDN w:val="0"/>
              <w:adjustRightInd w:val="0"/>
              <w:ind w:firstLine="0" w:firstLineChars="0"/>
              <w:jc w:val="center"/>
              <w:rPr>
                <w:rFonts w:ascii="宋体" w:hAnsi="宋体"/>
                <w:bCs/>
                <w:color w:val="auto"/>
                <w:kern w:val="0"/>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25" w:type="dxa"/>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成立时间</w:t>
            </w:r>
          </w:p>
        </w:tc>
        <w:tc>
          <w:tcPr>
            <w:tcW w:w="2087" w:type="dxa"/>
            <w:gridSpan w:val="2"/>
            <w:vAlign w:val="center"/>
          </w:tcPr>
          <w:p>
            <w:pPr>
              <w:autoSpaceDE w:val="0"/>
              <w:autoSpaceDN w:val="0"/>
              <w:adjustRightInd w:val="0"/>
              <w:ind w:firstLine="0" w:firstLineChars="0"/>
              <w:jc w:val="center"/>
              <w:rPr>
                <w:rFonts w:ascii="宋体" w:hAnsi="宋体"/>
                <w:color w:val="auto"/>
                <w:kern w:val="0"/>
                <w:szCs w:val="24"/>
                <w:highlight w:val="none"/>
              </w:rPr>
            </w:pPr>
          </w:p>
        </w:tc>
        <w:tc>
          <w:tcPr>
            <w:tcW w:w="4813" w:type="dxa"/>
            <w:gridSpan w:val="6"/>
            <w:vAlign w:val="center"/>
          </w:tcPr>
          <w:p>
            <w:pPr>
              <w:autoSpaceDE w:val="0"/>
              <w:autoSpaceDN w:val="0"/>
              <w:adjustRightInd w:val="0"/>
              <w:ind w:firstLine="0" w:firstLineChars="0"/>
              <w:rPr>
                <w:rFonts w:ascii="宋体" w:hAnsi="宋体"/>
                <w:color w:val="auto"/>
                <w:kern w:val="0"/>
                <w:szCs w:val="24"/>
                <w:highlight w:val="none"/>
              </w:rPr>
            </w:pPr>
            <w:r>
              <w:rPr>
                <w:rFonts w:hint="eastAsia" w:ascii="宋体" w:hAnsi="宋体"/>
                <w:color w:val="auto"/>
                <w:kern w:val="0"/>
                <w:szCs w:val="24"/>
                <w:highlight w:val="none"/>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25" w:type="dxa"/>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企业资质等级</w:t>
            </w:r>
          </w:p>
        </w:tc>
        <w:tc>
          <w:tcPr>
            <w:tcW w:w="2087" w:type="dxa"/>
            <w:gridSpan w:val="2"/>
            <w:vAlign w:val="center"/>
          </w:tcPr>
          <w:p>
            <w:pPr>
              <w:autoSpaceDE w:val="0"/>
              <w:autoSpaceDN w:val="0"/>
              <w:adjustRightInd w:val="0"/>
              <w:ind w:firstLine="0" w:firstLineChars="0"/>
              <w:jc w:val="center"/>
              <w:rPr>
                <w:rFonts w:ascii="宋体" w:hAnsi="宋体"/>
                <w:color w:val="auto"/>
                <w:kern w:val="0"/>
                <w:szCs w:val="24"/>
                <w:highlight w:val="none"/>
              </w:rPr>
            </w:pPr>
          </w:p>
        </w:tc>
        <w:tc>
          <w:tcPr>
            <w:tcW w:w="1248" w:type="dxa"/>
            <w:vMerge w:val="restart"/>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其中</w:t>
            </w:r>
          </w:p>
        </w:tc>
        <w:tc>
          <w:tcPr>
            <w:tcW w:w="1705" w:type="dxa"/>
            <w:gridSpan w:val="3"/>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项目经理</w:t>
            </w:r>
          </w:p>
        </w:tc>
        <w:tc>
          <w:tcPr>
            <w:tcW w:w="1860" w:type="dxa"/>
            <w:gridSpan w:val="2"/>
            <w:vAlign w:val="center"/>
          </w:tcPr>
          <w:p>
            <w:pPr>
              <w:autoSpaceDE w:val="0"/>
              <w:autoSpaceDN w:val="0"/>
              <w:adjustRightInd w:val="0"/>
              <w:ind w:firstLine="0" w:firstLineChars="0"/>
              <w:jc w:val="center"/>
              <w:rPr>
                <w:rFonts w:ascii="宋体" w:hAnsi="宋体"/>
                <w:bCs/>
                <w:color w:val="auto"/>
                <w:kern w:val="0"/>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25" w:type="dxa"/>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营业执照号</w:t>
            </w:r>
          </w:p>
        </w:tc>
        <w:tc>
          <w:tcPr>
            <w:tcW w:w="2087" w:type="dxa"/>
            <w:gridSpan w:val="2"/>
            <w:vAlign w:val="center"/>
          </w:tcPr>
          <w:p>
            <w:pPr>
              <w:autoSpaceDE w:val="0"/>
              <w:autoSpaceDN w:val="0"/>
              <w:adjustRightInd w:val="0"/>
              <w:ind w:firstLine="0" w:firstLineChars="0"/>
              <w:jc w:val="center"/>
              <w:rPr>
                <w:rFonts w:ascii="宋体" w:hAnsi="宋体"/>
                <w:color w:val="auto"/>
                <w:kern w:val="0"/>
                <w:szCs w:val="24"/>
                <w:highlight w:val="none"/>
              </w:rPr>
            </w:pPr>
          </w:p>
        </w:tc>
        <w:tc>
          <w:tcPr>
            <w:tcW w:w="1248" w:type="dxa"/>
            <w:vMerge w:val="continue"/>
            <w:vAlign w:val="center"/>
          </w:tcPr>
          <w:p>
            <w:pPr>
              <w:autoSpaceDE w:val="0"/>
              <w:autoSpaceDN w:val="0"/>
              <w:adjustRightInd w:val="0"/>
              <w:ind w:firstLine="0" w:firstLineChars="0"/>
              <w:jc w:val="center"/>
              <w:rPr>
                <w:rFonts w:ascii="宋体" w:hAnsi="宋体"/>
                <w:color w:val="auto"/>
                <w:kern w:val="0"/>
                <w:szCs w:val="24"/>
                <w:highlight w:val="none"/>
              </w:rPr>
            </w:pPr>
          </w:p>
        </w:tc>
        <w:tc>
          <w:tcPr>
            <w:tcW w:w="1705" w:type="dxa"/>
            <w:gridSpan w:val="3"/>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高级职称人员</w:t>
            </w:r>
          </w:p>
        </w:tc>
        <w:tc>
          <w:tcPr>
            <w:tcW w:w="1860" w:type="dxa"/>
            <w:gridSpan w:val="2"/>
            <w:vAlign w:val="center"/>
          </w:tcPr>
          <w:p>
            <w:pPr>
              <w:autoSpaceDE w:val="0"/>
              <w:autoSpaceDN w:val="0"/>
              <w:adjustRightInd w:val="0"/>
              <w:ind w:firstLine="0" w:firstLineChars="0"/>
              <w:jc w:val="center"/>
              <w:rPr>
                <w:rFonts w:ascii="宋体" w:hAnsi="宋体"/>
                <w:bCs/>
                <w:color w:val="auto"/>
                <w:kern w:val="0"/>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25" w:type="dxa"/>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注册资金</w:t>
            </w:r>
          </w:p>
        </w:tc>
        <w:tc>
          <w:tcPr>
            <w:tcW w:w="2087" w:type="dxa"/>
            <w:gridSpan w:val="2"/>
            <w:vAlign w:val="center"/>
          </w:tcPr>
          <w:p>
            <w:pPr>
              <w:autoSpaceDE w:val="0"/>
              <w:autoSpaceDN w:val="0"/>
              <w:adjustRightInd w:val="0"/>
              <w:ind w:firstLine="0" w:firstLineChars="0"/>
              <w:jc w:val="center"/>
              <w:rPr>
                <w:rFonts w:ascii="宋体" w:hAnsi="宋体"/>
                <w:color w:val="auto"/>
                <w:kern w:val="0"/>
                <w:szCs w:val="24"/>
                <w:highlight w:val="none"/>
              </w:rPr>
            </w:pPr>
          </w:p>
        </w:tc>
        <w:tc>
          <w:tcPr>
            <w:tcW w:w="1248" w:type="dxa"/>
            <w:vMerge w:val="continue"/>
            <w:vAlign w:val="center"/>
          </w:tcPr>
          <w:p>
            <w:pPr>
              <w:autoSpaceDE w:val="0"/>
              <w:autoSpaceDN w:val="0"/>
              <w:adjustRightInd w:val="0"/>
              <w:ind w:firstLine="0" w:firstLineChars="0"/>
              <w:jc w:val="center"/>
              <w:rPr>
                <w:rFonts w:ascii="宋体" w:hAnsi="宋体"/>
                <w:color w:val="auto"/>
                <w:kern w:val="0"/>
                <w:szCs w:val="24"/>
                <w:highlight w:val="none"/>
              </w:rPr>
            </w:pPr>
          </w:p>
        </w:tc>
        <w:tc>
          <w:tcPr>
            <w:tcW w:w="1705" w:type="dxa"/>
            <w:gridSpan w:val="3"/>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中级职称人员</w:t>
            </w:r>
          </w:p>
        </w:tc>
        <w:tc>
          <w:tcPr>
            <w:tcW w:w="1860" w:type="dxa"/>
            <w:gridSpan w:val="2"/>
            <w:vAlign w:val="center"/>
          </w:tcPr>
          <w:p>
            <w:pPr>
              <w:autoSpaceDE w:val="0"/>
              <w:autoSpaceDN w:val="0"/>
              <w:adjustRightInd w:val="0"/>
              <w:ind w:firstLine="0" w:firstLineChars="0"/>
              <w:jc w:val="center"/>
              <w:rPr>
                <w:rFonts w:ascii="宋体" w:hAnsi="宋体"/>
                <w:bCs/>
                <w:color w:val="auto"/>
                <w:kern w:val="0"/>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25" w:type="dxa"/>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开户银行</w:t>
            </w:r>
          </w:p>
        </w:tc>
        <w:tc>
          <w:tcPr>
            <w:tcW w:w="2087" w:type="dxa"/>
            <w:gridSpan w:val="2"/>
            <w:vAlign w:val="center"/>
          </w:tcPr>
          <w:p>
            <w:pPr>
              <w:autoSpaceDE w:val="0"/>
              <w:autoSpaceDN w:val="0"/>
              <w:adjustRightInd w:val="0"/>
              <w:ind w:firstLine="0" w:firstLineChars="0"/>
              <w:jc w:val="center"/>
              <w:rPr>
                <w:rFonts w:ascii="宋体" w:hAnsi="宋体"/>
                <w:color w:val="auto"/>
                <w:kern w:val="0"/>
                <w:szCs w:val="24"/>
                <w:highlight w:val="none"/>
              </w:rPr>
            </w:pPr>
          </w:p>
        </w:tc>
        <w:tc>
          <w:tcPr>
            <w:tcW w:w="1248" w:type="dxa"/>
            <w:vMerge w:val="continue"/>
            <w:vAlign w:val="center"/>
          </w:tcPr>
          <w:p>
            <w:pPr>
              <w:autoSpaceDE w:val="0"/>
              <w:autoSpaceDN w:val="0"/>
              <w:adjustRightInd w:val="0"/>
              <w:ind w:firstLine="0" w:firstLineChars="0"/>
              <w:jc w:val="center"/>
              <w:rPr>
                <w:rFonts w:ascii="宋体" w:hAnsi="宋体"/>
                <w:color w:val="auto"/>
                <w:kern w:val="0"/>
                <w:szCs w:val="24"/>
                <w:highlight w:val="none"/>
              </w:rPr>
            </w:pPr>
          </w:p>
        </w:tc>
        <w:tc>
          <w:tcPr>
            <w:tcW w:w="1705" w:type="dxa"/>
            <w:gridSpan w:val="3"/>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初级职称人员</w:t>
            </w:r>
          </w:p>
        </w:tc>
        <w:tc>
          <w:tcPr>
            <w:tcW w:w="1860" w:type="dxa"/>
            <w:gridSpan w:val="2"/>
            <w:vAlign w:val="center"/>
          </w:tcPr>
          <w:p>
            <w:pPr>
              <w:autoSpaceDE w:val="0"/>
              <w:autoSpaceDN w:val="0"/>
              <w:adjustRightInd w:val="0"/>
              <w:ind w:firstLine="0" w:firstLineChars="0"/>
              <w:jc w:val="center"/>
              <w:rPr>
                <w:rFonts w:ascii="宋体" w:hAnsi="宋体"/>
                <w:bCs/>
                <w:color w:val="auto"/>
                <w:kern w:val="0"/>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25" w:type="dxa"/>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账号</w:t>
            </w:r>
          </w:p>
        </w:tc>
        <w:tc>
          <w:tcPr>
            <w:tcW w:w="2087" w:type="dxa"/>
            <w:gridSpan w:val="2"/>
            <w:vAlign w:val="center"/>
          </w:tcPr>
          <w:p>
            <w:pPr>
              <w:autoSpaceDE w:val="0"/>
              <w:autoSpaceDN w:val="0"/>
              <w:adjustRightInd w:val="0"/>
              <w:ind w:firstLine="0" w:firstLineChars="0"/>
              <w:jc w:val="center"/>
              <w:rPr>
                <w:rFonts w:ascii="宋体" w:hAnsi="宋体"/>
                <w:color w:val="auto"/>
                <w:kern w:val="0"/>
                <w:szCs w:val="24"/>
                <w:highlight w:val="none"/>
              </w:rPr>
            </w:pPr>
          </w:p>
        </w:tc>
        <w:tc>
          <w:tcPr>
            <w:tcW w:w="1248" w:type="dxa"/>
            <w:vMerge w:val="continue"/>
            <w:vAlign w:val="center"/>
          </w:tcPr>
          <w:p>
            <w:pPr>
              <w:autoSpaceDE w:val="0"/>
              <w:autoSpaceDN w:val="0"/>
              <w:adjustRightInd w:val="0"/>
              <w:ind w:firstLine="0" w:firstLineChars="0"/>
              <w:jc w:val="center"/>
              <w:rPr>
                <w:rFonts w:ascii="宋体" w:hAnsi="宋体"/>
                <w:color w:val="auto"/>
                <w:kern w:val="0"/>
                <w:szCs w:val="24"/>
                <w:highlight w:val="none"/>
              </w:rPr>
            </w:pPr>
          </w:p>
        </w:tc>
        <w:tc>
          <w:tcPr>
            <w:tcW w:w="1705" w:type="dxa"/>
            <w:gridSpan w:val="3"/>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技工</w:t>
            </w:r>
          </w:p>
        </w:tc>
        <w:tc>
          <w:tcPr>
            <w:tcW w:w="1860" w:type="dxa"/>
            <w:gridSpan w:val="2"/>
            <w:vAlign w:val="center"/>
          </w:tcPr>
          <w:p>
            <w:pPr>
              <w:autoSpaceDE w:val="0"/>
              <w:autoSpaceDN w:val="0"/>
              <w:adjustRightInd w:val="0"/>
              <w:ind w:firstLine="0" w:firstLineChars="0"/>
              <w:jc w:val="center"/>
              <w:rPr>
                <w:rFonts w:ascii="宋体" w:hAnsi="宋体"/>
                <w:bCs/>
                <w:color w:val="auto"/>
                <w:kern w:val="0"/>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725" w:type="dxa"/>
            <w:vAlign w:val="center"/>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经营范围</w:t>
            </w:r>
          </w:p>
        </w:tc>
        <w:tc>
          <w:tcPr>
            <w:tcW w:w="6900" w:type="dxa"/>
            <w:gridSpan w:val="8"/>
            <w:vAlign w:val="center"/>
          </w:tcPr>
          <w:p>
            <w:pPr>
              <w:autoSpaceDE w:val="0"/>
              <w:autoSpaceDN w:val="0"/>
              <w:adjustRightInd w:val="0"/>
              <w:ind w:firstLine="0" w:firstLineChars="0"/>
              <w:rPr>
                <w:rFonts w:ascii="宋体" w:hAnsi="宋体"/>
                <w:bCs/>
                <w:color w:val="auto"/>
                <w:kern w:val="0"/>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725" w:type="dxa"/>
          </w:tcPr>
          <w:p>
            <w:pPr>
              <w:autoSpaceDE w:val="0"/>
              <w:autoSpaceDN w:val="0"/>
              <w:adjustRightInd w:val="0"/>
              <w:ind w:firstLine="0" w:firstLineChars="0"/>
              <w:jc w:val="center"/>
              <w:rPr>
                <w:rFonts w:ascii="宋体" w:hAnsi="宋体"/>
                <w:color w:val="auto"/>
                <w:kern w:val="0"/>
                <w:szCs w:val="24"/>
                <w:highlight w:val="none"/>
              </w:rPr>
            </w:pPr>
            <w:r>
              <w:rPr>
                <w:rFonts w:hint="eastAsia" w:ascii="宋体" w:hAnsi="宋体"/>
                <w:color w:val="auto"/>
                <w:kern w:val="0"/>
                <w:szCs w:val="24"/>
                <w:highlight w:val="none"/>
              </w:rPr>
              <w:t>备注</w:t>
            </w:r>
          </w:p>
        </w:tc>
        <w:tc>
          <w:tcPr>
            <w:tcW w:w="6900" w:type="dxa"/>
            <w:gridSpan w:val="8"/>
          </w:tcPr>
          <w:p>
            <w:pPr>
              <w:autoSpaceDE w:val="0"/>
              <w:autoSpaceDN w:val="0"/>
              <w:adjustRightInd w:val="0"/>
              <w:ind w:firstLine="0" w:firstLineChars="0"/>
              <w:rPr>
                <w:rFonts w:ascii="宋体" w:hAnsi="宋体"/>
                <w:color w:val="auto"/>
                <w:kern w:val="0"/>
                <w:szCs w:val="24"/>
                <w:highlight w:val="none"/>
              </w:rPr>
            </w:pPr>
          </w:p>
        </w:tc>
      </w:tr>
    </w:tbl>
    <w:p>
      <w:pPr>
        <w:adjustRightInd w:val="0"/>
        <w:spacing w:line="400" w:lineRule="exact"/>
        <w:ind w:firstLine="572"/>
        <w:rPr>
          <w:rFonts w:ascii="宋体" w:hAnsi="宋体"/>
          <w:bCs/>
          <w:color w:val="auto"/>
          <w:sz w:val="28"/>
          <w:szCs w:val="28"/>
          <w:highlight w:val="none"/>
        </w:rPr>
      </w:pPr>
    </w:p>
    <w:p>
      <w:pPr>
        <w:pStyle w:val="2"/>
        <w:ind w:firstLine="492"/>
        <w:rPr>
          <w:color w:val="auto"/>
          <w:highlight w:val="none"/>
        </w:rPr>
      </w:pP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投标人名称：</w:t>
      </w:r>
      <w:r>
        <w:rPr>
          <w:rFonts w:hint="eastAsia" w:ascii="宋体" w:hAnsi="宋体"/>
          <w:bCs/>
          <w:color w:val="auto"/>
          <w:szCs w:val="24"/>
          <w:highlight w:val="none"/>
          <w:u w:val="single"/>
        </w:rPr>
        <w:t xml:space="preserve">                       </w:t>
      </w:r>
      <w:r>
        <w:rPr>
          <w:rFonts w:hint="eastAsia" w:ascii="宋体" w:hAnsi="宋体"/>
          <w:bCs/>
          <w:color w:val="auto"/>
          <w:szCs w:val="24"/>
          <w:highlight w:val="none"/>
        </w:rPr>
        <w:t>（加盖单位公章）</w:t>
      </w: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法定代表人或代理人：</w:t>
      </w:r>
      <w:r>
        <w:rPr>
          <w:rFonts w:hint="eastAsia" w:ascii="宋体" w:hAnsi="宋体"/>
          <w:bCs/>
          <w:color w:val="auto"/>
          <w:szCs w:val="24"/>
          <w:highlight w:val="none"/>
          <w:u w:val="single"/>
        </w:rPr>
        <w:t xml:space="preserve">               </w:t>
      </w:r>
      <w:r>
        <w:rPr>
          <w:rFonts w:hint="eastAsia" w:ascii="宋体" w:hAnsi="宋体"/>
          <w:bCs/>
          <w:color w:val="auto"/>
          <w:szCs w:val="24"/>
          <w:highlight w:val="none"/>
        </w:rPr>
        <w:t>（签字）</w:t>
      </w:r>
    </w:p>
    <w:p>
      <w:pPr>
        <w:adjustRightInd w:val="0"/>
        <w:ind w:firstLine="492"/>
        <w:rPr>
          <w:rFonts w:ascii="宋体" w:hAnsi="宋体"/>
          <w:color w:val="auto"/>
          <w:szCs w:val="24"/>
          <w:highlight w:val="none"/>
        </w:rPr>
      </w:pPr>
      <w:r>
        <w:rPr>
          <w:rFonts w:ascii="宋体" w:hAnsi="宋体"/>
          <w:color w:val="auto"/>
          <w:szCs w:val="24"/>
          <w:highlight w:val="none"/>
        </w:rPr>
        <w:t>日期：</w:t>
      </w:r>
      <w:r>
        <w:rPr>
          <w:rFonts w:hint="eastAsia" w:ascii="宋体" w:hAnsi="宋体"/>
          <w:color w:val="auto"/>
          <w:szCs w:val="24"/>
          <w:highlight w:val="none"/>
          <w:u w:val="single"/>
        </w:rPr>
        <w:t xml:space="preserve">      </w:t>
      </w:r>
      <w:r>
        <w:rPr>
          <w:rFonts w:ascii="宋体" w:hAnsi="宋体"/>
          <w:color w:val="auto"/>
          <w:szCs w:val="24"/>
          <w:highlight w:val="none"/>
        </w:rPr>
        <w:t>年</w:t>
      </w:r>
      <w:r>
        <w:rPr>
          <w:rFonts w:hint="eastAsia" w:ascii="宋体" w:hAnsi="宋体"/>
          <w:color w:val="auto"/>
          <w:szCs w:val="24"/>
          <w:highlight w:val="none"/>
          <w:u w:val="single"/>
        </w:rPr>
        <w:t xml:space="preserve">      </w:t>
      </w:r>
      <w:r>
        <w:rPr>
          <w:rFonts w:ascii="宋体" w:hAnsi="宋体"/>
          <w:color w:val="auto"/>
          <w:szCs w:val="24"/>
          <w:highlight w:val="none"/>
        </w:rPr>
        <w:t>月</w:t>
      </w:r>
      <w:r>
        <w:rPr>
          <w:rFonts w:hint="eastAsia" w:ascii="宋体" w:hAnsi="宋体"/>
          <w:color w:val="auto"/>
          <w:szCs w:val="24"/>
          <w:highlight w:val="none"/>
          <w:u w:val="single"/>
        </w:rPr>
        <w:t xml:space="preserve">      </w:t>
      </w:r>
      <w:r>
        <w:rPr>
          <w:rFonts w:ascii="宋体" w:hAnsi="宋体"/>
          <w:color w:val="auto"/>
          <w:szCs w:val="24"/>
          <w:highlight w:val="none"/>
        </w:rPr>
        <w:t>日</w:t>
      </w:r>
    </w:p>
    <w:p>
      <w:pPr>
        <w:pStyle w:val="2"/>
        <w:spacing w:line="360" w:lineRule="auto"/>
        <w:ind w:firstLine="492"/>
        <w:rPr>
          <w:color w:val="auto"/>
          <w:szCs w:val="28"/>
          <w:highlight w:val="none"/>
        </w:rPr>
      </w:pPr>
      <w:r>
        <w:rPr>
          <w:rFonts w:hint="eastAsia"/>
          <w:color w:val="auto"/>
          <w:szCs w:val="24"/>
          <w:highlight w:val="none"/>
        </w:rPr>
        <w:t>注：对于投标人不涉及的项，可不填写。</w:t>
      </w:r>
    </w:p>
    <w:p>
      <w:pPr>
        <w:pStyle w:val="2"/>
        <w:ind w:firstLine="492"/>
        <w:rPr>
          <w:color w:val="auto"/>
          <w:highlight w:val="none"/>
        </w:rPr>
      </w:pPr>
    </w:p>
    <w:bookmarkEnd w:id="251"/>
    <w:bookmarkEnd w:id="252"/>
    <w:bookmarkEnd w:id="253"/>
    <w:p>
      <w:pPr>
        <w:pStyle w:val="5"/>
        <w:ind w:left="322" w:leftChars="0" w:firstLine="494" w:firstLineChars="0"/>
        <w:rPr>
          <w:color w:val="auto"/>
          <w:highlight w:val="none"/>
        </w:rPr>
      </w:pPr>
      <w:bookmarkStart w:id="255" w:name="_Toc17866"/>
      <w:bookmarkStart w:id="256" w:name="_Toc302997928"/>
      <w:bookmarkStart w:id="257" w:name="_Toc263768877"/>
      <w:bookmarkStart w:id="258" w:name="_Toc263753619"/>
      <w:r>
        <w:rPr>
          <w:rFonts w:hint="eastAsia"/>
          <w:color w:val="auto"/>
          <w:highlight w:val="none"/>
        </w:rPr>
        <w:t>商务条款偏离表</w:t>
      </w:r>
      <w:bookmarkEnd w:id="255"/>
    </w:p>
    <w:p>
      <w:pPr>
        <w:ind w:firstLine="494"/>
        <w:rPr>
          <w:rFonts w:ascii="宋体" w:hAnsi="宋体"/>
          <w:b/>
          <w:color w:val="auto"/>
          <w:szCs w:val="24"/>
          <w:highlight w:val="none"/>
        </w:rPr>
      </w:pPr>
      <w:r>
        <w:rPr>
          <w:rFonts w:hint="eastAsia" w:ascii="宋体" w:hAnsi="宋体"/>
          <w:b/>
          <w:color w:val="auto"/>
          <w:szCs w:val="24"/>
          <w:highlight w:val="none"/>
        </w:rPr>
        <w:t>项目名称：</w:t>
      </w:r>
      <w:r>
        <w:rPr>
          <w:rFonts w:hint="eastAsia" w:ascii="宋体" w:hAnsi="宋体"/>
          <w:b/>
          <w:color w:val="auto"/>
          <w:szCs w:val="24"/>
          <w:highlight w:val="none"/>
          <w:u w:val="single"/>
          <w:lang w:eastAsia="zh-CN"/>
        </w:rPr>
        <w:t>成都市龙泉驿区城市绿地建设管理中心零星维护服务采购项目</w:t>
      </w:r>
    </w:p>
    <w:p>
      <w:pPr>
        <w:pStyle w:val="14"/>
        <w:tabs>
          <w:tab w:val="left" w:pos="7560"/>
        </w:tabs>
        <w:spacing w:after="0" w:line="360" w:lineRule="auto"/>
        <w:ind w:firstLine="494"/>
        <w:rPr>
          <w:rFonts w:hint="eastAsia" w:ascii="宋体" w:hAnsi="宋体" w:eastAsia="宋体"/>
          <w:b/>
          <w:color w:val="auto"/>
          <w:szCs w:val="24"/>
          <w:highlight w:val="none"/>
          <w:u w:val="single"/>
          <w:lang w:eastAsia="zh-CN"/>
        </w:rPr>
      </w:pPr>
      <w:r>
        <w:rPr>
          <w:rFonts w:hint="eastAsia" w:ascii="宋体" w:hAnsi="宋体"/>
          <w:b/>
          <w:color w:val="auto"/>
          <w:szCs w:val="24"/>
          <w:highlight w:val="none"/>
          <w:lang w:eastAsia="zh-CN"/>
        </w:rPr>
        <w:t>项目编号</w:t>
      </w:r>
      <w:r>
        <w:rPr>
          <w:rFonts w:hint="eastAsia" w:ascii="宋体" w:hAnsi="宋体"/>
          <w:b/>
          <w:color w:val="auto"/>
          <w:szCs w:val="24"/>
          <w:highlight w:val="none"/>
        </w:rPr>
        <w:t>：</w:t>
      </w:r>
      <w:r>
        <w:rPr>
          <w:rFonts w:hint="eastAsia" w:ascii="宋体" w:hAnsi="宋体"/>
          <w:b/>
          <w:color w:val="auto"/>
          <w:szCs w:val="24"/>
          <w:highlight w:val="none"/>
          <w:u w:val="single"/>
          <w:lang w:eastAsia="zh-CN"/>
        </w:rPr>
        <w:t>510112202100104</w:t>
      </w:r>
    </w:p>
    <w:p>
      <w:pPr>
        <w:pStyle w:val="14"/>
        <w:tabs>
          <w:tab w:val="left" w:pos="7560"/>
        </w:tabs>
        <w:spacing w:after="0" w:line="360" w:lineRule="auto"/>
        <w:ind w:firstLine="494"/>
        <w:rPr>
          <w:rFonts w:ascii="宋体" w:hAnsi="宋体"/>
          <w:b/>
          <w:color w:val="auto"/>
          <w:szCs w:val="24"/>
          <w:highlight w:val="none"/>
          <w:u w:val="single"/>
        </w:rPr>
      </w:pPr>
      <w:r>
        <w:rPr>
          <w:rFonts w:hint="eastAsia" w:ascii="宋体" w:hAnsi="宋体"/>
          <w:b/>
          <w:color w:val="auto"/>
          <w:szCs w:val="24"/>
          <w:highlight w:val="none"/>
        </w:rPr>
        <w:t>包 件 号：</w:t>
      </w:r>
      <w:r>
        <w:rPr>
          <w:rFonts w:hint="eastAsia" w:ascii="宋体" w:hAnsi="宋体"/>
          <w:b/>
          <w:color w:val="auto"/>
          <w:szCs w:val="24"/>
          <w:highlight w:val="none"/>
          <w:u w:val="single"/>
        </w:rPr>
        <w:t xml:space="preserve"> </w:t>
      </w:r>
      <w:r>
        <w:rPr>
          <w:rFonts w:hint="eastAsia" w:ascii="宋体" w:hAnsi="宋体"/>
          <w:b/>
          <w:color w:val="auto"/>
          <w:sz w:val="28"/>
          <w:szCs w:val="28"/>
          <w:highlight w:val="none"/>
          <w:u w:val="single"/>
        </w:rPr>
        <w:t xml:space="preserve">  </w:t>
      </w:r>
    </w:p>
    <w:tbl>
      <w:tblPr>
        <w:tblStyle w:val="43"/>
        <w:tblW w:w="86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5"/>
        <w:gridCol w:w="2589"/>
        <w:gridCol w:w="2514"/>
        <w:gridCol w:w="12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2" w:hRule="exact"/>
          <w:jc w:val="center"/>
        </w:trPr>
        <w:tc>
          <w:tcPr>
            <w:tcW w:w="993" w:type="dxa"/>
            <w:tcBorders>
              <w:top w:val="single" w:color="auto" w:sz="8" w:space="0"/>
              <w:left w:val="single" w:color="auto" w:sz="8"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b/>
                <w:color w:val="auto"/>
                <w:szCs w:val="24"/>
                <w:highlight w:val="none"/>
              </w:rPr>
              <w:t xml:space="preserve"> </w:t>
            </w:r>
            <w:r>
              <w:rPr>
                <w:rFonts w:hint="eastAsia" w:ascii="宋体" w:hAnsi="宋体"/>
                <w:color w:val="auto"/>
                <w:szCs w:val="24"/>
                <w:highlight w:val="none"/>
              </w:rPr>
              <w:t>序号</w:t>
            </w:r>
          </w:p>
        </w:tc>
        <w:tc>
          <w:tcPr>
            <w:tcW w:w="1275" w:type="dxa"/>
            <w:tcBorders>
              <w:top w:val="single" w:color="auto" w:sz="8"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招标文件条目号</w:t>
            </w:r>
          </w:p>
        </w:tc>
        <w:tc>
          <w:tcPr>
            <w:tcW w:w="2589" w:type="dxa"/>
            <w:tcBorders>
              <w:top w:val="single" w:color="auto" w:sz="8"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招标文件的商务条款</w:t>
            </w:r>
          </w:p>
        </w:tc>
        <w:tc>
          <w:tcPr>
            <w:tcW w:w="2514" w:type="dxa"/>
            <w:tcBorders>
              <w:top w:val="single" w:color="auto" w:sz="8"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投标文件的商务条款</w:t>
            </w:r>
          </w:p>
        </w:tc>
        <w:tc>
          <w:tcPr>
            <w:tcW w:w="1276" w:type="dxa"/>
            <w:tcBorders>
              <w:top w:val="single" w:color="auto" w:sz="8" w:space="0"/>
              <w:left w:val="single" w:color="auto" w:sz="4" w:space="0"/>
              <w:bottom w:val="single" w:color="auto" w:sz="4" w:space="0"/>
              <w:right w:val="single" w:color="auto" w:sz="8"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0" w:hRule="exact"/>
          <w:jc w:val="center"/>
        </w:trPr>
        <w:tc>
          <w:tcPr>
            <w:tcW w:w="993" w:type="dxa"/>
            <w:tcBorders>
              <w:top w:val="single" w:color="auto" w:sz="4" w:space="0"/>
              <w:left w:val="single" w:color="auto" w:sz="8" w:space="0"/>
              <w:bottom w:val="single" w:color="auto" w:sz="4" w:space="0"/>
              <w:right w:val="single" w:color="auto" w:sz="4" w:space="0"/>
            </w:tcBorders>
          </w:tcPr>
          <w:p>
            <w:pPr>
              <w:ind w:firstLine="0" w:firstLineChars="0"/>
              <w:rPr>
                <w:rFonts w:ascii="宋体" w:hAnsi="宋体"/>
                <w:color w:val="auto"/>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89"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1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1276" w:type="dxa"/>
            <w:tcBorders>
              <w:top w:val="single" w:color="auto" w:sz="4" w:space="0"/>
              <w:left w:val="single" w:color="auto" w:sz="4" w:space="0"/>
              <w:bottom w:val="single" w:color="auto" w:sz="4" w:space="0"/>
              <w:right w:val="single" w:color="auto" w:sz="8" w:space="0"/>
            </w:tcBorders>
          </w:tcPr>
          <w:p>
            <w:pPr>
              <w:ind w:firstLine="0" w:firstLineChars="0"/>
              <w:rPr>
                <w:rFonts w:ascii="宋体" w:hAnsi="宋体"/>
                <w:color w:val="auto"/>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993" w:type="dxa"/>
            <w:tcBorders>
              <w:top w:val="single" w:color="auto" w:sz="4" w:space="0"/>
              <w:left w:val="single" w:color="auto" w:sz="8" w:space="0"/>
              <w:bottom w:val="single" w:color="auto" w:sz="4" w:space="0"/>
              <w:right w:val="single" w:color="auto" w:sz="4" w:space="0"/>
            </w:tcBorders>
          </w:tcPr>
          <w:p>
            <w:pPr>
              <w:ind w:firstLine="0" w:firstLineChars="0"/>
              <w:rPr>
                <w:rFonts w:ascii="宋体" w:hAnsi="宋体"/>
                <w:color w:val="auto"/>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89"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1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1276" w:type="dxa"/>
            <w:tcBorders>
              <w:top w:val="single" w:color="auto" w:sz="4" w:space="0"/>
              <w:left w:val="single" w:color="auto" w:sz="4" w:space="0"/>
              <w:bottom w:val="single" w:color="auto" w:sz="4" w:space="0"/>
              <w:right w:val="single" w:color="auto" w:sz="8" w:space="0"/>
            </w:tcBorders>
          </w:tcPr>
          <w:p>
            <w:pPr>
              <w:ind w:firstLine="0" w:firstLineChars="0"/>
              <w:rPr>
                <w:rFonts w:ascii="宋体" w:hAnsi="宋体"/>
                <w:color w:val="auto"/>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0" w:hRule="exact"/>
          <w:jc w:val="center"/>
        </w:trPr>
        <w:tc>
          <w:tcPr>
            <w:tcW w:w="993" w:type="dxa"/>
            <w:tcBorders>
              <w:top w:val="single" w:color="auto" w:sz="4" w:space="0"/>
              <w:left w:val="single" w:color="auto" w:sz="8" w:space="0"/>
              <w:bottom w:val="single" w:color="auto" w:sz="4" w:space="0"/>
              <w:right w:val="single" w:color="auto" w:sz="4" w:space="0"/>
            </w:tcBorders>
          </w:tcPr>
          <w:p>
            <w:pPr>
              <w:ind w:firstLine="0" w:firstLineChars="0"/>
              <w:rPr>
                <w:rFonts w:ascii="宋体" w:hAnsi="宋体"/>
                <w:color w:val="auto"/>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89"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1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1276" w:type="dxa"/>
            <w:tcBorders>
              <w:top w:val="single" w:color="auto" w:sz="4" w:space="0"/>
              <w:left w:val="single" w:color="auto" w:sz="4" w:space="0"/>
              <w:bottom w:val="single" w:color="auto" w:sz="4" w:space="0"/>
              <w:right w:val="single" w:color="auto" w:sz="8" w:space="0"/>
            </w:tcBorders>
          </w:tcPr>
          <w:p>
            <w:pPr>
              <w:ind w:firstLine="0" w:firstLineChars="0"/>
              <w:rPr>
                <w:rFonts w:ascii="宋体" w:hAnsi="宋体"/>
                <w:color w:val="auto"/>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993" w:type="dxa"/>
            <w:tcBorders>
              <w:top w:val="single" w:color="auto" w:sz="4" w:space="0"/>
              <w:left w:val="single" w:color="auto" w:sz="8" w:space="0"/>
              <w:bottom w:val="single" w:color="auto" w:sz="4" w:space="0"/>
              <w:right w:val="single" w:color="auto" w:sz="4" w:space="0"/>
            </w:tcBorders>
          </w:tcPr>
          <w:p>
            <w:pPr>
              <w:ind w:firstLine="0" w:firstLineChars="0"/>
              <w:rPr>
                <w:rFonts w:ascii="宋体" w:hAnsi="宋体"/>
                <w:color w:val="auto"/>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89"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1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1276" w:type="dxa"/>
            <w:tcBorders>
              <w:top w:val="single" w:color="auto" w:sz="4" w:space="0"/>
              <w:left w:val="single" w:color="auto" w:sz="4" w:space="0"/>
              <w:bottom w:val="single" w:color="auto" w:sz="4" w:space="0"/>
              <w:right w:val="single" w:color="auto" w:sz="8" w:space="0"/>
            </w:tcBorders>
          </w:tcPr>
          <w:p>
            <w:pPr>
              <w:ind w:firstLine="0" w:firstLineChars="0"/>
              <w:rPr>
                <w:rFonts w:ascii="宋体" w:hAnsi="宋体"/>
                <w:color w:val="auto"/>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0" w:hRule="exact"/>
          <w:jc w:val="center"/>
        </w:trPr>
        <w:tc>
          <w:tcPr>
            <w:tcW w:w="993" w:type="dxa"/>
            <w:tcBorders>
              <w:top w:val="single" w:color="auto" w:sz="4" w:space="0"/>
              <w:left w:val="single" w:color="auto" w:sz="8" w:space="0"/>
              <w:bottom w:val="single" w:color="auto" w:sz="4" w:space="0"/>
              <w:right w:val="single" w:color="auto" w:sz="4" w:space="0"/>
            </w:tcBorders>
          </w:tcPr>
          <w:p>
            <w:pPr>
              <w:ind w:firstLine="0" w:firstLineChars="0"/>
              <w:rPr>
                <w:rFonts w:ascii="宋体" w:hAnsi="宋体"/>
                <w:color w:val="auto"/>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89"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1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1276" w:type="dxa"/>
            <w:tcBorders>
              <w:top w:val="single" w:color="auto" w:sz="4" w:space="0"/>
              <w:left w:val="single" w:color="auto" w:sz="4" w:space="0"/>
              <w:bottom w:val="single" w:color="auto" w:sz="4" w:space="0"/>
              <w:right w:val="single" w:color="auto" w:sz="8" w:space="0"/>
            </w:tcBorders>
          </w:tcPr>
          <w:p>
            <w:pPr>
              <w:ind w:firstLine="0" w:firstLineChars="0"/>
              <w:rPr>
                <w:rFonts w:ascii="宋体" w:hAnsi="宋体"/>
                <w:color w:val="auto"/>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0" w:hRule="exact"/>
          <w:jc w:val="center"/>
        </w:trPr>
        <w:tc>
          <w:tcPr>
            <w:tcW w:w="993" w:type="dxa"/>
            <w:tcBorders>
              <w:top w:val="single" w:color="auto" w:sz="4" w:space="0"/>
              <w:left w:val="single" w:color="auto" w:sz="8" w:space="0"/>
              <w:bottom w:val="single" w:color="auto" w:sz="4" w:space="0"/>
              <w:right w:val="single" w:color="auto" w:sz="4" w:space="0"/>
            </w:tcBorders>
          </w:tcPr>
          <w:p>
            <w:pPr>
              <w:ind w:firstLine="0" w:firstLineChars="0"/>
              <w:rPr>
                <w:rFonts w:ascii="宋体" w:hAnsi="宋体"/>
                <w:color w:val="auto"/>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89"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1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1276" w:type="dxa"/>
            <w:tcBorders>
              <w:top w:val="single" w:color="auto" w:sz="4" w:space="0"/>
              <w:left w:val="single" w:color="auto" w:sz="4" w:space="0"/>
              <w:bottom w:val="single" w:color="auto" w:sz="4" w:space="0"/>
              <w:right w:val="single" w:color="auto" w:sz="8" w:space="0"/>
            </w:tcBorders>
          </w:tcPr>
          <w:p>
            <w:pPr>
              <w:ind w:firstLine="0" w:firstLineChars="0"/>
              <w:rPr>
                <w:rFonts w:ascii="宋体" w:hAnsi="宋体"/>
                <w:color w:val="auto"/>
                <w:szCs w:val="24"/>
                <w:highlight w:val="none"/>
              </w:rPr>
            </w:pPr>
          </w:p>
        </w:tc>
      </w:tr>
    </w:tbl>
    <w:p>
      <w:pPr>
        <w:pStyle w:val="2"/>
        <w:ind w:firstLine="492"/>
        <w:rPr>
          <w:color w:val="auto"/>
          <w:highlight w:val="none"/>
        </w:rPr>
      </w:pPr>
    </w:p>
    <w:p>
      <w:pPr>
        <w:pStyle w:val="2"/>
        <w:widowControl/>
        <w:spacing w:line="360" w:lineRule="auto"/>
        <w:ind w:firstLine="492"/>
        <w:rPr>
          <w:rFonts w:ascii="宋体" w:hAnsi="宋体"/>
          <w:color w:val="auto"/>
          <w:szCs w:val="24"/>
          <w:highlight w:val="none"/>
        </w:rPr>
      </w:pPr>
      <w:r>
        <w:rPr>
          <w:rFonts w:hint="eastAsia" w:ascii="宋体" w:hAnsi="宋体"/>
          <w:color w:val="auto"/>
          <w:szCs w:val="18"/>
          <w:highlight w:val="none"/>
        </w:rPr>
        <w:t xml:space="preserve"> </w:t>
      </w:r>
      <w:r>
        <w:rPr>
          <w:rFonts w:hint="eastAsia" w:ascii="宋体" w:hAnsi="宋体"/>
          <w:color w:val="auto"/>
          <w:szCs w:val="24"/>
          <w:highlight w:val="none"/>
        </w:rPr>
        <w:t>说明：1、本表只填写投标文件中与招标文件有偏离（包括正偏离和负偏离）的内容，投标文件中商务条款响应与招标文件要求完全一致的，可以不用在此表中列出。</w:t>
      </w:r>
    </w:p>
    <w:p>
      <w:pPr>
        <w:pStyle w:val="2"/>
        <w:widowControl/>
        <w:spacing w:line="360" w:lineRule="auto"/>
        <w:ind w:firstLine="492"/>
        <w:rPr>
          <w:rFonts w:ascii="宋体" w:hAnsi="宋体"/>
          <w:color w:val="auto"/>
          <w:szCs w:val="24"/>
          <w:highlight w:val="none"/>
        </w:rPr>
      </w:pPr>
      <w:r>
        <w:rPr>
          <w:rFonts w:hint="eastAsia" w:ascii="宋体" w:hAnsi="宋体"/>
          <w:color w:val="auto"/>
          <w:szCs w:val="24"/>
          <w:highlight w:val="none"/>
        </w:rPr>
        <w:t>2、投标人不得虚假填写，否则一切责任由投标人承担。</w:t>
      </w:r>
    </w:p>
    <w:p>
      <w:pPr>
        <w:ind w:firstLine="492"/>
        <w:rPr>
          <w:rFonts w:ascii="宋体" w:hAnsi="宋体"/>
          <w:color w:val="auto"/>
          <w:szCs w:val="24"/>
          <w:highlight w:val="none"/>
        </w:rPr>
      </w:pPr>
      <w:r>
        <w:rPr>
          <w:rFonts w:hint="eastAsia" w:ascii="宋体" w:hAnsi="宋体"/>
          <w:color w:val="auto"/>
          <w:szCs w:val="24"/>
          <w:highlight w:val="none"/>
        </w:rPr>
        <w:t>3、招标文件中加“★”条款为符合性审查项，其偏离不列入本表中。</w:t>
      </w:r>
    </w:p>
    <w:p>
      <w:pPr>
        <w:pStyle w:val="2"/>
        <w:spacing w:line="360" w:lineRule="auto"/>
        <w:ind w:firstLine="492"/>
        <w:rPr>
          <w:color w:val="auto"/>
          <w:szCs w:val="24"/>
          <w:highlight w:val="none"/>
        </w:rPr>
      </w:pP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投标人名称：</w:t>
      </w:r>
      <w:r>
        <w:rPr>
          <w:rFonts w:hint="eastAsia" w:ascii="宋体" w:hAnsi="宋体"/>
          <w:bCs/>
          <w:color w:val="auto"/>
          <w:szCs w:val="24"/>
          <w:highlight w:val="none"/>
          <w:u w:val="single"/>
        </w:rPr>
        <w:t xml:space="preserve">                       </w:t>
      </w:r>
      <w:r>
        <w:rPr>
          <w:rFonts w:hint="eastAsia" w:ascii="宋体" w:hAnsi="宋体"/>
          <w:bCs/>
          <w:color w:val="auto"/>
          <w:szCs w:val="24"/>
          <w:highlight w:val="none"/>
        </w:rPr>
        <w:t>（加盖单位公章）</w:t>
      </w: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法定代表人或代理人：</w:t>
      </w:r>
      <w:r>
        <w:rPr>
          <w:rFonts w:hint="eastAsia" w:ascii="宋体" w:hAnsi="宋体"/>
          <w:bCs/>
          <w:color w:val="auto"/>
          <w:szCs w:val="24"/>
          <w:highlight w:val="none"/>
          <w:u w:val="single"/>
        </w:rPr>
        <w:t xml:space="preserve">               </w:t>
      </w:r>
      <w:r>
        <w:rPr>
          <w:rFonts w:hint="eastAsia" w:ascii="宋体" w:hAnsi="宋体"/>
          <w:bCs/>
          <w:color w:val="auto"/>
          <w:szCs w:val="24"/>
          <w:highlight w:val="none"/>
        </w:rPr>
        <w:t>（签字）</w:t>
      </w:r>
    </w:p>
    <w:p>
      <w:pPr>
        <w:adjustRightInd w:val="0"/>
        <w:ind w:firstLine="492"/>
        <w:rPr>
          <w:rFonts w:ascii="宋体" w:hAnsi="宋体"/>
          <w:color w:val="auto"/>
          <w:szCs w:val="24"/>
          <w:highlight w:val="none"/>
        </w:rPr>
      </w:pPr>
      <w:r>
        <w:rPr>
          <w:rFonts w:ascii="宋体" w:hAnsi="宋体"/>
          <w:color w:val="auto"/>
          <w:szCs w:val="24"/>
          <w:highlight w:val="none"/>
        </w:rPr>
        <w:t>日期：</w:t>
      </w:r>
      <w:r>
        <w:rPr>
          <w:rFonts w:hint="eastAsia" w:ascii="宋体" w:hAnsi="宋体"/>
          <w:color w:val="auto"/>
          <w:szCs w:val="24"/>
          <w:highlight w:val="none"/>
          <w:u w:val="single"/>
        </w:rPr>
        <w:t xml:space="preserve">      </w:t>
      </w:r>
      <w:r>
        <w:rPr>
          <w:rFonts w:ascii="宋体" w:hAnsi="宋体"/>
          <w:color w:val="auto"/>
          <w:szCs w:val="24"/>
          <w:highlight w:val="none"/>
        </w:rPr>
        <w:t>年</w:t>
      </w:r>
      <w:r>
        <w:rPr>
          <w:rFonts w:hint="eastAsia" w:ascii="宋体" w:hAnsi="宋体"/>
          <w:color w:val="auto"/>
          <w:szCs w:val="24"/>
          <w:highlight w:val="none"/>
          <w:u w:val="single"/>
        </w:rPr>
        <w:t xml:space="preserve">      </w:t>
      </w:r>
      <w:r>
        <w:rPr>
          <w:rFonts w:ascii="宋体" w:hAnsi="宋体"/>
          <w:color w:val="auto"/>
          <w:szCs w:val="24"/>
          <w:highlight w:val="none"/>
        </w:rPr>
        <w:t>月</w:t>
      </w:r>
      <w:r>
        <w:rPr>
          <w:rFonts w:hint="eastAsia" w:ascii="宋体" w:hAnsi="宋体"/>
          <w:color w:val="auto"/>
          <w:szCs w:val="24"/>
          <w:highlight w:val="none"/>
          <w:u w:val="single"/>
        </w:rPr>
        <w:t xml:space="preserve">      </w:t>
      </w:r>
      <w:r>
        <w:rPr>
          <w:rFonts w:ascii="宋体" w:hAnsi="宋体"/>
          <w:color w:val="auto"/>
          <w:szCs w:val="24"/>
          <w:highlight w:val="none"/>
        </w:rPr>
        <w:t>日</w:t>
      </w:r>
    </w:p>
    <w:p>
      <w:pPr>
        <w:pStyle w:val="5"/>
        <w:ind w:left="322" w:leftChars="0" w:firstLine="494" w:firstLineChars="0"/>
        <w:rPr>
          <w:color w:val="auto"/>
          <w:highlight w:val="none"/>
        </w:rPr>
      </w:pPr>
      <w:bookmarkStart w:id="259" w:name="_Toc4083"/>
      <w:r>
        <w:rPr>
          <w:rFonts w:hint="eastAsia"/>
          <w:color w:val="auto"/>
          <w:highlight w:val="none"/>
          <w:lang w:val="en-US" w:eastAsia="zh-CN"/>
        </w:rPr>
        <w:t>技术</w:t>
      </w:r>
      <w:r>
        <w:rPr>
          <w:rFonts w:hint="eastAsia"/>
          <w:color w:val="auto"/>
          <w:highlight w:val="none"/>
        </w:rPr>
        <w:t>条款偏离表</w:t>
      </w:r>
      <w:bookmarkEnd w:id="259"/>
    </w:p>
    <w:p>
      <w:pPr>
        <w:snapToGrid w:val="0"/>
        <w:spacing w:line="500" w:lineRule="exact"/>
        <w:ind w:right="-727" w:rightChars="-297" w:firstLine="494"/>
        <w:rPr>
          <w:rFonts w:ascii="宋体" w:hAnsi="宋体"/>
          <w:b/>
          <w:color w:val="auto"/>
          <w:szCs w:val="24"/>
          <w:highlight w:val="none"/>
        </w:rPr>
      </w:pPr>
      <w:r>
        <w:rPr>
          <w:rFonts w:hint="eastAsia" w:ascii="宋体" w:hAnsi="宋体"/>
          <w:b/>
          <w:color w:val="auto"/>
          <w:szCs w:val="24"/>
          <w:highlight w:val="none"/>
        </w:rPr>
        <w:t>项目名称：</w:t>
      </w:r>
      <w:r>
        <w:rPr>
          <w:rFonts w:hint="eastAsia" w:ascii="宋体" w:hAnsi="宋体"/>
          <w:b/>
          <w:color w:val="auto"/>
          <w:szCs w:val="24"/>
          <w:highlight w:val="none"/>
          <w:u w:val="single"/>
          <w:lang w:eastAsia="zh-CN"/>
        </w:rPr>
        <w:t>成都市龙泉驿区城市绿地建设管理中心零星维护服务采购项目</w:t>
      </w:r>
    </w:p>
    <w:p>
      <w:pPr>
        <w:pStyle w:val="14"/>
        <w:tabs>
          <w:tab w:val="left" w:pos="7560"/>
        </w:tabs>
        <w:spacing w:after="0" w:line="500" w:lineRule="exact"/>
        <w:ind w:firstLine="494"/>
        <w:rPr>
          <w:rFonts w:hint="eastAsia" w:ascii="宋体" w:hAnsi="宋体" w:eastAsia="宋体"/>
          <w:b/>
          <w:color w:val="auto"/>
          <w:szCs w:val="24"/>
          <w:highlight w:val="none"/>
          <w:u w:val="single"/>
          <w:lang w:eastAsia="zh-CN"/>
        </w:rPr>
      </w:pPr>
      <w:r>
        <w:rPr>
          <w:rFonts w:hint="eastAsia" w:ascii="宋体" w:hAnsi="宋体"/>
          <w:b/>
          <w:color w:val="auto"/>
          <w:szCs w:val="24"/>
          <w:highlight w:val="none"/>
          <w:lang w:eastAsia="zh-CN"/>
        </w:rPr>
        <w:t>项目编号</w:t>
      </w:r>
      <w:r>
        <w:rPr>
          <w:rFonts w:hint="eastAsia" w:ascii="宋体" w:hAnsi="宋体"/>
          <w:b/>
          <w:color w:val="auto"/>
          <w:szCs w:val="24"/>
          <w:highlight w:val="none"/>
        </w:rPr>
        <w:t>：</w:t>
      </w:r>
      <w:r>
        <w:rPr>
          <w:rFonts w:hint="eastAsia" w:ascii="宋体" w:hAnsi="宋体"/>
          <w:b/>
          <w:color w:val="auto"/>
          <w:szCs w:val="24"/>
          <w:highlight w:val="none"/>
          <w:u w:val="single"/>
          <w:lang w:eastAsia="zh-CN"/>
        </w:rPr>
        <w:t>510112202100104</w:t>
      </w:r>
    </w:p>
    <w:p>
      <w:pPr>
        <w:pStyle w:val="14"/>
        <w:tabs>
          <w:tab w:val="left" w:pos="7560"/>
        </w:tabs>
        <w:spacing w:after="0" w:line="500" w:lineRule="exact"/>
        <w:ind w:firstLine="494"/>
        <w:rPr>
          <w:rFonts w:ascii="宋体" w:hAnsi="宋体"/>
          <w:b/>
          <w:color w:val="auto"/>
          <w:szCs w:val="24"/>
          <w:highlight w:val="none"/>
          <w:u w:val="single"/>
        </w:rPr>
      </w:pPr>
      <w:r>
        <w:rPr>
          <w:rFonts w:hint="eastAsia" w:ascii="宋体" w:hAnsi="宋体"/>
          <w:b/>
          <w:color w:val="auto"/>
          <w:szCs w:val="24"/>
          <w:highlight w:val="none"/>
        </w:rPr>
        <w:t>包 件 号：</w:t>
      </w:r>
      <w:r>
        <w:rPr>
          <w:rFonts w:hint="eastAsia" w:ascii="宋体" w:hAnsi="宋体"/>
          <w:b/>
          <w:color w:val="auto"/>
          <w:szCs w:val="24"/>
          <w:highlight w:val="none"/>
          <w:u w:val="single"/>
        </w:rPr>
        <w:t xml:space="preserve"> </w:t>
      </w:r>
      <w:r>
        <w:rPr>
          <w:rFonts w:hint="eastAsia" w:ascii="宋体" w:hAnsi="宋体"/>
          <w:b/>
          <w:color w:val="auto"/>
          <w:sz w:val="28"/>
          <w:szCs w:val="28"/>
          <w:highlight w:val="none"/>
          <w:u w:val="single"/>
        </w:rPr>
        <w:t xml:space="preserve">  </w:t>
      </w:r>
    </w:p>
    <w:p>
      <w:pPr>
        <w:pStyle w:val="2"/>
        <w:ind w:firstLine="492"/>
        <w:rPr>
          <w:color w:val="auto"/>
          <w:highlight w:val="none"/>
        </w:rPr>
      </w:pPr>
    </w:p>
    <w:tbl>
      <w:tblPr>
        <w:tblStyle w:val="43"/>
        <w:tblW w:w="86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2589"/>
        <w:gridCol w:w="2552"/>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5" w:hRule="exact"/>
          <w:jc w:val="center"/>
        </w:trPr>
        <w:tc>
          <w:tcPr>
            <w:tcW w:w="851" w:type="dxa"/>
            <w:tcBorders>
              <w:top w:val="single" w:color="auto" w:sz="8" w:space="0"/>
              <w:left w:val="single" w:color="auto" w:sz="8"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序号</w:t>
            </w:r>
          </w:p>
        </w:tc>
        <w:tc>
          <w:tcPr>
            <w:tcW w:w="1276" w:type="dxa"/>
            <w:tcBorders>
              <w:top w:val="single" w:color="auto" w:sz="8"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招标文件条目号</w:t>
            </w:r>
          </w:p>
        </w:tc>
        <w:tc>
          <w:tcPr>
            <w:tcW w:w="2589" w:type="dxa"/>
            <w:tcBorders>
              <w:top w:val="single" w:color="auto" w:sz="8"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招标文件的</w:t>
            </w:r>
            <w:r>
              <w:rPr>
                <w:rFonts w:hint="eastAsia"/>
                <w:color w:val="auto"/>
                <w:highlight w:val="none"/>
                <w:lang w:val="en-US" w:eastAsia="zh-CN"/>
              </w:rPr>
              <w:t>技术</w:t>
            </w:r>
            <w:r>
              <w:rPr>
                <w:rFonts w:hint="eastAsia" w:ascii="宋体" w:hAnsi="宋体"/>
                <w:color w:val="auto"/>
                <w:szCs w:val="24"/>
                <w:highlight w:val="none"/>
              </w:rPr>
              <w:t>条款</w:t>
            </w:r>
          </w:p>
        </w:tc>
        <w:tc>
          <w:tcPr>
            <w:tcW w:w="2552" w:type="dxa"/>
            <w:tcBorders>
              <w:top w:val="single" w:color="auto" w:sz="8"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投标文件的</w:t>
            </w:r>
            <w:r>
              <w:rPr>
                <w:rFonts w:hint="eastAsia"/>
                <w:color w:val="auto"/>
                <w:highlight w:val="none"/>
                <w:lang w:val="en-US" w:eastAsia="zh-CN"/>
              </w:rPr>
              <w:t>技术</w:t>
            </w:r>
            <w:r>
              <w:rPr>
                <w:rFonts w:hint="eastAsia" w:ascii="宋体" w:hAnsi="宋体"/>
                <w:color w:val="auto"/>
                <w:szCs w:val="24"/>
                <w:highlight w:val="none"/>
              </w:rPr>
              <w:t>条款</w:t>
            </w:r>
          </w:p>
        </w:tc>
        <w:tc>
          <w:tcPr>
            <w:tcW w:w="1379" w:type="dxa"/>
            <w:tcBorders>
              <w:top w:val="single" w:color="auto" w:sz="8" w:space="0"/>
              <w:left w:val="single" w:color="auto" w:sz="4" w:space="0"/>
              <w:bottom w:val="single" w:color="auto" w:sz="4" w:space="0"/>
              <w:right w:val="single" w:color="auto" w:sz="8"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是否偏离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20" w:hRule="exact"/>
          <w:jc w:val="center"/>
        </w:trPr>
        <w:tc>
          <w:tcPr>
            <w:tcW w:w="851" w:type="dxa"/>
            <w:tcBorders>
              <w:top w:val="single" w:color="auto" w:sz="4" w:space="0"/>
              <w:left w:val="single" w:color="auto" w:sz="8" w:space="0"/>
              <w:bottom w:val="single" w:color="auto" w:sz="4" w:space="0"/>
              <w:right w:val="single" w:color="auto" w:sz="4" w:space="0"/>
            </w:tcBorders>
          </w:tcPr>
          <w:p>
            <w:pPr>
              <w:ind w:firstLine="0" w:firstLineChars="0"/>
              <w:rPr>
                <w:rFonts w:ascii="宋体" w:hAnsi="宋体"/>
                <w:color w:val="auto"/>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89"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52"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1379" w:type="dxa"/>
            <w:tcBorders>
              <w:top w:val="single" w:color="auto" w:sz="4" w:space="0"/>
              <w:left w:val="single" w:color="auto" w:sz="4" w:space="0"/>
              <w:bottom w:val="single" w:color="auto" w:sz="4" w:space="0"/>
              <w:right w:val="single" w:color="auto" w:sz="8" w:space="0"/>
            </w:tcBorders>
          </w:tcPr>
          <w:p>
            <w:pPr>
              <w:ind w:firstLine="0" w:firstLineChars="0"/>
              <w:rPr>
                <w:rFonts w:ascii="宋体" w:hAnsi="宋体"/>
                <w:color w:val="auto"/>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74" w:hRule="exact"/>
          <w:jc w:val="center"/>
        </w:trPr>
        <w:tc>
          <w:tcPr>
            <w:tcW w:w="851" w:type="dxa"/>
            <w:tcBorders>
              <w:top w:val="single" w:color="auto" w:sz="4" w:space="0"/>
              <w:left w:val="single" w:color="auto" w:sz="8" w:space="0"/>
              <w:bottom w:val="single" w:color="auto" w:sz="4" w:space="0"/>
              <w:right w:val="single" w:color="auto" w:sz="4" w:space="0"/>
            </w:tcBorders>
          </w:tcPr>
          <w:p>
            <w:pPr>
              <w:ind w:firstLine="0" w:firstLineChars="0"/>
              <w:rPr>
                <w:rFonts w:ascii="宋体" w:hAnsi="宋体"/>
                <w:color w:val="auto"/>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89"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52"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1379" w:type="dxa"/>
            <w:tcBorders>
              <w:top w:val="single" w:color="auto" w:sz="4" w:space="0"/>
              <w:left w:val="single" w:color="auto" w:sz="4" w:space="0"/>
              <w:bottom w:val="single" w:color="auto" w:sz="4" w:space="0"/>
              <w:right w:val="single" w:color="auto" w:sz="8" w:space="0"/>
            </w:tcBorders>
          </w:tcPr>
          <w:p>
            <w:pPr>
              <w:ind w:firstLine="0" w:firstLineChars="0"/>
              <w:rPr>
                <w:rFonts w:ascii="宋体" w:hAnsi="宋体"/>
                <w:color w:val="auto"/>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26" w:hRule="exact"/>
          <w:jc w:val="center"/>
        </w:trPr>
        <w:tc>
          <w:tcPr>
            <w:tcW w:w="851" w:type="dxa"/>
            <w:tcBorders>
              <w:top w:val="single" w:color="auto" w:sz="4" w:space="0"/>
              <w:left w:val="single" w:color="auto" w:sz="8" w:space="0"/>
              <w:bottom w:val="single" w:color="auto" w:sz="4" w:space="0"/>
              <w:right w:val="single" w:color="auto" w:sz="4" w:space="0"/>
            </w:tcBorders>
          </w:tcPr>
          <w:p>
            <w:pPr>
              <w:ind w:firstLine="0" w:firstLineChars="0"/>
              <w:rPr>
                <w:rFonts w:ascii="宋体" w:hAnsi="宋体"/>
                <w:color w:val="auto"/>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89"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52"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1379" w:type="dxa"/>
            <w:tcBorders>
              <w:top w:val="single" w:color="auto" w:sz="4" w:space="0"/>
              <w:left w:val="single" w:color="auto" w:sz="4" w:space="0"/>
              <w:bottom w:val="single" w:color="auto" w:sz="4" w:space="0"/>
              <w:right w:val="single" w:color="auto" w:sz="8" w:space="0"/>
            </w:tcBorders>
          </w:tcPr>
          <w:p>
            <w:pPr>
              <w:ind w:firstLine="0" w:firstLineChars="0"/>
              <w:rPr>
                <w:rFonts w:ascii="宋体" w:hAnsi="宋体"/>
                <w:color w:val="auto"/>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92" w:hRule="exact"/>
          <w:jc w:val="center"/>
        </w:trPr>
        <w:tc>
          <w:tcPr>
            <w:tcW w:w="851" w:type="dxa"/>
            <w:tcBorders>
              <w:top w:val="single" w:color="auto" w:sz="4" w:space="0"/>
              <w:left w:val="single" w:color="auto" w:sz="8" w:space="0"/>
              <w:bottom w:val="single" w:color="auto" w:sz="4" w:space="0"/>
              <w:right w:val="single" w:color="auto" w:sz="4" w:space="0"/>
            </w:tcBorders>
          </w:tcPr>
          <w:p>
            <w:pPr>
              <w:ind w:firstLine="0" w:firstLineChars="0"/>
              <w:rPr>
                <w:rFonts w:ascii="宋体" w:hAnsi="宋体"/>
                <w:color w:val="auto"/>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89"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52"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1379" w:type="dxa"/>
            <w:tcBorders>
              <w:top w:val="single" w:color="auto" w:sz="4" w:space="0"/>
              <w:left w:val="single" w:color="auto" w:sz="4" w:space="0"/>
              <w:bottom w:val="single" w:color="auto" w:sz="4" w:space="0"/>
              <w:right w:val="single" w:color="auto" w:sz="8" w:space="0"/>
            </w:tcBorders>
          </w:tcPr>
          <w:p>
            <w:pPr>
              <w:ind w:firstLine="0" w:firstLineChars="0"/>
              <w:rPr>
                <w:rFonts w:ascii="宋体" w:hAnsi="宋体"/>
                <w:color w:val="auto"/>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851" w:type="dxa"/>
            <w:tcBorders>
              <w:top w:val="single" w:color="auto" w:sz="4" w:space="0"/>
              <w:left w:val="single" w:color="auto" w:sz="8" w:space="0"/>
              <w:bottom w:val="single" w:color="auto" w:sz="4" w:space="0"/>
              <w:right w:val="single" w:color="auto" w:sz="4" w:space="0"/>
            </w:tcBorders>
          </w:tcPr>
          <w:p>
            <w:pPr>
              <w:ind w:firstLine="0" w:firstLineChars="0"/>
              <w:rPr>
                <w:rFonts w:ascii="宋体" w:hAnsi="宋体"/>
                <w:color w:val="auto"/>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89"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52"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1379" w:type="dxa"/>
            <w:tcBorders>
              <w:top w:val="single" w:color="auto" w:sz="4" w:space="0"/>
              <w:left w:val="single" w:color="auto" w:sz="4" w:space="0"/>
              <w:bottom w:val="single" w:color="auto" w:sz="4" w:space="0"/>
              <w:right w:val="single" w:color="auto" w:sz="8" w:space="0"/>
            </w:tcBorders>
          </w:tcPr>
          <w:p>
            <w:pPr>
              <w:ind w:firstLine="0" w:firstLineChars="0"/>
              <w:rPr>
                <w:rFonts w:ascii="宋体" w:hAnsi="宋体"/>
                <w:color w:val="auto"/>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851" w:type="dxa"/>
            <w:tcBorders>
              <w:top w:val="single" w:color="auto" w:sz="4" w:space="0"/>
              <w:left w:val="single" w:color="auto" w:sz="8" w:space="0"/>
              <w:bottom w:val="single" w:color="auto" w:sz="4" w:space="0"/>
              <w:right w:val="single" w:color="auto" w:sz="4" w:space="0"/>
            </w:tcBorders>
          </w:tcPr>
          <w:p>
            <w:pPr>
              <w:ind w:firstLine="0" w:firstLineChars="0"/>
              <w:rPr>
                <w:rFonts w:ascii="宋体" w:hAnsi="宋体"/>
                <w:color w:val="auto"/>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89"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2552"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szCs w:val="24"/>
                <w:highlight w:val="none"/>
              </w:rPr>
            </w:pPr>
          </w:p>
        </w:tc>
        <w:tc>
          <w:tcPr>
            <w:tcW w:w="1379" w:type="dxa"/>
            <w:tcBorders>
              <w:top w:val="single" w:color="auto" w:sz="4" w:space="0"/>
              <w:left w:val="single" w:color="auto" w:sz="4" w:space="0"/>
              <w:bottom w:val="single" w:color="auto" w:sz="4" w:space="0"/>
              <w:right w:val="single" w:color="auto" w:sz="8" w:space="0"/>
            </w:tcBorders>
          </w:tcPr>
          <w:p>
            <w:pPr>
              <w:ind w:firstLine="0" w:firstLineChars="0"/>
              <w:rPr>
                <w:rFonts w:ascii="宋体" w:hAnsi="宋体"/>
                <w:color w:val="auto"/>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851" w:type="dxa"/>
            <w:tcBorders>
              <w:top w:val="single" w:color="auto" w:sz="4" w:space="0"/>
              <w:left w:val="single" w:color="auto" w:sz="8" w:space="0"/>
              <w:bottom w:val="single" w:color="auto" w:sz="8" w:space="0"/>
              <w:right w:val="single" w:color="auto" w:sz="4" w:space="0"/>
            </w:tcBorders>
          </w:tcPr>
          <w:p>
            <w:pPr>
              <w:ind w:firstLine="0" w:firstLineChars="0"/>
              <w:rPr>
                <w:rFonts w:ascii="宋体" w:hAnsi="宋体"/>
                <w:color w:val="auto"/>
                <w:szCs w:val="24"/>
                <w:highlight w:val="none"/>
              </w:rPr>
            </w:pPr>
          </w:p>
        </w:tc>
        <w:tc>
          <w:tcPr>
            <w:tcW w:w="1276" w:type="dxa"/>
            <w:tcBorders>
              <w:top w:val="single" w:color="auto" w:sz="4" w:space="0"/>
              <w:left w:val="single" w:color="auto" w:sz="4" w:space="0"/>
              <w:bottom w:val="single" w:color="auto" w:sz="8" w:space="0"/>
              <w:right w:val="single" w:color="auto" w:sz="4" w:space="0"/>
            </w:tcBorders>
          </w:tcPr>
          <w:p>
            <w:pPr>
              <w:ind w:firstLine="0" w:firstLineChars="0"/>
              <w:rPr>
                <w:rFonts w:ascii="宋体" w:hAnsi="宋体"/>
                <w:color w:val="auto"/>
                <w:szCs w:val="24"/>
                <w:highlight w:val="none"/>
              </w:rPr>
            </w:pPr>
          </w:p>
        </w:tc>
        <w:tc>
          <w:tcPr>
            <w:tcW w:w="2589" w:type="dxa"/>
            <w:tcBorders>
              <w:top w:val="single" w:color="auto" w:sz="4" w:space="0"/>
              <w:left w:val="single" w:color="auto" w:sz="4" w:space="0"/>
              <w:bottom w:val="single" w:color="auto" w:sz="8" w:space="0"/>
              <w:right w:val="single" w:color="auto" w:sz="4" w:space="0"/>
            </w:tcBorders>
          </w:tcPr>
          <w:p>
            <w:pPr>
              <w:ind w:firstLine="0" w:firstLineChars="0"/>
              <w:rPr>
                <w:rFonts w:ascii="宋体" w:hAnsi="宋体"/>
                <w:color w:val="auto"/>
                <w:szCs w:val="24"/>
                <w:highlight w:val="none"/>
              </w:rPr>
            </w:pPr>
          </w:p>
        </w:tc>
        <w:tc>
          <w:tcPr>
            <w:tcW w:w="2552" w:type="dxa"/>
            <w:tcBorders>
              <w:top w:val="single" w:color="auto" w:sz="4" w:space="0"/>
              <w:left w:val="single" w:color="auto" w:sz="4" w:space="0"/>
              <w:bottom w:val="single" w:color="auto" w:sz="8" w:space="0"/>
              <w:right w:val="single" w:color="auto" w:sz="4" w:space="0"/>
            </w:tcBorders>
          </w:tcPr>
          <w:p>
            <w:pPr>
              <w:ind w:firstLine="0" w:firstLineChars="0"/>
              <w:rPr>
                <w:rFonts w:ascii="宋体" w:hAnsi="宋体"/>
                <w:color w:val="auto"/>
                <w:szCs w:val="24"/>
                <w:highlight w:val="none"/>
              </w:rPr>
            </w:pPr>
          </w:p>
        </w:tc>
        <w:tc>
          <w:tcPr>
            <w:tcW w:w="1379" w:type="dxa"/>
            <w:tcBorders>
              <w:top w:val="single" w:color="auto" w:sz="4" w:space="0"/>
              <w:left w:val="single" w:color="auto" w:sz="4" w:space="0"/>
              <w:bottom w:val="single" w:color="auto" w:sz="8" w:space="0"/>
              <w:right w:val="single" w:color="auto" w:sz="8" w:space="0"/>
            </w:tcBorders>
          </w:tcPr>
          <w:p>
            <w:pPr>
              <w:ind w:firstLine="0" w:firstLineChars="0"/>
              <w:rPr>
                <w:rFonts w:ascii="宋体" w:hAnsi="宋体"/>
                <w:color w:val="auto"/>
                <w:szCs w:val="24"/>
                <w:highlight w:val="none"/>
              </w:rPr>
            </w:pPr>
          </w:p>
        </w:tc>
      </w:tr>
    </w:tbl>
    <w:p>
      <w:pPr>
        <w:pStyle w:val="2"/>
        <w:widowControl/>
        <w:spacing w:line="40" w:lineRule="atLeast"/>
        <w:ind w:firstLine="492"/>
        <w:rPr>
          <w:rFonts w:ascii="宋体" w:hAnsi="宋体"/>
          <w:color w:val="auto"/>
          <w:szCs w:val="18"/>
          <w:highlight w:val="none"/>
        </w:rPr>
      </w:pPr>
      <w:r>
        <w:rPr>
          <w:rFonts w:hint="eastAsia" w:ascii="宋体" w:hAnsi="宋体"/>
          <w:color w:val="auto"/>
          <w:szCs w:val="18"/>
          <w:highlight w:val="none"/>
        </w:rPr>
        <w:t xml:space="preserve"> 说明：1、本表只填写投标文件中与招标文件有偏离（包括正偏离和负偏离）的内容，投标文件中</w:t>
      </w:r>
      <w:r>
        <w:rPr>
          <w:rFonts w:hint="eastAsia"/>
          <w:color w:val="auto"/>
          <w:highlight w:val="none"/>
          <w:lang w:val="en-US" w:eastAsia="zh-CN"/>
        </w:rPr>
        <w:t>技术</w:t>
      </w:r>
      <w:r>
        <w:rPr>
          <w:rFonts w:hint="eastAsia" w:ascii="宋体" w:hAnsi="宋体"/>
          <w:color w:val="auto"/>
          <w:szCs w:val="18"/>
          <w:highlight w:val="none"/>
        </w:rPr>
        <w:t>条款响应与招标文件要求完全一致的，可以不用在此表中列出。</w:t>
      </w:r>
    </w:p>
    <w:p>
      <w:pPr>
        <w:pStyle w:val="2"/>
        <w:widowControl/>
        <w:spacing w:line="40" w:lineRule="atLeast"/>
        <w:ind w:firstLine="980" w:firstLineChars="400"/>
        <w:rPr>
          <w:rFonts w:ascii="宋体" w:hAnsi="宋体"/>
          <w:color w:val="auto"/>
          <w:szCs w:val="18"/>
          <w:highlight w:val="none"/>
        </w:rPr>
      </w:pPr>
      <w:r>
        <w:rPr>
          <w:rFonts w:hint="eastAsia" w:ascii="宋体" w:hAnsi="宋体"/>
          <w:color w:val="auto"/>
          <w:szCs w:val="18"/>
          <w:highlight w:val="none"/>
        </w:rPr>
        <w:t>2、投标人不得虚假填写，否则一切责任由投标人承担。</w:t>
      </w:r>
    </w:p>
    <w:p>
      <w:pPr>
        <w:spacing w:line="400" w:lineRule="exact"/>
        <w:ind w:firstLine="980" w:firstLineChars="400"/>
        <w:rPr>
          <w:rFonts w:ascii="宋体" w:hAnsi="宋体"/>
          <w:color w:val="auto"/>
          <w:szCs w:val="18"/>
          <w:highlight w:val="none"/>
        </w:rPr>
      </w:pPr>
      <w:r>
        <w:rPr>
          <w:rFonts w:hint="eastAsia" w:ascii="宋体" w:hAnsi="宋体"/>
          <w:color w:val="auto"/>
          <w:szCs w:val="18"/>
          <w:highlight w:val="none"/>
        </w:rPr>
        <w:t>3、招标文件中加“★”条款为符合性审查项，其偏离不列入本表中。</w:t>
      </w:r>
    </w:p>
    <w:p>
      <w:pPr>
        <w:pStyle w:val="2"/>
        <w:ind w:firstLine="492"/>
        <w:rPr>
          <w:color w:val="auto"/>
          <w:highlight w:val="none"/>
        </w:rPr>
      </w:pPr>
    </w:p>
    <w:p>
      <w:pPr>
        <w:pStyle w:val="2"/>
        <w:ind w:firstLine="492"/>
        <w:rPr>
          <w:color w:val="auto"/>
          <w:highlight w:val="none"/>
        </w:rPr>
      </w:pP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投标人名称：</w:t>
      </w:r>
      <w:r>
        <w:rPr>
          <w:rFonts w:hint="eastAsia" w:ascii="宋体" w:hAnsi="宋体"/>
          <w:bCs/>
          <w:color w:val="auto"/>
          <w:szCs w:val="24"/>
          <w:highlight w:val="none"/>
          <w:u w:val="single"/>
        </w:rPr>
        <w:t xml:space="preserve">                       </w:t>
      </w:r>
      <w:r>
        <w:rPr>
          <w:rFonts w:hint="eastAsia" w:ascii="宋体" w:hAnsi="宋体"/>
          <w:bCs/>
          <w:color w:val="auto"/>
          <w:szCs w:val="24"/>
          <w:highlight w:val="none"/>
        </w:rPr>
        <w:t>（加盖单位公章）</w:t>
      </w: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法定代表人或代理人：</w:t>
      </w:r>
      <w:r>
        <w:rPr>
          <w:rFonts w:hint="eastAsia" w:ascii="宋体" w:hAnsi="宋体"/>
          <w:bCs/>
          <w:color w:val="auto"/>
          <w:szCs w:val="24"/>
          <w:highlight w:val="none"/>
          <w:u w:val="single"/>
        </w:rPr>
        <w:t xml:space="preserve">               </w:t>
      </w:r>
      <w:r>
        <w:rPr>
          <w:rFonts w:hint="eastAsia" w:ascii="宋体" w:hAnsi="宋体"/>
          <w:bCs/>
          <w:color w:val="auto"/>
          <w:szCs w:val="24"/>
          <w:highlight w:val="none"/>
        </w:rPr>
        <w:t>（签字）</w:t>
      </w:r>
    </w:p>
    <w:p>
      <w:pPr>
        <w:adjustRightInd w:val="0"/>
        <w:ind w:firstLine="492"/>
        <w:rPr>
          <w:rFonts w:ascii="宋体" w:hAnsi="宋体"/>
          <w:color w:val="auto"/>
          <w:szCs w:val="24"/>
          <w:highlight w:val="none"/>
        </w:rPr>
      </w:pPr>
      <w:r>
        <w:rPr>
          <w:rFonts w:ascii="宋体" w:hAnsi="宋体"/>
          <w:color w:val="auto"/>
          <w:szCs w:val="24"/>
          <w:highlight w:val="none"/>
        </w:rPr>
        <w:t>日期：</w:t>
      </w:r>
      <w:r>
        <w:rPr>
          <w:rFonts w:hint="eastAsia" w:ascii="宋体" w:hAnsi="宋体"/>
          <w:color w:val="auto"/>
          <w:szCs w:val="24"/>
          <w:highlight w:val="none"/>
          <w:u w:val="single"/>
        </w:rPr>
        <w:t xml:space="preserve">      </w:t>
      </w:r>
      <w:r>
        <w:rPr>
          <w:rFonts w:ascii="宋体" w:hAnsi="宋体"/>
          <w:color w:val="auto"/>
          <w:szCs w:val="24"/>
          <w:highlight w:val="none"/>
        </w:rPr>
        <w:t>年</w:t>
      </w:r>
      <w:r>
        <w:rPr>
          <w:rFonts w:hint="eastAsia" w:ascii="宋体" w:hAnsi="宋体"/>
          <w:color w:val="auto"/>
          <w:szCs w:val="24"/>
          <w:highlight w:val="none"/>
          <w:u w:val="single"/>
        </w:rPr>
        <w:t xml:space="preserve">      </w:t>
      </w:r>
      <w:r>
        <w:rPr>
          <w:rFonts w:ascii="宋体" w:hAnsi="宋体"/>
          <w:color w:val="auto"/>
          <w:szCs w:val="24"/>
          <w:highlight w:val="none"/>
        </w:rPr>
        <w:t>月</w:t>
      </w:r>
      <w:r>
        <w:rPr>
          <w:rFonts w:hint="eastAsia" w:ascii="宋体" w:hAnsi="宋体"/>
          <w:color w:val="auto"/>
          <w:szCs w:val="24"/>
          <w:highlight w:val="none"/>
          <w:u w:val="single"/>
        </w:rPr>
        <w:t xml:space="preserve">      </w:t>
      </w:r>
      <w:r>
        <w:rPr>
          <w:rFonts w:ascii="宋体" w:hAnsi="宋体"/>
          <w:color w:val="auto"/>
          <w:szCs w:val="24"/>
          <w:highlight w:val="none"/>
        </w:rPr>
        <w:t>日</w:t>
      </w:r>
    </w:p>
    <w:p>
      <w:pPr>
        <w:pStyle w:val="2"/>
        <w:ind w:firstLine="492"/>
        <w:rPr>
          <w:color w:val="auto"/>
          <w:highlight w:val="none"/>
        </w:rPr>
      </w:pPr>
    </w:p>
    <w:p>
      <w:pPr>
        <w:pStyle w:val="2"/>
        <w:ind w:firstLine="492"/>
        <w:rPr>
          <w:color w:val="auto"/>
          <w:highlight w:val="none"/>
        </w:rPr>
      </w:pPr>
    </w:p>
    <w:p>
      <w:pPr>
        <w:pStyle w:val="5"/>
        <w:ind w:left="322" w:leftChars="0" w:firstLine="494" w:firstLineChars="0"/>
        <w:rPr>
          <w:color w:val="auto"/>
          <w:highlight w:val="none"/>
        </w:rPr>
      </w:pPr>
      <w:bookmarkStart w:id="260" w:name="_Toc24188"/>
      <w:r>
        <w:rPr>
          <w:rFonts w:hint="eastAsia"/>
          <w:color w:val="auto"/>
          <w:highlight w:val="none"/>
        </w:rPr>
        <w:t>业绩一览表</w:t>
      </w:r>
      <w:bookmarkEnd w:id="260"/>
    </w:p>
    <w:p>
      <w:pPr>
        <w:snapToGrid w:val="0"/>
        <w:ind w:firstLine="494"/>
        <w:rPr>
          <w:rFonts w:ascii="宋体" w:hAnsi="宋体"/>
          <w:b/>
          <w:color w:val="auto"/>
          <w:szCs w:val="24"/>
          <w:highlight w:val="none"/>
        </w:rPr>
      </w:pPr>
      <w:r>
        <w:rPr>
          <w:rFonts w:hint="eastAsia" w:ascii="宋体" w:hAnsi="宋体"/>
          <w:b/>
          <w:color w:val="auto"/>
          <w:szCs w:val="24"/>
          <w:highlight w:val="none"/>
        </w:rPr>
        <w:t>项目名称：</w:t>
      </w:r>
      <w:r>
        <w:rPr>
          <w:rFonts w:hint="eastAsia" w:ascii="宋体" w:hAnsi="宋体"/>
          <w:b/>
          <w:color w:val="auto"/>
          <w:szCs w:val="24"/>
          <w:highlight w:val="none"/>
          <w:u w:val="single"/>
          <w:lang w:eastAsia="zh-CN"/>
        </w:rPr>
        <w:t>成都市龙泉驿区城市绿地建设管理中心零星维护服务采购项目</w:t>
      </w:r>
    </w:p>
    <w:p>
      <w:pPr>
        <w:pStyle w:val="14"/>
        <w:tabs>
          <w:tab w:val="left" w:pos="7560"/>
        </w:tabs>
        <w:spacing w:after="0" w:line="360" w:lineRule="auto"/>
        <w:ind w:firstLine="494"/>
        <w:rPr>
          <w:rFonts w:hint="eastAsia" w:eastAsia="宋体"/>
          <w:color w:val="auto"/>
          <w:szCs w:val="24"/>
          <w:highlight w:val="none"/>
          <w:lang w:eastAsia="zh-CN"/>
        </w:rPr>
      </w:pPr>
      <w:r>
        <w:rPr>
          <w:rFonts w:hint="eastAsia" w:ascii="宋体" w:hAnsi="宋体"/>
          <w:b/>
          <w:color w:val="auto"/>
          <w:szCs w:val="24"/>
          <w:highlight w:val="none"/>
          <w:lang w:eastAsia="zh-CN"/>
        </w:rPr>
        <w:t>项目编号</w:t>
      </w:r>
      <w:r>
        <w:rPr>
          <w:rFonts w:hint="eastAsia" w:ascii="宋体" w:hAnsi="宋体"/>
          <w:b/>
          <w:color w:val="auto"/>
          <w:szCs w:val="24"/>
          <w:highlight w:val="none"/>
        </w:rPr>
        <w:t>：</w:t>
      </w:r>
      <w:r>
        <w:rPr>
          <w:rFonts w:hint="eastAsia" w:ascii="宋体" w:hAnsi="宋体"/>
          <w:b/>
          <w:color w:val="auto"/>
          <w:szCs w:val="24"/>
          <w:highlight w:val="none"/>
          <w:u w:val="single"/>
          <w:lang w:eastAsia="zh-CN"/>
        </w:rPr>
        <w:t>510112202100104</w:t>
      </w:r>
    </w:p>
    <w:p>
      <w:pPr>
        <w:ind w:firstLine="494"/>
        <w:rPr>
          <w:color w:val="auto"/>
          <w:szCs w:val="24"/>
          <w:highlight w:val="none"/>
        </w:rPr>
      </w:pPr>
      <w:r>
        <w:rPr>
          <w:rFonts w:hint="eastAsia" w:ascii="宋体" w:hAnsi="宋体"/>
          <w:b/>
          <w:color w:val="auto"/>
          <w:szCs w:val="24"/>
          <w:highlight w:val="none"/>
        </w:rPr>
        <w:t>包 件 号：</w:t>
      </w:r>
      <w:r>
        <w:rPr>
          <w:rFonts w:hint="eastAsia" w:ascii="宋体" w:hAnsi="宋体"/>
          <w:b/>
          <w:color w:val="auto"/>
          <w:szCs w:val="24"/>
          <w:highlight w:val="none"/>
          <w:u w:val="single"/>
        </w:rPr>
        <w:t xml:space="preserve"> </w:t>
      </w:r>
      <w:r>
        <w:rPr>
          <w:rFonts w:hint="eastAsia" w:ascii="宋体" w:hAnsi="宋体"/>
          <w:b/>
          <w:color w:val="auto"/>
          <w:sz w:val="28"/>
          <w:szCs w:val="28"/>
          <w:highlight w:val="none"/>
          <w:u w:val="single"/>
        </w:rPr>
        <w:t xml:space="preserve">  </w:t>
      </w:r>
    </w:p>
    <w:tbl>
      <w:tblPr>
        <w:tblStyle w:val="43"/>
        <w:tblW w:w="848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17"/>
        <w:gridCol w:w="1802"/>
        <w:gridCol w:w="2075"/>
        <w:gridCol w:w="1352"/>
        <w:gridCol w:w="1352"/>
        <w:gridCol w:w="12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17" w:type="dxa"/>
            <w:tcBorders>
              <w:top w:val="single" w:color="auto" w:sz="4" w:space="0"/>
            </w:tcBorders>
            <w:vAlign w:val="center"/>
          </w:tcPr>
          <w:p>
            <w:pPr>
              <w:spacing w:line="240" w:lineRule="auto"/>
              <w:ind w:firstLine="0" w:firstLineChars="0"/>
              <w:outlineLvl w:val="5"/>
              <w:rPr>
                <w:rFonts w:ascii="宋体" w:hAnsi="宋体" w:cs="宋体"/>
                <w:b/>
                <w:color w:val="auto"/>
                <w:szCs w:val="24"/>
                <w:highlight w:val="none"/>
              </w:rPr>
            </w:pPr>
            <w:r>
              <w:rPr>
                <w:rFonts w:hint="eastAsia" w:ascii="宋体" w:hAnsi="宋体" w:cs="宋体"/>
                <w:b/>
                <w:color w:val="auto"/>
                <w:szCs w:val="24"/>
                <w:highlight w:val="none"/>
              </w:rPr>
              <w:t>年份</w:t>
            </w:r>
          </w:p>
        </w:tc>
        <w:tc>
          <w:tcPr>
            <w:tcW w:w="1802" w:type="dxa"/>
            <w:vAlign w:val="center"/>
          </w:tcPr>
          <w:p>
            <w:pPr>
              <w:spacing w:line="240" w:lineRule="auto"/>
              <w:ind w:firstLine="0" w:firstLineChars="0"/>
              <w:outlineLvl w:val="5"/>
              <w:rPr>
                <w:rFonts w:ascii="宋体" w:hAnsi="宋体" w:cs="宋体"/>
                <w:b/>
                <w:color w:val="auto"/>
                <w:szCs w:val="24"/>
                <w:highlight w:val="none"/>
              </w:rPr>
            </w:pPr>
            <w:r>
              <w:rPr>
                <w:rFonts w:hint="eastAsia" w:ascii="宋体" w:hAnsi="宋体" w:cs="宋体"/>
                <w:b/>
                <w:color w:val="auto"/>
                <w:szCs w:val="24"/>
                <w:highlight w:val="none"/>
              </w:rPr>
              <w:t>用户名称</w:t>
            </w:r>
          </w:p>
        </w:tc>
        <w:tc>
          <w:tcPr>
            <w:tcW w:w="2075" w:type="dxa"/>
            <w:vAlign w:val="center"/>
          </w:tcPr>
          <w:p>
            <w:pPr>
              <w:spacing w:line="240" w:lineRule="auto"/>
              <w:ind w:firstLine="0" w:firstLineChars="0"/>
              <w:outlineLvl w:val="5"/>
              <w:rPr>
                <w:rFonts w:ascii="宋体" w:hAnsi="宋体" w:cs="宋体"/>
                <w:b/>
                <w:color w:val="auto"/>
                <w:szCs w:val="24"/>
                <w:highlight w:val="none"/>
              </w:rPr>
            </w:pPr>
            <w:r>
              <w:rPr>
                <w:rFonts w:hint="eastAsia" w:ascii="宋体" w:hAnsi="宋体" w:cs="宋体"/>
                <w:b/>
                <w:color w:val="auto"/>
                <w:szCs w:val="24"/>
                <w:highlight w:val="none"/>
              </w:rPr>
              <w:t>项目名称</w:t>
            </w:r>
          </w:p>
        </w:tc>
        <w:tc>
          <w:tcPr>
            <w:tcW w:w="1352" w:type="dxa"/>
            <w:vAlign w:val="center"/>
          </w:tcPr>
          <w:p>
            <w:pPr>
              <w:spacing w:line="240" w:lineRule="auto"/>
              <w:ind w:firstLine="0" w:firstLineChars="0"/>
              <w:outlineLvl w:val="5"/>
              <w:rPr>
                <w:rFonts w:ascii="宋体" w:hAnsi="宋体" w:cs="宋体"/>
                <w:b/>
                <w:color w:val="auto"/>
                <w:szCs w:val="24"/>
                <w:highlight w:val="none"/>
              </w:rPr>
            </w:pPr>
            <w:r>
              <w:rPr>
                <w:rFonts w:hint="eastAsia" w:ascii="宋体" w:hAnsi="宋体" w:cs="宋体"/>
                <w:b/>
                <w:color w:val="auto"/>
                <w:szCs w:val="24"/>
                <w:highlight w:val="none"/>
              </w:rPr>
              <w:t>完成时间</w:t>
            </w:r>
          </w:p>
        </w:tc>
        <w:tc>
          <w:tcPr>
            <w:tcW w:w="1352" w:type="dxa"/>
            <w:vAlign w:val="center"/>
          </w:tcPr>
          <w:p>
            <w:pPr>
              <w:spacing w:line="240" w:lineRule="auto"/>
              <w:ind w:firstLine="0" w:firstLineChars="0"/>
              <w:outlineLvl w:val="5"/>
              <w:rPr>
                <w:rFonts w:ascii="宋体" w:hAnsi="宋体" w:cs="宋体"/>
                <w:b/>
                <w:color w:val="auto"/>
                <w:szCs w:val="24"/>
                <w:highlight w:val="none"/>
              </w:rPr>
            </w:pPr>
            <w:r>
              <w:rPr>
                <w:rFonts w:hint="eastAsia" w:ascii="宋体" w:hAnsi="宋体" w:cs="宋体"/>
                <w:b/>
                <w:color w:val="auto"/>
                <w:szCs w:val="24"/>
                <w:highlight w:val="none"/>
              </w:rPr>
              <w:t>合同金额</w:t>
            </w:r>
          </w:p>
        </w:tc>
        <w:tc>
          <w:tcPr>
            <w:tcW w:w="1284" w:type="dxa"/>
            <w:tcBorders>
              <w:left w:val="single" w:color="auto" w:sz="4" w:space="0"/>
            </w:tcBorders>
            <w:vAlign w:val="center"/>
          </w:tcPr>
          <w:p>
            <w:pPr>
              <w:spacing w:line="240" w:lineRule="auto"/>
              <w:ind w:firstLine="0" w:firstLineChars="0"/>
              <w:outlineLvl w:val="5"/>
              <w:rPr>
                <w:rFonts w:ascii="宋体" w:hAnsi="宋体" w:cs="宋体"/>
                <w:b/>
                <w:color w:val="auto"/>
                <w:szCs w:val="24"/>
                <w:highlight w:val="none"/>
              </w:rPr>
            </w:pPr>
            <w:r>
              <w:rPr>
                <w:rFonts w:hint="eastAsia" w:ascii="宋体" w:hAnsi="宋体" w:cs="宋体"/>
                <w:b/>
                <w:color w:val="auto"/>
                <w:szCs w:val="24"/>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17" w:type="dxa"/>
            <w:vAlign w:val="center"/>
          </w:tcPr>
          <w:p>
            <w:pPr>
              <w:spacing w:line="240" w:lineRule="auto"/>
              <w:ind w:firstLine="0" w:firstLineChars="0"/>
              <w:outlineLvl w:val="5"/>
              <w:rPr>
                <w:rFonts w:ascii="宋体" w:hAnsi="宋体" w:cs="宋体"/>
                <w:color w:val="auto"/>
                <w:szCs w:val="24"/>
                <w:highlight w:val="none"/>
              </w:rPr>
            </w:pPr>
          </w:p>
        </w:tc>
        <w:tc>
          <w:tcPr>
            <w:tcW w:w="1802" w:type="dxa"/>
            <w:vAlign w:val="center"/>
          </w:tcPr>
          <w:p>
            <w:pPr>
              <w:spacing w:line="240" w:lineRule="auto"/>
              <w:ind w:firstLine="0" w:firstLineChars="0"/>
              <w:outlineLvl w:val="5"/>
              <w:rPr>
                <w:rFonts w:ascii="宋体" w:hAnsi="宋体" w:cs="宋体"/>
                <w:color w:val="auto"/>
                <w:szCs w:val="24"/>
                <w:highlight w:val="none"/>
              </w:rPr>
            </w:pPr>
          </w:p>
        </w:tc>
        <w:tc>
          <w:tcPr>
            <w:tcW w:w="2075" w:type="dxa"/>
            <w:vAlign w:val="center"/>
          </w:tcPr>
          <w:p>
            <w:pPr>
              <w:spacing w:line="240" w:lineRule="auto"/>
              <w:ind w:firstLine="0" w:firstLineChars="0"/>
              <w:outlineLvl w:val="5"/>
              <w:rPr>
                <w:rFonts w:ascii="宋体" w:hAnsi="宋体" w:cs="宋体"/>
                <w:color w:val="auto"/>
                <w:szCs w:val="24"/>
                <w:highlight w:val="none"/>
              </w:rPr>
            </w:pPr>
          </w:p>
        </w:tc>
        <w:tc>
          <w:tcPr>
            <w:tcW w:w="1352" w:type="dxa"/>
            <w:vAlign w:val="center"/>
          </w:tcPr>
          <w:p>
            <w:pPr>
              <w:spacing w:line="240" w:lineRule="auto"/>
              <w:ind w:firstLine="0" w:firstLineChars="0"/>
              <w:outlineLvl w:val="5"/>
              <w:rPr>
                <w:rFonts w:ascii="宋体" w:hAnsi="宋体" w:cs="宋体"/>
                <w:color w:val="auto"/>
                <w:szCs w:val="24"/>
                <w:highlight w:val="none"/>
              </w:rPr>
            </w:pPr>
          </w:p>
        </w:tc>
        <w:tc>
          <w:tcPr>
            <w:tcW w:w="1352" w:type="dxa"/>
            <w:vAlign w:val="center"/>
          </w:tcPr>
          <w:p>
            <w:pPr>
              <w:spacing w:line="240" w:lineRule="auto"/>
              <w:ind w:firstLine="0" w:firstLineChars="0"/>
              <w:outlineLvl w:val="5"/>
              <w:rPr>
                <w:rFonts w:ascii="宋体" w:hAnsi="宋体" w:cs="宋体"/>
                <w:color w:val="auto"/>
                <w:szCs w:val="24"/>
                <w:highlight w:val="none"/>
              </w:rPr>
            </w:pPr>
          </w:p>
        </w:tc>
        <w:tc>
          <w:tcPr>
            <w:tcW w:w="1284" w:type="dxa"/>
            <w:tcBorders>
              <w:left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17" w:type="dxa"/>
            <w:vAlign w:val="center"/>
          </w:tcPr>
          <w:p>
            <w:pPr>
              <w:spacing w:line="240" w:lineRule="auto"/>
              <w:ind w:firstLine="0" w:firstLineChars="0"/>
              <w:outlineLvl w:val="5"/>
              <w:rPr>
                <w:rFonts w:ascii="宋体" w:hAnsi="宋体" w:cs="宋体"/>
                <w:color w:val="auto"/>
                <w:szCs w:val="24"/>
                <w:highlight w:val="none"/>
              </w:rPr>
            </w:pPr>
          </w:p>
        </w:tc>
        <w:tc>
          <w:tcPr>
            <w:tcW w:w="1802" w:type="dxa"/>
            <w:vAlign w:val="center"/>
          </w:tcPr>
          <w:p>
            <w:pPr>
              <w:spacing w:line="240" w:lineRule="auto"/>
              <w:ind w:firstLine="0" w:firstLineChars="0"/>
              <w:outlineLvl w:val="5"/>
              <w:rPr>
                <w:rFonts w:ascii="宋体" w:hAnsi="宋体" w:cs="宋体"/>
                <w:color w:val="auto"/>
                <w:szCs w:val="24"/>
                <w:highlight w:val="none"/>
              </w:rPr>
            </w:pPr>
          </w:p>
        </w:tc>
        <w:tc>
          <w:tcPr>
            <w:tcW w:w="2075" w:type="dxa"/>
            <w:vAlign w:val="center"/>
          </w:tcPr>
          <w:p>
            <w:pPr>
              <w:spacing w:line="240" w:lineRule="auto"/>
              <w:ind w:firstLine="0" w:firstLineChars="0"/>
              <w:outlineLvl w:val="5"/>
              <w:rPr>
                <w:rFonts w:ascii="宋体" w:hAnsi="宋体" w:cs="宋体"/>
                <w:color w:val="auto"/>
                <w:szCs w:val="24"/>
                <w:highlight w:val="none"/>
              </w:rPr>
            </w:pPr>
          </w:p>
        </w:tc>
        <w:tc>
          <w:tcPr>
            <w:tcW w:w="1352" w:type="dxa"/>
            <w:vAlign w:val="center"/>
          </w:tcPr>
          <w:p>
            <w:pPr>
              <w:spacing w:line="240" w:lineRule="auto"/>
              <w:ind w:firstLine="0" w:firstLineChars="0"/>
              <w:outlineLvl w:val="5"/>
              <w:rPr>
                <w:rFonts w:ascii="宋体" w:hAnsi="宋体" w:cs="宋体"/>
                <w:color w:val="auto"/>
                <w:szCs w:val="24"/>
                <w:highlight w:val="none"/>
              </w:rPr>
            </w:pPr>
          </w:p>
        </w:tc>
        <w:tc>
          <w:tcPr>
            <w:tcW w:w="1352" w:type="dxa"/>
            <w:vAlign w:val="center"/>
          </w:tcPr>
          <w:p>
            <w:pPr>
              <w:spacing w:line="240" w:lineRule="auto"/>
              <w:ind w:firstLine="0" w:firstLineChars="0"/>
              <w:outlineLvl w:val="5"/>
              <w:rPr>
                <w:rFonts w:ascii="宋体" w:hAnsi="宋体" w:cs="宋体"/>
                <w:color w:val="auto"/>
                <w:szCs w:val="24"/>
                <w:highlight w:val="none"/>
              </w:rPr>
            </w:pPr>
          </w:p>
        </w:tc>
        <w:tc>
          <w:tcPr>
            <w:tcW w:w="1284" w:type="dxa"/>
            <w:tcBorders>
              <w:left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17" w:type="dxa"/>
            <w:vAlign w:val="center"/>
          </w:tcPr>
          <w:p>
            <w:pPr>
              <w:spacing w:line="240" w:lineRule="auto"/>
              <w:ind w:firstLine="0" w:firstLineChars="0"/>
              <w:outlineLvl w:val="5"/>
              <w:rPr>
                <w:rFonts w:ascii="宋体" w:hAnsi="宋体" w:cs="宋体"/>
                <w:color w:val="auto"/>
                <w:szCs w:val="24"/>
                <w:highlight w:val="none"/>
              </w:rPr>
            </w:pPr>
          </w:p>
        </w:tc>
        <w:tc>
          <w:tcPr>
            <w:tcW w:w="1802" w:type="dxa"/>
            <w:vAlign w:val="center"/>
          </w:tcPr>
          <w:p>
            <w:pPr>
              <w:spacing w:line="240" w:lineRule="auto"/>
              <w:ind w:firstLine="0" w:firstLineChars="0"/>
              <w:outlineLvl w:val="5"/>
              <w:rPr>
                <w:rFonts w:ascii="宋体" w:hAnsi="宋体" w:cs="宋体"/>
                <w:color w:val="auto"/>
                <w:szCs w:val="24"/>
                <w:highlight w:val="none"/>
              </w:rPr>
            </w:pPr>
          </w:p>
        </w:tc>
        <w:tc>
          <w:tcPr>
            <w:tcW w:w="2075" w:type="dxa"/>
            <w:vAlign w:val="center"/>
          </w:tcPr>
          <w:p>
            <w:pPr>
              <w:spacing w:line="240" w:lineRule="auto"/>
              <w:ind w:firstLine="0" w:firstLineChars="0"/>
              <w:outlineLvl w:val="5"/>
              <w:rPr>
                <w:rFonts w:ascii="宋体" w:hAnsi="宋体" w:cs="宋体"/>
                <w:color w:val="auto"/>
                <w:szCs w:val="24"/>
                <w:highlight w:val="none"/>
              </w:rPr>
            </w:pPr>
          </w:p>
        </w:tc>
        <w:tc>
          <w:tcPr>
            <w:tcW w:w="1352" w:type="dxa"/>
            <w:vAlign w:val="center"/>
          </w:tcPr>
          <w:p>
            <w:pPr>
              <w:spacing w:line="240" w:lineRule="auto"/>
              <w:ind w:firstLine="0" w:firstLineChars="0"/>
              <w:outlineLvl w:val="5"/>
              <w:rPr>
                <w:rFonts w:ascii="宋体" w:hAnsi="宋体" w:cs="宋体"/>
                <w:color w:val="auto"/>
                <w:szCs w:val="24"/>
                <w:highlight w:val="none"/>
              </w:rPr>
            </w:pPr>
          </w:p>
        </w:tc>
        <w:tc>
          <w:tcPr>
            <w:tcW w:w="1352" w:type="dxa"/>
            <w:vAlign w:val="center"/>
          </w:tcPr>
          <w:p>
            <w:pPr>
              <w:spacing w:line="240" w:lineRule="auto"/>
              <w:ind w:firstLine="0" w:firstLineChars="0"/>
              <w:outlineLvl w:val="5"/>
              <w:rPr>
                <w:rFonts w:ascii="宋体" w:hAnsi="宋体" w:cs="宋体"/>
                <w:color w:val="auto"/>
                <w:szCs w:val="24"/>
                <w:highlight w:val="none"/>
              </w:rPr>
            </w:pPr>
          </w:p>
        </w:tc>
        <w:tc>
          <w:tcPr>
            <w:tcW w:w="1284" w:type="dxa"/>
            <w:tcBorders>
              <w:left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17" w:type="dxa"/>
            <w:vAlign w:val="center"/>
          </w:tcPr>
          <w:p>
            <w:pPr>
              <w:spacing w:line="240" w:lineRule="auto"/>
              <w:ind w:firstLine="0" w:firstLineChars="0"/>
              <w:outlineLvl w:val="5"/>
              <w:rPr>
                <w:rFonts w:ascii="宋体" w:hAnsi="宋体" w:cs="宋体"/>
                <w:color w:val="auto"/>
                <w:szCs w:val="24"/>
                <w:highlight w:val="none"/>
              </w:rPr>
            </w:pPr>
          </w:p>
        </w:tc>
        <w:tc>
          <w:tcPr>
            <w:tcW w:w="1802" w:type="dxa"/>
            <w:tcBorders>
              <w:right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2075" w:type="dxa"/>
            <w:tcBorders>
              <w:left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1352" w:type="dxa"/>
            <w:vAlign w:val="center"/>
          </w:tcPr>
          <w:p>
            <w:pPr>
              <w:spacing w:line="240" w:lineRule="auto"/>
              <w:ind w:firstLine="0" w:firstLineChars="0"/>
              <w:outlineLvl w:val="5"/>
              <w:rPr>
                <w:rFonts w:ascii="宋体" w:hAnsi="宋体" w:cs="宋体"/>
                <w:color w:val="auto"/>
                <w:szCs w:val="24"/>
                <w:highlight w:val="none"/>
              </w:rPr>
            </w:pPr>
          </w:p>
        </w:tc>
        <w:tc>
          <w:tcPr>
            <w:tcW w:w="1352" w:type="dxa"/>
            <w:vAlign w:val="center"/>
          </w:tcPr>
          <w:p>
            <w:pPr>
              <w:spacing w:line="240" w:lineRule="auto"/>
              <w:ind w:firstLine="0" w:firstLineChars="0"/>
              <w:outlineLvl w:val="5"/>
              <w:rPr>
                <w:rFonts w:ascii="宋体" w:hAnsi="宋体" w:cs="宋体"/>
                <w:color w:val="auto"/>
                <w:szCs w:val="24"/>
                <w:highlight w:val="none"/>
              </w:rPr>
            </w:pPr>
          </w:p>
        </w:tc>
        <w:tc>
          <w:tcPr>
            <w:tcW w:w="1284" w:type="dxa"/>
            <w:tcBorders>
              <w:left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17" w:type="dxa"/>
            <w:tcBorders>
              <w:right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1802" w:type="dxa"/>
            <w:tcBorders>
              <w:left w:val="single" w:color="auto" w:sz="4" w:space="0"/>
              <w:right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2075" w:type="dxa"/>
            <w:tcBorders>
              <w:left w:val="single" w:color="auto" w:sz="4" w:space="0"/>
              <w:right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1352" w:type="dxa"/>
            <w:tcBorders>
              <w:left w:val="single" w:color="auto" w:sz="4" w:space="0"/>
              <w:right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1352" w:type="dxa"/>
            <w:tcBorders>
              <w:left w:val="single" w:color="auto" w:sz="4" w:space="0"/>
              <w:right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1284" w:type="dxa"/>
            <w:tcBorders>
              <w:left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17" w:type="dxa"/>
            <w:vAlign w:val="center"/>
          </w:tcPr>
          <w:p>
            <w:pPr>
              <w:spacing w:line="240" w:lineRule="auto"/>
              <w:ind w:firstLine="0" w:firstLineChars="0"/>
              <w:outlineLvl w:val="5"/>
              <w:rPr>
                <w:rFonts w:ascii="宋体" w:hAnsi="宋体" w:cs="宋体"/>
                <w:color w:val="auto"/>
                <w:szCs w:val="24"/>
                <w:highlight w:val="none"/>
              </w:rPr>
            </w:pPr>
          </w:p>
        </w:tc>
        <w:tc>
          <w:tcPr>
            <w:tcW w:w="1802" w:type="dxa"/>
            <w:vAlign w:val="center"/>
          </w:tcPr>
          <w:p>
            <w:pPr>
              <w:spacing w:line="240" w:lineRule="auto"/>
              <w:ind w:firstLine="0" w:firstLineChars="0"/>
              <w:outlineLvl w:val="5"/>
              <w:rPr>
                <w:rFonts w:ascii="宋体" w:hAnsi="宋体" w:cs="宋体"/>
                <w:color w:val="auto"/>
                <w:szCs w:val="24"/>
                <w:highlight w:val="none"/>
              </w:rPr>
            </w:pPr>
          </w:p>
        </w:tc>
        <w:tc>
          <w:tcPr>
            <w:tcW w:w="2075" w:type="dxa"/>
            <w:vAlign w:val="center"/>
          </w:tcPr>
          <w:p>
            <w:pPr>
              <w:spacing w:line="240" w:lineRule="auto"/>
              <w:ind w:firstLine="0" w:firstLineChars="0"/>
              <w:outlineLvl w:val="5"/>
              <w:rPr>
                <w:rFonts w:ascii="宋体" w:hAnsi="宋体" w:cs="宋体"/>
                <w:color w:val="auto"/>
                <w:szCs w:val="24"/>
                <w:highlight w:val="none"/>
              </w:rPr>
            </w:pPr>
          </w:p>
        </w:tc>
        <w:tc>
          <w:tcPr>
            <w:tcW w:w="1352" w:type="dxa"/>
            <w:vAlign w:val="center"/>
          </w:tcPr>
          <w:p>
            <w:pPr>
              <w:spacing w:line="240" w:lineRule="auto"/>
              <w:ind w:firstLine="0" w:firstLineChars="0"/>
              <w:outlineLvl w:val="5"/>
              <w:rPr>
                <w:rFonts w:ascii="宋体" w:hAnsi="宋体" w:cs="宋体"/>
                <w:color w:val="auto"/>
                <w:szCs w:val="24"/>
                <w:highlight w:val="none"/>
              </w:rPr>
            </w:pPr>
          </w:p>
        </w:tc>
        <w:tc>
          <w:tcPr>
            <w:tcW w:w="1352" w:type="dxa"/>
            <w:vAlign w:val="center"/>
          </w:tcPr>
          <w:p>
            <w:pPr>
              <w:spacing w:line="240" w:lineRule="auto"/>
              <w:ind w:firstLine="0" w:firstLineChars="0"/>
              <w:outlineLvl w:val="5"/>
              <w:rPr>
                <w:rFonts w:ascii="宋体" w:hAnsi="宋体" w:cs="宋体"/>
                <w:color w:val="auto"/>
                <w:szCs w:val="24"/>
                <w:highlight w:val="none"/>
              </w:rPr>
            </w:pPr>
          </w:p>
        </w:tc>
        <w:tc>
          <w:tcPr>
            <w:tcW w:w="1284" w:type="dxa"/>
            <w:tcBorders>
              <w:left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17" w:type="dxa"/>
            <w:vAlign w:val="center"/>
          </w:tcPr>
          <w:p>
            <w:pPr>
              <w:spacing w:line="240" w:lineRule="auto"/>
              <w:ind w:firstLine="0" w:firstLineChars="0"/>
              <w:outlineLvl w:val="5"/>
              <w:rPr>
                <w:rFonts w:ascii="宋体" w:hAnsi="宋体" w:cs="宋体"/>
                <w:color w:val="auto"/>
                <w:szCs w:val="24"/>
                <w:highlight w:val="none"/>
              </w:rPr>
            </w:pPr>
          </w:p>
        </w:tc>
        <w:tc>
          <w:tcPr>
            <w:tcW w:w="1802" w:type="dxa"/>
            <w:vAlign w:val="center"/>
          </w:tcPr>
          <w:p>
            <w:pPr>
              <w:spacing w:line="240" w:lineRule="auto"/>
              <w:ind w:firstLine="0" w:firstLineChars="0"/>
              <w:outlineLvl w:val="5"/>
              <w:rPr>
                <w:rFonts w:ascii="宋体" w:hAnsi="宋体" w:cs="宋体"/>
                <w:color w:val="auto"/>
                <w:szCs w:val="24"/>
                <w:highlight w:val="none"/>
              </w:rPr>
            </w:pPr>
          </w:p>
        </w:tc>
        <w:tc>
          <w:tcPr>
            <w:tcW w:w="2075" w:type="dxa"/>
            <w:vAlign w:val="center"/>
          </w:tcPr>
          <w:p>
            <w:pPr>
              <w:spacing w:line="240" w:lineRule="auto"/>
              <w:ind w:firstLine="0" w:firstLineChars="0"/>
              <w:outlineLvl w:val="5"/>
              <w:rPr>
                <w:rFonts w:ascii="宋体" w:hAnsi="宋体" w:cs="宋体"/>
                <w:color w:val="auto"/>
                <w:szCs w:val="24"/>
                <w:highlight w:val="none"/>
              </w:rPr>
            </w:pPr>
          </w:p>
        </w:tc>
        <w:tc>
          <w:tcPr>
            <w:tcW w:w="1352" w:type="dxa"/>
            <w:vAlign w:val="center"/>
          </w:tcPr>
          <w:p>
            <w:pPr>
              <w:spacing w:line="240" w:lineRule="auto"/>
              <w:ind w:firstLine="0" w:firstLineChars="0"/>
              <w:outlineLvl w:val="5"/>
              <w:rPr>
                <w:rFonts w:ascii="宋体" w:hAnsi="宋体" w:cs="宋体"/>
                <w:color w:val="auto"/>
                <w:szCs w:val="24"/>
                <w:highlight w:val="none"/>
              </w:rPr>
            </w:pPr>
          </w:p>
        </w:tc>
        <w:tc>
          <w:tcPr>
            <w:tcW w:w="1352" w:type="dxa"/>
            <w:vAlign w:val="center"/>
          </w:tcPr>
          <w:p>
            <w:pPr>
              <w:spacing w:line="240" w:lineRule="auto"/>
              <w:ind w:firstLine="0" w:firstLineChars="0"/>
              <w:outlineLvl w:val="5"/>
              <w:rPr>
                <w:rFonts w:ascii="宋体" w:hAnsi="宋体" w:cs="宋体"/>
                <w:color w:val="auto"/>
                <w:szCs w:val="24"/>
                <w:highlight w:val="none"/>
              </w:rPr>
            </w:pPr>
          </w:p>
        </w:tc>
        <w:tc>
          <w:tcPr>
            <w:tcW w:w="1284" w:type="dxa"/>
            <w:tcBorders>
              <w:left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17" w:type="dxa"/>
            <w:vAlign w:val="center"/>
          </w:tcPr>
          <w:p>
            <w:pPr>
              <w:spacing w:line="240" w:lineRule="auto"/>
              <w:ind w:firstLine="0" w:firstLineChars="0"/>
              <w:outlineLvl w:val="5"/>
              <w:rPr>
                <w:rFonts w:ascii="宋体" w:hAnsi="宋体" w:cs="宋体"/>
                <w:color w:val="auto"/>
                <w:szCs w:val="24"/>
                <w:highlight w:val="none"/>
              </w:rPr>
            </w:pPr>
          </w:p>
        </w:tc>
        <w:tc>
          <w:tcPr>
            <w:tcW w:w="1802" w:type="dxa"/>
            <w:vAlign w:val="center"/>
          </w:tcPr>
          <w:p>
            <w:pPr>
              <w:spacing w:line="240" w:lineRule="auto"/>
              <w:ind w:firstLine="0" w:firstLineChars="0"/>
              <w:outlineLvl w:val="5"/>
              <w:rPr>
                <w:rFonts w:ascii="宋体" w:hAnsi="宋体" w:cs="宋体"/>
                <w:color w:val="auto"/>
                <w:szCs w:val="24"/>
                <w:highlight w:val="none"/>
              </w:rPr>
            </w:pPr>
          </w:p>
        </w:tc>
        <w:tc>
          <w:tcPr>
            <w:tcW w:w="2075" w:type="dxa"/>
            <w:vAlign w:val="center"/>
          </w:tcPr>
          <w:p>
            <w:pPr>
              <w:spacing w:line="240" w:lineRule="auto"/>
              <w:ind w:firstLine="0" w:firstLineChars="0"/>
              <w:outlineLvl w:val="5"/>
              <w:rPr>
                <w:rFonts w:ascii="宋体" w:hAnsi="宋体" w:cs="宋体"/>
                <w:color w:val="auto"/>
                <w:szCs w:val="24"/>
                <w:highlight w:val="none"/>
              </w:rPr>
            </w:pPr>
          </w:p>
        </w:tc>
        <w:tc>
          <w:tcPr>
            <w:tcW w:w="1352" w:type="dxa"/>
            <w:vAlign w:val="center"/>
          </w:tcPr>
          <w:p>
            <w:pPr>
              <w:spacing w:line="240" w:lineRule="auto"/>
              <w:ind w:firstLine="0" w:firstLineChars="0"/>
              <w:outlineLvl w:val="5"/>
              <w:rPr>
                <w:rFonts w:ascii="宋体" w:hAnsi="宋体" w:cs="宋体"/>
                <w:color w:val="auto"/>
                <w:szCs w:val="24"/>
                <w:highlight w:val="none"/>
              </w:rPr>
            </w:pPr>
          </w:p>
        </w:tc>
        <w:tc>
          <w:tcPr>
            <w:tcW w:w="1352" w:type="dxa"/>
            <w:vAlign w:val="center"/>
          </w:tcPr>
          <w:p>
            <w:pPr>
              <w:spacing w:line="240" w:lineRule="auto"/>
              <w:ind w:firstLine="0" w:firstLineChars="0"/>
              <w:outlineLvl w:val="5"/>
              <w:rPr>
                <w:rFonts w:ascii="宋体" w:hAnsi="宋体" w:cs="宋体"/>
                <w:color w:val="auto"/>
                <w:szCs w:val="24"/>
                <w:highlight w:val="none"/>
              </w:rPr>
            </w:pPr>
          </w:p>
        </w:tc>
        <w:tc>
          <w:tcPr>
            <w:tcW w:w="1284" w:type="dxa"/>
            <w:tcBorders>
              <w:left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617" w:type="dxa"/>
            <w:tcBorders>
              <w:bottom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1802" w:type="dxa"/>
            <w:tcBorders>
              <w:bottom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2075" w:type="dxa"/>
            <w:tcBorders>
              <w:bottom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1352" w:type="dxa"/>
            <w:tcBorders>
              <w:bottom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1352" w:type="dxa"/>
            <w:tcBorders>
              <w:bottom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1284" w:type="dxa"/>
            <w:tcBorders>
              <w:left w:val="single" w:color="auto" w:sz="4" w:space="0"/>
              <w:bottom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617" w:type="dxa"/>
            <w:tcBorders>
              <w:top w:val="single" w:color="auto" w:sz="4" w:space="0"/>
              <w:bottom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1802" w:type="dxa"/>
            <w:tcBorders>
              <w:top w:val="single" w:color="auto" w:sz="4" w:space="0"/>
              <w:bottom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2075" w:type="dxa"/>
            <w:tcBorders>
              <w:top w:val="single" w:color="auto" w:sz="4" w:space="0"/>
              <w:bottom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1352" w:type="dxa"/>
            <w:tcBorders>
              <w:top w:val="single" w:color="auto" w:sz="4" w:space="0"/>
              <w:bottom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1352" w:type="dxa"/>
            <w:tcBorders>
              <w:top w:val="single" w:color="auto" w:sz="4" w:space="0"/>
              <w:bottom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1284" w:type="dxa"/>
            <w:tcBorders>
              <w:top w:val="single" w:color="auto" w:sz="4" w:space="0"/>
              <w:left w:val="single" w:color="auto" w:sz="4" w:space="0"/>
              <w:bottom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617" w:type="dxa"/>
            <w:tcBorders>
              <w:top w:val="single" w:color="auto" w:sz="4" w:space="0"/>
              <w:bottom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1802" w:type="dxa"/>
            <w:tcBorders>
              <w:top w:val="single" w:color="auto" w:sz="4" w:space="0"/>
              <w:bottom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2075" w:type="dxa"/>
            <w:tcBorders>
              <w:top w:val="single" w:color="auto" w:sz="4" w:space="0"/>
              <w:bottom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1352" w:type="dxa"/>
            <w:tcBorders>
              <w:top w:val="single" w:color="auto" w:sz="4" w:space="0"/>
              <w:bottom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1352" w:type="dxa"/>
            <w:tcBorders>
              <w:top w:val="single" w:color="auto" w:sz="4" w:space="0"/>
              <w:bottom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c>
          <w:tcPr>
            <w:tcW w:w="1284" w:type="dxa"/>
            <w:tcBorders>
              <w:top w:val="single" w:color="auto" w:sz="4" w:space="0"/>
              <w:left w:val="single" w:color="auto" w:sz="4" w:space="0"/>
              <w:bottom w:val="single" w:color="auto" w:sz="4" w:space="0"/>
            </w:tcBorders>
            <w:vAlign w:val="center"/>
          </w:tcPr>
          <w:p>
            <w:pPr>
              <w:spacing w:line="240" w:lineRule="auto"/>
              <w:ind w:firstLine="0" w:firstLineChars="0"/>
              <w:outlineLvl w:val="5"/>
              <w:rPr>
                <w:rFonts w:ascii="宋体" w:hAnsi="宋体" w:cs="宋体"/>
                <w:color w:val="auto"/>
                <w:szCs w:val="24"/>
                <w:highlight w:val="none"/>
              </w:rPr>
            </w:pPr>
          </w:p>
        </w:tc>
      </w:tr>
    </w:tbl>
    <w:p>
      <w:pPr>
        <w:pStyle w:val="2"/>
        <w:spacing w:line="360" w:lineRule="auto"/>
        <w:ind w:firstLine="492"/>
        <w:rPr>
          <w:color w:val="auto"/>
          <w:szCs w:val="24"/>
          <w:highlight w:val="none"/>
        </w:rPr>
      </w:pPr>
      <w:bookmarkStart w:id="261" w:name="_Toc12974"/>
      <w:bookmarkStart w:id="262" w:name="_Toc858"/>
      <w:bookmarkStart w:id="263" w:name="_Toc30185"/>
      <w:bookmarkStart w:id="264" w:name="_Toc3145"/>
      <w:bookmarkStart w:id="265" w:name="_Toc4615"/>
      <w:r>
        <w:rPr>
          <w:rFonts w:hint="eastAsia" w:ascii="宋体" w:hAnsi="宋体" w:cs="宋体"/>
          <w:color w:val="auto"/>
          <w:szCs w:val="24"/>
          <w:highlight w:val="none"/>
        </w:rPr>
        <w:t>说明：以上业绩仅限投标人自己实施的。</w:t>
      </w:r>
      <w:bookmarkEnd w:id="261"/>
      <w:bookmarkEnd w:id="262"/>
      <w:bookmarkEnd w:id="263"/>
      <w:bookmarkEnd w:id="264"/>
      <w:bookmarkEnd w:id="265"/>
      <w:r>
        <w:rPr>
          <w:rFonts w:hint="eastAsia"/>
          <w:color w:val="auto"/>
          <w:szCs w:val="24"/>
          <w:highlight w:val="none"/>
        </w:rPr>
        <w:t>对于投标人不涉及的项，可不填写，如无业绩，可不提供本页内容。</w:t>
      </w:r>
    </w:p>
    <w:p>
      <w:pPr>
        <w:ind w:firstLine="492"/>
        <w:rPr>
          <w:color w:val="auto"/>
          <w:highlight w:val="none"/>
        </w:rPr>
      </w:pP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投标人名称：</w:t>
      </w:r>
      <w:r>
        <w:rPr>
          <w:rFonts w:hint="eastAsia" w:ascii="宋体" w:hAnsi="宋体"/>
          <w:bCs/>
          <w:color w:val="auto"/>
          <w:szCs w:val="24"/>
          <w:highlight w:val="none"/>
          <w:u w:val="single"/>
        </w:rPr>
        <w:t xml:space="preserve">                       </w:t>
      </w:r>
      <w:r>
        <w:rPr>
          <w:rFonts w:hint="eastAsia" w:ascii="宋体" w:hAnsi="宋体"/>
          <w:bCs/>
          <w:color w:val="auto"/>
          <w:szCs w:val="24"/>
          <w:highlight w:val="none"/>
        </w:rPr>
        <w:t>（加盖单位公章）</w:t>
      </w: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法定代表人或代理人：</w:t>
      </w:r>
      <w:r>
        <w:rPr>
          <w:rFonts w:hint="eastAsia" w:ascii="宋体" w:hAnsi="宋体"/>
          <w:bCs/>
          <w:color w:val="auto"/>
          <w:szCs w:val="24"/>
          <w:highlight w:val="none"/>
          <w:u w:val="single"/>
        </w:rPr>
        <w:t xml:space="preserve">               </w:t>
      </w:r>
      <w:r>
        <w:rPr>
          <w:rFonts w:hint="eastAsia" w:ascii="宋体" w:hAnsi="宋体"/>
          <w:bCs/>
          <w:color w:val="auto"/>
          <w:szCs w:val="24"/>
          <w:highlight w:val="none"/>
        </w:rPr>
        <w:t>（签字）</w:t>
      </w:r>
    </w:p>
    <w:p>
      <w:pPr>
        <w:adjustRightInd w:val="0"/>
        <w:ind w:firstLine="492"/>
        <w:rPr>
          <w:rFonts w:ascii="宋体" w:hAnsi="宋体"/>
          <w:color w:val="auto"/>
          <w:szCs w:val="24"/>
          <w:highlight w:val="none"/>
        </w:rPr>
      </w:pPr>
      <w:r>
        <w:rPr>
          <w:rFonts w:ascii="宋体" w:hAnsi="宋体"/>
          <w:color w:val="auto"/>
          <w:szCs w:val="24"/>
          <w:highlight w:val="none"/>
        </w:rPr>
        <w:t>日期：</w:t>
      </w:r>
      <w:r>
        <w:rPr>
          <w:rFonts w:hint="eastAsia" w:ascii="宋体" w:hAnsi="宋体"/>
          <w:color w:val="auto"/>
          <w:szCs w:val="24"/>
          <w:highlight w:val="none"/>
          <w:u w:val="single"/>
        </w:rPr>
        <w:t xml:space="preserve">      </w:t>
      </w:r>
      <w:r>
        <w:rPr>
          <w:rFonts w:ascii="宋体" w:hAnsi="宋体"/>
          <w:color w:val="auto"/>
          <w:szCs w:val="24"/>
          <w:highlight w:val="none"/>
        </w:rPr>
        <w:t>年</w:t>
      </w:r>
      <w:r>
        <w:rPr>
          <w:rFonts w:hint="eastAsia" w:ascii="宋体" w:hAnsi="宋体"/>
          <w:color w:val="auto"/>
          <w:szCs w:val="24"/>
          <w:highlight w:val="none"/>
          <w:u w:val="single"/>
        </w:rPr>
        <w:t xml:space="preserve">      </w:t>
      </w:r>
      <w:r>
        <w:rPr>
          <w:rFonts w:ascii="宋体" w:hAnsi="宋体"/>
          <w:color w:val="auto"/>
          <w:szCs w:val="24"/>
          <w:highlight w:val="none"/>
        </w:rPr>
        <w:t>月</w:t>
      </w:r>
      <w:r>
        <w:rPr>
          <w:rFonts w:hint="eastAsia" w:ascii="宋体" w:hAnsi="宋体"/>
          <w:color w:val="auto"/>
          <w:szCs w:val="24"/>
          <w:highlight w:val="none"/>
          <w:u w:val="single"/>
        </w:rPr>
        <w:t xml:space="preserve">      </w:t>
      </w:r>
      <w:r>
        <w:rPr>
          <w:rFonts w:ascii="宋体" w:hAnsi="宋体"/>
          <w:color w:val="auto"/>
          <w:szCs w:val="24"/>
          <w:highlight w:val="none"/>
        </w:rPr>
        <w:t>日</w:t>
      </w:r>
    </w:p>
    <w:p>
      <w:pPr>
        <w:pStyle w:val="2"/>
        <w:rPr>
          <w:rFonts w:ascii="宋体" w:hAnsi="宋体"/>
          <w:color w:val="auto"/>
          <w:szCs w:val="24"/>
          <w:highlight w:val="none"/>
        </w:rPr>
      </w:pPr>
    </w:p>
    <w:p>
      <w:pPr>
        <w:rPr>
          <w:rFonts w:ascii="宋体" w:hAnsi="宋体"/>
          <w:color w:val="auto"/>
          <w:szCs w:val="24"/>
          <w:highlight w:val="none"/>
        </w:rPr>
      </w:pPr>
    </w:p>
    <w:p>
      <w:pPr>
        <w:pStyle w:val="2"/>
      </w:pPr>
    </w:p>
    <w:bookmarkEnd w:id="256"/>
    <w:bookmarkEnd w:id="257"/>
    <w:bookmarkEnd w:id="258"/>
    <w:p>
      <w:pPr>
        <w:pStyle w:val="5"/>
        <w:ind w:left="322" w:leftChars="0" w:firstLine="494" w:firstLineChars="0"/>
        <w:rPr>
          <w:color w:val="auto"/>
          <w:highlight w:val="none"/>
        </w:rPr>
      </w:pPr>
      <w:r>
        <w:rPr>
          <w:rFonts w:hint="eastAsia"/>
          <w:color w:val="auto"/>
          <w:highlight w:val="none"/>
        </w:rPr>
        <w:t>服务方案</w:t>
      </w:r>
    </w:p>
    <w:p>
      <w:pPr>
        <w:snapToGrid w:val="0"/>
        <w:ind w:firstLine="494"/>
        <w:rPr>
          <w:rFonts w:ascii="宋体" w:hAnsi="宋体"/>
          <w:b/>
          <w:color w:val="auto"/>
          <w:szCs w:val="24"/>
          <w:highlight w:val="none"/>
        </w:rPr>
      </w:pPr>
      <w:r>
        <w:rPr>
          <w:rFonts w:hint="eastAsia" w:ascii="宋体" w:hAnsi="宋体"/>
          <w:b/>
          <w:color w:val="auto"/>
          <w:szCs w:val="24"/>
          <w:highlight w:val="none"/>
        </w:rPr>
        <w:t>项目名称：</w:t>
      </w:r>
      <w:r>
        <w:rPr>
          <w:rFonts w:hint="eastAsia" w:ascii="宋体" w:hAnsi="宋体"/>
          <w:b/>
          <w:color w:val="auto"/>
          <w:szCs w:val="24"/>
          <w:highlight w:val="none"/>
          <w:u w:val="single"/>
          <w:lang w:eastAsia="zh-CN"/>
        </w:rPr>
        <w:t>成都市龙泉驿区城市绿地建设管理中心零星维护服务采购项目</w:t>
      </w:r>
    </w:p>
    <w:p>
      <w:pPr>
        <w:pStyle w:val="14"/>
        <w:tabs>
          <w:tab w:val="left" w:pos="7560"/>
        </w:tabs>
        <w:spacing w:after="0" w:line="360" w:lineRule="auto"/>
        <w:ind w:firstLine="494"/>
        <w:rPr>
          <w:rFonts w:hint="eastAsia" w:ascii="宋体" w:hAnsi="宋体" w:eastAsia="宋体"/>
          <w:b/>
          <w:color w:val="auto"/>
          <w:szCs w:val="24"/>
          <w:highlight w:val="none"/>
          <w:u w:val="single"/>
          <w:lang w:eastAsia="zh-CN"/>
        </w:rPr>
      </w:pPr>
      <w:r>
        <w:rPr>
          <w:rFonts w:hint="eastAsia" w:ascii="宋体" w:hAnsi="宋体"/>
          <w:b/>
          <w:color w:val="auto"/>
          <w:szCs w:val="24"/>
          <w:highlight w:val="none"/>
          <w:lang w:eastAsia="zh-CN"/>
        </w:rPr>
        <w:t>项目编号</w:t>
      </w:r>
      <w:r>
        <w:rPr>
          <w:rFonts w:hint="eastAsia" w:ascii="宋体" w:hAnsi="宋体"/>
          <w:b/>
          <w:color w:val="auto"/>
          <w:szCs w:val="24"/>
          <w:highlight w:val="none"/>
        </w:rPr>
        <w:t>：</w:t>
      </w:r>
      <w:r>
        <w:rPr>
          <w:rFonts w:hint="eastAsia" w:ascii="宋体" w:hAnsi="宋体"/>
          <w:b/>
          <w:color w:val="auto"/>
          <w:szCs w:val="24"/>
          <w:highlight w:val="none"/>
          <w:u w:val="single"/>
          <w:lang w:eastAsia="zh-CN"/>
        </w:rPr>
        <w:t>510112202100104</w:t>
      </w:r>
    </w:p>
    <w:p>
      <w:pPr>
        <w:pStyle w:val="2"/>
        <w:spacing w:line="360" w:lineRule="auto"/>
        <w:ind w:firstLine="494"/>
        <w:rPr>
          <w:color w:val="auto"/>
          <w:szCs w:val="24"/>
          <w:highlight w:val="none"/>
        </w:rPr>
      </w:pPr>
      <w:r>
        <w:rPr>
          <w:rFonts w:hint="eastAsia" w:ascii="宋体" w:hAnsi="宋体"/>
          <w:b/>
          <w:color w:val="auto"/>
          <w:szCs w:val="24"/>
          <w:highlight w:val="none"/>
        </w:rPr>
        <w:t>包 件 号：</w:t>
      </w:r>
      <w:r>
        <w:rPr>
          <w:rFonts w:hint="eastAsia" w:ascii="宋体" w:hAnsi="宋体"/>
          <w:b/>
          <w:color w:val="auto"/>
          <w:szCs w:val="24"/>
          <w:highlight w:val="none"/>
          <w:u w:val="single"/>
        </w:rPr>
        <w:t xml:space="preserve"> </w:t>
      </w:r>
      <w:r>
        <w:rPr>
          <w:rFonts w:hint="eastAsia" w:ascii="宋体" w:hAnsi="宋体"/>
          <w:b/>
          <w:color w:val="auto"/>
          <w:sz w:val="28"/>
          <w:szCs w:val="28"/>
          <w:highlight w:val="none"/>
          <w:u w:val="single"/>
        </w:rPr>
        <w:t xml:space="preserve">  </w:t>
      </w:r>
      <w:r>
        <w:rPr>
          <w:rFonts w:hint="eastAsia" w:ascii="宋体" w:hAnsi="宋体"/>
          <w:b/>
          <w:color w:val="auto"/>
          <w:szCs w:val="24"/>
          <w:highlight w:val="none"/>
          <w:u w:val="single"/>
        </w:rPr>
        <w:t xml:space="preserve">       </w:t>
      </w:r>
    </w:p>
    <w:p>
      <w:pPr>
        <w:pStyle w:val="14"/>
        <w:tabs>
          <w:tab w:val="left" w:pos="7560"/>
        </w:tabs>
        <w:spacing w:after="0" w:line="360" w:lineRule="auto"/>
        <w:ind w:firstLine="494"/>
        <w:rPr>
          <w:rFonts w:ascii="宋体" w:hAnsi="宋体"/>
          <w:b/>
          <w:color w:val="auto"/>
          <w:szCs w:val="24"/>
          <w:highlight w:val="none"/>
        </w:rPr>
      </w:pPr>
    </w:p>
    <w:bookmarkEnd w:id="254"/>
    <w:p>
      <w:pPr>
        <w:ind w:firstLine="492"/>
        <w:rPr>
          <w:rFonts w:ascii="宋体" w:hAnsi="宋体"/>
          <w:bCs/>
          <w:color w:val="auto"/>
          <w:szCs w:val="24"/>
          <w:highlight w:val="none"/>
        </w:rPr>
      </w:pPr>
      <w:bookmarkStart w:id="266" w:name="_Toc316475719"/>
    </w:p>
    <w:p>
      <w:pPr>
        <w:pStyle w:val="2"/>
        <w:spacing w:line="360" w:lineRule="auto"/>
        <w:ind w:firstLine="492"/>
        <w:rPr>
          <w:rFonts w:ascii="宋体" w:hAnsi="宋体"/>
          <w:bCs/>
          <w:color w:val="auto"/>
          <w:szCs w:val="24"/>
          <w:highlight w:val="none"/>
        </w:rPr>
      </w:pPr>
    </w:p>
    <w:p>
      <w:pPr>
        <w:pStyle w:val="2"/>
        <w:spacing w:line="360" w:lineRule="auto"/>
        <w:ind w:firstLine="492"/>
        <w:rPr>
          <w:rFonts w:ascii="宋体" w:hAnsi="宋体"/>
          <w:bCs/>
          <w:color w:val="auto"/>
          <w:szCs w:val="24"/>
          <w:highlight w:val="none"/>
        </w:rPr>
      </w:pPr>
    </w:p>
    <w:p>
      <w:pPr>
        <w:pStyle w:val="2"/>
        <w:spacing w:line="360" w:lineRule="auto"/>
        <w:ind w:firstLine="492"/>
        <w:rPr>
          <w:rFonts w:ascii="宋体" w:hAnsi="宋体"/>
          <w:bCs/>
          <w:color w:val="auto"/>
          <w:szCs w:val="24"/>
          <w:highlight w:val="none"/>
        </w:rPr>
      </w:pPr>
    </w:p>
    <w:p>
      <w:pPr>
        <w:pStyle w:val="2"/>
        <w:spacing w:line="360" w:lineRule="auto"/>
        <w:ind w:firstLine="492"/>
        <w:rPr>
          <w:rFonts w:ascii="宋体" w:hAnsi="宋体"/>
          <w:bCs/>
          <w:color w:val="auto"/>
          <w:szCs w:val="24"/>
          <w:highlight w:val="none"/>
        </w:rPr>
      </w:pPr>
    </w:p>
    <w:p>
      <w:pPr>
        <w:pStyle w:val="2"/>
        <w:spacing w:line="360" w:lineRule="auto"/>
        <w:ind w:firstLine="492"/>
        <w:rPr>
          <w:rFonts w:ascii="宋体" w:hAnsi="宋体"/>
          <w:bCs/>
          <w:color w:val="auto"/>
          <w:szCs w:val="24"/>
          <w:highlight w:val="none"/>
        </w:rPr>
      </w:pPr>
    </w:p>
    <w:p>
      <w:pPr>
        <w:pStyle w:val="2"/>
        <w:spacing w:line="360" w:lineRule="auto"/>
        <w:ind w:firstLine="492"/>
        <w:rPr>
          <w:rFonts w:ascii="宋体" w:hAnsi="宋体"/>
          <w:bCs/>
          <w:color w:val="auto"/>
          <w:szCs w:val="24"/>
          <w:highlight w:val="none"/>
        </w:rPr>
      </w:pPr>
    </w:p>
    <w:p>
      <w:pPr>
        <w:pStyle w:val="2"/>
        <w:spacing w:line="360" w:lineRule="auto"/>
        <w:ind w:firstLine="492"/>
        <w:rPr>
          <w:rFonts w:ascii="宋体" w:hAnsi="宋体"/>
          <w:bCs/>
          <w:color w:val="auto"/>
          <w:szCs w:val="24"/>
          <w:highlight w:val="none"/>
        </w:rPr>
      </w:pPr>
    </w:p>
    <w:p>
      <w:pPr>
        <w:pStyle w:val="2"/>
        <w:spacing w:line="360" w:lineRule="auto"/>
        <w:ind w:firstLine="492"/>
        <w:rPr>
          <w:rFonts w:ascii="宋体" w:hAnsi="宋体"/>
          <w:bCs/>
          <w:color w:val="auto"/>
          <w:szCs w:val="24"/>
          <w:highlight w:val="none"/>
        </w:rPr>
      </w:pPr>
    </w:p>
    <w:p>
      <w:pPr>
        <w:pStyle w:val="2"/>
        <w:spacing w:line="360" w:lineRule="auto"/>
        <w:ind w:firstLine="492"/>
        <w:rPr>
          <w:rFonts w:ascii="宋体" w:hAnsi="宋体"/>
          <w:bCs/>
          <w:color w:val="auto"/>
          <w:szCs w:val="24"/>
          <w:highlight w:val="none"/>
        </w:rPr>
      </w:pPr>
    </w:p>
    <w:p>
      <w:pPr>
        <w:ind w:firstLine="492"/>
        <w:rPr>
          <w:rFonts w:ascii="宋体" w:hAnsi="宋体"/>
          <w:bCs/>
          <w:color w:val="auto"/>
          <w:szCs w:val="24"/>
          <w:highlight w:val="none"/>
        </w:rPr>
      </w:pPr>
    </w:p>
    <w:p>
      <w:pPr>
        <w:pStyle w:val="2"/>
        <w:spacing w:line="360" w:lineRule="auto"/>
        <w:ind w:firstLine="492"/>
        <w:rPr>
          <w:color w:val="auto"/>
          <w:szCs w:val="24"/>
          <w:highlight w:val="none"/>
        </w:rPr>
      </w:pPr>
    </w:p>
    <w:bookmarkEnd w:id="266"/>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投标人名称：</w:t>
      </w:r>
      <w:r>
        <w:rPr>
          <w:rFonts w:hint="eastAsia" w:ascii="宋体" w:hAnsi="宋体"/>
          <w:bCs/>
          <w:color w:val="auto"/>
          <w:szCs w:val="24"/>
          <w:highlight w:val="none"/>
          <w:u w:val="single"/>
        </w:rPr>
        <w:t xml:space="preserve">                       </w:t>
      </w:r>
      <w:r>
        <w:rPr>
          <w:rFonts w:hint="eastAsia" w:ascii="宋体" w:hAnsi="宋体"/>
          <w:bCs/>
          <w:color w:val="auto"/>
          <w:szCs w:val="24"/>
          <w:highlight w:val="none"/>
        </w:rPr>
        <w:t>（加盖单位公章）</w:t>
      </w:r>
    </w:p>
    <w:p>
      <w:pPr>
        <w:pStyle w:val="26"/>
        <w:spacing w:after="0" w:line="360" w:lineRule="auto"/>
        <w:ind w:left="0" w:leftChars="0" w:firstLine="492"/>
        <w:rPr>
          <w:rFonts w:ascii="宋体" w:hAnsi="宋体"/>
          <w:bCs/>
          <w:color w:val="auto"/>
          <w:szCs w:val="24"/>
          <w:highlight w:val="none"/>
        </w:rPr>
      </w:pPr>
      <w:r>
        <w:rPr>
          <w:rFonts w:hint="eastAsia" w:ascii="宋体" w:hAnsi="宋体"/>
          <w:bCs/>
          <w:color w:val="auto"/>
          <w:szCs w:val="24"/>
          <w:highlight w:val="none"/>
        </w:rPr>
        <w:t>法定代表人或代理人：</w:t>
      </w:r>
      <w:r>
        <w:rPr>
          <w:rFonts w:hint="eastAsia" w:ascii="宋体" w:hAnsi="宋体"/>
          <w:bCs/>
          <w:color w:val="auto"/>
          <w:szCs w:val="24"/>
          <w:highlight w:val="none"/>
          <w:u w:val="single"/>
        </w:rPr>
        <w:t xml:space="preserve">               </w:t>
      </w:r>
      <w:r>
        <w:rPr>
          <w:rFonts w:hint="eastAsia" w:ascii="宋体" w:hAnsi="宋体"/>
          <w:bCs/>
          <w:color w:val="auto"/>
          <w:szCs w:val="24"/>
          <w:highlight w:val="none"/>
        </w:rPr>
        <w:t>（签字）</w:t>
      </w:r>
    </w:p>
    <w:p>
      <w:pPr>
        <w:adjustRightInd w:val="0"/>
        <w:ind w:firstLine="492"/>
        <w:rPr>
          <w:rFonts w:ascii="宋体" w:hAnsi="宋体"/>
          <w:color w:val="auto"/>
          <w:szCs w:val="24"/>
          <w:highlight w:val="none"/>
        </w:rPr>
      </w:pPr>
      <w:r>
        <w:rPr>
          <w:rFonts w:ascii="宋体" w:hAnsi="宋体"/>
          <w:color w:val="auto"/>
          <w:szCs w:val="24"/>
          <w:highlight w:val="none"/>
        </w:rPr>
        <w:t>日期：</w:t>
      </w:r>
      <w:r>
        <w:rPr>
          <w:rFonts w:hint="eastAsia" w:ascii="宋体" w:hAnsi="宋体"/>
          <w:color w:val="auto"/>
          <w:szCs w:val="24"/>
          <w:highlight w:val="none"/>
          <w:u w:val="single"/>
        </w:rPr>
        <w:t xml:space="preserve">      </w:t>
      </w:r>
      <w:r>
        <w:rPr>
          <w:rFonts w:ascii="宋体" w:hAnsi="宋体"/>
          <w:color w:val="auto"/>
          <w:szCs w:val="24"/>
          <w:highlight w:val="none"/>
        </w:rPr>
        <w:t>年</w:t>
      </w:r>
      <w:r>
        <w:rPr>
          <w:rFonts w:hint="eastAsia" w:ascii="宋体" w:hAnsi="宋体"/>
          <w:color w:val="auto"/>
          <w:szCs w:val="24"/>
          <w:highlight w:val="none"/>
          <w:u w:val="single"/>
        </w:rPr>
        <w:t xml:space="preserve">      </w:t>
      </w:r>
      <w:r>
        <w:rPr>
          <w:rFonts w:ascii="宋体" w:hAnsi="宋体"/>
          <w:color w:val="auto"/>
          <w:szCs w:val="24"/>
          <w:highlight w:val="none"/>
        </w:rPr>
        <w:t>月</w:t>
      </w:r>
      <w:r>
        <w:rPr>
          <w:rFonts w:hint="eastAsia" w:ascii="宋体" w:hAnsi="宋体"/>
          <w:color w:val="auto"/>
          <w:szCs w:val="24"/>
          <w:highlight w:val="none"/>
          <w:u w:val="single"/>
        </w:rPr>
        <w:t xml:space="preserve">      </w:t>
      </w:r>
      <w:r>
        <w:rPr>
          <w:rFonts w:ascii="宋体" w:hAnsi="宋体"/>
          <w:color w:val="auto"/>
          <w:szCs w:val="24"/>
          <w:highlight w:val="none"/>
        </w:rPr>
        <w:t>日</w:t>
      </w:r>
    </w:p>
    <w:p>
      <w:pPr>
        <w:pStyle w:val="2"/>
        <w:ind w:firstLine="492"/>
        <w:rPr>
          <w:rFonts w:ascii="宋体" w:hAnsi="宋体"/>
          <w:color w:val="auto"/>
          <w:szCs w:val="24"/>
          <w:highlight w:val="none"/>
        </w:rPr>
      </w:pPr>
    </w:p>
    <w:p>
      <w:pPr>
        <w:pStyle w:val="2"/>
        <w:ind w:firstLine="492"/>
        <w:rPr>
          <w:rFonts w:ascii="宋体" w:hAnsi="宋体"/>
          <w:color w:val="auto"/>
          <w:szCs w:val="24"/>
          <w:highlight w:val="none"/>
        </w:rPr>
      </w:pPr>
    </w:p>
    <w:p>
      <w:pPr>
        <w:pStyle w:val="2"/>
        <w:ind w:firstLine="492"/>
        <w:rPr>
          <w:rFonts w:ascii="宋体" w:hAnsi="宋体"/>
          <w:color w:val="auto"/>
          <w:szCs w:val="24"/>
          <w:highlight w:val="none"/>
        </w:rPr>
      </w:pPr>
    </w:p>
    <w:p>
      <w:pPr>
        <w:pStyle w:val="2"/>
        <w:ind w:firstLine="492"/>
        <w:rPr>
          <w:rFonts w:ascii="宋体" w:hAnsi="宋体"/>
          <w:color w:val="auto"/>
          <w:szCs w:val="24"/>
          <w:highlight w:val="none"/>
        </w:rPr>
      </w:pPr>
    </w:p>
    <w:p>
      <w:pPr>
        <w:pStyle w:val="2"/>
        <w:ind w:firstLine="492"/>
        <w:rPr>
          <w:rFonts w:ascii="宋体" w:hAnsi="宋体"/>
          <w:color w:val="auto"/>
          <w:szCs w:val="24"/>
          <w:highlight w:val="none"/>
        </w:rPr>
      </w:pPr>
    </w:p>
    <w:p>
      <w:pPr>
        <w:pStyle w:val="2"/>
        <w:ind w:firstLine="492"/>
        <w:rPr>
          <w:rFonts w:ascii="宋体" w:hAnsi="宋体"/>
          <w:color w:val="auto"/>
          <w:szCs w:val="24"/>
          <w:highlight w:val="none"/>
        </w:rPr>
      </w:pPr>
    </w:p>
    <w:p>
      <w:pPr>
        <w:pStyle w:val="2"/>
        <w:ind w:firstLine="492"/>
        <w:rPr>
          <w:rFonts w:ascii="宋体" w:hAnsi="宋体"/>
          <w:color w:val="auto"/>
          <w:szCs w:val="24"/>
          <w:highlight w:val="none"/>
        </w:rPr>
      </w:pPr>
    </w:p>
    <w:p>
      <w:pPr>
        <w:pStyle w:val="2"/>
        <w:ind w:firstLine="492"/>
        <w:rPr>
          <w:rFonts w:ascii="宋体" w:hAnsi="宋体"/>
          <w:color w:val="auto"/>
          <w:szCs w:val="24"/>
          <w:highlight w:val="none"/>
        </w:rPr>
      </w:pPr>
    </w:p>
    <w:p>
      <w:pPr>
        <w:pStyle w:val="2"/>
        <w:ind w:firstLine="492"/>
        <w:rPr>
          <w:rFonts w:ascii="宋体" w:hAnsi="宋体"/>
          <w:color w:val="auto"/>
          <w:szCs w:val="24"/>
          <w:highlight w:val="none"/>
        </w:rPr>
      </w:pPr>
    </w:p>
    <w:p>
      <w:pPr>
        <w:pStyle w:val="2"/>
        <w:ind w:firstLine="492"/>
        <w:rPr>
          <w:rFonts w:ascii="宋体" w:hAnsi="宋体"/>
          <w:color w:val="auto"/>
          <w:szCs w:val="24"/>
          <w:highlight w:val="none"/>
        </w:rPr>
      </w:pPr>
    </w:p>
    <w:p>
      <w:pPr>
        <w:pStyle w:val="2"/>
        <w:ind w:firstLine="492"/>
        <w:rPr>
          <w:rFonts w:ascii="宋体" w:hAnsi="宋体"/>
          <w:color w:val="auto"/>
          <w:szCs w:val="24"/>
          <w:highlight w:val="none"/>
        </w:rPr>
      </w:pPr>
    </w:p>
    <w:p>
      <w:pPr>
        <w:pStyle w:val="2"/>
        <w:ind w:firstLine="492"/>
        <w:rPr>
          <w:rFonts w:ascii="宋体" w:hAnsi="宋体"/>
          <w:color w:val="auto"/>
          <w:szCs w:val="24"/>
          <w:highlight w:val="none"/>
        </w:rPr>
      </w:pPr>
    </w:p>
    <w:p>
      <w:pPr>
        <w:pStyle w:val="2"/>
        <w:ind w:firstLine="492"/>
        <w:rPr>
          <w:rFonts w:ascii="宋体" w:hAnsi="宋体"/>
          <w:color w:val="auto"/>
          <w:szCs w:val="24"/>
          <w:highlight w:val="none"/>
        </w:rPr>
      </w:pPr>
    </w:p>
    <w:p>
      <w:pPr>
        <w:pStyle w:val="5"/>
        <w:ind w:left="322" w:leftChars="0" w:firstLine="494" w:firstLineChars="0"/>
        <w:rPr>
          <w:rFonts w:cs="宋体"/>
          <w:color w:val="auto"/>
          <w:szCs w:val="24"/>
          <w:highlight w:val="none"/>
        </w:rPr>
      </w:pPr>
      <w:r>
        <w:rPr>
          <w:rFonts w:hint="eastAsia"/>
          <w:color w:val="auto"/>
          <w:highlight w:val="none"/>
        </w:rPr>
        <w:t>投标人认为需要提供的文件和资料</w:t>
      </w:r>
    </w:p>
    <w:p>
      <w:pPr>
        <w:ind w:firstLine="492"/>
        <w:rPr>
          <w:color w:val="auto"/>
          <w:highlight w:val="none"/>
        </w:rPr>
      </w:pPr>
    </w:p>
    <w:p>
      <w:pPr>
        <w:pStyle w:val="2"/>
        <w:ind w:firstLine="492"/>
        <w:rPr>
          <w:color w:val="auto"/>
          <w:highlight w:val="none"/>
        </w:rPr>
      </w:pPr>
    </w:p>
    <w:p>
      <w:pPr>
        <w:pStyle w:val="2"/>
        <w:ind w:firstLine="492"/>
        <w:rPr>
          <w:color w:val="auto"/>
          <w:highlight w:val="none"/>
        </w:rPr>
      </w:pPr>
    </w:p>
    <w:p>
      <w:pPr>
        <w:pStyle w:val="2"/>
        <w:ind w:firstLine="492"/>
        <w:rPr>
          <w:color w:val="auto"/>
          <w:highlight w:val="none"/>
        </w:rPr>
      </w:pPr>
    </w:p>
    <w:p>
      <w:pPr>
        <w:pStyle w:val="2"/>
        <w:ind w:firstLine="492"/>
        <w:rPr>
          <w:color w:val="auto"/>
          <w:highlight w:val="none"/>
        </w:rPr>
      </w:pPr>
    </w:p>
    <w:p>
      <w:pPr>
        <w:pStyle w:val="2"/>
        <w:ind w:firstLine="492"/>
        <w:rPr>
          <w:color w:val="auto"/>
          <w:highlight w:val="none"/>
        </w:rPr>
      </w:pPr>
    </w:p>
    <w:p>
      <w:pPr>
        <w:pStyle w:val="2"/>
        <w:ind w:firstLine="492"/>
        <w:rPr>
          <w:color w:val="auto"/>
          <w:highlight w:val="none"/>
        </w:rPr>
      </w:pPr>
    </w:p>
    <w:p>
      <w:pPr>
        <w:pStyle w:val="2"/>
        <w:ind w:firstLine="492"/>
        <w:rPr>
          <w:color w:val="auto"/>
          <w:highlight w:val="none"/>
        </w:rPr>
      </w:pPr>
    </w:p>
    <w:p>
      <w:pPr>
        <w:pStyle w:val="2"/>
        <w:ind w:firstLine="494"/>
        <w:rPr>
          <w:b/>
          <w:bCs/>
          <w:color w:val="auto"/>
          <w:highlight w:val="none"/>
        </w:rPr>
      </w:pPr>
    </w:p>
    <w:p>
      <w:pPr>
        <w:pStyle w:val="2"/>
        <w:ind w:firstLine="494"/>
        <w:rPr>
          <w:b/>
          <w:bCs/>
          <w:color w:val="auto"/>
          <w:highlight w:val="none"/>
        </w:rPr>
      </w:pPr>
      <w:r>
        <w:rPr>
          <w:rFonts w:hint="eastAsia"/>
          <w:b/>
          <w:bCs/>
          <w:color w:val="auto"/>
          <w:highlight w:val="none"/>
        </w:rPr>
        <w:t>注：</w:t>
      </w:r>
      <w:r>
        <w:rPr>
          <w:rFonts w:hint="eastAsia"/>
          <w:b/>
          <w:bCs/>
          <w:color w:val="auto"/>
          <w:sz w:val="21"/>
          <w:highlight w:val="none"/>
        </w:rPr>
        <w:t>如投标人</w:t>
      </w:r>
      <w:r>
        <w:rPr>
          <w:rFonts w:hint="eastAsia"/>
          <w:b/>
          <w:bCs/>
          <w:color w:val="auto"/>
          <w:highlight w:val="none"/>
        </w:rPr>
        <w:t>没有认为需要提供的文件和资料可不提供。</w:t>
      </w:r>
    </w:p>
    <w:p>
      <w:pPr>
        <w:pStyle w:val="3"/>
        <w:rPr>
          <w:color w:val="auto"/>
          <w:highlight w:val="none"/>
        </w:rPr>
        <w:sectPr>
          <w:footerReference r:id="rId11" w:type="default"/>
          <w:pgSz w:w="11906" w:h="16838"/>
          <w:pgMar w:top="1417" w:right="1417" w:bottom="1417" w:left="1417" w:header="1134" w:footer="992" w:gutter="0"/>
          <w:pgNumType w:fmt="decimal"/>
          <w:cols w:space="0" w:num="1"/>
          <w:docGrid w:type="linesAndChars" w:linePitch="312" w:charSpace="1228"/>
        </w:sectPr>
      </w:pPr>
      <w:bookmarkStart w:id="267" w:name="_Toc32203"/>
      <w:bookmarkStart w:id="268" w:name="_Toc10096"/>
      <w:bookmarkStart w:id="269" w:name="_Toc20595"/>
      <w:bookmarkStart w:id="270" w:name="_Toc217446093"/>
      <w:bookmarkStart w:id="271" w:name="_Toc712"/>
      <w:bookmarkStart w:id="272" w:name="_Toc321382057"/>
      <w:bookmarkStart w:id="273" w:name="_Toc316292231"/>
    </w:p>
    <w:p>
      <w:pPr>
        <w:pStyle w:val="3"/>
        <w:rPr>
          <w:color w:val="auto"/>
          <w:highlight w:val="none"/>
        </w:rPr>
      </w:pPr>
      <w:r>
        <w:rPr>
          <w:rFonts w:hint="eastAsia"/>
          <w:color w:val="auto"/>
          <w:highlight w:val="none"/>
        </w:rPr>
        <w:t>招标项目技术、商务及其他要求</w:t>
      </w:r>
      <w:bookmarkEnd w:id="267"/>
      <w:bookmarkEnd w:id="268"/>
      <w:bookmarkEnd w:id="269"/>
      <w:bookmarkEnd w:id="270"/>
      <w:bookmarkEnd w:id="271"/>
    </w:p>
    <w:p>
      <w:pPr>
        <w:pStyle w:val="4"/>
        <w:rPr>
          <w:color w:val="auto"/>
          <w:sz w:val="24"/>
          <w:szCs w:val="24"/>
          <w:highlight w:val="none"/>
        </w:rPr>
      </w:pPr>
      <w:bookmarkStart w:id="274" w:name="_Toc15898"/>
      <w:bookmarkStart w:id="275" w:name="_Toc30942"/>
      <w:r>
        <w:rPr>
          <w:rFonts w:hint="eastAsia"/>
          <w:color w:val="auto"/>
          <w:sz w:val="24"/>
          <w:szCs w:val="24"/>
          <w:highlight w:val="none"/>
        </w:rPr>
        <w:t>项目概况</w:t>
      </w:r>
      <w:bookmarkEnd w:id="274"/>
      <w:bookmarkEnd w:id="275"/>
    </w:p>
    <w:p>
      <w:pPr>
        <w:pStyle w:val="2"/>
        <w:keepNext w:val="0"/>
        <w:keepLines w:val="0"/>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宋体" w:hAnsi="宋体" w:eastAsia="宋体" w:cs="宋体"/>
          <w:color w:val="auto"/>
          <w:sz w:val="24"/>
          <w:szCs w:val="24"/>
          <w:highlight w:val="none"/>
          <w:lang w:val="en-US" w:eastAsia="zh-CN"/>
        </w:rPr>
      </w:pPr>
      <w:bookmarkStart w:id="276" w:name="_Toc18771"/>
      <w:r>
        <w:rPr>
          <w:rFonts w:hint="eastAsia" w:ascii="宋体" w:hAnsi="宋体" w:eastAsia="宋体" w:cs="宋体"/>
          <w:color w:val="auto"/>
          <w:sz w:val="24"/>
          <w:szCs w:val="24"/>
          <w:highlight w:val="none"/>
          <w:lang w:val="en-US" w:eastAsia="zh-CN"/>
        </w:rPr>
        <w:t>本项目共分五个包件，包件1：驿都大道</w:t>
      </w:r>
      <w:r>
        <w:rPr>
          <w:rFonts w:hint="eastAsia" w:ascii="宋体" w:hAnsi="宋体" w:cs="宋体"/>
          <w:color w:val="auto"/>
          <w:sz w:val="24"/>
          <w:szCs w:val="24"/>
          <w:highlight w:val="none"/>
          <w:lang w:val="en-US" w:eastAsia="zh-CN"/>
        </w:rPr>
        <w:t>公共绿地零星维护服务</w:t>
      </w:r>
      <w:r>
        <w:rPr>
          <w:rFonts w:hint="eastAsia" w:ascii="宋体" w:hAnsi="宋体" w:eastAsia="宋体" w:cs="宋体"/>
          <w:color w:val="auto"/>
          <w:sz w:val="24"/>
          <w:szCs w:val="24"/>
          <w:highlight w:val="none"/>
          <w:lang w:val="en-US" w:eastAsia="zh-CN"/>
        </w:rPr>
        <w:t>；包件2：老城区</w:t>
      </w:r>
      <w:r>
        <w:rPr>
          <w:rFonts w:hint="eastAsia" w:ascii="宋体" w:hAnsi="宋体" w:cs="宋体"/>
          <w:color w:val="auto"/>
          <w:sz w:val="24"/>
          <w:szCs w:val="24"/>
          <w:highlight w:val="none"/>
          <w:lang w:val="en-US" w:eastAsia="zh-CN"/>
        </w:rPr>
        <w:t>公共绿地零星维护服务</w:t>
      </w:r>
      <w:r>
        <w:rPr>
          <w:rFonts w:hint="eastAsia" w:ascii="宋体" w:hAnsi="宋体" w:eastAsia="宋体" w:cs="宋体"/>
          <w:color w:val="auto"/>
          <w:sz w:val="24"/>
          <w:szCs w:val="24"/>
          <w:highlight w:val="none"/>
          <w:lang w:val="en-US" w:eastAsia="zh-CN"/>
        </w:rPr>
        <w:t>；包件3：经开区</w:t>
      </w:r>
      <w:r>
        <w:rPr>
          <w:rFonts w:hint="eastAsia" w:ascii="宋体" w:hAnsi="宋体" w:cs="宋体"/>
          <w:color w:val="auto"/>
          <w:sz w:val="24"/>
          <w:szCs w:val="24"/>
          <w:highlight w:val="none"/>
          <w:lang w:val="en-US" w:eastAsia="zh-CN"/>
        </w:rPr>
        <w:t>公共绿地零星维护服务</w:t>
      </w:r>
      <w:r>
        <w:rPr>
          <w:rFonts w:hint="eastAsia" w:ascii="宋体" w:hAnsi="宋体" w:eastAsia="宋体" w:cs="宋体"/>
          <w:color w:val="auto"/>
          <w:sz w:val="24"/>
          <w:szCs w:val="24"/>
          <w:highlight w:val="none"/>
          <w:lang w:val="en-US" w:eastAsia="zh-CN"/>
        </w:rPr>
        <w:t>；包件4：车城大道</w:t>
      </w:r>
      <w:r>
        <w:rPr>
          <w:rFonts w:hint="eastAsia" w:ascii="宋体" w:hAnsi="宋体" w:cs="宋体"/>
          <w:color w:val="auto"/>
          <w:sz w:val="24"/>
          <w:szCs w:val="24"/>
          <w:highlight w:val="none"/>
          <w:lang w:val="en-US" w:eastAsia="zh-CN"/>
        </w:rPr>
        <w:t>公共绿地零星维护服务</w:t>
      </w:r>
      <w:r>
        <w:rPr>
          <w:rFonts w:hint="eastAsia" w:ascii="宋体" w:hAnsi="宋体" w:eastAsia="宋体" w:cs="宋体"/>
          <w:color w:val="auto"/>
          <w:sz w:val="24"/>
          <w:szCs w:val="24"/>
          <w:highlight w:val="none"/>
          <w:lang w:val="en-US" w:eastAsia="zh-CN"/>
        </w:rPr>
        <w:t>；包件5：成洛路</w:t>
      </w:r>
      <w:r>
        <w:rPr>
          <w:rFonts w:hint="eastAsia" w:ascii="宋体" w:hAnsi="宋体" w:cs="宋体"/>
          <w:color w:val="auto"/>
          <w:sz w:val="24"/>
          <w:szCs w:val="24"/>
          <w:highlight w:val="none"/>
          <w:lang w:val="en-US" w:eastAsia="zh-CN"/>
        </w:rPr>
        <w:t>公共绿地零星维护服务</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每个包件确定一名中标人为本项目提供相关服务及服务配套的货物</w:t>
      </w:r>
      <w:r>
        <w:rPr>
          <w:rFonts w:hint="eastAsia" w:ascii="宋体" w:hAnsi="宋体" w:eastAsia="宋体" w:cs="宋体"/>
          <w:color w:val="auto"/>
          <w:sz w:val="24"/>
          <w:szCs w:val="24"/>
          <w:highlight w:val="none"/>
          <w:lang w:val="en-US" w:eastAsia="zh-CN"/>
        </w:rPr>
        <w:t>。</w:t>
      </w:r>
    </w:p>
    <w:p>
      <w:pPr>
        <w:pStyle w:val="4"/>
        <w:rPr>
          <w:color w:val="auto"/>
          <w:sz w:val="24"/>
          <w:szCs w:val="24"/>
          <w:highlight w:val="none"/>
        </w:rPr>
      </w:pPr>
      <w:r>
        <w:rPr>
          <w:rFonts w:hint="eastAsia"/>
          <w:color w:val="auto"/>
          <w:sz w:val="24"/>
          <w:szCs w:val="24"/>
          <w:highlight w:val="none"/>
          <w:lang w:val="en-US" w:eastAsia="zh-CN"/>
        </w:rPr>
        <w:t>各包零星维护清单</w:t>
      </w:r>
      <w:bookmarkEnd w:id="276"/>
    </w:p>
    <w:tbl>
      <w:tblPr>
        <w:tblStyle w:val="44"/>
        <w:tblpPr w:leftFromText="180" w:rightFromText="180" w:vertAnchor="text" w:tblpX="100" w:tblpY="1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210" w:type="dxa"/>
          </w:tcPr>
          <w:p>
            <w:pPr>
              <w:pStyle w:val="2"/>
              <w:keepNext w:val="0"/>
              <w:keepLines w:val="0"/>
              <w:pageBreakBefore w:val="0"/>
              <w:kinsoku/>
              <w:wordWrap/>
              <w:overflowPunct/>
              <w:topLinePunct w:val="0"/>
              <w:autoSpaceDE/>
              <w:autoSpaceDN/>
              <w:bidi w:val="0"/>
              <w:adjustRightInd/>
              <w:snapToGrid/>
              <w:ind w:firstLine="0" w:firstLineChars="0"/>
              <w:jc w:val="center"/>
              <w:rPr>
                <w:rFonts w:hint="eastAsia" w:eastAsia="宋体"/>
                <w:vertAlign w:val="baseline"/>
                <w:lang w:val="en-US" w:eastAsia="zh-CN"/>
              </w:rPr>
            </w:pPr>
            <w:r>
              <w:rPr>
                <w:rFonts w:hint="eastAsia"/>
                <w:b/>
                <w:bCs/>
                <w:vertAlign w:val="baseline"/>
                <w:lang w:val="en-US" w:eastAsia="zh-CN"/>
              </w:rPr>
              <w:t>乔木</w:t>
            </w:r>
          </w:p>
        </w:tc>
      </w:tr>
    </w:tbl>
    <w:tbl>
      <w:tblPr>
        <w:tblStyle w:val="43"/>
        <w:tblW w:w="9195" w:type="dxa"/>
        <w:tblInd w:w="93" w:type="dxa"/>
        <w:shd w:val="clear" w:color="auto" w:fill="auto"/>
        <w:tblLayout w:type="fixed"/>
        <w:tblCellMar>
          <w:top w:w="0" w:type="dxa"/>
          <w:left w:w="108" w:type="dxa"/>
          <w:bottom w:w="0" w:type="dxa"/>
          <w:right w:w="108" w:type="dxa"/>
        </w:tblCellMar>
      </w:tblPr>
      <w:tblGrid>
        <w:gridCol w:w="765"/>
        <w:gridCol w:w="77"/>
        <w:gridCol w:w="13"/>
        <w:gridCol w:w="225"/>
        <w:gridCol w:w="156"/>
        <w:gridCol w:w="483"/>
        <w:gridCol w:w="336"/>
        <w:gridCol w:w="90"/>
        <w:gridCol w:w="30"/>
        <w:gridCol w:w="401"/>
        <w:gridCol w:w="259"/>
        <w:gridCol w:w="390"/>
        <w:gridCol w:w="690"/>
        <w:gridCol w:w="390"/>
        <w:gridCol w:w="9"/>
        <w:gridCol w:w="357"/>
        <w:gridCol w:w="324"/>
        <w:gridCol w:w="707"/>
        <w:gridCol w:w="643"/>
        <w:gridCol w:w="426"/>
        <w:gridCol w:w="54"/>
        <w:gridCol w:w="403"/>
        <w:gridCol w:w="203"/>
        <w:gridCol w:w="701"/>
        <w:gridCol w:w="1054"/>
        <w:gridCol w:w="9"/>
      </w:tblGrid>
      <w:tr>
        <w:tblPrEx>
          <w:tblCellMar>
            <w:top w:w="0" w:type="dxa"/>
            <w:left w:w="108" w:type="dxa"/>
            <w:bottom w:w="0" w:type="dxa"/>
            <w:right w:w="108" w:type="dxa"/>
          </w:tblCellMar>
        </w:tblPrEx>
        <w:trPr>
          <w:trHeight w:val="270" w:hRule="atLeast"/>
        </w:trPr>
        <w:tc>
          <w:tcPr>
            <w:tcW w:w="123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34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品名</w:t>
            </w:r>
          </w:p>
        </w:tc>
        <w:tc>
          <w:tcPr>
            <w:tcW w:w="465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9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单价限价</w:t>
            </w:r>
          </w:p>
        </w:tc>
      </w:tr>
      <w:tr>
        <w:tblPrEx>
          <w:shd w:val="clear" w:color="auto" w:fill="auto"/>
          <w:tblCellMar>
            <w:top w:w="0" w:type="dxa"/>
            <w:left w:w="108" w:type="dxa"/>
            <w:bottom w:w="0" w:type="dxa"/>
            <w:right w:w="108" w:type="dxa"/>
          </w:tblCellMar>
        </w:tblPrEx>
        <w:trPr>
          <w:trHeight w:val="540" w:hRule="atLeast"/>
        </w:trPr>
        <w:tc>
          <w:tcPr>
            <w:tcW w:w="123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米径（cm）</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冠幅（m）</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高度（m）</w:t>
            </w:r>
          </w:p>
        </w:tc>
        <w:tc>
          <w:tcPr>
            <w:tcW w:w="9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0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白玉兰</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2以上</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5090.00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碧桃</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碧桃</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Φ6</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碧桃</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碧桃</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1280.00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123825</wp:posOffset>
                  </wp:positionH>
                  <wp:positionV relativeFrom="paragraph">
                    <wp:posOffset>85725</wp:posOffset>
                  </wp:positionV>
                  <wp:extent cx="66675" cy="76200"/>
                  <wp:effectExtent l="0" t="0" r="9525" b="0"/>
                  <wp:wrapNone/>
                  <wp:docPr id="2" name="Object_1"/>
                  <wp:cNvGraphicFramePr/>
                  <a:graphic xmlns:a="http://schemas.openxmlformats.org/drawingml/2006/main">
                    <a:graphicData uri="http://schemas.openxmlformats.org/drawingml/2006/picture">
                      <pic:pic xmlns:pic="http://schemas.openxmlformats.org/drawingml/2006/picture">
                        <pic:nvPicPr>
                          <pic:cNvPr id="2" name="Object_1"/>
                          <pic:cNvPicPr/>
                        </pic:nvPicPr>
                        <pic:blipFill>
                          <a:blip r:embed="rId14"/>
                          <a:stretch>
                            <a:fillRect/>
                          </a:stretch>
                        </pic:blipFill>
                        <pic:spPr>
                          <a:xfrm>
                            <a:off x="0" y="0"/>
                            <a:ext cx="66675" cy="762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碧桃</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柱形 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1270.00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碧桃</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柱形 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1920.00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碧桃</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基径8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碧桃</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基径10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柱状碧桃</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红叶桃</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红叶桃</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Φ6</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560.00 </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红叶红花碧桃</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低分枝 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1380.00 </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红叶红花碧桃</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2240.00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桃树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基径8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桃树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基径10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桃树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基径15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1880.00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茶花</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φ5-6</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1.5以上</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2以上</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垂柳</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垂柳</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1330.00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垂柳</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1910.00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垂柳</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3230.00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垂柳</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5以上</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4410.00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西府海棠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西府海棠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2700.00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西府海棠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西府海棠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10630.00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垂丝海棠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φ6</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垂丝海棠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1830.00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垂丝海棠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3270.00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垂丝海棠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4380.00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垂丝海棠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10630.00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垂丝海棠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Φ16</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12530.00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垂丝海棠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16470.00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垂丝海棠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23580.00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椿树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椿树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2550.00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椿树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3870.00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大叶女贞</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大叶女贞</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大叶女贞</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杜英</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杜英</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杜英</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杜英</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杜英</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4140.00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芙蓉</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φ3</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芙蓉</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φ4</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芙蓉</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芙蓉</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φ6</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芙蓉</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芙蓉</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芙蓉</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芙蓉</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2250.00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芙蓉</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地笼</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芙蓉</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地笼</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芙蓉</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地笼</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芙蓉</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地笼</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双色芙蓉</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φ6</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丛生芙蓉</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基径Φ15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1330.00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丛生芙蓉</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基径Φ20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2530.00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丛生芙蓉</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基径Φ25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3560.00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丛生芙蓉</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基径Φ30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4320.00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广玉兰</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φ6</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广玉兰</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广玉兰</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1370.00 </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广玉兰（极品）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1810.00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广玉兰</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1850.00 </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广玉兰（极品）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2230.00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广玉兰</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2以上</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 </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广玉兰（极品）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3310.00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广玉兰</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4220.00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广玉兰</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5660.00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φ6</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 </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1810.00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3110.00 </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3870.00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8350.00 </w:t>
            </w:r>
          </w:p>
        </w:tc>
      </w:tr>
      <w:tr>
        <w:tblPrEx>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9740.00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20860.00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23560.00 </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31130.00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45770.00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φ30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52100.00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基径20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13300.00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国槐</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3450.00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国槐</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Ф20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6940.00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国槐</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Ф25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10750.00 </w:t>
            </w:r>
          </w:p>
        </w:tc>
      </w:tr>
      <w:tr>
        <w:tblPrEx>
          <w:tblCellMar>
            <w:top w:w="0" w:type="dxa"/>
            <w:left w:w="108" w:type="dxa"/>
            <w:bottom w:w="0" w:type="dxa"/>
            <w:right w:w="108" w:type="dxa"/>
          </w:tblCellMar>
        </w:tblPrEx>
        <w:trPr>
          <w:trHeight w:val="108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国槐</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多头丛生，3头以上，其中1头＞20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16830.00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合欢</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合欢</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2370.00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合欢</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4160.00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红枫</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φ3-4</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红枫</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红枫</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Φ6</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红枫</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1640.00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红枫</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3520.00 </w:t>
            </w:r>
          </w:p>
        </w:tc>
      </w:tr>
      <w:tr>
        <w:tblPrEx>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红枫（极品）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红枫</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5140.00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红枫</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Φ14</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7330.00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红枫</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10850.00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红枫</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基径10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2650.00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黄枫</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50杯</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红梅</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φ7-8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红梅</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2530.00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红梅</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4320.00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红梅</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10380.00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红叶李</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φ5-6</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红叶李</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红叶李</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红叶李</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红叶李</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5090.00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红叶李</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9970.00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红叶李</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15380.00 </w:t>
            </w:r>
          </w:p>
        </w:tc>
      </w:tr>
      <w:tr>
        <w:tblPrEx>
          <w:shd w:val="clear" w:color="auto" w:fill="auto"/>
          <w:tblCellMar>
            <w:top w:w="0" w:type="dxa"/>
            <w:left w:w="108" w:type="dxa"/>
            <w:bottom w:w="0" w:type="dxa"/>
            <w:right w:w="108" w:type="dxa"/>
          </w:tblCellMar>
        </w:tblPrEx>
        <w:trPr>
          <w:trHeight w:val="81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红叶李（低分枝）</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基径22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13440.00 </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红叶石楠树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黄葛树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黄葛树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1460.00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黄葛树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2440.00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黄葛树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5310.00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黄葛树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6750.00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黄葛树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8860.00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黄葛树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φ27</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10270.00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黄葛树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10770.00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黄葛树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φ30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13020.00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黄花槐</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φ3</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黄花槐</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黄角兰</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Φ6</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黄连木</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黄连木</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3320.00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黄连木</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6310.00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黄连木</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9230.00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黄连木</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Φ30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12760.00 </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黄连木（丛生）</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Φ30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2以上</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14490.00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鸡爪槭</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鸡爪槭</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3020.00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鸡爪槭</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5390.00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鸡爪槭</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15050.00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鸡爪槭</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29710.00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鸡爪槭</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41240.00 </w:t>
            </w:r>
          </w:p>
        </w:tc>
      </w:tr>
      <w:tr>
        <w:tblPrEx>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加拿利海藻</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干高50-60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自然树高</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2490.00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金桂</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金桂</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3490.00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金桂</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9990.00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金桂</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25910.00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金合欢</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金合欢</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1730.00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金合欢</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3070.00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金合欢</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4110.00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金合欢</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5490.00 </w:t>
            </w:r>
          </w:p>
        </w:tc>
      </w:tr>
      <w:tr>
        <w:tblPrEx>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银叶金合欢</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50杯</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金叶槐</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金叶槐</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2260.00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金叶槐</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3060.00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金叶槐</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4270.00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金叶槐</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7820.00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竹柏</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H2.5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橘子树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基径8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橘子树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基径10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橘子树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基径15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2390.00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蓝花楹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蓝花楹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2260.00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蓝花楹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蓝花楹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Φ13</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3890.00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蓝花楹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8110.00 </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蓝花楹（极品）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8930.00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蓝花楹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11800.00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蓝花楹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22950.00 </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蓝花楹（极品）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25470.00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蓝花楹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41640.00 </w:t>
            </w:r>
          </w:p>
        </w:tc>
      </w:tr>
      <w:tr>
        <w:tblPrEx>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蓝花楹（极品）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46690.00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老人葵</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4770.00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乐昌含笑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φ6</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乐昌含笑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乐昌含笑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乐昌含笑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1820.00 </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乐昌含笑（极品）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2160.00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乐昌含笑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2550.00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乐昌含笑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4160.00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乐昌含笑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5470.00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梨树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基径8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梨树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基径10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梨树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基径15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1830.00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基径8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基径10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基径15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柳树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φ6</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柳树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柳树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柳树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柳树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1860.00 </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柳树（极品）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柳树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柳树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4160.00 </w:t>
            </w:r>
          </w:p>
        </w:tc>
      </w:tr>
      <w:tr>
        <w:tblPrEx>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柳树（极品）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4860.00 </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龙爪槐</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φ3</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龙爪槐</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栾树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φ6</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 </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栾树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栾树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栾树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栾树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栾树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φ17</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栾树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栾树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栾树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栾树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6880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栾树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Φ30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栾树（全冠）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w:t>
            </w:r>
          </w:p>
        </w:tc>
      </w:tr>
      <w:tr>
        <w:tblPrEx>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栾树（全冠）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栾树（全冠）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栾树（全冠）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Φ30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9510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蒲葵</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0.6-0.8</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蒲葵</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Φ6</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8-13</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9970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Φ27</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8-13</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φ30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14560</w:t>
            </w:r>
          </w:p>
        </w:tc>
      </w:tr>
      <w:tr>
        <w:tblPrEx>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朴树（极品）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朴树（极品）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朴树（极品）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朴树（极品）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朴树（极品）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Φ30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16070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朴树（全冠）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朴树（全冠）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朴树（全冠）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朴树（全冠）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朴树（全冠）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朴树（全冠）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朴树（全冠）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Φ26.5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11420</w:t>
            </w:r>
          </w:p>
        </w:tc>
      </w:tr>
      <w:tr>
        <w:tblPrEx>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朴树（全冠）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朴树（全冠）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Φ30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丛生朴树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Φ30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16700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日本晚樱（全冠）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日本晚樱（全冠）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日本晚樱（全冠）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石榴</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基径10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1.2以上</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2以上</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石榴</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基径15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石榴</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基径20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4310</w:t>
            </w:r>
          </w:p>
        </w:tc>
      </w:tr>
      <w:tr>
        <w:tblPrEx>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石榴</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基径25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干高0.6-0.8</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石榴</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石榴</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石榴</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石榴</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水杉</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9700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天竺桂</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φ6</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天竺桂</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天竺桂</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天竺桂</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天竺桂</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D≥0.8</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H2.5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天竺桂</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D≥1</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贴梗海棠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单支＞3</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乌桕</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乌桕</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乌桕</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乌桕</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无患子</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10-17</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无患子</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10-17</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无患子</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10-17</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无患子</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10-17</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无患子</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10-17</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无患子</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φ30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10-17</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13300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五角枫</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五角枫</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五角枫</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五角枫</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1.5以上</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香樟</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φ6</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1.5以上</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香樟</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1.5以上</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香樟</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1.5以上</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香樟</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1.5以上</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香樟</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1.5以上</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香樟</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1.5以上</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香樟</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1.5以上</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香樟</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1.5以上</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香樟</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φ23</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1.5以上</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香樟</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1.5以上</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香樟</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1.5以上</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9970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香樟</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φ30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1.5以上</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12220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香樟（极品）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4670</w:t>
            </w:r>
          </w:p>
        </w:tc>
      </w:tr>
      <w:tr>
        <w:tblPrEx>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香樟（极品）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香樟（极品）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8650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香樟（极品）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9780</w:t>
            </w:r>
          </w:p>
        </w:tc>
      </w:tr>
      <w:tr>
        <w:tblPrEx>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香樟（极品）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11550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香樟（极品）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13950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香樟（极品）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φ30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17960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丛生香樟（极品）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Φ30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19220</w:t>
            </w:r>
          </w:p>
        </w:tc>
      </w:tr>
      <w:tr>
        <w:tblPrEx>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香樟（全冠）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1以上</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香樟（全冠）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1以上</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4040</w:t>
            </w:r>
          </w:p>
        </w:tc>
      </w:tr>
      <w:tr>
        <w:tblPrEx>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香樟（全冠）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6730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香樟（全冠）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香樟（全冠）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Φ30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14810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小叶含笑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φ4</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小叶榕</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1.5以上</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小叶榕</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1.5以上</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小叶榕</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1.5以上</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小叶榕桩头</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4710</w:t>
            </w:r>
          </w:p>
        </w:tc>
      </w:tr>
      <w:tr>
        <w:tblPrEx>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小叶榕桩头</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6490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小叶榕桩头</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8450</w:t>
            </w:r>
          </w:p>
        </w:tc>
      </w:tr>
      <w:tr>
        <w:tblPrEx>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小叶榕桩头</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小叶榕桩头</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14150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罗汉松桩头</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17210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罗汉松桩头</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31590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罗汉松桩头</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87190</w:t>
            </w:r>
          </w:p>
        </w:tc>
      </w:tr>
      <w:tr>
        <w:tblPrEx>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罗汉松桩头</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100150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罗汉松桩头</w:t>
            </w:r>
          </w:p>
        </w:tc>
        <w:tc>
          <w:tcPr>
            <w:tcW w:w="465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高2.5m，长3.2m。树形斜干式，三面云片丰富。</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36120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罗汉松桩头</w:t>
            </w:r>
          </w:p>
        </w:tc>
        <w:tc>
          <w:tcPr>
            <w:tcW w:w="465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高2.4m，长2.9m。树形直干式，四面云片丰富。</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51250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罗汉松桩头</w:t>
            </w:r>
          </w:p>
        </w:tc>
        <w:tc>
          <w:tcPr>
            <w:tcW w:w="465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高3.4m，长3.2m。树形直干式，四面云片丰富，有气势。</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56930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罗汉松桩头</w:t>
            </w:r>
          </w:p>
        </w:tc>
        <w:tc>
          <w:tcPr>
            <w:tcW w:w="465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高3.6m，长3m。树形直干式，四面云片丰富，有气势。</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59450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罗汉松桩头</w:t>
            </w:r>
          </w:p>
        </w:tc>
        <w:tc>
          <w:tcPr>
            <w:tcW w:w="465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高1m，长3.5m。树形卧干式，有古意。</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23440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罗汉松桩头</w:t>
            </w:r>
          </w:p>
        </w:tc>
        <w:tc>
          <w:tcPr>
            <w:tcW w:w="465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高3.5m。树形直干式，四面云片丰富，有气势。</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109890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罗汉松桩头</w:t>
            </w:r>
          </w:p>
        </w:tc>
        <w:tc>
          <w:tcPr>
            <w:tcW w:w="465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高3m-3.5m。树形直干式，四面云片丰富。</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38650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黑松桩头</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59020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黑松桩头</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96270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油松</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基径8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油松</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基径10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油松</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基径14</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油松</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基径20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照手桃</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红梅</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小叶香樟（极品）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φ30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18600</w:t>
            </w:r>
          </w:p>
        </w:tc>
      </w:tr>
      <w:tr>
        <w:tblPrEx>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小叶香樟（极品）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φ35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羊蹄甲</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羊蹄甲</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羊蹄甲</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羊蹄甲</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8320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8-13</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2以上</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8-13</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银桦</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2以上</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银杏</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银杏</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银杏</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银杏</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银杏</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银杏</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银杏</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银杏</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银杏</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12770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银杏</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23740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银杏</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φ30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14-16</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丛生银杏</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22830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银杏</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多头丛生，3头以上</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7530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樱花</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Φ6</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樱花</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樱花</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樱花</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樱花</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樱花</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11790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柚子树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柚子树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柚子树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柚子树</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基径25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8-13</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丛生柚子</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地径D12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元宝枫</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8-13</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元宝枫</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8-13</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元宝枫</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8-13</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元宝枫</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8270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元宝枫</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地径22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元宝枫</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地径24</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元宝枫</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丛生地径25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元宝枫</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丛生地径30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皂荚</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φ6</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皂荚</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皂荚</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皂荚</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皂荚</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皂荚</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皂角</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11760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皂角</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皂角</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φ30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13460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桢楠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φ2-3</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桢楠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φ6</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桢楠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桢楠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桢楠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丛</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桢楠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桢楠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6730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桢楠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桢楠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φ23</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桢楠</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11220</w:t>
            </w:r>
          </w:p>
        </w:tc>
      </w:tr>
      <w:tr>
        <w:tblPrEx>
          <w:shd w:val="clear" w:color="auto" w:fill="auto"/>
          <w:tblCellMar>
            <w:top w:w="0" w:type="dxa"/>
            <w:left w:w="108" w:type="dxa"/>
            <w:bottom w:w="0" w:type="dxa"/>
            <w:right w:w="108" w:type="dxa"/>
          </w:tblCellMar>
        </w:tblPrEx>
        <w:trPr>
          <w:trHeight w:val="81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紫荆</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每丛10苗以上，每苗2-4cm</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紫荆</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紫薇</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φ3</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紫薇</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紫薇</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φ6</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紫薇</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500-800</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紫薇</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紫薇</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紫薇（极品）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150-200</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400-600</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6210</w:t>
            </w:r>
          </w:p>
        </w:tc>
      </w:tr>
      <w:tr>
        <w:tblPrEx>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紫薇（地笼）</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丛生紫薇</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紫薇花瓶</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瓶高2m</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紫薇花瓶</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瓶高2.5m</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8720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紫玉兰</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紫玉兰（极品）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紫玉兰</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紫玉兰</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紫玉兰</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紫玉兰</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紫玉兰</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8840</w:t>
            </w:r>
          </w:p>
        </w:tc>
      </w:tr>
      <w:tr>
        <w:tblPrEx>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桂花（地茏）</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桂花（地茏）</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桂花（地茏）</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r>
      <w:tr>
        <w:tblPrEx>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桂花（地茏）</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r>
      <w:tr>
        <w:tblPrEx>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桂花（地茏）</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tblPrEx>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桂花（地茏）</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桂花（地茏）</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桂花（地笼）</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桂花（地笼）</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桂花球</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桂花球</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桂花球</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桂花球</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桂花球</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桂花球</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桂花球</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桂花球</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桂花球</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桂花球</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桂花球（极品）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桂花球（极品）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桂花球（极品）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1820</w:t>
            </w:r>
          </w:p>
        </w:tc>
      </w:tr>
      <w:tr>
        <w:tblPrEx>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桂花球（极品）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桂花球（极品）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桂花球（极品）</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金桂花球</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金桂花球</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金桂花球</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金桂花球</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金桂花球</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金桂花球</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金桂花球</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金桂花球</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金桂花球</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11360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金桂花球</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12960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金桂花球</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16110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天竺桂（地笼）</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天竺桂（地笼）</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天竺桂（地笼）</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天竺桂（地笼）</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天竺桂（地笼）</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天竺桂（地笼）</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tblPrEx>
          <w:shd w:val="clear" w:color="auto" w:fill="auto"/>
          <w:tblCellMar>
            <w:top w:w="0" w:type="dxa"/>
            <w:left w:w="108" w:type="dxa"/>
            <w:bottom w:w="0" w:type="dxa"/>
            <w:right w:w="108" w:type="dxa"/>
          </w:tblCellMar>
        </w:tblPrEx>
        <w:trPr>
          <w:trHeight w:val="81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腊梅</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每丛7苗以上，每苗2-3cm</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CellMar>
            <w:top w:w="0" w:type="dxa"/>
            <w:left w:w="108" w:type="dxa"/>
            <w:bottom w:w="0" w:type="dxa"/>
            <w:right w:w="108" w:type="dxa"/>
          </w:tblCellMar>
        </w:tblPrEx>
        <w:trPr>
          <w:trHeight w:val="81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腊梅</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每丛10苗以上，每苗2-4cm</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花石榴</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花石榴</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r>
      <w:tr>
        <w:tblPrEx>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黄花风铃木</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黄花风铃木</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黄花风铃木</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黄花风铃木</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8350</w:t>
            </w:r>
          </w:p>
        </w:tc>
      </w:tr>
      <w:tr>
        <w:tblPrEx>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黄花风铃木</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21060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金叶国槐</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Φ6</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金叶国槐</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金叶国槐</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丹桂</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32210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红梅</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φ14</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8820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柚子</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φ3-4</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金斑竹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φ2-3</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罗汉竹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5-6根/丛</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丛</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5-6根/丛</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丛</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硬头黄</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3根/丛</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丛</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银灰竹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3根/丛</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丛</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金镶玉竹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H2.5-3</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金镶玉竹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H2.5-3</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H2.5-3</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楠竹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φ6-8</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凤尾竹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10-15苗/丛</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H80cm</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凤尾竹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H1m</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凤尾竹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H1.2m</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凤尾竹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H1.5m</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凤尾竹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H2m</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琴丝竹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8-10苗/丛</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H80cm</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丛</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琴丝竹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10-15苗/丛</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H1.2m</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丛</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tblPrEx>
          <w:tblCellMar>
            <w:top w:w="0" w:type="dxa"/>
            <w:left w:w="108" w:type="dxa"/>
            <w:bottom w:w="0" w:type="dxa"/>
            <w:right w:w="108" w:type="dxa"/>
          </w:tblCellMar>
        </w:tblPrEx>
        <w:trPr>
          <w:trHeight w:val="81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琴丝竹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H200-300cm 10-15苗</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琴丝竹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H300cm</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琴丝竹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H&gt;300cm 15苗</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自然冠幅</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琴丝竹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H1.5m 8-10苗/丛</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人面竹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H2m</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人面竹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H2.5m</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r>
      <w:tr>
        <w:tblPrEx>
          <w:shd w:val="clear" w:color="auto" w:fill="auto"/>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人面竹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4-6苗/株</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H3m</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r>
      <w:tr>
        <w:tblPrEx>
          <w:tblCellMar>
            <w:top w:w="0" w:type="dxa"/>
            <w:left w:w="108" w:type="dxa"/>
            <w:bottom w:w="0" w:type="dxa"/>
            <w:right w:w="108" w:type="dxa"/>
          </w:tblCellMar>
        </w:tblPrEx>
        <w:trPr>
          <w:trHeight w:val="81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棕竹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H40-50cm，3-5苗/丛</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D&gt;15cm</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丛</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tblPrEx>
          <w:tblCellMar>
            <w:top w:w="0" w:type="dxa"/>
            <w:left w:w="108" w:type="dxa"/>
            <w:bottom w:w="0" w:type="dxa"/>
            <w:right w:w="108" w:type="dxa"/>
          </w:tblCellMar>
        </w:tblPrEx>
        <w:trPr>
          <w:trHeight w:val="81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棕竹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H60-80cm，5-8苗/丛</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D&gt;30cm</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丛</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棕竹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H1m</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r>
      <w:tr>
        <w:tblPrEx>
          <w:tblCellMar>
            <w:top w:w="0" w:type="dxa"/>
            <w:left w:w="108" w:type="dxa"/>
            <w:bottom w:w="0" w:type="dxa"/>
            <w:right w:w="108" w:type="dxa"/>
          </w:tblCellMar>
        </w:tblPrEx>
        <w:trPr>
          <w:trHeight w:val="27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棕竹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H1.2m</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棕竹</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粗杆，5苗以上/丛</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H1.3m</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棕竹（盆栽）</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30杯</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H≥60cm</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r>
      <w:tr>
        <w:tblPrEx>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棕竹（盆栽）</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35杯</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H≥1m</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r>
      <w:tr>
        <w:tblPrEx>
          <w:shd w:val="clear" w:color="auto" w:fill="auto"/>
          <w:tblCellMar>
            <w:top w:w="0" w:type="dxa"/>
            <w:left w:w="108" w:type="dxa"/>
            <w:bottom w:w="0" w:type="dxa"/>
            <w:right w:w="108" w:type="dxa"/>
          </w:tblCellMar>
        </w:tblPrEx>
        <w:trPr>
          <w:trHeight w:val="540" w:hRule="atLeast"/>
        </w:trPr>
        <w:tc>
          <w:tcPr>
            <w:tcW w:w="1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w:t>
            </w:r>
          </w:p>
        </w:tc>
        <w:tc>
          <w:tcPr>
            <w:tcW w:w="1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棕竹（盆栽）</w:t>
            </w:r>
          </w:p>
        </w:tc>
        <w:tc>
          <w:tcPr>
            <w:tcW w:w="2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45杯</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H≥1.5m</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shd w:val="clear" w:color="auto" w:fill="auto"/>
          <w:tblCellMar>
            <w:top w:w="0" w:type="dxa"/>
            <w:left w:w="108" w:type="dxa"/>
            <w:bottom w:w="0" w:type="dxa"/>
            <w:right w:w="108" w:type="dxa"/>
          </w:tblCellMar>
        </w:tblPrEx>
        <w:trPr>
          <w:trHeight w:val="540" w:hRule="atLeast"/>
        </w:trPr>
        <w:tc>
          <w:tcPr>
            <w:tcW w:w="9195"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灌木地被植物</w:t>
            </w:r>
          </w:p>
        </w:tc>
      </w:tr>
      <w:tr>
        <w:tblPrEx>
          <w:shd w:val="clear" w:color="auto" w:fill="auto"/>
          <w:tblCellMar>
            <w:top w:w="0" w:type="dxa"/>
            <w:left w:w="108" w:type="dxa"/>
            <w:bottom w:w="0" w:type="dxa"/>
            <w:right w:w="108" w:type="dxa"/>
          </w:tblCellMar>
        </w:tblPrEx>
        <w:trPr>
          <w:trHeight w:val="402" w:hRule="atLeast"/>
        </w:trPr>
        <w:tc>
          <w:tcPr>
            <w:tcW w:w="8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7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398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1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栽植密度</w:t>
            </w:r>
          </w:p>
        </w:tc>
        <w:tc>
          <w:tcPr>
            <w:tcW w:w="13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单价最高限价</w:t>
            </w:r>
          </w:p>
        </w:tc>
      </w:tr>
      <w:tr>
        <w:tblPrEx>
          <w:shd w:val="clear" w:color="auto" w:fill="auto"/>
          <w:tblCellMar>
            <w:top w:w="0" w:type="dxa"/>
            <w:left w:w="108" w:type="dxa"/>
            <w:bottom w:w="0" w:type="dxa"/>
            <w:right w:w="108" w:type="dxa"/>
          </w:tblCellMar>
        </w:tblPrEx>
        <w:trPr>
          <w:trHeight w:val="402" w:hRule="atLeast"/>
        </w:trPr>
        <w:tc>
          <w:tcPr>
            <w:tcW w:w="8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87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杯径（cm）</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冠幅（m）</w:t>
            </w:r>
          </w:p>
        </w:tc>
        <w:tc>
          <w:tcPr>
            <w:tcW w:w="11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3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0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夹竹桃 </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基径1-2cm，3苗/丛</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夹竹桃 </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d＜80</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矮蒲苇 </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H60cm </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d＜40</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矮蒲苇</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d＜40</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矮蒲苇 </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d＜60</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矮蒲苇</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d＜60</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矮蒲苇</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d＜80</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矮蒲苇</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矮蒲苇</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矮蒲苇</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蒲苇 </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小杯 </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d＜60</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蒲苇 </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d＜80</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蒲苇</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丛</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蒲苇</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10-15苗/丛</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H1.5-2.5m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丛</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蒲苇</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D1.2m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花叶蒲苇</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D1.2m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澳洲朱蕉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澳洲朱蕉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澳洲朱蕉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澳洲朱蕉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澳洲朱蕉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澳洲朱蕉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H1.8m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澳洲朱蕉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澳洲朱蕉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H2.5m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澳洲朱蕉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红叶朱蕉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H60cm </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d＜40</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红叶朱蕉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红叶朱蕉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红叶朱蕉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红叶朱蕉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红叶朱蕉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H1.8m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红叶朱蕉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红叶朱蕉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Φ20cm</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红叶朱蕉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Φ25cm</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澳洲红巨人朱蕉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澳洲红巨人朱蕉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阔叶朱蕉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亮叶朱蕉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D60cm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亮叶朱蕉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D80cm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七彩朱蕉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60-80cm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八角金盘</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φ13杯   </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八角金盘</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φ16杯   </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八角金盘</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八角金盘</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八角金盘</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φ26杯  </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八角金盘</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八宝景天</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巴西美人</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百子莲</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百子莲</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百子莲</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变叶木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变叶木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H35cm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变叶木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变叶木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变叶木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变叶木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彩叶杞柳</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D&gt;100cm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彩叶杞柳</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D&gt;100cm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H50cm  </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H100cm </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H180cm </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H2.5m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茶花（笼子货）</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茶花（笼子货）</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茶花（笼子货）</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茶花（笼子货）</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H2.5m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茶花球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茶花球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D1.2m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茶花球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D1.5m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茶花球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D2m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茶花球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D2.5m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茶花球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D3m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4985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茶花球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茶梅</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D&gt;30cm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茶梅</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D&gt;50cm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茶梅</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D&gt;50cm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菖蒲</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菖蒲</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金叶石菖蒲</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金叶石菖蒲</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唐菖蒲</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H40-50cm </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唐菖蒲</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唐菖蒲</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花菖蒲</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H10-15cm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花菖蒲</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常春藤</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常春藤</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常春藤</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常春藤</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常春藤</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金边常春藤</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金边常春藤</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花叶常春藤</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花叶常春藤</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花叶常春藤</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花叶常春藤</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H100cm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春鹃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毛叶杜鹃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毛叶杜鹃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毛叶杜鹃球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D60cm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毛叶杜鹃球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D80cm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毛叶杜鹃球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西洋杜鹃球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D60cm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西洋杜鹃球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D80cm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西洋杜鹃球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春羽</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D30-50cm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春羽</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D40-60cm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春羽</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D40-60cm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大花萱草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萱草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H&gt;30cm，5-8苗/丛</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萱草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大叶黄杨球（万年青球）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D50cm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大叶黄杨球（万年青球）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D80cm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大叶黄杨球（万年青球）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大叶黄杨球（万年青球）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D1.2m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大叶黄杨球（万年青球）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D1.5m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大叶黄杨球（万年青球）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D1.8m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大叶黄杨球（万年青球）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D2m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大叶黄杨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大叶黄杨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大叶黄杨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大叶黄杨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豆瓣黄杨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D&gt;1m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瓜子黄杨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H&lt;40cm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金边黄杨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D&gt;10cm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金边黄杨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D&gt;10cm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金边黄杨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D&gt;10cm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金边黄杨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D&gt;10cm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金边黄杨笼子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D40cm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金边黄杨笼子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H70cm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D50cm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金边黄杨笼子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D60cm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金心黄杨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D&gt;10cm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金心黄杨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D&gt;10cm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金心黄杨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D&gt;10cm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金叶黄杨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D&gt;10cm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金叶黄杨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D&gt;10cm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金叶黄杨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D&gt;10cm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雀舌黄杨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D&gt;10cm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雀舌黄杨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D&gt;10cm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雀舌黄杨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D&gt;10cm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花叶万年青</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H30-35cm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D20-25cm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大栀子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大栀子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大栀子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金叶大栀子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二栀子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二栀子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二栀子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海栀子（四季栀子）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海栀子（四季栀子）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H&lt;30cm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D20-30cm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滴水观音</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滴水观音</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滴水观音</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法国冬青</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法国冬青</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法国冬青</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法国冬青</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法国冬青</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H1.8m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法国冬青</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齿叶冬青</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龟甲冬青球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D60cm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龟甲冬青球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D80cm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龟甲冬青球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D100cm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龟甲冬青球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D120cm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矾根</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非洲茉莉球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D60cm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非洲茉莉球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D80cm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非洲茉莉球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非洲茉莉球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D1.2m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非洲茉莉球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D1.5m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非洲茉莉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非洲茉莉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H1.8m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非洲茉莉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双色茉莉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D30cm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双色茉莉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D40cm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双色茉莉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D50cm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双色茉莉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D50cm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双色茉莉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H100cm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D80cm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鸳鸯茉莉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粉黛乱子草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粉黛乱子草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粉黛乱子草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粉黛乱子草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丰花月季</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H＜35cm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丰花月季</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H≥35cm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D&gt;10cm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丰花月季</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D&gt;15cm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丰花月季</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蔓性月季</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H200-250cm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凤梨花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凤梨花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凤梨花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佛顶珠桂花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D20-30cm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佛顶珠桂花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D40-60cm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佛顶珠桂花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D60-80cm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扶桑（朱槿）</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扶桑（朱槿）</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H60-70cm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扶桑（朱槿）</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H80-90cm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扶桑（朱槿）</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H80-90cm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芙蓉菊球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D20cm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芙蓉菊球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D40cm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芙蓉菊球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D60cm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芙蓉菊球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富贵草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H&gt;30cm，5-8苗/丛</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富贵草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H&gt;30cm，5-8苗/丛</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丛</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富贵草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50cm苗/丛</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富贵草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50cm苗/丛</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丛</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富贵草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富贵草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海桐(宝珠香)</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D&gt;10cm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海桐(宝珠香)</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D&gt;10cm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海桐(宝珠香)</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D&gt;10cm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海桐(宝珠香)</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D&gt;10cm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海桐(宝珠香)</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D&gt;10cm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海桐球(宝珠香球)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H&lt;50cm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D＜50cm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海桐球(宝珠香球)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D50cm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海桐球(宝珠香球)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D60cm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海桐球(宝珠香球)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D80cm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海桐球(宝珠香球)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H80-100cm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海桐球(宝珠香球)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H100-120cm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D1.2m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海桐球(宝珠香球)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H130-150cm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D1.5m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海桐球(宝珠香球)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150cm以上</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D1.8m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海桐球(宝珠香球)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150cm以上</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D2m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海桐球(宝珠香球)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150cm以上</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D2.5m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海桐球(宝珠香球)极品</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H&lt;130cm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D2m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海桐球(宝珠香球)极品</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H130-150cm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D2.5m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海芋</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H&gt;120cm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D30-35cm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禾叶大戟</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禾叶大戟</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荷兰铁</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荷兰铁</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荷兰铁</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鹤望兰</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鹤望兰</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鹤望兰</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红背桂</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H&lt;35cm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满天星</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满天星</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满天星</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紫花满天星（六月雪）</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紫花满天星（六月雪）</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紫花满天星（六月雪）</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D40cm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紫花满天星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（六月雪）</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红花银桦</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140-150cm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银桦</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红花酢浆草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红继木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红继木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红继木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红继木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红继木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红继木球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H&lt;40cm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D40cm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红继木球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H&lt;40cm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D50cm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红继木球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D60cm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红继木球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H70-80cm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D80cm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红继木球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H90-100cm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红继木球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H100-120cm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D1.2m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红继木球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H120-150cm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D1.5m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红继木球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H100-120cm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D1.8m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红继木球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H120-150cm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D2m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红继木球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H120-150cm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D2.5m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红叶石楠</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红叶石楠</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红叶石楠</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红叶石楠</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红叶石楠</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红叶石楠笼子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D40cm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红叶石楠笼子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D50cm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红叶石楠笼子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红叶石楠笼子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红叶石楠球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H&lt;40cm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D&gt;40cm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红叶石楠球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D50cm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红叶石楠球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H70-80cm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D60cm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红叶石楠球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H80-90cm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D80cm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红叶石楠球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H90-120cm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红叶石楠球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H&lt;150cm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D1.2m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红叶石楠球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H150-180cm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D1.5m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红叶石楠球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D1.8m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红叶石楠球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D2m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红叶石楠球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D2.5m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红叶石楠球 极品</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H&gt;150cm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D2m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红叶石楠球 极品</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H&gt;150cm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D2.5m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红叶石楠柱 </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H&gt;150cm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红叶石楠柱 </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H&gt;200cm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红叶小檗</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红王子锦带花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H&gt;120cm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金边吊兰（花叶吊兰）</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H&gt;20cm，8-10苗/株</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金边吊兰（花叶吊兰）</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千叶吊兰</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千叶吊兰</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花叶良姜</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D&gt;20cm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花叶良姜</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D&gt;20cm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花叶良姜</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D&gt;20cm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花叶良姜</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D&gt;20cm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花叶良姜</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D&gt;20cm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花叶良姜</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D&gt;20cm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花叶良姜</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D&gt;20cm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花叶良姜</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D&gt;20cm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花叶良姜</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花叶良姜</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花叶络石</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花叶络石</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花叶络石</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花叶络石</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鸭脚木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鸭脚木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鸭脚木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鸭脚木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鸭脚木 盆栽</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H&lt;100cm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D&gt;50cm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鸭脚木 盆栽</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H&lt;100cm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D&gt;50cm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花叶鸭脚木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H20-30cm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花叶鸭脚木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黄金玉竹</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H2-3m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黄金玉竹</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H3-4m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火棘</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吉祥草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2-3苗/株</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吉祥草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4-6苗/株</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吉祥草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5-7苗/株</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吉祥草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7-9苗/株</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吉祥草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10-12苗/株</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吉祥草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13-15苗/株</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吉祥草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50苗/株</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吉祥草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50苗/株</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吉祥草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D50cm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吉祥草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D50cm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吉祥草(金边)</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2-3苗/株</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吉祥草(金边)</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4-6苗/株</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吉祥草(金边)</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5-7苗/株</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吉祥草(金边)</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7-9苗/株</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吉祥草(金边)</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10-12苗/株</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吉祥草(金边)</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10-12苗/株</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剑麻</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H80-100</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金边虎皮兰</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金边虎皮兰</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金边虎皮兰</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金禾女贞 笼子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D&gt;40cm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金禾女贞 笼子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D&gt;40cm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金禾女贞球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H&lt;60cm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D&gt;80cm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金禾女贞球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D50cm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金禾女贞球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D80cm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金禾女贞球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H70cm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D100cm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金禾女贞球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H80-90cm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D120cm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金禾女贞球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H90-120cm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D150cm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小叶女贞</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小叶女贞</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小叶女贞</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小叶女贞</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小叶女贞</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小叶女贞</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小叶女贞</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小叶女贞</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H1.8m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小叶女贞</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小叶女贞 笼子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H&lt;40cm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D40cm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小叶女贞 笼子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H&lt;50cm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D50cm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小叶女贞 笼子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H&lt;60cm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D60cm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小叶女贞球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D80cm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小叶女贞球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小叶女贞球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H80-100cm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D1.2m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小叶女贞球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H100-120cm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D1.5m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金森女贞</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H&lt;40cm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金森女贞</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金森女贞</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金叶女贞</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金叶女贞</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金叶女贞</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金叶女贞</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金叶女贞 笼子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D40cm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金叶女贞球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H&lt;50cm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D40cm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金叶女贞球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D60cm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金叶女贞球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H70-80cm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D80cm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金叶女贞球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H80-100cm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金叶女贞球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H80-100cm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D1.2m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金姬水蜡球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D80cm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金姬水蜡球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D100cm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金姬水蜡球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D1.2m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银姬水蜡球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D80cm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银姬水蜡球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D100cm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银姬水蜡球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D1.2m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金丝苔草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金丝苔草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金丝苔草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金丝苔草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苔草（古铜色）</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苔草（古铜色）</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苔草（古铜色）</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苔草（绿色）</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苔草（绿色）</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苔草（绿色）</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苔草（绿色）</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凤凰绿苔草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凤凰绿苔草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亚马逊苔草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金丝桃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H&gt;35cm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D&gt;10cm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金叶连翘</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D20cm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金叶连翘</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D30cm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金叶连翘</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D40cm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金叶连翘</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金叶连翘</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金叶连翘</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金叶连翘</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金叶连翘（盆栽）</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金叶假连翘</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金叶假连翘</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金叶薯</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金叶薯</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孔雀竹芋</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D&gt;40cm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孔雀竹芋</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孔雀竹芋</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孔雀竹芋</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兰花三七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蓝雪花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D10-15cm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蓝雪花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蓝羊茅</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蓝羊茅</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蓝羊茅</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火焰狼尾草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火焰狼尾草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火焰狼尾草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火焰狼尾草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火焰狼尾草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火焰狼尾草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紫叶狼尾草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紫叶狼尾草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紫叶狼尾草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紫叶狼尾草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紫叶狼尾草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紫叶狼尾草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紫穗狼尾草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紫穗狼尾草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小兔子狼尾草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小兔子狼尾草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小兔子狼尾草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小兔子狼尾草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小兔子狼尾草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东方狼尾草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东方狼尾草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狼尾草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10-15苗/株</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D&gt;35cm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狼尾草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10-15苗/株</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D&gt;35cm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狼尾草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狼尾草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大布尼狼尾草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非洲狼尾草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龙船花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龙船花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龙船花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龙船花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龙舌兰</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D40-50cm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龙舌兰</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龙血树</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龙血树</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龙血树</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螺纹铁</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绿萝</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绿萝</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芒草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H&gt;60cm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芒草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H&gt;60cm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毛叶丁香</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D20-30cm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毛叶丁香球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H&lt;60</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D80cm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毛叶丁香球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H&gt;80</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毛叶丁香球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H&gt;80</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D1.2m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美人蕉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美人蕉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美人蕉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花叶美人蕉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花叶美人蕉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花叶美人蕉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花叶美人蕉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花叶美人蕉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花叶美人蕉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花叶美人蕉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猩红美人蕉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紫叶美人蕉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木春菊</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木春菊</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木春菊</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木春菊</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木春菊</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木春菊球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D40cm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木春菊球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D50cm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木槿</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D&gt;40cm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木槿</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H&gt;200cm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南天竹</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南天竹</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南天竹</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H&gt;80cm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南天竹</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H100cm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南天竹</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火焰南天竹</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爬山虎（常绿）</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H100-200cm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七里香</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千层金</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千层金</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千层金</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千层金</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千层金</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千层金</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千层金</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千层金</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H2-2.3m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千层金</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千层金</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H2.5m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D1.2m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千层金球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D60cm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千层金球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D80cm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千层金球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千层金球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D1.2m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千层金球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D1.5m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千年木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60-70cm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清香木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清香木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D20cm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洒金珊瑚</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洒金珊瑚</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洒金珊瑚</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洒金珊瑚</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洒金珊瑚</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洒金珊瑚</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一叶兰 </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H50cm，8苗/丛</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一叶兰</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H60-70cm，10苗/丛</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一叶兰</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80-100苗/株</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一叶兰</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一叶兰</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洒金一叶兰</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80-100苗/株</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洒金一叶兰</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H50-70cm，10苗/丛</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红花三角梅</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三角梅</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三角梅</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三角梅</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D1.2m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三角梅（笼子）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D50cm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三角梅（笼子）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D80cm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三角梅（笼子）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三角梅（笼子）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D1.2m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三角梅（笼子）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D1.5m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三角梅（笼子）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D2m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三角梅（笼子）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三角梅（极品笼子）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H0.9-1m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三角梅（极品笼子）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三角梅（条子）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三角梅（条子）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三角梅（条子）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三角梅（条子）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三角梅（条子）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三角梅（条子）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三角梅（条子）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三角梅（条子）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三角梅（条子）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三角梅（条子）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三角梅球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D60cm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散尾葵</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散尾葵（瓷盆成品）</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H≥180cm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摆花</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r>
      <w:tr>
        <w:tblPrEx>
          <w:shd w:val="clear" w:color="auto" w:fill="auto"/>
          <w:tblCellMar>
            <w:top w:w="0" w:type="dxa"/>
            <w:left w:w="108" w:type="dxa"/>
            <w:bottom w:w="0" w:type="dxa"/>
            <w:right w:w="108" w:type="dxa"/>
          </w:tblCellMar>
        </w:tblPrEx>
        <w:trPr>
          <w:trHeight w:val="679"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肾蕨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3-5苗/丛 H20cm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丛</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CellMar>
            <w:top w:w="0" w:type="dxa"/>
            <w:left w:w="108" w:type="dxa"/>
            <w:bottom w:w="0" w:type="dxa"/>
            <w:right w:w="108" w:type="dxa"/>
          </w:tblCellMar>
        </w:tblPrEx>
        <w:trPr>
          <w:trHeight w:val="679"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肾蕨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3-5苗/丛 H20cm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r>
      <w:tr>
        <w:tblPrEx>
          <w:shd w:val="clear" w:color="auto" w:fill="auto"/>
          <w:tblCellMar>
            <w:top w:w="0" w:type="dxa"/>
            <w:left w:w="108" w:type="dxa"/>
            <w:bottom w:w="0" w:type="dxa"/>
            <w:right w:w="108" w:type="dxa"/>
          </w:tblCellMar>
        </w:tblPrEx>
        <w:trPr>
          <w:trHeight w:val="600"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肾厥</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5-8苗/丛 H30-40cm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丛</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tblCellMar>
            <w:top w:w="0" w:type="dxa"/>
            <w:left w:w="108" w:type="dxa"/>
            <w:bottom w:w="0" w:type="dxa"/>
            <w:right w:w="108" w:type="dxa"/>
          </w:tblCellMar>
        </w:tblPrEx>
        <w:trPr>
          <w:trHeight w:val="679"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肾厥</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5-8苗/丛 H30-40cm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w:t>
            </w:r>
          </w:p>
        </w:tc>
      </w:tr>
      <w:tr>
        <w:tblPrEx>
          <w:shd w:val="clear" w:color="auto" w:fill="auto"/>
          <w:tblCellMar>
            <w:top w:w="0" w:type="dxa"/>
            <w:left w:w="108" w:type="dxa"/>
            <w:bottom w:w="0" w:type="dxa"/>
            <w:right w:w="108" w:type="dxa"/>
          </w:tblCellMar>
        </w:tblPrEx>
        <w:trPr>
          <w:trHeight w:val="739"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肾蕨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9-12苗/丛 H30-40cm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丛</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shd w:val="clear" w:color="auto" w:fill="auto"/>
          <w:tblCellMar>
            <w:top w:w="0" w:type="dxa"/>
            <w:left w:w="108" w:type="dxa"/>
            <w:bottom w:w="0" w:type="dxa"/>
            <w:right w:w="108" w:type="dxa"/>
          </w:tblCellMar>
        </w:tblPrEx>
        <w:trPr>
          <w:trHeight w:val="720"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肾蕨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9-12苗/丛 H30-40cm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波士顿蕨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十大功劳</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十大功劳</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狭叶十大功劳</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狭叶十大功劳</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四季红山茶</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D40cm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四季红山茶</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D50cm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四季红山茶</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D80cm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四季红山茶</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松红梅</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H20-30cm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松红梅</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H20-30cm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松红梅</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H40-50cm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松红梅</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H40-50cm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松红梅</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H60-70cm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松红梅</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H80cm-1m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糖蜜草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糖蜜草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糖蜜草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糖蜜草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糖蜜草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糖蜜草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吸毒草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吸毒草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吸毒草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D50-60cm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银丝草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银丝草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金叶佛甲草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金叶佛甲草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佛甲草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H10-20cm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佛甲草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H10-20cm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佛甲草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佛甲草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朝雾草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朝雾草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朝雾草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朝雾草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灯芯草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灯芯草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灯芯草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灯芯草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矮生马鞭草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矮生马鞭草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矮生马鞭草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矮生马鞭草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柳叶马鞭草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柳叶马鞭草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柳叶马鞭草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柳叶马鞭草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柳叶马鞭草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玉带草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玉带草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鼠尾草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鼠尾草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鼠尾草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H&gt;60cm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鼠尾草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墨西哥羽毛草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D&gt;35cm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墨西哥羽毛草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D&gt;35cm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墨西哥羽毛草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墨西哥羽毛草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墨西哥鼠尾草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墨西哥鼠尾草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墨西哥鼠尾草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墨西哥鼠尾草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樱桃鼠尾草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樱桃鼠尾草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樱桃鼠尾草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樱桃鼠尾草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蓝鸟鼠尾草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蓝鸟鼠尾草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蓝鸟鼠尾草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蓝鸟鼠尾草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蓝天鼠尾草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蓝天鼠尾草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深蓝鼠尾草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深蓝鼠尾草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深蓝鼠尾草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深蓝鼠尾草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薰衣草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薰衣草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银边草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3-5苗/株</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H35cm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D&gt;35cm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银边草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翠云草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沿阶草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蓬莱松</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蓬莱松</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蓬莱松</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蓬莱松</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天门冬</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天门冬</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狐尾天门冬</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狐尾天门冬</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铁兰</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H&gt;20cm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万年麻</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五色梅</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D30cm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五色梅</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D30cm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五色梅</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D40cm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五色梅</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D40cm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五色梅</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D50cm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五色梅</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D50cm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五色梅</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D60cm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五色梅</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D60cm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五色梅</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D80cm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五色梅</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五色梅</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五色梅</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五色梅</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五色梅</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五色梅</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五色梅</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五色梅</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新西兰粉边亚麻</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粉边亚麻</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鸢尾</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鸢尾</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鸢尾</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紫色花</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袖珍椰子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袖珍椰子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shd w:val="clear" w:color="auto" w:fill="auto"/>
          <w:tblCellMar>
            <w:top w:w="0" w:type="dxa"/>
            <w:left w:w="108" w:type="dxa"/>
            <w:bottom w:w="0" w:type="dxa"/>
            <w:right w:w="108" w:type="dxa"/>
          </w:tblCellMar>
        </w:tblPrEx>
        <w:trPr>
          <w:trHeight w:val="660"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袖珍椰子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H&gt;30cm，3-5苗/株</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D&gt;15cm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shd w:val="clear" w:color="auto" w:fill="auto"/>
          <w:tblCellMar>
            <w:top w:w="0" w:type="dxa"/>
            <w:left w:w="108" w:type="dxa"/>
            <w:bottom w:w="0" w:type="dxa"/>
            <w:right w:w="108" w:type="dxa"/>
          </w:tblCellMar>
        </w:tblPrEx>
        <w:trPr>
          <w:trHeight w:val="600"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袖珍椰子</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H&gt;50cm，3-5苗/株</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D&gt;20cm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绣球花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绣球花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绣球花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绣球花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绣球花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绣球花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绣球花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绣球花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绣球花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绣球花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无尽夏绣球花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无尽夏绣球花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无尽夏绣球花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无尽夏绣球花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银叶金合欢</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银叶金和欢</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香水合欢</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120-150cm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金边阔叶麦冬</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金边阔叶麦冬</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迎春</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shd w:val="clear" w:color="auto" w:fill="auto"/>
          <w:tblCellMar>
            <w:top w:w="0" w:type="dxa"/>
            <w:left w:w="108" w:type="dxa"/>
            <w:bottom w:w="0" w:type="dxa"/>
            <w:right w:w="108" w:type="dxa"/>
          </w:tblCellMar>
        </w:tblPrEx>
        <w:trPr>
          <w:trHeight w:val="660"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迎春</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16杯，4-6苗/杯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迎春</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油麻藤</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H2-3m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油麻藤</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牡丹</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巴西野牡丹</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巴西野牡丹</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紫藤</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H200cm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紫藤</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H400-500cm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玉簪</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玉簪</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玉簪</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玉簪</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花叶玉簪</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花叶玉簪</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花叶玉簪</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花叶玉簪</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大丽花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大丽花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大丽花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大丽花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胡椒木</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芍药</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无刺构骨球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D120cm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银叶菊</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银叶菊</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银叶菊</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银叶菊</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中华景天</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中华景天</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中华景天</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中华景天</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三七景天</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三七景天</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三七景天</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三七景天</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金叶芒</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金叶芒</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金叶芒</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金叶芒</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斑叶芒</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斑叶芒</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斑叶芒</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斑叶芒</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细叶芒</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10-15苗/株</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D&gt;35cm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细叶芒</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10-15苗/株</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D&gt;35cm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细叶芒</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细叶芒</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细叶芒</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细叶芒</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花叶芒</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10-15苗/株</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D&gt;35cm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花叶芒</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10-15苗/株</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D&gt;35cm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花叶芒</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金边芒</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10-15苗/株</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D&gt;35cm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金边芒</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10-15苗/株</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D&gt;35cm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金边芒</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金边芒</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金边芒</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金边芒</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迷迭香</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迷迭香</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迷迭香</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迷迭香</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过路黄</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过路黄</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金叶过路黄</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金叶过路黄</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海芋</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H&gt;120cm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洒金东瀛珊瑚</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洒金东瀛珊瑚</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花烟草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花烟草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花烟草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花烟草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玲珑草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玲珑草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多花红千层</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H2.5m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D1.5m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彩叶杞柳</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硬骨凌霄</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非洲凌霄</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尤加利</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亮丽女贞球</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D1m</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柳枝稷</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柳枝稷</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3970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翠芦莉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翠芦莉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水果兰</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水果兰</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水果兰</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千鸟花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千鸟花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千鸟花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千鸟花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千鸟花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千鸟花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千鸟花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千鸟花</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花叶玉禅</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花叶玉禅</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文竹</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文竹</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超级一串红</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超级一串红</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大花蕙兰</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马蹄莲</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H25-30cm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马蹄莲</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H40-45cm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彩花马蹄莲</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混播草皮</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台湾二号草皮</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百慕达草皮</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马蹄金草皮</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混播草种</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35g/m²</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高羊茅草种</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35g/m²</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狗牙根草种</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35g/m²</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三叶草种</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自然冠幅</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35g/m²</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麦冬</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5斤/m²</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玉龙草</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5斤/m²</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马鞭草花籽</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35g/m²</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油菜花籽</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35g/m²</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波斯菊花籽</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35g/m²</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高杆波斯菊花籽</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35g/m²</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硫化菊花籽</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35g/m²</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高杆硫华菊花籽</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35g/m²</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百日草花籽</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35g/m²</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高杆百日草花籽</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35g/m²</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孔雀草花籽</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35g/m²</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827</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高杆孔雀草花籽</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35g/m²</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828</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向日葵（单头）花籽</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35g/m²</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tblCellMar>
            <w:top w:w="0" w:type="dxa"/>
            <w:left w:w="108" w:type="dxa"/>
            <w:bottom w:w="0" w:type="dxa"/>
            <w:right w:w="108" w:type="dxa"/>
          </w:tblCellMar>
        </w:tblPrEx>
        <w:trPr>
          <w:trHeight w:val="600"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829</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向日葵（玩具熊）花籽</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35g/m²</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830</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万寿菊花籽</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35g/m²</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831</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高杆万寿菊花籽</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35g/m²</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832</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单色醉蝶花花籽</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35g/m²</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833</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混色醉蝶花花籽</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35g/m²</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834</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葱兰</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H10-15cm</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5斤/m²</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835</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韭兰</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5斤/m²</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shd w:val="clear" w:color="auto" w:fill="auto"/>
          <w:tblCellMar>
            <w:top w:w="0" w:type="dxa"/>
            <w:left w:w="108" w:type="dxa"/>
            <w:bottom w:w="0" w:type="dxa"/>
            <w:right w:w="108" w:type="dxa"/>
          </w:tblCellMar>
        </w:tblPrEx>
        <w:trPr>
          <w:trHeight w:val="402" w:hRule="atLeast"/>
        </w:trPr>
        <w:tc>
          <w:tcPr>
            <w:tcW w:w="8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836</w:t>
            </w:r>
          </w:p>
        </w:tc>
        <w:tc>
          <w:tcPr>
            <w:tcW w:w="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扁竹根</w:t>
            </w:r>
          </w:p>
        </w:tc>
        <w:tc>
          <w:tcPr>
            <w:tcW w:w="1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5斤/m²</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CellMar>
            <w:top w:w="0" w:type="dxa"/>
            <w:left w:w="108" w:type="dxa"/>
            <w:bottom w:w="0" w:type="dxa"/>
            <w:right w:w="108" w:type="dxa"/>
          </w:tblCellMar>
        </w:tblPrEx>
        <w:trPr>
          <w:trHeight w:val="402" w:hRule="atLeast"/>
        </w:trPr>
        <w:tc>
          <w:tcPr>
            <w:tcW w:w="9195"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水生植物</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栽植密度</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单价最高限价</w:t>
            </w:r>
          </w:p>
        </w:tc>
      </w:tr>
      <w:tr>
        <w:tblPrEx>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金鱼藻</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H35cm,D&gt;35cm</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沉水≥36株/m²</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伞草</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H50cm,D&gt;35cm，8-10苗/株</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伞草</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H50cm,D&gt;35cm，8-10苗/株</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伞草</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H120cm 8-10苗/株</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w:t>
            </w:r>
          </w:p>
        </w:tc>
      </w:tr>
      <w:tr>
        <w:tblPrEx>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伞草</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H120cm 8-10苗/株</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梭鱼草</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H50cm,D&gt;35cm</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梭鱼草</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H50cm,D&gt;35cm</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再力花</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H50cm,D&gt;35cm，3-5苗/株</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w:t>
            </w:r>
          </w:p>
        </w:tc>
      </w:tr>
      <w:tr>
        <w:tblPrEx>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再力花</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H50cm,D&gt;35cm，3-5苗/株</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再力花</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940</w:t>
            </w:r>
          </w:p>
        </w:tc>
      </w:tr>
      <w:tr>
        <w:tblPrEx>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再力花</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观赏荷花</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H50cm,D&gt;35cm，3-5叶/株</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浮叶</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睡莲</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H50cm,D&gt;35cm，3-5叶/株</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浮叶</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睡莲</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30杯</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浮叶</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千屈菜</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H50cm,D&gt;35cm，3-5苗/株</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千屈菜</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H50cm,D&gt;35cm，3-5苗/株</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千屈菜</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千屈菜</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芭茅</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H1.5-2.5m，10-15苗/丛</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2210</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芭茅</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H1.5-2.5m，10-15苗/丛</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丛</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芦竹</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H1.5-2.0m</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芦竹</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H1.5-2.0m</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苗</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花叶芦竹</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w:t>
            </w:r>
          </w:p>
        </w:tc>
      </w:tr>
      <w:tr>
        <w:tblPrEx>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花叶芦竹</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H60cm</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花叶芦竹</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H120cm</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花叶芦竹</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H120cm</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花叶芦竹</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H150cm</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花叶芦竹</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H150cm</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芦苇</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H80-100cm</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芦苇</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H80-100cm</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苗</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芦苇</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H100-150cm</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芦苇</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H100-150cm</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苗</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花叶芦苇</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H80-100cm，4-5根/丛</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470</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花叶芦苇</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H80-100cm，4-5根/丛</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丛</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花叶芦苇</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H100-150cm，7-10根/丛</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610</w:t>
            </w:r>
          </w:p>
        </w:tc>
      </w:tr>
      <w:tr>
        <w:tblPrEx>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花叶芦苇</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H100-150cm，7-10根/丛</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丛</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紫叶芦苇</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H80-100cm，4-5根/丛</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860</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紫叶芦苇</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H80-100cm，4-5根/丛</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丛</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紫叶芦苇</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H100-150cm，7-10根/丛</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920</w:t>
            </w:r>
          </w:p>
        </w:tc>
      </w:tr>
      <w:tr>
        <w:tblPrEx>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紫叶芦苇</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H100-150cm，7-10根/丛</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丛</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水菖蒲</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H30-50cm</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r>
      <w:tr>
        <w:tblPrEx>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水菖蒲</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H30-50cm</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苗</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水生美人蕉</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H30-60cm，8-10苗/株</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水生美人蕉</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H30-60cm，8-10苗/株</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水生美人蕉</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H80cm，8-10苗/株</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810</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水生美人蕉</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H80cm，8-10苗/株</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水生美人蕉</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H120cm，8-11苗/株</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水生美人蕉</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H120cm，8-11苗/株</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水生美人蕉</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水生美人蕉</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水生鸢尾</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w:t>
            </w:r>
          </w:p>
        </w:tc>
      </w:tr>
      <w:tr>
        <w:tblPrEx>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水生鸢尾</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水生鸢尾</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15杯</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水生鸢尾</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15杯</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水生鸢尾</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1490</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水生鸢尾</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shd w:val="clear" w:color="auto" w:fill="auto"/>
          <w:tblCellMar>
            <w:top w:w="0" w:type="dxa"/>
            <w:left w:w="108" w:type="dxa"/>
            <w:bottom w:w="0" w:type="dxa"/>
            <w:right w:w="108" w:type="dxa"/>
          </w:tblCellMar>
        </w:tblPrEx>
        <w:trPr>
          <w:trHeight w:val="402" w:hRule="atLeast"/>
        </w:trPr>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苦草</w:t>
            </w:r>
          </w:p>
        </w:tc>
        <w:tc>
          <w:tcPr>
            <w:tcW w:w="21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H25-30cm</w:t>
            </w:r>
          </w:p>
        </w:tc>
        <w:tc>
          <w:tcPr>
            <w:tcW w:w="245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沉水≥36株/m²</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r>
      <w:tr>
        <w:tblPrEx>
          <w:tblCellMar>
            <w:top w:w="0" w:type="dxa"/>
            <w:left w:w="108" w:type="dxa"/>
            <w:bottom w:w="0" w:type="dxa"/>
            <w:right w:w="108" w:type="dxa"/>
          </w:tblCellMar>
        </w:tblPrEx>
        <w:trPr>
          <w:trHeight w:val="402" w:hRule="atLeast"/>
        </w:trPr>
        <w:tc>
          <w:tcPr>
            <w:tcW w:w="9195"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草花</w:t>
            </w:r>
          </w:p>
        </w:tc>
      </w:tr>
      <w:tr>
        <w:tblPrEx>
          <w:tblCellMar>
            <w:top w:w="0" w:type="dxa"/>
            <w:left w:w="108" w:type="dxa"/>
            <w:bottom w:w="0" w:type="dxa"/>
            <w:right w:w="108" w:type="dxa"/>
          </w:tblCellMar>
        </w:tblPrEx>
        <w:trPr>
          <w:trHeight w:val="91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品名</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草花密度</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单价最高限价（元/㎡）</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矮牵牛</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 </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矮牵牛</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360.00 </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矮牵牛</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290.00 </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巴西野牡丹</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520.00 </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百日草</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 </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报春</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 </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报春</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270.00 </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北京小菊</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540.00 </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北京小菊</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210.00 </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北京小菊</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270.00 </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北京小菊</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140.00 </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比哥海棠</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290.00 </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比哥海棠</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290.00 </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波斯菊</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 </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玻璃海棠</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310.00 </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玻璃海棠</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270.00 </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彩花马蹄莲</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170.00 </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彩叶草</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 </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超级凤仙</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380.00 </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超级凤仙</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310.00 </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超级海棠</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400.00 </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超级海棠</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310.00 </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赤壁火炬</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 </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赤壁火炬</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230.00 </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雏菊</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 </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雏菊</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290.00 </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大花飞燕草</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290.00 </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大花蕙兰</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120.00 </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大花金鸡菊</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270.00 </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大花石竹</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290.00 </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大花樱草</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270.00 </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大丽花</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290.00 </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倒挂金钟</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450.00 </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点地梅</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220.00 </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吊兰牵牛</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290.00 </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吊竹梅</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290.00 </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钓钟柳</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370.00 </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钓钟柳</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360.00 </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繁星花</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310.00 </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非洲凤仙</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290.00 </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非洲凤仙</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 </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丰花百日草</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220.00 </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凤梨</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860.00 </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凤仙</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 </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高杆金鱼草</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 </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高杆金盏菊</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 </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高杆石竹</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 </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瓜叶菊</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国庆菊</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过路黄</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海棠</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旱金莲</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旱金莲</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荷兰菊</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荷兰菊</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红掌</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花毛茛</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花烟草</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花叶蔓长春</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花鸢草</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花鸢草</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黄金菊</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火炬</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姬小菊</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姬小菊</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几内亚凤仙</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角堇</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角堇</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角堇</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金鸡菊</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金雀儿</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金鱼草</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金鱼草</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金盏菊</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金盏菊</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孔雀草</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丽格海棠</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丽格海棠</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玲珑草</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玲珑草</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硫华菊</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龙船花</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耧斗菜</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落新妇</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马力筋</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马力筋</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玛格丽特</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玛格丽特</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玛格丽特</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满天星</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蔓长春</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毛地黄</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毛地黄</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毛地黄钓钟柳</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玫瑰海棠</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玫瑰海棠</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玫瑰月季</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美女樱</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美女樱</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美女樱</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美女樱</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木春菊</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木春菊</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南非万寿菊</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南非万寿菊</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欧洲月季</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欧洲月季</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欧洲月季</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千鸟花</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千鸟花</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千鸟花</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千日红</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牵牛</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情人草</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球菊</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球菊</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球菊</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球菊</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瑞香</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三色堇</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三色堇</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石竹</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石竹</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水葱</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水果兰</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水果兰</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四季海棠</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松果菊</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H40cm</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太阳花</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太阳花</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天星玫瑰</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天竺葵</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天竺葵</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万寿菊</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五彩芋</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五色草</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西洋杜鹃</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西洋杜鹃</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西洋杜鹃</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西洋杜鹃</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夏堇</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夏堇</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仙客来</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仙客来</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仙客来</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香彩雀</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香彩雀</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向日葵</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向日葵</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小花木槿</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单株</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小花樱草</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袖珍椰子</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勋章菊</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亚菊</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一串红</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一串红</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一品红</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樱草</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硬骨凌霄</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虞美人</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虞美人</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羽扇豆</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羽衣甘蓝</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羽衣甘蓝</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圆锥石头花</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月季</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月季</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月季</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长春花</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长春花</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长寿花</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中国红</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重瓣月季</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紫娇花</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r>
      <w:tr>
        <w:tblPrEx>
          <w:shd w:val="clear" w:color="auto" w:fill="auto"/>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紫罗兰</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紫罗兰</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紫叶酢浆草</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r>
      <w:tr>
        <w:tblPrEx>
          <w:tblCellMar>
            <w:top w:w="0" w:type="dxa"/>
            <w:left w:w="108" w:type="dxa"/>
            <w:bottom w:w="0" w:type="dxa"/>
            <w:right w:w="108" w:type="dxa"/>
          </w:tblCellMar>
        </w:tblPrEx>
        <w:trPr>
          <w:trHeight w:val="4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1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钻石玫瑰</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16杯</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w:t>
            </w:r>
          </w:p>
        </w:tc>
      </w:tr>
      <w:tr>
        <w:tblPrEx>
          <w:shd w:val="clear" w:color="auto" w:fill="auto"/>
          <w:tblCellMar>
            <w:top w:w="0" w:type="dxa"/>
            <w:left w:w="108" w:type="dxa"/>
            <w:bottom w:w="0" w:type="dxa"/>
            <w:right w:w="108" w:type="dxa"/>
          </w:tblCellMar>
        </w:tblPrEx>
        <w:trPr>
          <w:trHeight w:val="435" w:hRule="atLeast"/>
        </w:trPr>
        <w:tc>
          <w:tcPr>
            <w:tcW w:w="9195"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机械</w:t>
            </w:r>
          </w:p>
        </w:tc>
      </w:tr>
      <w:tr>
        <w:tblPrEx>
          <w:tblCellMar>
            <w:top w:w="0" w:type="dxa"/>
            <w:left w:w="108" w:type="dxa"/>
            <w:bottom w:w="0" w:type="dxa"/>
            <w:right w:w="108" w:type="dxa"/>
          </w:tblCellMar>
        </w:tblPrEx>
        <w:trPr>
          <w:gridAfter w:val="1"/>
          <w:wAfter w:w="9" w:type="dxa"/>
          <w:trHeight w:val="80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品名</w:t>
            </w: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080"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单位</w:t>
            </w:r>
          </w:p>
        </w:tc>
        <w:tc>
          <w:tcPr>
            <w:tcW w:w="2436" w:type="dxa"/>
            <w:gridSpan w:val="6"/>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单价最高限价（元）</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shd w:val="clear" w:color="auto" w:fill="auto"/>
          <w:tblCellMar>
            <w:top w:w="0" w:type="dxa"/>
            <w:left w:w="108" w:type="dxa"/>
            <w:bottom w:w="0" w:type="dxa"/>
            <w:right w:w="108" w:type="dxa"/>
          </w:tblCellMar>
        </w:tblPrEx>
        <w:trPr>
          <w:gridAfter w:val="1"/>
          <w:wAfter w:w="9" w:type="dxa"/>
          <w:trHeight w:val="44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吊车</w:t>
            </w: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8T</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小时</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17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1.80T（含）以下吊车实际出车时间不足4小时的，按4小时结算；实际出车时间大于4小时的，按实结算。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2.100T吊车实际出车时间不足6小时的，按6小时结算；实际出车时间大于6小时的，按实结算。</w:t>
            </w:r>
          </w:p>
        </w:tc>
      </w:tr>
      <w:tr>
        <w:tblPrEx>
          <w:tblCellMar>
            <w:top w:w="0" w:type="dxa"/>
            <w:left w:w="108" w:type="dxa"/>
            <w:bottom w:w="0" w:type="dxa"/>
            <w:right w:w="108" w:type="dxa"/>
          </w:tblCellMar>
        </w:tblPrEx>
        <w:trPr>
          <w:gridAfter w:val="1"/>
          <w:wAfter w:w="9" w:type="dxa"/>
          <w:trHeight w:val="44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12T</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小时</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9" w:type="dxa"/>
          <w:trHeight w:val="44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10T（五节臂，特殊车辆）</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小时</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gridAfter w:val="1"/>
          <w:wAfter w:w="9" w:type="dxa"/>
          <w:trHeight w:val="44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16T</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小时</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9" w:type="dxa"/>
          <w:trHeight w:val="44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20T</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小时</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gridAfter w:val="1"/>
          <w:wAfter w:w="9" w:type="dxa"/>
          <w:trHeight w:val="44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25T（四节臂）</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小时</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gridAfter w:val="1"/>
          <w:wAfter w:w="9" w:type="dxa"/>
          <w:trHeight w:val="44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25T（五节臂）</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小时</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9" w:type="dxa"/>
          <w:trHeight w:val="44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50T</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小时</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gridAfter w:val="1"/>
          <w:wAfter w:w="9" w:type="dxa"/>
          <w:trHeight w:val="44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80T</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小时</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840</w:t>
            </w:r>
          </w:p>
        </w:tc>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9" w:type="dxa"/>
          <w:trHeight w:val="44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100T</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小时</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gridAfter w:val="1"/>
          <w:wAfter w:w="9" w:type="dxa"/>
          <w:trHeight w:val="40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9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挖掘机（小）</w:t>
            </w: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三一55（斗容量0.2m³）</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小时</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7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背车费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收取标准：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＜4小时，计2次背车费；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＜8小时，计1次背车费；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≥8小时，无背车费</w:t>
            </w:r>
          </w:p>
        </w:tc>
      </w:tr>
      <w:tr>
        <w:tblPrEx>
          <w:shd w:val="clear" w:color="auto" w:fill="auto"/>
          <w:tblCellMar>
            <w:top w:w="0" w:type="dxa"/>
            <w:left w:w="108" w:type="dxa"/>
            <w:bottom w:w="0" w:type="dxa"/>
            <w:right w:w="108" w:type="dxa"/>
          </w:tblCellMar>
        </w:tblPrEx>
        <w:trPr>
          <w:gridAfter w:val="1"/>
          <w:wAfter w:w="9" w:type="dxa"/>
          <w:trHeight w:val="415"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三一60（斗容量0.2m³）</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小时</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gridAfter w:val="1"/>
          <w:wAfter w:w="9" w:type="dxa"/>
          <w:trHeight w:val="40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三一SY75C-9（斗容量0.2m³）</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小时</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gridAfter w:val="1"/>
          <w:wAfter w:w="9" w:type="dxa"/>
          <w:trHeight w:val="40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斗山60-7（斗容量0.2m³）</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小时</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9" w:type="dxa"/>
          <w:trHeight w:val="40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现代60-5（斗容量0.2m³）</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小时</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9" w:type="dxa"/>
          <w:trHeight w:val="40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现代55-5（斗容量0.2m³）</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小时</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9" w:type="dxa"/>
          <w:trHeight w:val="40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徐工60-7（斗容量0.2m³）</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小时</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9" w:type="dxa"/>
          <w:trHeight w:val="40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破碎机</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小时</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gridAfter w:val="1"/>
          <w:wAfter w:w="9" w:type="dxa"/>
          <w:trHeight w:val="40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背车费</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gridAfter w:val="1"/>
          <w:wAfter w:w="9" w:type="dxa"/>
          <w:trHeight w:val="40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挖掘机（中）</w:t>
            </w: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150（斗容量0.46m³）</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小时</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gridAfter w:val="1"/>
          <w:wAfter w:w="9" w:type="dxa"/>
          <w:trHeight w:val="40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破碎机</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小时</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9" w:type="dxa"/>
          <w:trHeight w:val="40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背车费</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w:t>
            </w:r>
          </w:p>
        </w:tc>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gridAfter w:val="1"/>
          <w:wAfter w:w="9" w:type="dxa"/>
          <w:trHeight w:val="40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9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挖掘机（大）</w:t>
            </w: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210（斗容量1m³）</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小时</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9" w:type="dxa"/>
          <w:trHeight w:val="40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神钢220（斗容量1.2m³）</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小时</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gridAfter w:val="1"/>
          <w:wAfter w:w="9" w:type="dxa"/>
          <w:trHeight w:val="40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260（斗容量1.3m³）</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小时</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w:t>
            </w:r>
          </w:p>
        </w:tc>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gridAfter w:val="1"/>
          <w:wAfter w:w="9" w:type="dxa"/>
          <w:trHeight w:val="40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330（斗容量1.4m³）</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小时</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9" w:type="dxa"/>
          <w:trHeight w:val="40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破碎机</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小时</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gridAfter w:val="1"/>
          <w:wAfter w:w="9" w:type="dxa"/>
          <w:trHeight w:val="40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背车费</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9" w:type="dxa"/>
          <w:trHeight w:val="40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9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轮式挖掘机</w:t>
            </w: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60-80轮式</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小时</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both"/>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gridAfter w:val="1"/>
          <w:wAfter w:w="9" w:type="dxa"/>
          <w:trHeight w:val="40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破碎机</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小时</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both"/>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gridAfter w:val="1"/>
          <w:wAfter w:w="9" w:type="dxa"/>
          <w:trHeight w:val="40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9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装载机</w:t>
            </w: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小时</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both"/>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gridAfter w:val="1"/>
          <w:wAfter w:w="9" w:type="dxa"/>
          <w:trHeight w:val="40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小时</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gridAfter w:val="1"/>
          <w:wAfter w:w="9" w:type="dxa"/>
          <w:trHeight w:val="74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轻型货车</w:t>
            </w: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4.2米及以上</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台班</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w:t>
            </w:r>
          </w:p>
        </w:tc>
        <w:tc>
          <w:tcPr>
            <w:tcW w:w="17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每8小时/台班，单日出车不足4小时的按0.5台班计；单日出车不足8小时的按1台班计。</w:t>
            </w:r>
          </w:p>
        </w:tc>
      </w:tr>
      <w:tr>
        <w:tblPrEx>
          <w:tblCellMar>
            <w:top w:w="0" w:type="dxa"/>
            <w:left w:w="108" w:type="dxa"/>
            <w:bottom w:w="0" w:type="dxa"/>
            <w:right w:w="108" w:type="dxa"/>
          </w:tblCellMar>
        </w:tblPrEx>
        <w:trPr>
          <w:gridAfter w:val="1"/>
          <w:wAfter w:w="9" w:type="dxa"/>
          <w:trHeight w:val="88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自卸货车</w:t>
            </w: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3.8米及以上</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台班</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840</w:t>
            </w:r>
          </w:p>
        </w:tc>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gridAfter w:val="1"/>
          <w:wAfter w:w="9" w:type="dxa"/>
          <w:trHeight w:val="80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9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中型货车</w:t>
            </w:r>
          </w:p>
        </w:tc>
        <w:tc>
          <w:tcPr>
            <w:tcW w:w="186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5.2米及以上</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车次</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570</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运距≥15公里，＜40公里</w:t>
            </w:r>
          </w:p>
        </w:tc>
      </w:tr>
      <w:tr>
        <w:tblPrEx>
          <w:shd w:val="clear" w:color="auto" w:fill="auto"/>
          <w:tblCellMar>
            <w:top w:w="0" w:type="dxa"/>
            <w:left w:w="108" w:type="dxa"/>
            <w:bottom w:w="0" w:type="dxa"/>
            <w:right w:w="108" w:type="dxa"/>
          </w:tblCellMar>
        </w:tblPrEx>
        <w:trPr>
          <w:gridAfter w:val="1"/>
          <w:wAfter w:w="9" w:type="dxa"/>
          <w:trHeight w:val="80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86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车次</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运距≥40公里</w:t>
            </w:r>
          </w:p>
        </w:tc>
      </w:tr>
      <w:tr>
        <w:tblPrEx>
          <w:shd w:val="clear" w:color="auto" w:fill="auto"/>
          <w:tblCellMar>
            <w:top w:w="0" w:type="dxa"/>
            <w:left w:w="108" w:type="dxa"/>
            <w:bottom w:w="0" w:type="dxa"/>
            <w:right w:w="108" w:type="dxa"/>
          </w:tblCellMar>
        </w:tblPrEx>
        <w:trPr>
          <w:gridAfter w:val="1"/>
          <w:wAfter w:w="9" w:type="dxa"/>
          <w:trHeight w:val="80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9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重型货车</w:t>
            </w:r>
          </w:p>
        </w:tc>
        <w:tc>
          <w:tcPr>
            <w:tcW w:w="186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6.8米及以上</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车次</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运距＜15公里</w:t>
            </w:r>
          </w:p>
        </w:tc>
      </w:tr>
      <w:tr>
        <w:tblPrEx>
          <w:shd w:val="clear" w:color="auto" w:fill="auto"/>
          <w:tblCellMar>
            <w:top w:w="0" w:type="dxa"/>
            <w:left w:w="108" w:type="dxa"/>
            <w:bottom w:w="0" w:type="dxa"/>
            <w:right w:w="108" w:type="dxa"/>
          </w:tblCellMar>
        </w:tblPrEx>
        <w:trPr>
          <w:gridAfter w:val="1"/>
          <w:wAfter w:w="9" w:type="dxa"/>
          <w:trHeight w:val="80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86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车次</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运距≥15公里，＜40公里</w:t>
            </w:r>
          </w:p>
        </w:tc>
      </w:tr>
      <w:tr>
        <w:tblPrEx>
          <w:shd w:val="clear" w:color="auto" w:fill="auto"/>
          <w:tblCellMar>
            <w:top w:w="0" w:type="dxa"/>
            <w:left w:w="108" w:type="dxa"/>
            <w:bottom w:w="0" w:type="dxa"/>
            <w:right w:w="108" w:type="dxa"/>
          </w:tblCellMar>
        </w:tblPrEx>
        <w:trPr>
          <w:gridAfter w:val="1"/>
          <w:wAfter w:w="9" w:type="dxa"/>
          <w:trHeight w:val="80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86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车次</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840</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运距≥40公里</w:t>
            </w:r>
          </w:p>
        </w:tc>
      </w:tr>
      <w:tr>
        <w:tblPrEx>
          <w:shd w:val="clear" w:color="auto" w:fill="auto"/>
          <w:tblCellMar>
            <w:top w:w="0" w:type="dxa"/>
            <w:left w:w="108" w:type="dxa"/>
            <w:bottom w:w="0" w:type="dxa"/>
            <w:right w:w="108" w:type="dxa"/>
          </w:tblCellMar>
        </w:tblPrEx>
        <w:trPr>
          <w:gridAfter w:val="1"/>
          <w:wAfter w:w="9" w:type="dxa"/>
          <w:trHeight w:val="80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86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9.6米</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车次</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运距＜15公里</w:t>
            </w:r>
          </w:p>
        </w:tc>
      </w:tr>
      <w:tr>
        <w:tblPrEx>
          <w:tblCellMar>
            <w:top w:w="0" w:type="dxa"/>
            <w:left w:w="108" w:type="dxa"/>
            <w:bottom w:w="0" w:type="dxa"/>
            <w:right w:w="108" w:type="dxa"/>
          </w:tblCellMar>
        </w:tblPrEx>
        <w:trPr>
          <w:gridAfter w:val="1"/>
          <w:wAfter w:w="9" w:type="dxa"/>
          <w:trHeight w:val="80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86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车次</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运距≥15公里，＜40公里</w:t>
            </w:r>
          </w:p>
        </w:tc>
      </w:tr>
      <w:tr>
        <w:tblPrEx>
          <w:shd w:val="clear" w:color="auto" w:fill="auto"/>
          <w:tblCellMar>
            <w:top w:w="0" w:type="dxa"/>
            <w:left w:w="108" w:type="dxa"/>
            <w:bottom w:w="0" w:type="dxa"/>
            <w:right w:w="108" w:type="dxa"/>
          </w:tblCellMar>
        </w:tblPrEx>
        <w:trPr>
          <w:gridAfter w:val="1"/>
          <w:wAfter w:w="9" w:type="dxa"/>
          <w:trHeight w:val="800" w:hRule="atLeast"/>
        </w:trPr>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86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车次</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运距≥40公里</w:t>
            </w:r>
          </w:p>
        </w:tc>
      </w:tr>
    </w:tbl>
    <w:p>
      <w:pPr>
        <w:pStyle w:val="4"/>
        <w:rPr>
          <w:color w:val="auto"/>
          <w:sz w:val="24"/>
          <w:szCs w:val="24"/>
          <w:highlight w:val="none"/>
        </w:rPr>
      </w:pPr>
      <w:bookmarkStart w:id="277" w:name="_Toc31097"/>
      <w:bookmarkStart w:id="278" w:name="_Toc16804"/>
      <w:bookmarkStart w:id="279" w:name="_Toc3757"/>
      <w:bookmarkStart w:id="280" w:name="_Toc14986"/>
      <w:r>
        <w:rPr>
          <w:rFonts w:hint="eastAsia"/>
          <w:color w:val="auto"/>
          <w:sz w:val="24"/>
          <w:szCs w:val="24"/>
          <w:highlight w:val="none"/>
          <w:lang w:val="en-US" w:eastAsia="zh-CN"/>
        </w:rPr>
        <w:t>各包</w:t>
      </w:r>
      <w:r>
        <w:rPr>
          <w:rFonts w:hint="eastAsia"/>
          <w:color w:val="auto"/>
          <w:sz w:val="24"/>
          <w:szCs w:val="24"/>
          <w:highlight w:val="none"/>
        </w:rPr>
        <w:t>商务要求</w:t>
      </w:r>
      <w:bookmarkEnd w:id="277"/>
      <w:bookmarkEnd w:id="278"/>
      <w:bookmarkEnd w:id="279"/>
      <w:bookmarkEnd w:id="280"/>
    </w:p>
    <w:p>
      <w:pPr>
        <w:pStyle w:val="5"/>
        <w:bidi w:val="0"/>
        <w:ind w:left="0" w:leftChars="0" w:firstLine="500" w:firstLineChars="0"/>
        <w:rPr>
          <w:color w:val="auto"/>
          <w:highlight w:val="none"/>
        </w:rPr>
      </w:pPr>
      <w:r>
        <w:rPr>
          <w:rFonts w:hint="eastAsia"/>
          <w:color w:val="auto"/>
          <w:highlight w:val="none"/>
          <w:lang w:val="en-US" w:eastAsia="zh-CN"/>
        </w:rPr>
        <w:t>服务期限</w:t>
      </w:r>
    </w:p>
    <w:p>
      <w:r>
        <w:rPr>
          <w:rFonts w:hint="eastAsia" w:ascii="宋体" w:hAnsi="宋体" w:cs="宋体"/>
          <w:kern w:val="0"/>
          <w:sz w:val="24"/>
          <w:szCs w:val="24"/>
          <w:highlight w:val="none"/>
          <w:lang w:val="en-US" w:eastAsia="zh-CN"/>
        </w:rPr>
        <w:t>一年。</w:t>
      </w:r>
    </w:p>
    <w:p>
      <w:pPr>
        <w:pStyle w:val="5"/>
        <w:bidi w:val="0"/>
        <w:ind w:left="0" w:leftChars="0" w:firstLine="500" w:firstLineChars="0"/>
        <w:rPr>
          <w:rFonts w:ascii="宋体" w:hAnsi="宋体" w:cs="宋体"/>
          <w:color w:val="auto"/>
          <w:sz w:val="24"/>
          <w:szCs w:val="24"/>
          <w:highlight w:val="none"/>
        </w:rPr>
      </w:pPr>
      <w:r>
        <w:rPr>
          <w:rFonts w:hint="eastAsia" w:ascii="宋体" w:hAnsi="宋体" w:cs="宋体"/>
          <w:color w:val="auto"/>
          <w:sz w:val="24"/>
          <w:szCs w:val="24"/>
          <w:highlight w:val="none"/>
        </w:rPr>
        <w:t>验收要求</w:t>
      </w:r>
    </w:p>
    <w:p>
      <w:pPr>
        <w:widowControl w:val="0"/>
        <w:spacing w:line="360" w:lineRule="auto"/>
        <w:ind w:firstLine="49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按照《财政部关于进一步加强政府采购需求和履约验收管理的指导意见》（财库[2016]205号）执行。</w:t>
      </w:r>
    </w:p>
    <w:p>
      <w:pPr>
        <w:pStyle w:val="5"/>
        <w:bidi w:val="0"/>
        <w:ind w:left="0" w:leftChars="0" w:firstLine="500" w:firstLineChars="0"/>
        <w:rPr>
          <w:rFonts w:ascii="宋体" w:hAnsi="宋体" w:cs="宋体"/>
          <w:color w:val="auto"/>
          <w:sz w:val="24"/>
          <w:szCs w:val="24"/>
          <w:highlight w:val="none"/>
        </w:rPr>
      </w:pPr>
      <w:r>
        <w:rPr>
          <w:rFonts w:hint="eastAsia" w:cs="宋体"/>
          <w:color w:val="auto"/>
          <w:sz w:val="24"/>
          <w:szCs w:val="24"/>
          <w:highlight w:val="none"/>
          <w:lang w:val="en-US" w:eastAsia="zh-CN"/>
        </w:rPr>
        <w:t>报价要求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本项目采取报下浮比例方式进行报价，招标文件4.2各包零星维护清单中各品名内容下浮比例均为同一比例，最终各品名内容中标单价=其单价限价×（1-下浮比例）。</w:t>
      </w:r>
    </w:p>
    <w:p>
      <w:pPr>
        <w:pStyle w:val="2"/>
        <w:keepNext w:val="0"/>
        <w:keepLines w:val="0"/>
        <w:pageBreakBefore w:val="0"/>
        <w:widowControl w:val="0"/>
        <w:kinsoku/>
        <w:wordWrap/>
        <w:overflowPunct/>
        <w:topLinePunct w:val="0"/>
        <w:autoSpaceDE/>
        <w:autoSpaceDN/>
        <w:bidi w:val="0"/>
        <w:adjustRightInd/>
        <w:snapToGrid/>
        <w:spacing w:line="360" w:lineRule="auto"/>
        <w:ind w:firstLine="49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b/>
          <w:color w:val="auto"/>
          <w:sz w:val="24"/>
          <w:szCs w:val="32"/>
          <w:highlight w:val="none"/>
        </w:rPr>
        <w:t>★</w:t>
      </w:r>
      <w:r>
        <w:rPr>
          <w:rFonts w:hint="eastAsia" w:ascii="宋体" w:hAnsi="宋体" w:eastAsia="宋体" w:cs="宋体"/>
          <w:color w:val="auto"/>
          <w:kern w:val="2"/>
          <w:sz w:val="24"/>
          <w:szCs w:val="24"/>
          <w:highlight w:val="none"/>
          <w:lang w:val="en-US" w:eastAsia="zh-CN" w:bidi="ar-SA"/>
        </w:rPr>
        <w:t>下浮比例不能为负，否则按无效投标文件处理。</w:t>
      </w:r>
    </w:p>
    <w:p>
      <w:pPr>
        <w:pStyle w:val="5"/>
        <w:bidi w:val="0"/>
        <w:ind w:left="0" w:leftChars="0" w:firstLine="500" w:firstLineChars="0"/>
        <w:rPr>
          <w:rFonts w:ascii="宋体" w:hAnsi="宋体" w:cs="宋体"/>
          <w:color w:val="auto"/>
          <w:sz w:val="24"/>
          <w:szCs w:val="24"/>
          <w:highlight w:val="none"/>
        </w:rPr>
      </w:pPr>
      <w:r>
        <w:rPr>
          <w:rFonts w:hint="eastAsia" w:cs="宋体"/>
          <w:color w:val="auto"/>
          <w:sz w:val="24"/>
          <w:szCs w:val="24"/>
          <w:highlight w:val="none"/>
          <w:lang w:val="en-US" w:eastAsia="zh-CN"/>
        </w:rPr>
        <w:t>价款结算</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90" w:firstLineChars="200"/>
        <w:textAlignment w:val="auto"/>
        <w:rPr>
          <w:rFonts w:hint="eastAsia"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价格结算根据各品名中标单价×实际数量据实结算。其中包件1全年结算金额不超过300万元，包件2全年结算金额不超过300万元，包件3全年结算金额不超过200万元，包件4全年结算金额不超过100万元；包件5全年结算金额不超过100万元。</w:t>
      </w:r>
    </w:p>
    <w:p>
      <w:pPr>
        <w:pStyle w:val="2"/>
        <w:rPr>
          <w:rFonts w:hint="default" w:ascii="宋体" w:hAnsi="宋体" w:eastAsia="宋体" w:cs="宋体"/>
          <w:b/>
          <w:color w:val="auto"/>
          <w:kern w:val="2"/>
          <w:sz w:val="24"/>
          <w:szCs w:val="32"/>
          <w:highlight w:val="none"/>
          <w:lang w:val="en-US" w:eastAsia="zh-CN" w:bidi="ar-SA"/>
        </w:rPr>
      </w:pPr>
      <w:r>
        <w:rPr>
          <w:rFonts w:hint="default" w:ascii="宋体" w:hAnsi="宋体" w:eastAsia="宋体" w:cs="宋体"/>
          <w:b/>
          <w:color w:val="auto"/>
          <w:kern w:val="2"/>
          <w:sz w:val="24"/>
          <w:szCs w:val="32"/>
          <w:highlight w:val="none"/>
          <w:lang w:val="en-US" w:eastAsia="zh-CN" w:bidi="ar-SA"/>
        </w:rPr>
        <w:t>市政材料价格以同期信息价为准</w:t>
      </w:r>
      <w:r>
        <w:rPr>
          <w:rFonts w:hint="eastAsia" w:ascii="宋体" w:hAnsi="宋体" w:eastAsia="宋体" w:cs="宋体"/>
          <w:b/>
          <w:color w:val="auto"/>
          <w:kern w:val="2"/>
          <w:sz w:val="24"/>
          <w:szCs w:val="32"/>
          <w:highlight w:val="none"/>
          <w:lang w:val="en-US" w:eastAsia="zh-CN" w:bidi="ar-SA"/>
        </w:rPr>
        <w:t>。</w:t>
      </w:r>
    </w:p>
    <w:p>
      <w:pPr>
        <w:pStyle w:val="5"/>
        <w:bidi w:val="0"/>
        <w:ind w:left="0" w:leftChars="0" w:firstLine="500" w:firstLineChars="0"/>
        <w:rPr>
          <w:rFonts w:ascii="宋体" w:hAnsi="宋体" w:cs="宋体"/>
          <w:color w:val="auto"/>
          <w:sz w:val="24"/>
          <w:szCs w:val="24"/>
          <w:highlight w:val="none"/>
        </w:rPr>
      </w:pPr>
      <w:r>
        <w:rPr>
          <w:rFonts w:hint="eastAsia" w:ascii="宋体" w:hAnsi="宋体" w:cs="宋体"/>
          <w:color w:val="auto"/>
          <w:sz w:val="24"/>
          <w:szCs w:val="24"/>
          <w:highlight w:val="none"/>
        </w:rPr>
        <w:t>付款</w:t>
      </w:r>
      <w:r>
        <w:rPr>
          <w:rFonts w:hint="eastAsia" w:cs="宋体"/>
          <w:color w:val="auto"/>
          <w:sz w:val="24"/>
          <w:szCs w:val="24"/>
          <w:highlight w:val="none"/>
          <w:lang w:val="en-US" w:eastAsia="zh-CN"/>
        </w:rPr>
        <w:t>方式</w:t>
      </w:r>
    </w:p>
    <w:p>
      <w:pPr>
        <w:numPr>
          <w:ilvl w:val="0"/>
          <w:numId w:val="0"/>
        </w:numPr>
        <w:spacing w:after="163" w:line="440" w:lineRule="exact"/>
        <w:ind w:firstLine="490" w:firstLineChars="200"/>
        <w:rPr>
          <w:rFonts w:ascii="Times New Roman" w:hAnsi="Times New Roman" w:eastAsia="方正仿宋_GBK"/>
          <w:sz w:val="24"/>
          <w:szCs w:val="24"/>
          <w:highlight w:val="none"/>
          <w:lang w:val="zh-TW" w:eastAsia="zh-TW"/>
        </w:rPr>
      </w:pPr>
      <w:r>
        <w:rPr>
          <w:rFonts w:hint="eastAsia" w:ascii="宋体" w:hAnsi="宋体" w:cs="宋体"/>
          <w:sz w:val="24"/>
          <w:szCs w:val="24"/>
          <w:highlight w:val="none"/>
          <w:lang w:val="en-US" w:eastAsia="zh-CN"/>
        </w:rPr>
        <w:t>根据考核结果按月据实支付</w:t>
      </w:r>
      <w:r>
        <w:rPr>
          <w:rFonts w:hint="eastAsia" w:ascii="宋体" w:hAnsi="宋体" w:eastAsia="宋体" w:cs="宋体"/>
          <w:sz w:val="24"/>
          <w:szCs w:val="24"/>
          <w:highlight w:val="none"/>
          <w:lang w:val="zh-TW" w:eastAsia="zh-CN"/>
        </w:rPr>
        <w:t>。</w:t>
      </w:r>
    </w:p>
    <w:p>
      <w:pPr>
        <w:pStyle w:val="2"/>
        <w:ind w:firstLine="494"/>
        <w:rPr>
          <w:rFonts w:hint="eastAsia" w:ascii="宋体" w:hAnsi="宋体" w:cs="宋体"/>
          <w:b/>
          <w:color w:val="auto"/>
          <w:kern w:val="0"/>
          <w:szCs w:val="24"/>
          <w:highlight w:val="none"/>
        </w:rPr>
      </w:pPr>
    </w:p>
    <w:p>
      <w:pPr>
        <w:pStyle w:val="2"/>
        <w:ind w:firstLine="494"/>
        <w:rPr>
          <w:rFonts w:hint="eastAsia" w:ascii="宋体" w:hAnsi="宋体" w:cs="宋体"/>
          <w:b/>
          <w:color w:val="auto"/>
          <w:kern w:val="0"/>
          <w:szCs w:val="24"/>
          <w:highlight w:val="none"/>
        </w:rPr>
      </w:pPr>
    </w:p>
    <w:p>
      <w:pPr>
        <w:pStyle w:val="2"/>
        <w:ind w:firstLine="494"/>
        <w:rPr>
          <w:rFonts w:hint="eastAsia" w:ascii="宋体" w:hAnsi="宋体" w:cs="宋体"/>
          <w:b/>
          <w:color w:val="auto"/>
          <w:kern w:val="0"/>
          <w:szCs w:val="24"/>
          <w:highlight w:val="none"/>
        </w:rPr>
      </w:pPr>
    </w:p>
    <w:p>
      <w:pPr>
        <w:pStyle w:val="2"/>
        <w:ind w:firstLine="494"/>
        <w:rPr>
          <w:rFonts w:ascii="宋体" w:hAnsi="宋体" w:cs="宋体"/>
          <w:b/>
          <w:color w:val="auto"/>
          <w:kern w:val="0"/>
          <w:szCs w:val="24"/>
          <w:highlight w:val="none"/>
        </w:rPr>
      </w:pPr>
      <w:r>
        <w:rPr>
          <w:rFonts w:hint="eastAsia" w:ascii="宋体" w:hAnsi="宋体" w:cs="宋体"/>
          <w:b/>
          <w:color w:val="auto"/>
          <w:kern w:val="0"/>
          <w:szCs w:val="24"/>
          <w:highlight w:val="none"/>
        </w:rPr>
        <w:t>注：本章加★条款为符合性审查内容，未响应或不满足的做无效投标处理。</w:t>
      </w:r>
    </w:p>
    <w:p>
      <w:pPr>
        <w:ind w:firstLine="492"/>
        <w:rPr>
          <w:color w:val="auto"/>
          <w:highlight w:val="none"/>
        </w:rPr>
      </w:pPr>
      <w:r>
        <w:rPr>
          <w:rFonts w:hint="eastAsia"/>
          <w:color w:val="auto"/>
          <w:highlight w:val="none"/>
        </w:rPr>
        <w:br w:type="page"/>
      </w:r>
    </w:p>
    <w:bookmarkEnd w:id="272"/>
    <w:bookmarkEnd w:id="273"/>
    <w:p>
      <w:pPr>
        <w:pStyle w:val="3"/>
        <w:spacing w:before="0" w:after="0" w:line="240" w:lineRule="auto"/>
        <w:rPr>
          <w:color w:val="auto"/>
          <w:highlight w:val="none"/>
        </w:rPr>
      </w:pPr>
      <w:bookmarkStart w:id="281" w:name="_Toc20840"/>
      <w:bookmarkStart w:id="282" w:name="_Toc3828"/>
      <w:bookmarkStart w:id="283" w:name="_Toc28598"/>
      <w:bookmarkStart w:id="284" w:name="_Toc13515"/>
      <w:bookmarkStart w:id="285" w:name="_Toc315871642"/>
      <w:bookmarkStart w:id="286" w:name="_Toc6274"/>
      <w:bookmarkStart w:id="287" w:name="_Toc217446097"/>
      <w:bookmarkStart w:id="288" w:name="_Toc208849007"/>
      <w:bookmarkStart w:id="289" w:name="_Toc183682415"/>
      <w:bookmarkStart w:id="290" w:name="_Toc8605"/>
      <w:bookmarkStart w:id="291" w:name="_Toc183582280"/>
      <w:bookmarkStart w:id="292" w:name="_Toc316292248"/>
      <w:r>
        <w:rPr>
          <w:rFonts w:hint="eastAsia"/>
          <w:color w:val="auto"/>
          <w:highlight w:val="none"/>
        </w:rPr>
        <w:t>资格性审查</w:t>
      </w:r>
      <w:bookmarkEnd w:id="281"/>
      <w:bookmarkEnd w:id="282"/>
      <w:bookmarkEnd w:id="283"/>
      <w:bookmarkEnd w:id="284"/>
    </w:p>
    <w:p>
      <w:pPr>
        <w:tabs>
          <w:tab w:val="left" w:pos="851"/>
        </w:tabs>
        <w:ind w:firstLine="492"/>
        <w:rPr>
          <w:rFonts w:ascii="宋体" w:hAnsi="宋体"/>
          <w:color w:val="auto"/>
          <w:szCs w:val="24"/>
          <w:highlight w:val="none"/>
        </w:rPr>
      </w:pPr>
      <w:r>
        <w:rPr>
          <w:rFonts w:hint="eastAsia" w:ascii="宋体" w:hAnsi="宋体"/>
          <w:color w:val="auto"/>
          <w:szCs w:val="24"/>
          <w:highlight w:val="none"/>
        </w:rPr>
        <w:t>资格性审查由采购人或采购代理机构依据法律法规和招标文件的规定，对投标文件中的资格证明等进行审查，以确定投标人是否具备投标资格，并填写资格审查表。</w:t>
      </w:r>
    </w:p>
    <w:p>
      <w:pPr>
        <w:tabs>
          <w:tab w:val="left" w:pos="851"/>
        </w:tabs>
        <w:ind w:firstLine="492"/>
        <w:rPr>
          <w:rFonts w:ascii="宋体" w:hAnsi="宋体"/>
          <w:color w:val="auto"/>
          <w:szCs w:val="24"/>
          <w:highlight w:val="none"/>
        </w:rPr>
      </w:pPr>
      <w:r>
        <w:rPr>
          <w:rFonts w:hint="eastAsia" w:ascii="宋体" w:hAnsi="宋体"/>
          <w:color w:val="auto"/>
          <w:szCs w:val="24"/>
          <w:highlight w:val="none"/>
        </w:rPr>
        <w:t>各包资格性审查标准见下表：</w:t>
      </w:r>
    </w:p>
    <w:tbl>
      <w:tblPr>
        <w:tblStyle w:val="43"/>
        <w:tblW w:w="9797"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321"/>
        <w:gridCol w:w="1567"/>
        <w:gridCol w:w="5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08" w:type="dxa"/>
            <w:gridSpan w:val="3"/>
            <w:vAlign w:val="center"/>
          </w:tcPr>
          <w:p>
            <w:pPr>
              <w:widowControl/>
              <w:spacing w:line="240" w:lineRule="auto"/>
              <w:ind w:firstLine="0" w:firstLineChars="0"/>
              <w:jc w:val="center"/>
              <w:rPr>
                <w:rFonts w:ascii="宋体" w:hAnsi="宋体" w:cs="宋体"/>
                <w:b/>
                <w:bCs/>
                <w:color w:val="auto"/>
                <w:kern w:val="0"/>
                <w:szCs w:val="24"/>
                <w:highlight w:val="none"/>
              </w:rPr>
            </w:pPr>
            <w:r>
              <w:rPr>
                <w:rFonts w:hint="eastAsia" w:ascii="宋体" w:hAnsi="宋体" w:cs="宋体"/>
                <w:b/>
                <w:bCs/>
                <w:color w:val="auto"/>
                <w:kern w:val="0"/>
                <w:szCs w:val="24"/>
                <w:highlight w:val="none"/>
              </w:rPr>
              <w:t>资格性审查项</w:t>
            </w:r>
          </w:p>
        </w:tc>
        <w:tc>
          <w:tcPr>
            <w:tcW w:w="5889" w:type="dxa"/>
            <w:vAlign w:val="center"/>
          </w:tcPr>
          <w:p>
            <w:pPr>
              <w:widowControl/>
              <w:spacing w:line="240" w:lineRule="auto"/>
              <w:ind w:firstLine="0" w:firstLineChars="0"/>
              <w:jc w:val="center"/>
              <w:rPr>
                <w:rFonts w:ascii="宋体" w:hAnsi="宋体" w:cs="宋体"/>
                <w:b/>
                <w:bCs/>
                <w:color w:val="auto"/>
                <w:kern w:val="0"/>
                <w:szCs w:val="24"/>
                <w:highlight w:val="none"/>
              </w:rPr>
            </w:pPr>
            <w:r>
              <w:rPr>
                <w:rFonts w:hint="eastAsia" w:ascii="宋体" w:hAnsi="宋体" w:cs="宋体"/>
                <w:b/>
                <w:bCs/>
                <w:color w:val="auto"/>
                <w:kern w:val="0"/>
                <w:szCs w:val="24"/>
                <w:highlight w:val="none"/>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020" w:type="dxa"/>
            <w:vMerge w:val="restart"/>
            <w:vAlign w:val="center"/>
          </w:tcPr>
          <w:p>
            <w:pPr>
              <w:spacing w:line="240" w:lineRule="auto"/>
              <w:ind w:firstLine="0" w:firstLineChars="0"/>
              <w:rPr>
                <w:rFonts w:ascii="宋体" w:hAnsi="宋体" w:cs="宋体"/>
                <w:bCs/>
                <w:color w:val="auto"/>
                <w:kern w:val="0"/>
                <w:szCs w:val="24"/>
                <w:highlight w:val="none"/>
              </w:rPr>
            </w:pPr>
            <w:r>
              <w:rPr>
                <w:rFonts w:hint="eastAsia" w:ascii="宋体" w:hAnsi="宋体"/>
                <w:color w:val="auto"/>
                <w:szCs w:val="24"/>
                <w:highlight w:val="none"/>
              </w:rPr>
              <w:t>（一）资格要求</w:t>
            </w:r>
            <w:r>
              <w:rPr>
                <w:rFonts w:hint="eastAsia" w:ascii="宋体" w:hAnsi="宋体" w:cs="宋体"/>
                <w:color w:val="auto"/>
                <w:kern w:val="0"/>
                <w:szCs w:val="24"/>
                <w:highlight w:val="none"/>
              </w:rPr>
              <w:t>　</w:t>
            </w:r>
          </w:p>
        </w:tc>
        <w:tc>
          <w:tcPr>
            <w:tcW w:w="2888" w:type="dxa"/>
            <w:gridSpan w:val="2"/>
            <w:vAlign w:val="center"/>
          </w:tcPr>
          <w:p>
            <w:pPr>
              <w:spacing w:line="240" w:lineRule="auto"/>
              <w:ind w:firstLine="0" w:firstLineChars="0"/>
              <w:rPr>
                <w:rFonts w:ascii="宋体" w:hAnsi="宋体" w:cs="宋体"/>
                <w:bCs/>
                <w:color w:val="auto"/>
                <w:kern w:val="0"/>
                <w:szCs w:val="24"/>
                <w:highlight w:val="none"/>
              </w:rPr>
            </w:pPr>
            <w:r>
              <w:rPr>
                <w:rFonts w:hint="eastAsia" w:ascii="宋体" w:hAnsi="宋体"/>
                <w:color w:val="auto"/>
                <w:szCs w:val="24"/>
                <w:highlight w:val="none"/>
              </w:rPr>
              <w:t>1、具有独立承担民事责任的能力</w:t>
            </w:r>
          </w:p>
        </w:tc>
        <w:tc>
          <w:tcPr>
            <w:tcW w:w="5889" w:type="dxa"/>
            <w:vAlign w:val="center"/>
          </w:tcPr>
          <w:p>
            <w:pPr>
              <w:spacing w:line="240" w:lineRule="auto"/>
              <w:ind w:firstLine="0" w:firstLineChars="0"/>
              <w:rPr>
                <w:rFonts w:ascii="宋体" w:hAnsi="宋体" w:cs="宋体"/>
                <w:bCs/>
                <w:color w:val="auto"/>
                <w:kern w:val="0"/>
                <w:szCs w:val="24"/>
                <w:highlight w:val="none"/>
              </w:rPr>
            </w:pPr>
            <w:r>
              <w:rPr>
                <w:rFonts w:hint="eastAsia" w:ascii="宋体" w:hAnsi="宋体" w:cs="宋体"/>
                <w:bCs/>
                <w:color w:val="auto"/>
                <w:kern w:val="0"/>
                <w:szCs w:val="24"/>
                <w:highlight w:val="none"/>
              </w:rPr>
              <w:t>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20" w:type="dxa"/>
            <w:vMerge w:val="continue"/>
            <w:vAlign w:val="center"/>
          </w:tcPr>
          <w:p>
            <w:pPr>
              <w:spacing w:line="240" w:lineRule="auto"/>
              <w:ind w:firstLine="0" w:firstLineChars="0"/>
              <w:rPr>
                <w:rFonts w:ascii="宋体" w:hAnsi="宋体" w:cs="宋体"/>
                <w:bCs/>
                <w:color w:val="auto"/>
                <w:kern w:val="0"/>
                <w:szCs w:val="24"/>
                <w:highlight w:val="none"/>
              </w:rPr>
            </w:pPr>
          </w:p>
        </w:tc>
        <w:tc>
          <w:tcPr>
            <w:tcW w:w="2888" w:type="dxa"/>
            <w:gridSpan w:val="2"/>
            <w:vAlign w:val="center"/>
          </w:tcPr>
          <w:p>
            <w:pPr>
              <w:spacing w:line="240" w:lineRule="auto"/>
              <w:ind w:firstLine="0" w:firstLineChars="0"/>
              <w:rPr>
                <w:rFonts w:ascii="宋体" w:hAnsi="宋体"/>
                <w:color w:val="auto"/>
                <w:szCs w:val="24"/>
                <w:highlight w:val="none"/>
              </w:rPr>
            </w:pPr>
            <w:r>
              <w:rPr>
                <w:rFonts w:hint="eastAsia" w:ascii="宋体" w:hAnsi="宋体"/>
                <w:color w:val="auto"/>
                <w:szCs w:val="24"/>
                <w:highlight w:val="none"/>
              </w:rPr>
              <w:t>2、具有良好的商业信誉</w:t>
            </w:r>
          </w:p>
        </w:tc>
        <w:tc>
          <w:tcPr>
            <w:tcW w:w="5889" w:type="dxa"/>
            <w:vMerge w:val="restart"/>
            <w:vAlign w:val="center"/>
          </w:tcPr>
          <w:p>
            <w:pPr>
              <w:widowControl/>
              <w:shd w:val="clear" w:color="auto" w:fill="FFFFFF"/>
              <w:spacing w:line="240" w:lineRule="auto"/>
              <w:ind w:firstLine="0" w:firstLineChars="0"/>
              <w:rPr>
                <w:rFonts w:ascii="宋体" w:hAnsi="宋体"/>
                <w:color w:val="auto"/>
                <w:szCs w:val="24"/>
                <w:highlight w:val="none"/>
              </w:rPr>
            </w:pPr>
            <w:r>
              <w:rPr>
                <w:rFonts w:hint="eastAsia" w:ascii="宋体" w:hAnsi="宋体"/>
                <w:color w:val="auto"/>
                <w:szCs w:val="24"/>
                <w:highlight w:val="none"/>
              </w:rPr>
              <w:t>按第三章的格式及要求提供承诺函原件。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020" w:type="dxa"/>
            <w:vMerge w:val="continue"/>
            <w:vAlign w:val="center"/>
          </w:tcPr>
          <w:p>
            <w:pPr>
              <w:spacing w:line="240" w:lineRule="auto"/>
              <w:ind w:firstLine="0" w:firstLineChars="0"/>
              <w:rPr>
                <w:rFonts w:ascii="宋体" w:hAnsi="宋体" w:cs="宋体"/>
                <w:bCs/>
                <w:color w:val="auto"/>
                <w:kern w:val="0"/>
                <w:szCs w:val="24"/>
                <w:highlight w:val="none"/>
              </w:rPr>
            </w:pPr>
          </w:p>
        </w:tc>
        <w:tc>
          <w:tcPr>
            <w:tcW w:w="2888" w:type="dxa"/>
            <w:gridSpan w:val="2"/>
            <w:vAlign w:val="center"/>
          </w:tcPr>
          <w:p>
            <w:pPr>
              <w:widowControl/>
              <w:spacing w:line="240" w:lineRule="auto"/>
              <w:ind w:firstLine="0" w:firstLineChars="0"/>
              <w:rPr>
                <w:rFonts w:ascii="宋体" w:hAnsi="宋体" w:cs="宋体"/>
                <w:bCs/>
                <w:color w:val="auto"/>
                <w:kern w:val="0"/>
                <w:szCs w:val="24"/>
                <w:highlight w:val="none"/>
              </w:rPr>
            </w:pPr>
            <w:r>
              <w:rPr>
                <w:rFonts w:hint="eastAsia" w:ascii="宋体" w:hAnsi="宋体"/>
                <w:color w:val="auto"/>
                <w:szCs w:val="24"/>
                <w:highlight w:val="none"/>
              </w:rPr>
              <w:t>3、具有履行合同所必须的设备和专业技术能力</w:t>
            </w:r>
          </w:p>
        </w:tc>
        <w:tc>
          <w:tcPr>
            <w:tcW w:w="5889" w:type="dxa"/>
            <w:vMerge w:val="continue"/>
            <w:vAlign w:val="center"/>
          </w:tcPr>
          <w:p>
            <w:pPr>
              <w:widowControl/>
              <w:spacing w:line="240" w:lineRule="auto"/>
              <w:ind w:firstLine="0" w:firstLineChars="0"/>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20" w:type="dxa"/>
            <w:vMerge w:val="continue"/>
            <w:vAlign w:val="center"/>
          </w:tcPr>
          <w:p>
            <w:pPr>
              <w:spacing w:line="240" w:lineRule="auto"/>
              <w:ind w:firstLine="0" w:firstLineChars="0"/>
              <w:rPr>
                <w:rFonts w:ascii="宋体" w:hAnsi="宋体" w:cs="宋体"/>
                <w:bCs/>
                <w:color w:val="auto"/>
                <w:kern w:val="0"/>
                <w:szCs w:val="24"/>
                <w:highlight w:val="none"/>
              </w:rPr>
            </w:pPr>
          </w:p>
        </w:tc>
        <w:tc>
          <w:tcPr>
            <w:tcW w:w="2888" w:type="dxa"/>
            <w:gridSpan w:val="2"/>
            <w:vAlign w:val="center"/>
          </w:tcPr>
          <w:p>
            <w:pPr>
              <w:widowControl/>
              <w:spacing w:line="240" w:lineRule="auto"/>
              <w:ind w:firstLine="0" w:firstLineChars="0"/>
              <w:rPr>
                <w:rFonts w:ascii="宋体" w:hAnsi="宋体"/>
                <w:color w:val="auto"/>
                <w:szCs w:val="24"/>
                <w:highlight w:val="none"/>
              </w:rPr>
            </w:pPr>
            <w:r>
              <w:rPr>
                <w:rFonts w:hint="eastAsia" w:ascii="宋体" w:hAnsi="宋体"/>
                <w:color w:val="auto"/>
                <w:szCs w:val="24"/>
                <w:highlight w:val="none"/>
              </w:rPr>
              <w:t>4、参加政府采购活动前三年内，在经营活动中没有重大违法记录</w:t>
            </w:r>
          </w:p>
        </w:tc>
        <w:tc>
          <w:tcPr>
            <w:tcW w:w="5889" w:type="dxa"/>
            <w:vMerge w:val="continue"/>
            <w:vAlign w:val="center"/>
          </w:tcPr>
          <w:p>
            <w:pPr>
              <w:widowControl/>
              <w:spacing w:line="240" w:lineRule="auto"/>
              <w:ind w:firstLine="0" w:firstLineChars="0"/>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020" w:type="dxa"/>
            <w:vMerge w:val="continue"/>
            <w:vAlign w:val="center"/>
          </w:tcPr>
          <w:p>
            <w:pPr>
              <w:spacing w:line="240" w:lineRule="auto"/>
              <w:ind w:firstLine="0" w:firstLineChars="0"/>
              <w:rPr>
                <w:rFonts w:ascii="宋体" w:hAnsi="宋体" w:cs="宋体"/>
                <w:bCs/>
                <w:color w:val="auto"/>
                <w:kern w:val="0"/>
                <w:szCs w:val="24"/>
                <w:highlight w:val="none"/>
              </w:rPr>
            </w:pPr>
          </w:p>
        </w:tc>
        <w:tc>
          <w:tcPr>
            <w:tcW w:w="2888" w:type="dxa"/>
            <w:gridSpan w:val="2"/>
            <w:vAlign w:val="center"/>
          </w:tcPr>
          <w:p>
            <w:pPr>
              <w:spacing w:line="240" w:lineRule="auto"/>
              <w:ind w:firstLine="0" w:firstLineChars="0"/>
              <w:rPr>
                <w:rFonts w:ascii="宋体" w:hAnsi="宋体"/>
                <w:color w:val="auto"/>
                <w:szCs w:val="24"/>
                <w:highlight w:val="none"/>
              </w:rPr>
            </w:pPr>
            <w:r>
              <w:rPr>
                <w:rFonts w:hint="eastAsia" w:ascii="宋体" w:hAnsi="宋体"/>
                <w:color w:val="auto"/>
                <w:szCs w:val="24"/>
                <w:highlight w:val="none"/>
              </w:rPr>
              <w:t>5、在行贿犯罪信息查询期限内，投标人及其现任法定代表人、主要负责人无行贿犯罪记录</w:t>
            </w:r>
          </w:p>
        </w:tc>
        <w:tc>
          <w:tcPr>
            <w:tcW w:w="5889" w:type="dxa"/>
            <w:vMerge w:val="continue"/>
            <w:vAlign w:val="center"/>
          </w:tcPr>
          <w:p>
            <w:pPr>
              <w:spacing w:line="240" w:lineRule="auto"/>
              <w:ind w:firstLine="0" w:firstLineChars="0"/>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0" w:type="dxa"/>
            <w:vMerge w:val="continue"/>
            <w:vAlign w:val="center"/>
          </w:tcPr>
          <w:p>
            <w:pPr>
              <w:spacing w:line="240" w:lineRule="auto"/>
              <w:ind w:firstLine="0" w:firstLineChars="0"/>
              <w:rPr>
                <w:rFonts w:ascii="宋体" w:hAnsi="宋体" w:cs="宋体"/>
                <w:bCs/>
                <w:color w:val="auto"/>
                <w:kern w:val="0"/>
                <w:szCs w:val="24"/>
                <w:highlight w:val="none"/>
              </w:rPr>
            </w:pPr>
          </w:p>
        </w:tc>
        <w:tc>
          <w:tcPr>
            <w:tcW w:w="2888" w:type="dxa"/>
            <w:gridSpan w:val="2"/>
            <w:vAlign w:val="center"/>
          </w:tcPr>
          <w:p>
            <w:pPr>
              <w:widowControl/>
              <w:spacing w:line="240" w:lineRule="auto"/>
              <w:ind w:firstLine="0" w:firstLineChars="0"/>
              <w:rPr>
                <w:rFonts w:ascii="宋体" w:hAnsi="宋体"/>
                <w:color w:val="auto"/>
                <w:szCs w:val="24"/>
                <w:highlight w:val="none"/>
              </w:rPr>
            </w:pPr>
            <w:r>
              <w:rPr>
                <w:rFonts w:hint="eastAsia" w:ascii="宋体" w:hAnsi="宋体"/>
                <w:color w:val="auto"/>
                <w:szCs w:val="24"/>
                <w:highlight w:val="none"/>
              </w:rPr>
              <w:t>6、法律、行政法规规定的其他条件</w:t>
            </w:r>
          </w:p>
        </w:tc>
        <w:tc>
          <w:tcPr>
            <w:tcW w:w="5889" w:type="dxa"/>
            <w:vMerge w:val="continue"/>
            <w:vAlign w:val="center"/>
          </w:tcPr>
          <w:p>
            <w:pPr>
              <w:widowControl/>
              <w:spacing w:line="240" w:lineRule="auto"/>
              <w:ind w:firstLine="0" w:firstLineChars="0"/>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020" w:type="dxa"/>
            <w:vMerge w:val="continue"/>
            <w:vAlign w:val="center"/>
          </w:tcPr>
          <w:p>
            <w:pPr>
              <w:spacing w:line="240" w:lineRule="auto"/>
              <w:ind w:firstLine="0" w:firstLineChars="0"/>
              <w:rPr>
                <w:rFonts w:ascii="宋体" w:hAnsi="宋体" w:cs="宋体"/>
                <w:bCs/>
                <w:color w:val="auto"/>
                <w:kern w:val="0"/>
                <w:szCs w:val="24"/>
                <w:highlight w:val="none"/>
              </w:rPr>
            </w:pPr>
          </w:p>
        </w:tc>
        <w:tc>
          <w:tcPr>
            <w:tcW w:w="2888" w:type="dxa"/>
            <w:gridSpan w:val="2"/>
            <w:vAlign w:val="center"/>
          </w:tcPr>
          <w:p>
            <w:pPr>
              <w:widowControl/>
              <w:spacing w:line="240" w:lineRule="auto"/>
              <w:ind w:firstLine="0" w:firstLineChars="0"/>
              <w:rPr>
                <w:rFonts w:ascii="宋体" w:hAnsi="宋体"/>
                <w:color w:val="auto"/>
                <w:szCs w:val="24"/>
                <w:highlight w:val="none"/>
              </w:rPr>
            </w:pPr>
            <w:r>
              <w:rPr>
                <w:rFonts w:hint="eastAsia" w:ascii="宋体" w:hAnsi="宋体"/>
                <w:color w:val="auto"/>
                <w:szCs w:val="24"/>
                <w:highlight w:val="none"/>
              </w:rPr>
              <w:t>7、</w:t>
            </w:r>
            <w:r>
              <w:rPr>
                <w:rFonts w:hint="eastAsia" w:ascii="宋体" w:hAnsi="宋体" w:cs="宋体"/>
                <w:color w:val="auto"/>
                <w:szCs w:val="24"/>
                <w:highlight w:val="none"/>
              </w:rPr>
              <w:t>健全的财务会计制度的证明材料</w:t>
            </w:r>
          </w:p>
        </w:tc>
        <w:tc>
          <w:tcPr>
            <w:tcW w:w="5889" w:type="dxa"/>
            <w:vAlign w:val="center"/>
          </w:tcPr>
          <w:p>
            <w:pPr>
              <w:pStyle w:val="2"/>
              <w:ind w:firstLine="0" w:firstLineChars="0"/>
              <w:rPr>
                <w:rFonts w:ascii="宋体" w:hAnsi="宋体"/>
                <w:color w:val="auto"/>
                <w:szCs w:val="24"/>
                <w:highlight w:val="none"/>
              </w:rPr>
            </w:pPr>
            <w:r>
              <w:rPr>
                <w:rFonts w:hint="eastAsia" w:ascii="宋体" w:hAnsi="宋体" w:eastAsia="宋体" w:cs="宋体"/>
                <w:color w:val="auto"/>
                <w:sz w:val="24"/>
                <w:szCs w:val="24"/>
                <w:highlight w:val="none"/>
              </w:rPr>
              <w:t>①可提供2019年度</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20</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年度经审计的财务报告复印件（包含审计报告和审计报告中所涉及的财务报表和报表附注），②</w:t>
            </w:r>
            <w:r>
              <w:rPr>
                <w:rFonts w:hint="eastAsia" w:ascii="宋体" w:hAnsi="宋体" w:eastAsia="宋体" w:cs="宋体"/>
                <w:color w:val="auto"/>
                <w:sz w:val="24"/>
                <w:szCs w:val="24"/>
                <w:highlight w:val="none"/>
                <w:lang w:val="en-US" w:eastAsia="zh-CN"/>
              </w:rPr>
              <w:t>也</w:t>
            </w:r>
            <w:r>
              <w:rPr>
                <w:rFonts w:hint="eastAsia" w:ascii="宋体" w:hAnsi="宋体" w:eastAsia="宋体" w:cs="宋体"/>
                <w:color w:val="auto"/>
                <w:sz w:val="24"/>
                <w:szCs w:val="24"/>
                <w:highlight w:val="none"/>
              </w:rPr>
              <w:t>可提供2019年度</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20</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年度供应商</w:t>
            </w:r>
            <w:r>
              <w:rPr>
                <w:rFonts w:hint="eastAsia" w:ascii="宋体" w:hAnsi="宋体" w:cs="宋体"/>
                <w:color w:val="auto"/>
                <w:sz w:val="24"/>
                <w:szCs w:val="24"/>
                <w:highlight w:val="none"/>
                <w:lang w:val="en-US" w:eastAsia="zh-CN"/>
              </w:rPr>
              <w:t>内部</w:t>
            </w:r>
            <w:r>
              <w:rPr>
                <w:rFonts w:hint="eastAsia" w:ascii="宋体" w:hAnsi="宋体" w:eastAsia="宋体" w:cs="宋体"/>
                <w:color w:val="auto"/>
                <w:sz w:val="24"/>
                <w:szCs w:val="24"/>
                <w:highlight w:val="none"/>
              </w:rPr>
              <w:t>财务报表复印件（</w:t>
            </w:r>
            <w:r>
              <w:rPr>
                <w:rFonts w:hint="eastAsia" w:ascii="宋体" w:hAnsi="宋体" w:cs="宋体"/>
                <w:color w:val="auto"/>
                <w:sz w:val="24"/>
                <w:szCs w:val="24"/>
                <w:highlight w:val="none"/>
                <w:lang w:val="en-US" w:eastAsia="zh-CN"/>
              </w:rPr>
              <w:t>至少包含</w:t>
            </w:r>
            <w:r>
              <w:rPr>
                <w:rFonts w:hint="eastAsia" w:ascii="宋体" w:hAnsi="宋体" w:eastAsia="宋体" w:cs="宋体"/>
                <w:color w:val="auto"/>
                <w:sz w:val="24"/>
                <w:szCs w:val="24"/>
                <w:highlight w:val="none"/>
              </w:rPr>
              <w:t>资产</w:t>
            </w:r>
            <w:r>
              <w:rPr>
                <w:rFonts w:hint="eastAsia" w:ascii="宋体" w:hAnsi="宋体" w:cs="宋体"/>
                <w:color w:val="auto"/>
                <w:sz w:val="24"/>
                <w:szCs w:val="24"/>
                <w:highlight w:val="none"/>
                <w:lang w:val="en-US" w:eastAsia="zh-CN"/>
              </w:rPr>
              <w:t>负债</w:t>
            </w:r>
            <w:r>
              <w:rPr>
                <w:rFonts w:hint="eastAsia" w:ascii="宋体" w:hAnsi="宋体" w:eastAsia="宋体" w:cs="宋体"/>
                <w:color w:val="auto"/>
                <w:sz w:val="24"/>
                <w:szCs w:val="24"/>
                <w:highlight w:val="none"/>
              </w:rPr>
              <w:t>表），③也可提供截至响应文件递交截止日一年内银行出具的资信证明（复印件），④供应商注册时间截至响应文件递交截止日不足一年的，也可提供公司章程（复印件），</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5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⑤</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事业单位可提供单位内部财务会计制度。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20" w:type="dxa"/>
            <w:vMerge w:val="continue"/>
            <w:vAlign w:val="center"/>
          </w:tcPr>
          <w:p>
            <w:pPr>
              <w:spacing w:line="240" w:lineRule="auto"/>
              <w:ind w:firstLine="0" w:firstLineChars="0"/>
              <w:rPr>
                <w:rFonts w:ascii="宋体" w:hAnsi="宋体" w:cs="宋体"/>
                <w:bCs/>
                <w:color w:val="auto"/>
                <w:kern w:val="0"/>
                <w:szCs w:val="24"/>
                <w:highlight w:val="none"/>
              </w:rPr>
            </w:pPr>
          </w:p>
        </w:tc>
        <w:tc>
          <w:tcPr>
            <w:tcW w:w="1321" w:type="dxa"/>
            <w:vMerge w:val="restart"/>
            <w:vAlign w:val="center"/>
          </w:tcPr>
          <w:p>
            <w:pPr>
              <w:widowControl/>
              <w:spacing w:line="240" w:lineRule="auto"/>
              <w:ind w:firstLine="0" w:firstLineChars="0"/>
              <w:rPr>
                <w:rFonts w:ascii="宋体" w:hAnsi="宋体" w:cs="宋体"/>
                <w:bCs/>
                <w:color w:val="auto"/>
                <w:kern w:val="0"/>
                <w:szCs w:val="24"/>
                <w:highlight w:val="none"/>
              </w:rPr>
            </w:pPr>
            <w:r>
              <w:rPr>
                <w:rFonts w:hint="eastAsia" w:ascii="宋体" w:hAnsi="宋体"/>
                <w:color w:val="auto"/>
                <w:szCs w:val="24"/>
                <w:highlight w:val="none"/>
              </w:rPr>
              <w:t>8、有依法缴纳税收和社会保障资金的良好记录</w:t>
            </w:r>
          </w:p>
        </w:tc>
        <w:tc>
          <w:tcPr>
            <w:tcW w:w="1567" w:type="dxa"/>
            <w:vAlign w:val="center"/>
          </w:tcPr>
          <w:p>
            <w:pPr>
              <w:widowControl/>
              <w:spacing w:line="240" w:lineRule="auto"/>
              <w:ind w:firstLine="0" w:firstLineChars="0"/>
              <w:rPr>
                <w:rFonts w:ascii="宋体" w:hAnsi="宋体" w:cs="宋体"/>
                <w:bCs/>
                <w:color w:val="auto"/>
                <w:kern w:val="0"/>
                <w:szCs w:val="24"/>
                <w:highlight w:val="none"/>
              </w:rPr>
            </w:pPr>
            <w:r>
              <w:rPr>
                <w:rFonts w:hint="eastAsia" w:ascii="宋体" w:hAnsi="宋体" w:cs="宋体"/>
                <w:bCs/>
                <w:color w:val="auto"/>
                <w:kern w:val="0"/>
                <w:szCs w:val="24"/>
                <w:highlight w:val="none"/>
              </w:rPr>
              <w:t>（1）缴纳社会保障资金的证明材料</w:t>
            </w:r>
          </w:p>
        </w:tc>
        <w:tc>
          <w:tcPr>
            <w:tcW w:w="5889" w:type="dxa"/>
            <w:vAlign w:val="center"/>
          </w:tcPr>
          <w:p>
            <w:pPr>
              <w:spacing w:line="240" w:lineRule="auto"/>
              <w:ind w:firstLine="0" w:firstLineChars="0"/>
              <w:rPr>
                <w:rFonts w:ascii="宋体" w:hAnsi="宋体"/>
                <w:color w:val="auto"/>
                <w:szCs w:val="24"/>
                <w:highlight w:val="none"/>
              </w:rPr>
            </w:pPr>
            <w:r>
              <w:rPr>
                <w:rFonts w:hint="eastAsia" w:ascii="宋体" w:hAnsi="宋体" w:eastAsia="宋体" w:cs="宋体"/>
                <w:color w:val="auto"/>
                <w:sz w:val="24"/>
                <w:szCs w:val="24"/>
                <w:highlight w:val="none"/>
              </w:rPr>
              <w:t>供应商缴纳2020年</w:t>
            </w:r>
            <w:r>
              <w:rPr>
                <w:rFonts w:hint="eastAsia" w:ascii="宋体" w:hAnsi="宋体" w:eastAsia="宋体" w:cs="宋体"/>
                <w:color w:val="auto"/>
                <w:sz w:val="24"/>
                <w:szCs w:val="24"/>
                <w:highlight w:val="none"/>
                <w:shd w:val="clear" w:color="auto" w:fill="FFFFFF"/>
              </w:rPr>
              <w:t>以来</w:t>
            </w:r>
            <w:r>
              <w:rPr>
                <w:rFonts w:hint="eastAsia" w:ascii="宋体" w:hAnsi="宋体" w:eastAsia="宋体" w:cs="宋体"/>
                <w:color w:val="auto"/>
                <w:sz w:val="24"/>
                <w:szCs w:val="24"/>
                <w:highlight w:val="none"/>
              </w:rPr>
              <w:t>任意时段的缴纳社保的银行电子回单</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rPr>
              <w:t>社保部门出具的社保缴纳证明材料复印件</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shd w:val="clear" w:color="auto" w:fill="FFFFFF"/>
                <w:lang w:val="en-US" w:eastAsia="zh-CN"/>
              </w:rPr>
              <w:t>承诺函原件</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020" w:type="dxa"/>
            <w:vMerge w:val="continue"/>
            <w:vAlign w:val="center"/>
          </w:tcPr>
          <w:p>
            <w:pPr>
              <w:spacing w:line="240" w:lineRule="auto"/>
              <w:ind w:firstLine="0" w:firstLineChars="0"/>
              <w:rPr>
                <w:rFonts w:ascii="宋体" w:hAnsi="宋体" w:cs="宋体"/>
                <w:bCs/>
                <w:color w:val="auto"/>
                <w:kern w:val="0"/>
                <w:szCs w:val="24"/>
                <w:highlight w:val="none"/>
              </w:rPr>
            </w:pPr>
          </w:p>
        </w:tc>
        <w:tc>
          <w:tcPr>
            <w:tcW w:w="1321" w:type="dxa"/>
            <w:vMerge w:val="continue"/>
            <w:vAlign w:val="center"/>
          </w:tcPr>
          <w:p>
            <w:pPr>
              <w:widowControl/>
              <w:spacing w:line="240" w:lineRule="auto"/>
              <w:ind w:firstLine="0" w:firstLineChars="0"/>
              <w:rPr>
                <w:rFonts w:ascii="宋体" w:hAnsi="宋体"/>
                <w:color w:val="auto"/>
                <w:szCs w:val="24"/>
                <w:highlight w:val="none"/>
              </w:rPr>
            </w:pPr>
          </w:p>
        </w:tc>
        <w:tc>
          <w:tcPr>
            <w:tcW w:w="1567" w:type="dxa"/>
            <w:vAlign w:val="center"/>
          </w:tcPr>
          <w:p>
            <w:pPr>
              <w:widowControl/>
              <w:spacing w:line="240" w:lineRule="auto"/>
              <w:ind w:firstLine="0" w:firstLineChars="0"/>
              <w:rPr>
                <w:rFonts w:ascii="宋体" w:hAnsi="宋体"/>
                <w:color w:val="auto"/>
                <w:szCs w:val="24"/>
                <w:highlight w:val="none"/>
              </w:rPr>
            </w:pPr>
            <w:r>
              <w:rPr>
                <w:rFonts w:hint="eastAsia" w:ascii="宋体" w:hAnsi="宋体" w:cs="宋体"/>
                <w:bCs/>
                <w:color w:val="auto"/>
                <w:kern w:val="0"/>
                <w:szCs w:val="24"/>
                <w:highlight w:val="none"/>
              </w:rPr>
              <w:t>（2）缴纳税收的证明材料</w:t>
            </w:r>
          </w:p>
        </w:tc>
        <w:tc>
          <w:tcPr>
            <w:tcW w:w="5889" w:type="dxa"/>
            <w:vAlign w:val="center"/>
          </w:tcPr>
          <w:p>
            <w:pPr>
              <w:spacing w:line="240" w:lineRule="auto"/>
              <w:ind w:firstLine="0" w:firstLineChars="0"/>
              <w:rPr>
                <w:rFonts w:ascii="宋体" w:hAnsi="宋体"/>
                <w:color w:val="auto"/>
                <w:szCs w:val="24"/>
                <w:highlight w:val="none"/>
              </w:rPr>
            </w:pPr>
            <w:r>
              <w:rPr>
                <w:rFonts w:hint="eastAsia" w:ascii="宋体" w:hAnsi="宋体" w:eastAsia="宋体" w:cs="宋体"/>
                <w:color w:val="auto"/>
                <w:sz w:val="24"/>
                <w:szCs w:val="24"/>
                <w:highlight w:val="none"/>
              </w:rPr>
              <w:t>供应商缴纳2020年</w:t>
            </w:r>
            <w:r>
              <w:rPr>
                <w:rFonts w:hint="eastAsia" w:ascii="宋体" w:hAnsi="宋体" w:eastAsia="宋体" w:cs="宋体"/>
                <w:color w:val="auto"/>
                <w:sz w:val="24"/>
                <w:szCs w:val="24"/>
                <w:highlight w:val="none"/>
                <w:shd w:val="clear" w:color="auto" w:fill="FFFFFF"/>
              </w:rPr>
              <w:t>以来</w:t>
            </w:r>
            <w:r>
              <w:rPr>
                <w:rFonts w:hint="eastAsia" w:ascii="宋体" w:hAnsi="宋体" w:eastAsia="宋体" w:cs="宋体"/>
                <w:color w:val="auto"/>
                <w:sz w:val="24"/>
                <w:szCs w:val="24"/>
                <w:highlight w:val="none"/>
              </w:rPr>
              <w:t>任意时段的缴纳税收的银行电子回单</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rPr>
              <w:t>税务部门出具的纳税证明</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rPr>
              <w:t>完税证明的复印件</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shd w:val="clear" w:color="auto" w:fill="FFFFFF"/>
                <w:lang w:val="en-US" w:eastAsia="zh-CN"/>
              </w:rPr>
              <w:t>承诺函原件</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020" w:type="dxa"/>
            <w:vMerge w:val="continue"/>
            <w:vAlign w:val="center"/>
          </w:tcPr>
          <w:p>
            <w:pPr>
              <w:spacing w:line="240" w:lineRule="auto"/>
              <w:ind w:firstLine="0" w:firstLineChars="0"/>
              <w:rPr>
                <w:rFonts w:ascii="宋体" w:hAnsi="宋体" w:cs="宋体"/>
                <w:color w:val="auto"/>
                <w:kern w:val="0"/>
                <w:szCs w:val="24"/>
                <w:highlight w:val="none"/>
              </w:rPr>
            </w:pPr>
          </w:p>
        </w:tc>
        <w:tc>
          <w:tcPr>
            <w:tcW w:w="2888" w:type="dxa"/>
            <w:gridSpan w:val="2"/>
            <w:vAlign w:val="center"/>
          </w:tcPr>
          <w:p>
            <w:pPr>
              <w:widowControl/>
              <w:spacing w:line="240" w:lineRule="auto"/>
              <w:ind w:firstLine="0" w:firstLineChars="0"/>
              <w:rPr>
                <w:rFonts w:ascii="宋体" w:hAnsi="宋体"/>
                <w:color w:val="auto"/>
                <w:szCs w:val="24"/>
                <w:highlight w:val="none"/>
              </w:rPr>
            </w:pPr>
            <w:r>
              <w:rPr>
                <w:rFonts w:hint="eastAsia" w:ascii="宋体" w:hAnsi="宋体"/>
                <w:color w:val="auto"/>
                <w:szCs w:val="24"/>
                <w:highlight w:val="none"/>
              </w:rPr>
              <w:t>9、法定代表人身份证明书</w:t>
            </w:r>
          </w:p>
        </w:tc>
        <w:tc>
          <w:tcPr>
            <w:tcW w:w="5889"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szCs w:val="24"/>
                <w:highlight w:val="none"/>
              </w:rPr>
            </w:pPr>
            <w:r>
              <w:rPr>
                <w:rFonts w:hint="eastAsia" w:ascii="宋体" w:hAnsi="宋体" w:eastAsia="宋体" w:cs="宋体"/>
                <w:color w:val="auto"/>
                <w:sz w:val="24"/>
                <w:szCs w:val="24"/>
                <w:highlight w:val="none"/>
              </w:rPr>
              <w:t>法定代表人身份证明书原件（自然人参加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的不须提供身份证明书）及身份证复印件或护照复印件【注：（1）法定代表人身份证明书符合</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2）法定代表人身份证复印件（身份证两面均应复印，在有效期内）或护照复印件（法定代表人为外籍人士的，按此提供）；（3）供应商为非法人单位的，上述“法定代表人”指供应商的主要负责人；（4）供应商为自然人的仅提供本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1020" w:type="dxa"/>
            <w:vMerge w:val="continue"/>
            <w:vAlign w:val="center"/>
          </w:tcPr>
          <w:p>
            <w:pPr>
              <w:spacing w:line="240" w:lineRule="auto"/>
              <w:ind w:firstLine="0" w:firstLineChars="0"/>
              <w:rPr>
                <w:rFonts w:ascii="宋体" w:hAnsi="宋体" w:cs="宋体"/>
                <w:color w:val="auto"/>
                <w:kern w:val="0"/>
                <w:szCs w:val="24"/>
                <w:highlight w:val="none"/>
              </w:rPr>
            </w:pPr>
          </w:p>
        </w:tc>
        <w:tc>
          <w:tcPr>
            <w:tcW w:w="2888" w:type="dxa"/>
            <w:gridSpan w:val="2"/>
            <w:vAlign w:val="center"/>
          </w:tcPr>
          <w:p>
            <w:pPr>
              <w:widowControl/>
              <w:spacing w:line="240" w:lineRule="auto"/>
              <w:ind w:firstLine="0" w:firstLineChars="0"/>
              <w:rPr>
                <w:rFonts w:ascii="宋体" w:hAnsi="宋体"/>
                <w:color w:val="auto"/>
                <w:szCs w:val="24"/>
                <w:highlight w:val="none"/>
              </w:rPr>
            </w:pPr>
            <w:r>
              <w:rPr>
                <w:rFonts w:hint="eastAsia" w:ascii="宋体" w:hAnsi="宋体"/>
                <w:color w:val="auto"/>
                <w:szCs w:val="24"/>
                <w:highlight w:val="none"/>
              </w:rPr>
              <w:t>10、法定代表人授权委托书</w:t>
            </w:r>
          </w:p>
        </w:tc>
        <w:tc>
          <w:tcPr>
            <w:tcW w:w="5889"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Cs w:val="24"/>
                <w:highlight w:val="none"/>
              </w:rPr>
            </w:pPr>
            <w:r>
              <w:rPr>
                <w:rFonts w:hint="eastAsia" w:ascii="宋体" w:hAnsi="宋体" w:eastAsia="宋体" w:cs="宋体"/>
                <w:color w:val="auto"/>
                <w:sz w:val="24"/>
                <w:szCs w:val="24"/>
                <w:highlight w:val="none"/>
              </w:rPr>
              <w:t>法定代表人授权书原件及身份证复印件【注：（1）代理人身份证复印件（身份证两面均应复印，在有效期内）；（2）如</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文件均由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法定代表人签字的或</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为自然人的，则可不提供法定代表人授权书及身份证。（3）供应商为非法人单位的，上述“法定代表人”指供应商的主要负责人】。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20" w:type="dxa"/>
            <w:vMerge w:val="continue"/>
            <w:vAlign w:val="center"/>
          </w:tcPr>
          <w:p>
            <w:pPr>
              <w:widowControl/>
              <w:spacing w:line="240" w:lineRule="auto"/>
              <w:ind w:firstLine="0" w:firstLineChars="0"/>
              <w:rPr>
                <w:rFonts w:ascii="宋体" w:hAnsi="宋体" w:cs="宋体"/>
                <w:color w:val="auto"/>
                <w:kern w:val="0"/>
                <w:szCs w:val="24"/>
                <w:highlight w:val="none"/>
              </w:rPr>
            </w:pPr>
          </w:p>
        </w:tc>
        <w:tc>
          <w:tcPr>
            <w:tcW w:w="2888" w:type="dxa"/>
            <w:gridSpan w:val="2"/>
            <w:vAlign w:val="center"/>
          </w:tcPr>
          <w:p>
            <w:pPr>
              <w:spacing w:line="240" w:lineRule="auto"/>
              <w:ind w:firstLine="0" w:firstLineChars="0"/>
              <w:rPr>
                <w:rFonts w:ascii="宋体" w:hAnsi="宋体"/>
                <w:color w:val="auto"/>
                <w:szCs w:val="24"/>
                <w:highlight w:val="none"/>
              </w:rPr>
            </w:pPr>
            <w:r>
              <w:rPr>
                <w:rFonts w:hint="eastAsia" w:ascii="宋体" w:hAnsi="宋体"/>
                <w:color w:val="auto"/>
                <w:szCs w:val="24"/>
                <w:highlight w:val="none"/>
              </w:rPr>
              <w:t>11、联合体投标</w:t>
            </w:r>
          </w:p>
        </w:tc>
        <w:tc>
          <w:tcPr>
            <w:tcW w:w="5889" w:type="dxa"/>
            <w:vAlign w:val="center"/>
          </w:tcPr>
          <w:p>
            <w:pPr>
              <w:spacing w:line="240" w:lineRule="auto"/>
              <w:ind w:firstLine="0" w:firstLineChars="0"/>
              <w:rPr>
                <w:rFonts w:ascii="宋体" w:hAnsi="宋体"/>
                <w:color w:val="auto"/>
                <w:szCs w:val="24"/>
                <w:highlight w:val="none"/>
              </w:rPr>
            </w:pPr>
            <w:r>
              <w:rPr>
                <w:rFonts w:hint="eastAsia" w:ascii="宋体" w:hAnsi="宋体"/>
                <w:color w:val="auto"/>
                <w:szCs w:val="24"/>
                <w:highlight w:val="none"/>
              </w:rPr>
              <w:t>非联合体投标。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20" w:type="dxa"/>
            <w:vMerge w:val="continue"/>
            <w:vAlign w:val="center"/>
          </w:tcPr>
          <w:p>
            <w:pPr>
              <w:widowControl/>
              <w:spacing w:line="240" w:lineRule="auto"/>
              <w:ind w:firstLine="0" w:firstLineChars="0"/>
              <w:rPr>
                <w:rFonts w:ascii="宋体" w:hAnsi="宋体" w:cs="宋体"/>
                <w:color w:val="auto"/>
                <w:kern w:val="0"/>
                <w:szCs w:val="24"/>
                <w:highlight w:val="none"/>
              </w:rPr>
            </w:pPr>
          </w:p>
        </w:tc>
        <w:tc>
          <w:tcPr>
            <w:tcW w:w="2888" w:type="dxa"/>
            <w:gridSpan w:val="2"/>
            <w:vAlign w:val="center"/>
          </w:tcPr>
          <w:p>
            <w:pPr>
              <w:ind w:left="0" w:leftChars="0" w:firstLine="0" w:firstLineChars="0"/>
              <w:rPr>
                <w:rFonts w:hint="eastAsia" w:ascii="宋体" w:hAnsi="宋体"/>
                <w:color w:val="auto"/>
                <w:szCs w:val="24"/>
                <w:highlight w:val="none"/>
              </w:rPr>
            </w:pPr>
            <w:r>
              <w:rPr>
                <w:rFonts w:hint="eastAsia" w:ascii="宋体" w:hAnsi="宋体"/>
                <w:color w:val="auto"/>
                <w:highlight w:val="none"/>
                <w:lang w:val="en-US" w:eastAsia="zh-CN"/>
              </w:rPr>
              <w:t>12、本项目专门面向中小企业采购</w:t>
            </w:r>
          </w:p>
        </w:tc>
        <w:tc>
          <w:tcPr>
            <w:tcW w:w="5889" w:type="dxa"/>
            <w:vAlign w:val="center"/>
          </w:tcPr>
          <w:p>
            <w:pPr>
              <w:ind w:left="0" w:leftChars="0" w:firstLine="0" w:firstLineChars="0"/>
              <w:rPr>
                <w:rFonts w:hint="eastAsia" w:ascii="宋体" w:hAnsi="宋体"/>
                <w:color w:val="auto"/>
                <w:szCs w:val="24"/>
                <w:highlight w:val="none"/>
              </w:rPr>
            </w:pPr>
            <w:r>
              <w:rPr>
                <w:rFonts w:hint="eastAsia" w:ascii="宋体" w:hAnsi="宋体"/>
                <w:color w:val="auto"/>
                <w:highlight w:val="none"/>
                <w:lang w:val="en-US" w:eastAsia="zh-CN"/>
              </w:rPr>
              <w:t>提供中小企业声明函（注：</w:t>
            </w:r>
            <w:r>
              <w:rPr>
                <w:rFonts w:hint="eastAsia" w:ascii="宋体" w:hAnsi="宋体"/>
                <w:color w:val="auto"/>
                <w:szCs w:val="24"/>
                <w:highlight w:val="none"/>
              </w:rPr>
              <w:t>供应商为监狱企业、残疾人福利性单位的视同小型、微型企业</w:t>
            </w:r>
            <w:r>
              <w:rPr>
                <w:rFonts w:hint="eastAsia" w:ascii="宋体" w:hAnsi="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20" w:type="dxa"/>
            <w:vAlign w:val="center"/>
          </w:tcPr>
          <w:p>
            <w:pPr>
              <w:spacing w:line="240" w:lineRule="auto"/>
              <w:ind w:firstLine="0" w:firstLineChars="0"/>
              <w:rPr>
                <w:rFonts w:ascii="宋体" w:hAnsi="宋体" w:cs="宋体"/>
                <w:color w:val="auto"/>
                <w:kern w:val="0"/>
                <w:szCs w:val="24"/>
                <w:highlight w:val="none"/>
              </w:rPr>
            </w:pPr>
            <w:r>
              <w:rPr>
                <w:rFonts w:hint="eastAsia" w:ascii="宋体" w:hAnsi="宋体" w:cs="宋体"/>
                <w:color w:val="auto"/>
                <w:kern w:val="0"/>
                <w:szCs w:val="24"/>
                <w:highlight w:val="none"/>
              </w:rPr>
              <w:t>（二）资质要求</w:t>
            </w:r>
          </w:p>
        </w:tc>
        <w:tc>
          <w:tcPr>
            <w:tcW w:w="2888" w:type="dxa"/>
            <w:gridSpan w:val="2"/>
            <w:vAlign w:val="center"/>
          </w:tcPr>
          <w:p>
            <w:pPr>
              <w:spacing w:line="240" w:lineRule="auto"/>
              <w:ind w:firstLine="0" w:firstLineChars="0"/>
              <w:rPr>
                <w:rFonts w:ascii="宋体" w:hAnsi="宋体" w:cs="宋体"/>
                <w:color w:val="auto"/>
                <w:kern w:val="0"/>
                <w:szCs w:val="24"/>
                <w:highlight w:val="none"/>
              </w:rPr>
            </w:pPr>
            <w:r>
              <w:rPr>
                <w:rFonts w:hint="eastAsia" w:ascii="宋体" w:hAnsi="宋体" w:cs="宋体"/>
                <w:color w:val="auto"/>
                <w:kern w:val="0"/>
                <w:szCs w:val="24"/>
                <w:highlight w:val="none"/>
              </w:rPr>
              <w:t>无</w:t>
            </w:r>
          </w:p>
        </w:tc>
        <w:tc>
          <w:tcPr>
            <w:tcW w:w="5889" w:type="dxa"/>
            <w:vAlign w:val="center"/>
          </w:tcPr>
          <w:p>
            <w:pPr>
              <w:spacing w:line="240" w:lineRule="auto"/>
              <w:ind w:firstLine="0" w:firstLineChars="0"/>
              <w:rPr>
                <w:rFonts w:ascii="宋体" w:hAnsi="宋体"/>
                <w:color w:val="auto"/>
                <w:szCs w:val="24"/>
                <w:highlight w:val="none"/>
              </w:rPr>
            </w:pPr>
            <w:r>
              <w:rPr>
                <w:rFonts w:hint="eastAsia" w:ascii="宋体" w:hAnsi="宋体"/>
                <w:color w:val="auto"/>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20" w:type="dxa"/>
            <w:vMerge w:val="restart"/>
            <w:vAlign w:val="center"/>
          </w:tcPr>
          <w:p>
            <w:pPr>
              <w:spacing w:line="240" w:lineRule="auto"/>
              <w:ind w:firstLine="0" w:firstLineChars="0"/>
              <w:rPr>
                <w:rFonts w:ascii="宋体" w:hAnsi="宋体" w:cs="宋体"/>
                <w:color w:val="auto"/>
                <w:kern w:val="0"/>
                <w:szCs w:val="24"/>
                <w:highlight w:val="none"/>
              </w:rPr>
            </w:pPr>
            <w:r>
              <w:rPr>
                <w:rFonts w:hint="eastAsia" w:ascii="宋体" w:hAnsi="宋体" w:cs="宋体"/>
                <w:color w:val="auto"/>
                <w:kern w:val="0"/>
                <w:szCs w:val="24"/>
                <w:highlight w:val="none"/>
              </w:rPr>
              <w:t>（三）其他要求</w:t>
            </w:r>
          </w:p>
        </w:tc>
        <w:tc>
          <w:tcPr>
            <w:tcW w:w="2888" w:type="dxa"/>
            <w:gridSpan w:val="2"/>
            <w:vAlign w:val="center"/>
          </w:tcPr>
          <w:p>
            <w:pPr>
              <w:spacing w:line="240" w:lineRule="auto"/>
              <w:ind w:firstLine="0" w:firstLineChars="0"/>
              <w:rPr>
                <w:rFonts w:ascii="宋体" w:hAnsi="宋体"/>
                <w:color w:val="auto"/>
                <w:szCs w:val="24"/>
                <w:highlight w:val="none"/>
              </w:rPr>
            </w:pPr>
            <w:r>
              <w:rPr>
                <w:rFonts w:hint="eastAsia" w:ascii="宋体" w:hAnsi="宋体"/>
                <w:color w:val="auto"/>
                <w:szCs w:val="24"/>
                <w:highlight w:val="none"/>
              </w:rPr>
              <w:t>资格性响应文件签署、盖章</w:t>
            </w:r>
          </w:p>
        </w:tc>
        <w:tc>
          <w:tcPr>
            <w:tcW w:w="5889" w:type="dxa"/>
            <w:vAlign w:val="center"/>
          </w:tcPr>
          <w:p>
            <w:pPr>
              <w:spacing w:line="240" w:lineRule="auto"/>
              <w:ind w:firstLine="0" w:firstLineChars="0"/>
              <w:rPr>
                <w:rFonts w:ascii="宋体" w:hAnsi="宋体"/>
                <w:color w:val="auto"/>
                <w:szCs w:val="24"/>
                <w:highlight w:val="none"/>
              </w:rPr>
            </w:pPr>
            <w:r>
              <w:rPr>
                <w:rFonts w:hint="eastAsia" w:ascii="宋体" w:hAnsi="宋体"/>
                <w:color w:val="auto"/>
                <w:szCs w:val="24"/>
                <w:highlight w:val="none"/>
              </w:rPr>
              <w:t>资格性响应文件按照招标文件规定要求签署、盖章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020" w:type="dxa"/>
            <w:vMerge w:val="continue"/>
            <w:vAlign w:val="center"/>
          </w:tcPr>
          <w:p>
            <w:pPr>
              <w:spacing w:line="240" w:lineRule="auto"/>
              <w:ind w:firstLine="0" w:firstLineChars="0"/>
              <w:rPr>
                <w:rFonts w:ascii="宋体" w:hAnsi="宋体" w:cs="宋体"/>
                <w:color w:val="auto"/>
                <w:kern w:val="0"/>
                <w:szCs w:val="24"/>
                <w:highlight w:val="none"/>
              </w:rPr>
            </w:pPr>
          </w:p>
        </w:tc>
        <w:tc>
          <w:tcPr>
            <w:tcW w:w="2888" w:type="dxa"/>
            <w:gridSpan w:val="2"/>
            <w:vAlign w:val="center"/>
          </w:tcPr>
          <w:p>
            <w:pPr>
              <w:spacing w:line="240" w:lineRule="auto"/>
              <w:ind w:firstLine="0" w:firstLineChars="0"/>
              <w:rPr>
                <w:rFonts w:ascii="宋体" w:hAnsi="宋体"/>
                <w:color w:val="auto"/>
                <w:szCs w:val="24"/>
                <w:highlight w:val="none"/>
              </w:rPr>
            </w:pPr>
            <w:r>
              <w:rPr>
                <w:rFonts w:hint="eastAsia" w:ascii="宋体" w:hAnsi="宋体"/>
                <w:color w:val="auto"/>
                <w:szCs w:val="24"/>
                <w:highlight w:val="none"/>
              </w:rPr>
              <w:t>投标文件有效期</w:t>
            </w:r>
          </w:p>
        </w:tc>
        <w:tc>
          <w:tcPr>
            <w:tcW w:w="5889" w:type="dxa"/>
            <w:vAlign w:val="center"/>
          </w:tcPr>
          <w:p>
            <w:pPr>
              <w:spacing w:line="240" w:lineRule="auto"/>
              <w:ind w:firstLine="0" w:firstLineChars="0"/>
              <w:rPr>
                <w:rFonts w:ascii="宋体" w:hAnsi="宋体"/>
                <w:color w:val="auto"/>
                <w:szCs w:val="24"/>
                <w:highlight w:val="none"/>
              </w:rPr>
            </w:pPr>
            <w:r>
              <w:rPr>
                <w:rFonts w:hint="eastAsia" w:ascii="宋体" w:hAnsi="宋体"/>
                <w:color w:val="auto"/>
                <w:szCs w:val="24"/>
                <w:highlight w:val="none"/>
              </w:rPr>
              <w:t>符合招标文件要求</w:t>
            </w:r>
          </w:p>
        </w:tc>
      </w:tr>
    </w:tbl>
    <w:p>
      <w:pPr>
        <w:tabs>
          <w:tab w:val="left" w:pos="851"/>
        </w:tabs>
        <w:ind w:firstLine="492"/>
        <w:rPr>
          <w:rFonts w:ascii="宋体" w:hAnsi="宋体"/>
          <w:color w:val="auto"/>
          <w:szCs w:val="24"/>
          <w:highlight w:val="none"/>
        </w:rPr>
      </w:pPr>
      <w:r>
        <w:rPr>
          <w:rFonts w:hint="eastAsia" w:ascii="宋体" w:hAnsi="宋体"/>
          <w:color w:val="auto"/>
          <w:szCs w:val="24"/>
          <w:highlight w:val="none"/>
        </w:rPr>
        <w:t>注：以上每一项结论均为“通过”的，则投标人的投标文件通过资格性审查；如有其中任意一项结论为“不通过”的，则投标人的投标文件按无效投标文件处理。如果资格审查小组认为投标人有任意一项不通过的，应在资格性审查表中载明不通过的具体原因。</w:t>
      </w:r>
    </w:p>
    <w:p>
      <w:pPr>
        <w:pStyle w:val="3"/>
        <w:spacing w:before="0" w:after="0" w:line="240" w:lineRule="auto"/>
        <w:rPr>
          <w:color w:val="auto"/>
          <w:szCs w:val="24"/>
          <w:highlight w:val="none"/>
        </w:rPr>
      </w:pPr>
      <w:bookmarkStart w:id="293" w:name="_Toc14201"/>
      <w:bookmarkStart w:id="294" w:name="_Toc17725"/>
      <w:r>
        <w:rPr>
          <w:rFonts w:hint="eastAsia"/>
          <w:color w:val="auto"/>
          <w:szCs w:val="24"/>
          <w:highlight w:val="none"/>
        </w:rPr>
        <w:t>评标办法</w:t>
      </w:r>
      <w:bookmarkEnd w:id="293"/>
      <w:bookmarkEnd w:id="294"/>
    </w:p>
    <w:p>
      <w:pPr>
        <w:pStyle w:val="4"/>
        <w:rPr>
          <w:color w:val="auto"/>
          <w:highlight w:val="none"/>
        </w:rPr>
      </w:pPr>
      <w:bookmarkStart w:id="295" w:name="_Toc25269"/>
      <w:bookmarkStart w:id="296" w:name="_Toc13006"/>
      <w:r>
        <w:rPr>
          <w:rFonts w:hint="eastAsia"/>
          <w:color w:val="auto"/>
          <w:highlight w:val="none"/>
        </w:rPr>
        <w:t>总则</w:t>
      </w:r>
      <w:bookmarkEnd w:id="285"/>
      <w:bookmarkEnd w:id="286"/>
      <w:bookmarkEnd w:id="287"/>
      <w:bookmarkEnd w:id="288"/>
      <w:bookmarkEnd w:id="289"/>
      <w:bookmarkEnd w:id="290"/>
      <w:bookmarkEnd w:id="291"/>
      <w:bookmarkEnd w:id="292"/>
      <w:bookmarkEnd w:id="295"/>
      <w:bookmarkEnd w:id="296"/>
    </w:p>
    <w:p>
      <w:pPr>
        <w:numPr>
          <w:ilvl w:val="0"/>
          <w:numId w:val="42"/>
        </w:numPr>
        <w:tabs>
          <w:tab w:val="left" w:pos="1134"/>
        </w:tabs>
        <w:ind w:firstLine="492"/>
        <w:rPr>
          <w:rFonts w:ascii="宋体" w:hAnsi="宋体"/>
          <w:color w:val="auto"/>
          <w:szCs w:val="24"/>
          <w:highlight w:val="none"/>
        </w:rPr>
      </w:pPr>
      <w:r>
        <w:rPr>
          <w:rFonts w:hint="eastAsia" w:ascii="宋体" w:hAnsi="宋体"/>
          <w:color w:val="auto"/>
          <w:szCs w:val="24"/>
          <w:highlight w:val="none"/>
        </w:rPr>
        <w:t>根据《中华人民共和国政府采购法》、《中华人民共和国政府采购法实施条例》和《政府采购货物和服务招标投标管理办法》等法律法规的相关规定，结合采购项目特点制定本评标办法。</w:t>
      </w:r>
    </w:p>
    <w:p>
      <w:pPr>
        <w:numPr>
          <w:ilvl w:val="0"/>
          <w:numId w:val="42"/>
        </w:numPr>
        <w:tabs>
          <w:tab w:val="left" w:pos="1134"/>
        </w:tabs>
        <w:ind w:firstLine="492"/>
        <w:rPr>
          <w:rFonts w:ascii="宋体" w:hAnsi="宋体"/>
          <w:color w:val="auto"/>
          <w:szCs w:val="24"/>
          <w:highlight w:val="none"/>
        </w:rPr>
      </w:pPr>
      <w:r>
        <w:rPr>
          <w:rFonts w:hint="eastAsia" w:ascii="宋体" w:hAnsi="宋体"/>
          <w:color w:val="auto"/>
          <w:szCs w:val="24"/>
          <w:highlight w:val="none"/>
        </w:rPr>
        <w:t>评标工作由采购代理机构负责组织，具体评标事务由招标采购单位依法组建的评标委员会负责。评标委员会由采购人代表和有关技术、经济等方面的专家组成。</w:t>
      </w:r>
    </w:p>
    <w:p>
      <w:pPr>
        <w:numPr>
          <w:ilvl w:val="0"/>
          <w:numId w:val="42"/>
        </w:numPr>
        <w:tabs>
          <w:tab w:val="left" w:pos="1134"/>
        </w:tabs>
        <w:ind w:firstLine="492"/>
        <w:rPr>
          <w:rFonts w:ascii="宋体" w:hAnsi="宋体"/>
          <w:color w:val="auto"/>
          <w:szCs w:val="24"/>
          <w:highlight w:val="none"/>
        </w:rPr>
      </w:pPr>
      <w:r>
        <w:rPr>
          <w:rFonts w:hint="eastAsia" w:ascii="宋体" w:hAnsi="宋体"/>
          <w:color w:val="auto"/>
          <w:szCs w:val="24"/>
          <w:highlight w:val="none"/>
        </w:rPr>
        <w:t>评标工作应遵循公平、公正、科学及择优的原则，并以相同的评标程序和标准对待所有的投标人。</w:t>
      </w:r>
    </w:p>
    <w:p>
      <w:pPr>
        <w:numPr>
          <w:ilvl w:val="0"/>
          <w:numId w:val="42"/>
        </w:numPr>
        <w:tabs>
          <w:tab w:val="left" w:pos="1134"/>
        </w:tabs>
        <w:ind w:firstLine="492"/>
        <w:rPr>
          <w:rFonts w:ascii="宋体" w:hAnsi="宋体"/>
          <w:color w:val="auto"/>
          <w:szCs w:val="24"/>
          <w:highlight w:val="none"/>
        </w:rPr>
      </w:pPr>
      <w:r>
        <w:rPr>
          <w:rFonts w:hint="eastAsia" w:ascii="宋体" w:hAnsi="宋体"/>
          <w:color w:val="auto"/>
          <w:szCs w:val="24"/>
          <w:highlight w:val="none"/>
        </w:rPr>
        <w:t>评标委员会按照招标文件规定的评标程序、评标方法和标准进行独立评审，并独立履行下列职责：</w:t>
      </w:r>
    </w:p>
    <w:p>
      <w:pPr>
        <w:numPr>
          <w:ilvl w:val="0"/>
          <w:numId w:val="43"/>
        </w:numPr>
        <w:ind w:firstLine="492"/>
        <w:rPr>
          <w:rFonts w:ascii="宋体" w:hAnsi="宋体"/>
          <w:color w:val="auto"/>
          <w:szCs w:val="24"/>
          <w:highlight w:val="none"/>
        </w:rPr>
      </w:pPr>
      <w:r>
        <w:rPr>
          <w:rFonts w:hint="eastAsia" w:ascii="宋体" w:hAnsi="宋体"/>
          <w:color w:val="auto"/>
          <w:szCs w:val="24"/>
          <w:highlight w:val="none"/>
        </w:rPr>
        <w:t>熟悉和理解招标文件；</w:t>
      </w:r>
    </w:p>
    <w:p>
      <w:pPr>
        <w:numPr>
          <w:ilvl w:val="0"/>
          <w:numId w:val="43"/>
        </w:numPr>
        <w:ind w:firstLine="492"/>
        <w:rPr>
          <w:rFonts w:ascii="宋体" w:hAnsi="宋体"/>
          <w:color w:val="auto"/>
          <w:szCs w:val="24"/>
          <w:highlight w:val="none"/>
        </w:rPr>
      </w:pPr>
      <w:r>
        <w:rPr>
          <w:rFonts w:hint="eastAsia" w:ascii="宋体" w:hAnsi="宋体"/>
          <w:color w:val="auto"/>
          <w:szCs w:val="24"/>
          <w:highlight w:val="none"/>
        </w:rPr>
        <w:t>审查投标文件是否符合招标文件要求，并作出评价；</w:t>
      </w:r>
    </w:p>
    <w:p>
      <w:pPr>
        <w:pStyle w:val="2"/>
        <w:numPr>
          <w:ilvl w:val="0"/>
          <w:numId w:val="43"/>
        </w:numPr>
        <w:spacing w:line="360" w:lineRule="auto"/>
        <w:ind w:firstLine="492"/>
        <w:rPr>
          <w:color w:val="auto"/>
          <w:highlight w:val="none"/>
        </w:rPr>
      </w:pPr>
      <w:r>
        <w:rPr>
          <w:rFonts w:hint="eastAsia" w:ascii="宋体" w:hAnsi="宋体"/>
          <w:color w:val="auto"/>
          <w:szCs w:val="24"/>
          <w:highlight w:val="none"/>
        </w:rPr>
        <w:t>根据需要要求采购代理机构对招标文件做出解释（评标委员会发现招标文件前后不一致或表达不明确或需要说明的事项，应提请招标采购单位书面解释说明）；根据需要要求供应商对投标文件有关事项做出澄清、说明或者更正；</w:t>
      </w:r>
    </w:p>
    <w:p>
      <w:pPr>
        <w:numPr>
          <w:ilvl w:val="0"/>
          <w:numId w:val="43"/>
        </w:numPr>
        <w:ind w:firstLine="492"/>
        <w:rPr>
          <w:rFonts w:ascii="宋体" w:hAnsi="宋体"/>
          <w:color w:val="auto"/>
          <w:szCs w:val="24"/>
          <w:highlight w:val="none"/>
        </w:rPr>
      </w:pPr>
      <w:r>
        <w:rPr>
          <w:rFonts w:hint="eastAsia" w:ascii="宋体" w:hAnsi="宋体"/>
          <w:color w:val="auto"/>
          <w:szCs w:val="24"/>
          <w:highlight w:val="none"/>
        </w:rPr>
        <w:t>推荐中标候选供应商名单，或者受采购人委托确定中标人；</w:t>
      </w:r>
    </w:p>
    <w:p>
      <w:pPr>
        <w:numPr>
          <w:ilvl w:val="0"/>
          <w:numId w:val="43"/>
        </w:numPr>
        <w:ind w:firstLine="492"/>
        <w:rPr>
          <w:rFonts w:ascii="宋体" w:hAnsi="宋体"/>
          <w:color w:val="auto"/>
          <w:szCs w:val="24"/>
          <w:highlight w:val="none"/>
        </w:rPr>
      </w:pPr>
      <w:r>
        <w:rPr>
          <w:rFonts w:hint="eastAsia" w:ascii="宋体" w:hAnsi="宋体"/>
          <w:color w:val="auto"/>
          <w:szCs w:val="24"/>
          <w:highlight w:val="none"/>
        </w:rPr>
        <w:t>起草评标报告并进行签署；</w:t>
      </w:r>
    </w:p>
    <w:p>
      <w:pPr>
        <w:numPr>
          <w:ilvl w:val="0"/>
          <w:numId w:val="43"/>
        </w:numPr>
        <w:ind w:firstLine="492"/>
        <w:rPr>
          <w:rFonts w:ascii="宋体" w:hAnsi="宋体"/>
          <w:color w:val="auto"/>
          <w:szCs w:val="24"/>
          <w:highlight w:val="none"/>
        </w:rPr>
      </w:pPr>
      <w:r>
        <w:rPr>
          <w:rFonts w:hint="eastAsia" w:ascii="宋体" w:hAnsi="宋体"/>
          <w:color w:val="auto"/>
          <w:szCs w:val="24"/>
          <w:highlight w:val="none"/>
        </w:rPr>
        <w:t>向采购组织单位、财政部门或者其他监督部门报告非法干预评标工作的行为</w:t>
      </w:r>
      <w:r>
        <w:rPr>
          <w:rFonts w:hint="eastAsia" w:ascii="宋体"/>
          <w:color w:val="auto"/>
          <w:szCs w:val="24"/>
          <w:highlight w:val="none"/>
        </w:rPr>
        <w:t>；</w:t>
      </w:r>
      <w:bookmarkStart w:id="297" w:name="_Toc217446098"/>
    </w:p>
    <w:p>
      <w:pPr>
        <w:numPr>
          <w:ilvl w:val="0"/>
          <w:numId w:val="43"/>
        </w:numPr>
        <w:ind w:firstLine="492"/>
        <w:rPr>
          <w:rFonts w:ascii="宋体" w:hAnsi="宋体"/>
          <w:color w:val="auto"/>
          <w:szCs w:val="24"/>
          <w:highlight w:val="none"/>
        </w:rPr>
      </w:pPr>
      <w:r>
        <w:rPr>
          <w:rFonts w:hint="eastAsia" w:ascii="宋体" w:hAnsi="宋体"/>
          <w:color w:val="auto"/>
          <w:szCs w:val="24"/>
          <w:highlight w:val="none"/>
        </w:rPr>
        <w:t>法律、法规和规章规定的其他职责。</w:t>
      </w:r>
    </w:p>
    <w:p>
      <w:pPr>
        <w:pStyle w:val="4"/>
        <w:rPr>
          <w:color w:val="auto"/>
          <w:highlight w:val="none"/>
        </w:rPr>
      </w:pPr>
      <w:bookmarkStart w:id="298" w:name="_Toc28562"/>
      <w:bookmarkStart w:id="299" w:name="_Toc316292249"/>
      <w:bookmarkStart w:id="300" w:name="_Toc22615"/>
      <w:bookmarkStart w:id="301" w:name="_Toc315871643"/>
      <w:bookmarkStart w:id="302" w:name="_Toc9947"/>
      <w:bookmarkStart w:id="303" w:name="_Toc4435"/>
      <w:r>
        <w:rPr>
          <w:rFonts w:hint="eastAsia"/>
          <w:color w:val="auto"/>
          <w:highlight w:val="none"/>
        </w:rPr>
        <w:t>评标方法</w:t>
      </w:r>
      <w:bookmarkEnd w:id="298"/>
      <w:bookmarkEnd w:id="299"/>
      <w:bookmarkEnd w:id="300"/>
      <w:bookmarkEnd w:id="301"/>
      <w:bookmarkEnd w:id="302"/>
      <w:bookmarkEnd w:id="303"/>
    </w:p>
    <w:p>
      <w:pPr>
        <w:ind w:firstLine="492"/>
        <w:rPr>
          <w:rFonts w:ascii="宋体" w:hAnsi="宋体"/>
          <w:color w:val="auto"/>
          <w:szCs w:val="24"/>
          <w:highlight w:val="none"/>
        </w:rPr>
      </w:pPr>
      <w:r>
        <w:rPr>
          <w:rFonts w:hint="eastAsia" w:ascii="宋体" w:hAnsi="宋体"/>
          <w:color w:val="auto"/>
          <w:szCs w:val="24"/>
          <w:highlight w:val="none"/>
        </w:rPr>
        <w:t>综合评分法。</w:t>
      </w:r>
    </w:p>
    <w:p>
      <w:pPr>
        <w:pStyle w:val="4"/>
        <w:rPr>
          <w:color w:val="auto"/>
          <w:highlight w:val="none"/>
        </w:rPr>
      </w:pPr>
      <w:bookmarkStart w:id="304" w:name="_Toc27068"/>
      <w:bookmarkStart w:id="305" w:name="_Toc26118"/>
      <w:bookmarkStart w:id="306" w:name="_Toc21696"/>
      <w:bookmarkStart w:id="307" w:name="_Toc315871644"/>
      <w:bookmarkStart w:id="308" w:name="_Toc17582"/>
      <w:bookmarkStart w:id="309" w:name="_Toc316292250"/>
      <w:r>
        <w:rPr>
          <w:rFonts w:hint="eastAsia"/>
          <w:color w:val="auto"/>
          <w:highlight w:val="none"/>
        </w:rPr>
        <w:t>评标程序</w:t>
      </w:r>
      <w:bookmarkEnd w:id="297"/>
      <w:bookmarkEnd w:id="304"/>
      <w:bookmarkEnd w:id="305"/>
      <w:bookmarkEnd w:id="306"/>
      <w:bookmarkEnd w:id="307"/>
      <w:bookmarkEnd w:id="308"/>
      <w:bookmarkEnd w:id="309"/>
    </w:p>
    <w:p>
      <w:pPr>
        <w:pStyle w:val="5"/>
        <w:ind w:left="322" w:leftChars="0" w:firstLine="494" w:firstLineChars="0"/>
        <w:rPr>
          <w:color w:val="auto"/>
          <w:highlight w:val="none"/>
        </w:rPr>
      </w:pPr>
      <w:bookmarkStart w:id="310" w:name="_Toc316475650"/>
      <w:bookmarkEnd w:id="310"/>
      <w:bookmarkStart w:id="311" w:name="_Toc315871645"/>
      <w:bookmarkStart w:id="312" w:name="_Toc316292251"/>
      <w:bookmarkStart w:id="313" w:name="_Toc24913"/>
      <w:bookmarkStart w:id="314" w:name="_Toc217446099"/>
      <w:r>
        <w:rPr>
          <w:rFonts w:hint="eastAsia"/>
          <w:color w:val="auto"/>
          <w:highlight w:val="none"/>
        </w:rPr>
        <w:t>熟悉和理解招标文件和停止评标</w:t>
      </w:r>
      <w:bookmarkEnd w:id="311"/>
      <w:bookmarkEnd w:id="312"/>
      <w:bookmarkEnd w:id="313"/>
    </w:p>
    <w:p>
      <w:pPr>
        <w:numPr>
          <w:ilvl w:val="0"/>
          <w:numId w:val="44"/>
        </w:numPr>
        <w:tabs>
          <w:tab w:val="left" w:pos="851"/>
        </w:tabs>
        <w:ind w:firstLine="492"/>
        <w:rPr>
          <w:rFonts w:ascii="宋体" w:hAnsi="宋体"/>
          <w:color w:val="auto"/>
          <w:szCs w:val="24"/>
          <w:highlight w:val="none"/>
        </w:rPr>
      </w:pPr>
      <w:r>
        <w:rPr>
          <w:rFonts w:hint="eastAsia" w:ascii="宋体" w:hAnsi="宋体"/>
          <w:color w:val="auto"/>
          <w:szCs w:val="24"/>
          <w:highlight w:val="none"/>
        </w:rPr>
        <w:t>评标委员会正式评标前，应当对招标文件进行熟悉和理解，内容主要包括采购项目技术、服务和商务要求、评标方法和标准以及可能涉及签订政府合同的内容等。</w:t>
      </w:r>
    </w:p>
    <w:p>
      <w:pPr>
        <w:numPr>
          <w:ilvl w:val="0"/>
          <w:numId w:val="44"/>
        </w:numPr>
        <w:tabs>
          <w:tab w:val="left" w:pos="851"/>
        </w:tabs>
        <w:ind w:firstLine="492"/>
        <w:rPr>
          <w:rFonts w:ascii="宋体" w:hAnsi="宋体"/>
          <w:color w:val="auto"/>
          <w:szCs w:val="24"/>
          <w:highlight w:val="none"/>
        </w:rPr>
      </w:pPr>
      <w:r>
        <w:rPr>
          <w:rFonts w:hint="eastAsia" w:ascii="宋体" w:hAnsi="宋体"/>
          <w:color w:val="auto"/>
          <w:szCs w:val="24"/>
          <w:highlight w:val="none"/>
        </w:rPr>
        <w:t>评标委员会熟悉和理解招标文件以及评标过程中，发现本招标文件有下列情形之一的，评标委员会应当停止评标：</w:t>
      </w:r>
    </w:p>
    <w:p>
      <w:pPr>
        <w:numPr>
          <w:ilvl w:val="0"/>
          <w:numId w:val="45"/>
        </w:numPr>
        <w:tabs>
          <w:tab w:val="left" w:pos="851"/>
        </w:tabs>
        <w:ind w:firstLine="492"/>
        <w:rPr>
          <w:rFonts w:ascii="宋体" w:hAnsi="宋体"/>
          <w:color w:val="auto"/>
          <w:szCs w:val="24"/>
          <w:highlight w:val="none"/>
        </w:rPr>
      </w:pPr>
      <w:r>
        <w:rPr>
          <w:rFonts w:hint="eastAsia" w:ascii="宋体" w:hAnsi="宋体"/>
          <w:color w:val="auto"/>
          <w:szCs w:val="24"/>
          <w:highlight w:val="none"/>
        </w:rPr>
        <w:t>招标文件的规定存在歧义、重大缺陷的；</w:t>
      </w:r>
    </w:p>
    <w:p>
      <w:pPr>
        <w:numPr>
          <w:ilvl w:val="0"/>
          <w:numId w:val="45"/>
        </w:numPr>
        <w:tabs>
          <w:tab w:val="left" w:pos="851"/>
        </w:tabs>
        <w:ind w:firstLine="492"/>
        <w:rPr>
          <w:rFonts w:ascii="宋体" w:hAnsi="宋体"/>
          <w:color w:val="auto"/>
          <w:szCs w:val="24"/>
          <w:highlight w:val="none"/>
        </w:rPr>
      </w:pPr>
      <w:r>
        <w:rPr>
          <w:rFonts w:hint="eastAsia" w:ascii="宋体" w:hAnsi="宋体"/>
          <w:color w:val="auto"/>
          <w:szCs w:val="24"/>
          <w:highlight w:val="none"/>
        </w:rPr>
        <w:t>招标文件明显以不合理条件对供应商实行差别待遇或者歧视待遇的；</w:t>
      </w:r>
    </w:p>
    <w:p>
      <w:pPr>
        <w:pStyle w:val="2"/>
        <w:numPr>
          <w:ilvl w:val="0"/>
          <w:numId w:val="45"/>
        </w:numPr>
        <w:spacing w:line="360" w:lineRule="auto"/>
        <w:ind w:firstLine="492"/>
        <w:rPr>
          <w:color w:val="auto"/>
          <w:highlight w:val="none"/>
        </w:rPr>
      </w:pPr>
      <w:r>
        <w:rPr>
          <w:rFonts w:hint="eastAsia" w:ascii="宋体" w:hAnsi="宋体"/>
          <w:color w:val="auto"/>
          <w:szCs w:val="24"/>
          <w:highlight w:val="none"/>
        </w:rPr>
        <w:t>采购项目属于国家规定的优先、强制采购范围，但是招标文件未依法体现优先、强制采购相关规定的；</w:t>
      </w:r>
    </w:p>
    <w:p>
      <w:pPr>
        <w:numPr>
          <w:ilvl w:val="0"/>
          <w:numId w:val="45"/>
        </w:numPr>
        <w:tabs>
          <w:tab w:val="left" w:pos="851"/>
        </w:tabs>
        <w:ind w:firstLine="492"/>
        <w:rPr>
          <w:rFonts w:ascii="宋体" w:hAnsi="宋体"/>
          <w:color w:val="auto"/>
          <w:szCs w:val="24"/>
          <w:highlight w:val="none"/>
        </w:rPr>
      </w:pPr>
      <w:r>
        <w:rPr>
          <w:rFonts w:hint="eastAsia" w:ascii="宋体" w:hAnsi="宋体"/>
          <w:color w:val="auto"/>
          <w:szCs w:val="24"/>
          <w:highlight w:val="none"/>
        </w:rPr>
        <w:t>采购项目属于政府采购促进中小企业发展的范围，但是招标文件未依法体现促进中小企业发展相关规定的；</w:t>
      </w:r>
    </w:p>
    <w:p>
      <w:pPr>
        <w:numPr>
          <w:ilvl w:val="0"/>
          <w:numId w:val="45"/>
        </w:numPr>
        <w:tabs>
          <w:tab w:val="left" w:pos="851"/>
        </w:tabs>
        <w:ind w:firstLine="492"/>
        <w:rPr>
          <w:rFonts w:ascii="宋体" w:hAnsi="宋体"/>
          <w:color w:val="auto"/>
          <w:szCs w:val="24"/>
          <w:highlight w:val="none"/>
        </w:rPr>
      </w:pPr>
      <w:r>
        <w:rPr>
          <w:rFonts w:hint="eastAsia" w:ascii="宋体" w:hAnsi="宋体"/>
          <w:color w:val="auto"/>
          <w:szCs w:val="24"/>
          <w:highlight w:val="none"/>
        </w:rPr>
        <w:t>招标文件规定的评标方法是综合评分法、最低评标价法之外的评标方法，或者虽然名称为综合评分法、最低评标价法，但实际上不符合国家规定；</w:t>
      </w:r>
    </w:p>
    <w:p>
      <w:pPr>
        <w:numPr>
          <w:ilvl w:val="0"/>
          <w:numId w:val="45"/>
        </w:numPr>
        <w:tabs>
          <w:tab w:val="left" w:pos="851"/>
        </w:tabs>
        <w:ind w:firstLine="492"/>
        <w:rPr>
          <w:rFonts w:ascii="宋体" w:hAnsi="宋体"/>
          <w:color w:val="auto"/>
          <w:szCs w:val="24"/>
          <w:highlight w:val="none"/>
        </w:rPr>
      </w:pPr>
      <w:r>
        <w:rPr>
          <w:rFonts w:hint="eastAsia" w:ascii="宋体" w:hAnsi="宋体"/>
          <w:color w:val="auto"/>
          <w:szCs w:val="24"/>
          <w:highlight w:val="none"/>
        </w:rPr>
        <w:t>招标文件将投标人的资格条件列为评分因素的；</w:t>
      </w:r>
    </w:p>
    <w:p>
      <w:pPr>
        <w:numPr>
          <w:ilvl w:val="0"/>
          <w:numId w:val="45"/>
        </w:numPr>
        <w:tabs>
          <w:tab w:val="left" w:pos="851"/>
        </w:tabs>
        <w:ind w:firstLine="492"/>
        <w:rPr>
          <w:rFonts w:ascii="宋体" w:hAnsi="宋体"/>
          <w:color w:val="auto"/>
          <w:szCs w:val="24"/>
          <w:highlight w:val="none"/>
        </w:rPr>
      </w:pPr>
      <w:r>
        <w:rPr>
          <w:rFonts w:hint="eastAsia" w:ascii="宋体" w:hAnsi="宋体"/>
          <w:color w:val="auto"/>
          <w:szCs w:val="24"/>
          <w:highlight w:val="none"/>
        </w:rPr>
        <w:t>招标文件有违反国家其他有关强制性规定的情形。</w:t>
      </w:r>
    </w:p>
    <w:p>
      <w:pPr>
        <w:tabs>
          <w:tab w:val="left" w:pos="851"/>
        </w:tabs>
        <w:ind w:firstLine="735" w:firstLineChars="300"/>
        <w:rPr>
          <w:rFonts w:ascii="宋体" w:hAnsi="宋体"/>
          <w:color w:val="auto"/>
          <w:szCs w:val="24"/>
          <w:highlight w:val="none"/>
        </w:rPr>
      </w:pPr>
      <w:r>
        <w:rPr>
          <w:rFonts w:hint="eastAsia" w:ascii="宋体" w:hAnsi="宋体"/>
          <w:color w:val="auto"/>
          <w:szCs w:val="24"/>
          <w:highlight w:val="none"/>
        </w:rPr>
        <w:t>出现上述规定的应当停止评标情形的，评标委员会成员应当向采购组织单位书面说明情况，说明停止评审的情形和具体理由。除本条规定和评标委员会无法依法组建的情形外，评标委员会成员不得以任何方式和理由停止评标。</w:t>
      </w:r>
    </w:p>
    <w:p>
      <w:pPr>
        <w:pStyle w:val="5"/>
        <w:ind w:left="322" w:leftChars="0" w:firstLine="494" w:firstLineChars="0"/>
        <w:rPr>
          <w:color w:val="auto"/>
          <w:szCs w:val="24"/>
          <w:highlight w:val="none"/>
        </w:rPr>
      </w:pPr>
      <w:bookmarkStart w:id="315" w:name="_Toc7871"/>
      <w:r>
        <w:rPr>
          <w:rFonts w:hint="eastAsia"/>
          <w:color w:val="auto"/>
          <w:szCs w:val="24"/>
          <w:highlight w:val="none"/>
        </w:rPr>
        <w:t>符合性检查</w:t>
      </w:r>
      <w:bookmarkEnd w:id="315"/>
    </w:p>
    <w:p>
      <w:pPr>
        <w:ind w:firstLine="492"/>
        <w:rPr>
          <w:rFonts w:ascii="宋体" w:hAnsi="宋体"/>
          <w:color w:val="auto"/>
          <w:szCs w:val="24"/>
          <w:highlight w:val="none"/>
        </w:rPr>
      </w:pPr>
      <w:r>
        <w:rPr>
          <w:rFonts w:hint="eastAsia" w:ascii="宋体" w:hAnsi="宋体"/>
          <w:color w:val="auto"/>
          <w:szCs w:val="24"/>
          <w:highlight w:val="none"/>
        </w:rPr>
        <w:t>投标人投标文件需同时符合下列情况，有任意一项不符合要求，在符合性检查时按照无效投标处理：</w:t>
      </w:r>
    </w:p>
    <w:tbl>
      <w:tblPr>
        <w:tblStyle w:val="44"/>
        <w:tblW w:w="9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370"/>
        <w:gridCol w:w="3840"/>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240" w:lineRule="auto"/>
              <w:ind w:firstLine="0" w:firstLineChars="0"/>
              <w:jc w:val="both"/>
              <w:rPr>
                <w:rFonts w:ascii="宋体" w:hAnsi="宋体"/>
                <w:color w:val="auto"/>
                <w:szCs w:val="24"/>
                <w:highlight w:val="none"/>
              </w:rPr>
            </w:pPr>
            <w:r>
              <w:rPr>
                <w:rFonts w:hint="eastAsia" w:ascii="宋体" w:hAnsi="宋体"/>
                <w:color w:val="auto"/>
                <w:szCs w:val="24"/>
                <w:highlight w:val="none"/>
              </w:rPr>
              <w:t>序号</w:t>
            </w:r>
          </w:p>
        </w:tc>
        <w:tc>
          <w:tcPr>
            <w:tcW w:w="2370" w:type="dxa"/>
          </w:tcPr>
          <w:p>
            <w:pPr>
              <w:spacing w:line="240" w:lineRule="auto"/>
              <w:ind w:firstLine="0" w:firstLineChars="0"/>
              <w:jc w:val="both"/>
              <w:rPr>
                <w:rFonts w:ascii="宋体" w:hAnsi="宋体"/>
                <w:color w:val="auto"/>
                <w:szCs w:val="24"/>
                <w:highlight w:val="none"/>
              </w:rPr>
            </w:pPr>
            <w:r>
              <w:rPr>
                <w:rFonts w:hint="eastAsia" w:ascii="宋体" w:hAnsi="宋体"/>
                <w:color w:val="auto"/>
                <w:szCs w:val="24"/>
                <w:highlight w:val="none"/>
              </w:rPr>
              <w:t>符合性审查项</w:t>
            </w:r>
          </w:p>
        </w:tc>
        <w:tc>
          <w:tcPr>
            <w:tcW w:w="3840" w:type="dxa"/>
          </w:tcPr>
          <w:p>
            <w:pPr>
              <w:spacing w:line="240" w:lineRule="auto"/>
              <w:ind w:firstLine="0" w:firstLineChars="0"/>
              <w:jc w:val="both"/>
              <w:rPr>
                <w:rFonts w:ascii="宋体" w:hAnsi="宋体"/>
                <w:color w:val="auto"/>
                <w:szCs w:val="24"/>
                <w:highlight w:val="none"/>
              </w:rPr>
            </w:pPr>
            <w:r>
              <w:rPr>
                <w:rFonts w:hint="eastAsia" w:ascii="宋体" w:hAnsi="宋体"/>
                <w:color w:val="auto"/>
                <w:szCs w:val="24"/>
                <w:highlight w:val="none"/>
              </w:rPr>
              <w:t>通过条件</w:t>
            </w:r>
          </w:p>
        </w:tc>
        <w:tc>
          <w:tcPr>
            <w:tcW w:w="2278" w:type="dxa"/>
          </w:tcPr>
          <w:p>
            <w:pPr>
              <w:spacing w:line="240" w:lineRule="auto"/>
              <w:ind w:firstLine="0" w:firstLineChars="0"/>
              <w:jc w:val="both"/>
              <w:rPr>
                <w:rFonts w:ascii="宋体" w:hAnsi="宋体"/>
                <w:color w:val="auto"/>
                <w:szCs w:val="24"/>
                <w:highlight w:val="none"/>
              </w:rPr>
            </w:pPr>
            <w:r>
              <w:rPr>
                <w:rFonts w:hint="eastAsia" w:ascii="宋体" w:hAnsi="宋体"/>
                <w:color w:val="auto"/>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74" w:type="dxa"/>
          </w:tcPr>
          <w:p>
            <w:pPr>
              <w:spacing w:line="240" w:lineRule="auto"/>
              <w:ind w:firstLine="0" w:firstLineChars="0"/>
              <w:jc w:val="both"/>
              <w:rPr>
                <w:rFonts w:ascii="宋体" w:hAnsi="宋体"/>
                <w:color w:val="auto"/>
                <w:szCs w:val="24"/>
                <w:highlight w:val="none"/>
              </w:rPr>
            </w:pPr>
            <w:r>
              <w:rPr>
                <w:rFonts w:hint="eastAsia" w:ascii="宋体" w:hAnsi="宋体"/>
                <w:color w:val="auto"/>
                <w:szCs w:val="24"/>
                <w:highlight w:val="none"/>
              </w:rPr>
              <w:t>1</w:t>
            </w:r>
          </w:p>
        </w:tc>
        <w:tc>
          <w:tcPr>
            <w:tcW w:w="2370" w:type="dxa"/>
          </w:tcPr>
          <w:p>
            <w:pPr>
              <w:spacing w:line="240" w:lineRule="auto"/>
              <w:ind w:firstLine="0" w:firstLineChars="0"/>
              <w:jc w:val="both"/>
              <w:rPr>
                <w:rFonts w:ascii="宋体" w:hAnsi="宋体"/>
                <w:color w:val="auto"/>
                <w:szCs w:val="24"/>
                <w:highlight w:val="none"/>
              </w:rPr>
            </w:pPr>
            <w:r>
              <w:rPr>
                <w:rFonts w:hint="eastAsia" w:ascii="宋体" w:hAnsi="宋体"/>
                <w:color w:val="auto"/>
                <w:szCs w:val="24"/>
                <w:highlight w:val="none"/>
              </w:rPr>
              <w:t>投标文件正本、副本、开标一览表数量</w:t>
            </w:r>
          </w:p>
        </w:tc>
        <w:tc>
          <w:tcPr>
            <w:tcW w:w="3840" w:type="dxa"/>
          </w:tcPr>
          <w:p>
            <w:pPr>
              <w:spacing w:line="240" w:lineRule="auto"/>
              <w:ind w:firstLine="0" w:firstLineChars="0"/>
              <w:jc w:val="both"/>
              <w:rPr>
                <w:rFonts w:ascii="宋体" w:hAnsi="宋体"/>
                <w:color w:val="auto"/>
                <w:szCs w:val="24"/>
                <w:highlight w:val="none"/>
              </w:rPr>
            </w:pPr>
            <w:r>
              <w:rPr>
                <w:rFonts w:hint="eastAsia" w:ascii="宋体" w:hAnsi="宋体"/>
                <w:color w:val="auto"/>
                <w:szCs w:val="24"/>
                <w:highlight w:val="none"/>
              </w:rPr>
              <w:t>符合招标文件规定</w:t>
            </w:r>
          </w:p>
        </w:tc>
        <w:tc>
          <w:tcPr>
            <w:tcW w:w="2278" w:type="dxa"/>
          </w:tcPr>
          <w:p>
            <w:pPr>
              <w:spacing w:line="240" w:lineRule="auto"/>
              <w:ind w:firstLine="0" w:firstLineChars="0"/>
              <w:jc w:val="both"/>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240" w:lineRule="auto"/>
              <w:ind w:firstLine="0" w:firstLineChars="0"/>
              <w:jc w:val="both"/>
              <w:rPr>
                <w:rFonts w:ascii="宋体" w:hAnsi="宋体"/>
                <w:color w:val="auto"/>
                <w:szCs w:val="24"/>
                <w:highlight w:val="none"/>
              </w:rPr>
            </w:pPr>
            <w:r>
              <w:rPr>
                <w:rFonts w:hint="eastAsia" w:ascii="宋体" w:hAnsi="宋体"/>
                <w:color w:val="auto"/>
                <w:szCs w:val="24"/>
                <w:highlight w:val="none"/>
              </w:rPr>
              <w:t>2</w:t>
            </w:r>
          </w:p>
        </w:tc>
        <w:tc>
          <w:tcPr>
            <w:tcW w:w="2370" w:type="dxa"/>
          </w:tcPr>
          <w:p>
            <w:pPr>
              <w:spacing w:line="240" w:lineRule="auto"/>
              <w:ind w:firstLine="0" w:firstLineChars="0"/>
              <w:jc w:val="both"/>
              <w:rPr>
                <w:rFonts w:ascii="宋体" w:hAnsi="宋体"/>
                <w:color w:val="auto"/>
                <w:szCs w:val="24"/>
                <w:highlight w:val="none"/>
              </w:rPr>
            </w:pPr>
            <w:r>
              <w:rPr>
                <w:rFonts w:hint="eastAsia" w:ascii="宋体" w:hAnsi="宋体"/>
                <w:color w:val="auto"/>
                <w:szCs w:val="24"/>
                <w:highlight w:val="none"/>
              </w:rPr>
              <w:t>技术、服务性响应文件签署、盖章</w:t>
            </w:r>
          </w:p>
        </w:tc>
        <w:tc>
          <w:tcPr>
            <w:tcW w:w="3840" w:type="dxa"/>
          </w:tcPr>
          <w:p>
            <w:pPr>
              <w:spacing w:line="240" w:lineRule="auto"/>
              <w:ind w:firstLine="0" w:firstLineChars="0"/>
              <w:jc w:val="both"/>
              <w:rPr>
                <w:rFonts w:ascii="宋体" w:hAnsi="宋体"/>
                <w:color w:val="auto"/>
                <w:szCs w:val="24"/>
                <w:highlight w:val="none"/>
              </w:rPr>
            </w:pPr>
            <w:r>
              <w:rPr>
                <w:rFonts w:hint="eastAsia" w:ascii="宋体" w:hAnsi="宋体"/>
                <w:color w:val="auto"/>
                <w:szCs w:val="24"/>
                <w:highlight w:val="none"/>
              </w:rPr>
              <w:t>符合招标文件规定</w:t>
            </w:r>
          </w:p>
        </w:tc>
        <w:tc>
          <w:tcPr>
            <w:tcW w:w="2278" w:type="dxa"/>
          </w:tcPr>
          <w:p>
            <w:pPr>
              <w:spacing w:line="240" w:lineRule="auto"/>
              <w:ind w:firstLine="0" w:firstLineChars="0"/>
              <w:jc w:val="both"/>
              <w:rPr>
                <w:rFonts w:ascii="宋体" w:hAnsi="宋体"/>
                <w:color w:val="auto"/>
                <w:szCs w:val="24"/>
                <w:highlight w:val="none"/>
              </w:rPr>
            </w:pPr>
            <w:r>
              <w:rPr>
                <w:rFonts w:hint="eastAsia" w:ascii="宋体" w:hAnsi="宋体"/>
                <w:color w:val="auto"/>
                <w:szCs w:val="24"/>
                <w:highlight w:val="none"/>
              </w:rPr>
              <w:t>评分标准中要求提供的证明材料除外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240" w:lineRule="auto"/>
              <w:ind w:firstLine="0" w:firstLineChars="0"/>
              <w:jc w:val="both"/>
              <w:rPr>
                <w:rFonts w:ascii="宋体" w:hAnsi="宋体"/>
                <w:color w:val="auto"/>
                <w:szCs w:val="24"/>
                <w:highlight w:val="none"/>
              </w:rPr>
            </w:pPr>
            <w:r>
              <w:rPr>
                <w:rFonts w:hint="eastAsia" w:ascii="宋体" w:hAnsi="宋体"/>
                <w:color w:val="auto"/>
                <w:szCs w:val="24"/>
                <w:highlight w:val="none"/>
              </w:rPr>
              <w:t>3</w:t>
            </w:r>
          </w:p>
        </w:tc>
        <w:tc>
          <w:tcPr>
            <w:tcW w:w="2370" w:type="dxa"/>
          </w:tcPr>
          <w:p>
            <w:pPr>
              <w:spacing w:line="240" w:lineRule="auto"/>
              <w:ind w:firstLine="0" w:firstLineChars="0"/>
              <w:jc w:val="both"/>
              <w:rPr>
                <w:rFonts w:ascii="宋体" w:hAnsi="宋体"/>
                <w:color w:val="auto"/>
                <w:szCs w:val="24"/>
                <w:highlight w:val="none"/>
              </w:rPr>
            </w:pPr>
            <w:r>
              <w:rPr>
                <w:rFonts w:hint="eastAsia" w:ascii="宋体" w:hAnsi="宋体"/>
                <w:color w:val="auto"/>
                <w:szCs w:val="24"/>
                <w:highlight w:val="none"/>
              </w:rPr>
              <w:t>第四章打★的要求</w:t>
            </w:r>
          </w:p>
        </w:tc>
        <w:tc>
          <w:tcPr>
            <w:tcW w:w="3840" w:type="dxa"/>
          </w:tcPr>
          <w:p>
            <w:pPr>
              <w:spacing w:line="240" w:lineRule="auto"/>
              <w:ind w:firstLine="0" w:firstLineChars="0"/>
              <w:jc w:val="both"/>
              <w:rPr>
                <w:rFonts w:ascii="宋体" w:hAnsi="宋体"/>
                <w:color w:val="auto"/>
                <w:szCs w:val="24"/>
                <w:highlight w:val="none"/>
              </w:rPr>
            </w:pPr>
            <w:r>
              <w:rPr>
                <w:rFonts w:hint="eastAsia" w:ascii="宋体" w:hAnsi="宋体"/>
                <w:color w:val="auto"/>
                <w:szCs w:val="24"/>
                <w:highlight w:val="none"/>
              </w:rPr>
              <w:t>应答内容完全符合第四章打★的要求</w:t>
            </w:r>
          </w:p>
        </w:tc>
        <w:tc>
          <w:tcPr>
            <w:tcW w:w="2278" w:type="dxa"/>
          </w:tcPr>
          <w:p>
            <w:pPr>
              <w:spacing w:line="240" w:lineRule="auto"/>
              <w:ind w:firstLine="0" w:firstLineChars="0"/>
              <w:jc w:val="both"/>
              <w:rPr>
                <w:rFonts w:ascii="宋体" w:hAnsi="宋体"/>
                <w:color w:val="auto"/>
                <w:szCs w:val="24"/>
                <w:highlight w:val="none"/>
              </w:rPr>
            </w:pPr>
          </w:p>
        </w:tc>
      </w:tr>
    </w:tbl>
    <w:p>
      <w:pPr>
        <w:ind w:firstLine="492"/>
        <w:rPr>
          <w:rFonts w:ascii="宋体" w:hAnsi="宋体"/>
          <w:color w:val="auto"/>
          <w:szCs w:val="24"/>
          <w:highlight w:val="none"/>
        </w:rPr>
      </w:pPr>
    </w:p>
    <w:p>
      <w:pPr>
        <w:tabs>
          <w:tab w:val="left" w:pos="851"/>
        </w:tabs>
        <w:ind w:firstLine="494"/>
        <w:rPr>
          <w:rFonts w:ascii="宋体" w:hAnsi="宋体"/>
          <w:color w:val="auto"/>
          <w:szCs w:val="24"/>
          <w:highlight w:val="none"/>
        </w:rPr>
      </w:pPr>
      <w:r>
        <w:rPr>
          <w:rFonts w:hint="eastAsia" w:ascii="宋体" w:hAnsi="宋体"/>
          <w:b/>
          <w:bCs/>
          <w:color w:val="auto"/>
          <w:szCs w:val="24"/>
          <w:highlight w:val="none"/>
        </w:rPr>
        <w:t>注：</w:t>
      </w:r>
      <w:r>
        <w:rPr>
          <w:rFonts w:hint="eastAsia" w:ascii="宋体" w:hAnsi="宋体"/>
          <w:color w:val="auto"/>
          <w:szCs w:val="24"/>
          <w:highlight w:val="none"/>
        </w:rPr>
        <w:t>投标文件（包括单独递交的开标一览表）有下列情形的，本项目不作为实质性要求进行规定，即不作为符合性审查事项，不得作为无效投标处理：</w:t>
      </w:r>
    </w:p>
    <w:p>
      <w:pPr>
        <w:numPr>
          <w:ilvl w:val="0"/>
          <w:numId w:val="46"/>
        </w:numPr>
        <w:tabs>
          <w:tab w:val="left" w:pos="851"/>
        </w:tabs>
        <w:ind w:firstLine="492"/>
        <w:rPr>
          <w:rFonts w:ascii="宋体" w:hAnsi="宋体"/>
          <w:color w:val="auto"/>
          <w:szCs w:val="24"/>
          <w:highlight w:val="none"/>
        </w:rPr>
      </w:pPr>
      <w:r>
        <w:rPr>
          <w:rFonts w:hint="eastAsia" w:ascii="宋体" w:hAnsi="宋体"/>
          <w:color w:val="auto"/>
          <w:szCs w:val="24"/>
          <w:highlight w:val="none"/>
        </w:rPr>
        <w:t>存在个别地方（不超过2个）没有法定代表人签字，但有法定代表人的私人印章或者有效授权代理人签字的；</w:t>
      </w:r>
    </w:p>
    <w:p>
      <w:pPr>
        <w:numPr>
          <w:ilvl w:val="0"/>
          <w:numId w:val="46"/>
        </w:numPr>
        <w:tabs>
          <w:tab w:val="left" w:pos="851"/>
        </w:tabs>
        <w:ind w:firstLine="492"/>
        <w:rPr>
          <w:rFonts w:ascii="宋体" w:hAnsi="宋体"/>
          <w:color w:val="auto"/>
          <w:szCs w:val="24"/>
          <w:highlight w:val="none"/>
        </w:rPr>
      </w:pPr>
      <w:r>
        <w:rPr>
          <w:rFonts w:hint="eastAsia" w:ascii="宋体" w:hAnsi="宋体"/>
          <w:color w:val="auto"/>
          <w:szCs w:val="24"/>
          <w:highlight w:val="none"/>
        </w:rPr>
        <w:t>除招标文件明确要求加盖单位(法人)公章的以外，其他地方以相关专用章加盖的；</w:t>
      </w:r>
    </w:p>
    <w:p>
      <w:pPr>
        <w:numPr>
          <w:ilvl w:val="0"/>
          <w:numId w:val="46"/>
        </w:numPr>
        <w:tabs>
          <w:tab w:val="left" w:pos="851"/>
        </w:tabs>
        <w:ind w:firstLine="492"/>
        <w:rPr>
          <w:rFonts w:ascii="宋体" w:hAnsi="宋体"/>
          <w:color w:val="auto"/>
          <w:szCs w:val="24"/>
          <w:highlight w:val="none"/>
        </w:rPr>
      </w:pPr>
      <w:r>
        <w:rPr>
          <w:rFonts w:hint="eastAsia" w:ascii="宋体" w:hAnsi="宋体"/>
          <w:color w:val="auto"/>
          <w:szCs w:val="24"/>
          <w:highlight w:val="none"/>
        </w:rPr>
        <w:t>以骑缝章的形式代替投标文件内容逐页盖章的；</w:t>
      </w:r>
    </w:p>
    <w:p>
      <w:pPr>
        <w:numPr>
          <w:ilvl w:val="0"/>
          <w:numId w:val="46"/>
        </w:numPr>
        <w:tabs>
          <w:tab w:val="left" w:pos="851"/>
        </w:tabs>
        <w:ind w:firstLine="492"/>
        <w:rPr>
          <w:rFonts w:ascii="宋体" w:hAnsi="宋体"/>
          <w:color w:val="auto"/>
          <w:szCs w:val="24"/>
          <w:highlight w:val="none"/>
        </w:rPr>
      </w:pPr>
      <w:r>
        <w:rPr>
          <w:rFonts w:hint="eastAsia" w:ascii="宋体" w:hAnsi="宋体"/>
          <w:color w:val="auto"/>
          <w:szCs w:val="24"/>
          <w:highlight w:val="none"/>
        </w:rPr>
        <w:t>其他不影响采购项目实质性要求的情形。</w:t>
      </w:r>
    </w:p>
    <w:p>
      <w:pPr>
        <w:pStyle w:val="5"/>
        <w:ind w:left="322" w:leftChars="0" w:firstLine="494" w:firstLineChars="0"/>
        <w:rPr>
          <w:color w:val="auto"/>
          <w:szCs w:val="24"/>
          <w:highlight w:val="none"/>
        </w:rPr>
      </w:pPr>
      <w:bookmarkStart w:id="316" w:name="_Toc2932"/>
      <w:r>
        <w:rPr>
          <w:rFonts w:hint="eastAsia"/>
          <w:color w:val="auto"/>
          <w:szCs w:val="24"/>
          <w:highlight w:val="none"/>
        </w:rPr>
        <w:t>解释、澄清有关问题</w:t>
      </w:r>
      <w:bookmarkEnd w:id="316"/>
    </w:p>
    <w:p>
      <w:pPr>
        <w:numPr>
          <w:ilvl w:val="0"/>
          <w:numId w:val="47"/>
        </w:numPr>
        <w:tabs>
          <w:tab w:val="left" w:pos="1134"/>
        </w:tabs>
        <w:ind w:firstLine="492"/>
        <w:rPr>
          <w:rFonts w:ascii="宋体" w:hAnsi="宋体"/>
          <w:color w:val="auto"/>
          <w:szCs w:val="24"/>
          <w:highlight w:val="none"/>
        </w:rPr>
      </w:pPr>
      <w:r>
        <w:rPr>
          <w:rFonts w:hint="eastAsia" w:ascii="宋体" w:hAnsi="宋体"/>
          <w:color w:val="auto"/>
          <w:szCs w:val="24"/>
          <w:highlight w:val="none"/>
        </w:rPr>
        <w:t>评标过程中，供应商投标文件实质性符合招标文件要求的前提下，评标委员会对投标文件中含义不明确、同类问题表述不一致或者有明显文字和计算错误的内容，评标委员会可以书面形式（须由评标委员会全体成员签字）要求投标人作出必要的澄清、说明或者纠正，并给予投标人必要的反馈时间。</w:t>
      </w:r>
    </w:p>
    <w:p>
      <w:pPr>
        <w:numPr>
          <w:ilvl w:val="0"/>
          <w:numId w:val="47"/>
        </w:numPr>
        <w:tabs>
          <w:tab w:val="left" w:pos="1134"/>
        </w:tabs>
        <w:ind w:firstLine="492"/>
        <w:rPr>
          <w:rFonts w:ascii="宋体" w:hAnsi="宋体"/>
          <w:color w:val="auto"/>
          <w:szCs w:val="24"/>
          <w:highlight w:val="none"/>
        </w:rPr>
      </w:pPr>
      <w:r>
        <w:rPr>
          <w:rFonts w:hint="eastAsia" w:ascii="宋体" w:hAnsi="宋体"/>
          <w:color w:val="auto"/>
          <w:szCs w:val="24"/>
          <w:highlight w:val="none"/>
        </w:rPr>
        <w:t>供应商应当书面澄清、说明或者更正，并加盖单位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更正材料，是投标文件的组成部分。</w:t>
      </w:r>
    </w:p>
    <w:p>
      <w:pPr>
        <w:numPr>
          <w:ilvl w:val="0"/>
          <w:numId w:val="47"/>
        </w:numPr>
        <w:tabs>
          <w:tab w:val="left" w:pos="1134"/>
        </w:tabs>
        <w:ind w:firstLine="492"/>
        <w:rPr>
          <w:rFonts w:ascii="宋体" w:hAnsi="宋体"/>
          <w:color w:val="auto"/>
          <w:szCs w:val="24"/>
          <w:highlight w:val="none"/>
        </w:rPr>
      </w:pPr>
      <w:r>
        <w:rPr>
          <w:rFonts w:hint="eastAsia" w:ascii="宋体" w:hAnsi="宋体"/>
          <w:color w:val="auto"/>
          <w:szCs w:val="24"/>
          <w:highlight w:val="none"/>
        </w:rPr>
        <w:t>评标委员会要求供应商澄清、说明或更正，不得超出招标文件的范围，不得以此让供应商实质改变投标文件的内容，不得影响供应商公平竞争，本项目下列内容不得澄清：</w:t>
      </w:r>
    </w:p>
    <w:p>
      <w:pPr>
        <w:spacing w:line="400" w:lineRule="exact"/>
        <w:ind w:firstLine="492"/>
        <w:rPr>
          <w:rFonts w:ascii="宋体"/>
          <w:color w:val="auto"/>
          <w:highlight w:val="none"/>
        </w:rPr>
      </w:pPr>
      <w:r>
        <w:rPr>
          <w:rFonts w:hint="eastAsia" w:ascii="宋体"/>
          <w:color w:val="auto"/>
          <w:highlight w:val="none"/>
        </w:rPr>
        <w:t>（一）按财政部规定应当在评标时不予承认的投标文件内容事项；</w:t>
      </w:r>
    </w:p>
    <w:p>
      <w:pPr>
        <w:spacing w:line="400" w:lineRule="exact"/>
        <w:ind w:firstLine="492"/>
        <w:rPr>
          <w:rFonts w:ascii="宋体"/>
          <w:color w:val="auto"/>
          <w:highlight w:val="none"/>
        </w:rPr>
      </w:pPr>
      <w:r>
        <w:rPr>
          <w:rFonts w:hint="eastAsia" w:ascii="宋体"/>
          <w:color w:val="auto"/>
          <w:highlight w:val="none"/>
        </w:rPr>
        <w:t>（二）投标文件中已经明确的内容事项；</w:t>
      </w:r>
    </w:p>
    <w:p>
      <w:pPr>
        <w:spacing w:line="400" w:lineRule="exact"/>
        <w:ind w:firstLine="492"/>
        <w:rPr>
          <w:rFonts w:ascii="宋体" w:hAnsi="宋体"/>
          <w:color w:val="auto"/>
          <w:szCs w:val="24"/>
          <w:highlight w:val="none"/>
        </w:rPr>
      </w:pPr>
      <w:r>
        <w:rPr>
          <w:rFonts w:hint="eastAsia" w:ascii="宋体"/>
          <w:color w:val="auto"/>
          <w:highlight w:val="none"/>
        </w:rPr>
        <w:t>（三）投标文件未提供的材料。</w:t>
      </w:r>
    </w:p>
    <w:p>
      <w:pPr>
        <w:numPr>
          <w:ilvl w:val="0"/>
          <w:numId w:val="47"/>
        </w:numPr>
        <w:tabs>
          <w:tab w:val="left" w:pos="1134"/>
        </w:tabs>
        <w:ind w:firstLine="492"/>
        <w:rPr>
          <w:rFonts w:ascii="宋体" w:hAnsi="宋体"/>
          <w:color w:val="auto"/>
          <w:szCs w:val="24"/>
          <w:highlight w:val="none"/>
        </w:rPr>
      </w:pPr>
      <w:r>
        <w:rPr>
          <w:rFonts w:hint="eastAsia" w:ascii="宋体" w:hAnsi="宋体"/>
          <w:color w:val="auto"/>
          <w:szCs w:val="24"/>
          <w:highlight w:val="none"/>
        </w:rPr>
        <w:t>投标文件出现下列情况的，不需要供应商澄清，按以下原则处理：</w:t>
      </w:r>
    </w:p>
    <w:p>
      <w:pPr>
        <w:numPr>
          <w:ilvl w:val="0"/>
          <w:numId w:val="48"/>
        </w:numPr>
        <w:tabs>
          <w:tab w:val="left" w:pos="1134"/>
        </w:tabs>
        <w:ind w:firstLineChars="0"/>
        <w:rPr>
          <w:rFonts w:ascii="宋体" w:hAnsi="宋体"/>
          <w:color w:val="auto"/>
          <w:szCs w:val="24"/>
          <w:highlight w:val="none"/>
        </w:rPr>
      </w:pPr>
      <w:r>
        <w:rPr>
          <w:rFonts w:hint="eastAsia" w:ascii="宋体" w:hAnsi="宋体"/>
          <w:color w:val="auto"/>
          <w:szCs w:val="24"/>
          <w:highlight w:val="none"/>
        </w:rPr>
        <w:t>投标文件中开标一览表（报价表）内容与投标文件中相应内容不一致的，以开标一览表（报价表）为准；</w:t>
      </w:r>
    </w:p>
    <w:p>
      <w:pPr>
        <w:numPr>
          <w:ilvl w:val="0"/>
          <w:numId w:val="48"/>
        </w:numPr>
        <w:tabs>
          <w:tab w:val="left" w:pos="1134"/>
        </w:tabs>
        <w:ind w:firstLineChars="0"/>
        <w:rPr>
          <w:rFonts w:ascii="宋体" w:hAnsi="宋体" w:cs="宋体"/>
          <w:color w:val="auto"/>
          <w:szCs w:val="24"/>
          <w:highlight w:val="none"/>
        </w:rPr>
      </w:pPr>
      <w:r>
        <w:rPr>
          <w:rFonts w:hint="eastAsia" w:ascii="宋体" w:hAnsi="宋体" w:cs="宋体"/>
          <w:color w:val="auto"/>
          <w:szCs w:val="24"/>
          <w:highlight w:val="none"/>
        </w:rPr>
        <w:t>大写金额和小写金额不一致的，以大写金额为准；</w:t>
      </w:r>
    </w:p>
    <w:p>
      <w:pPr>
        <w:numPr>
          <w:ilvl w:val="0"/>
          <w:numId w:val="48"/>
        </w:numPr>
        <w:tabs>
          <w:tab w:val="left" w:pos="1134"/>
        </w:tabs>
        <w:ind w:firstLineChars="0"/>
        <w:rPr>
          <w:rFonts w:ascii="宋体" w:hAnsi="宋体"/>
          <w:color w:val="auto"/>
          <w:szCs w:val="24"/>
          <w:highlight w:val="none"/>
        </w:rPr>
      </w:pPr>
      <w:r>
        <w:rPr>
          <w:rFonts w:hint="eastAsia" w:ascii="宋体" w:hAnsi="宋体"/>
          <w:color w:val="auto"/>
          <w:szCs w:val="24"/>
          <w:highlight w:val="none"/>
        </w:rPr>
        <w:t>单价金额小数点或者百分比有明显错位的，以开标一览表的总价为准，并修改单价；</w:t>
      </w:r>
    </w:p>
    <w:p>
      <w:pPr>
        <w:numPr>
          <w:ilvl w:val="0"/>
          <w:numId w:val="48"/>
        </w:numPr>
        <w:tabs>
          <w:tab w:val="left" w:pos="1134"/>
        </w:tabs>
        <w:ind w:firstLineChars="0"/>
        <w:rPr>
          <w:rFonts w:ascii="宋体" w:hAnsi="宋体" w:cs="宋体"/>
          <w:color w:val="auto"/>
          <w:szCs w:val="24"/>
          <w:highlight w:val="none"/>
        </w:rPr>
      </w:pPr>
      <w:r>
        <w:rPr>
          <w:rFonts w:hint="eastAsia" w:ascii="宋体" w:hAnsi="宋体" w:cs="宋体"/>
          <w:color w:val="auto"/>
          <w:szCs w:val="24"/>
          <w:highlight w:val="none"/>
        </w:rPr>
        <w:t>总价金额与按单价汇总金额不一致的，以单价汇总金额计算结果为准；</w:t>
      </w:r>
    </w:p>
    <w:p>
      <w:pPr>
        <w:pStyle w:val="102"/>
        <w:tabs>
          <w:tab w:val="left" w:pos="1050"/>
        </w:tabs>
        <w:ind w:firstLine="492"/>
        <w:rPr>
          <w:rFonts w:ascii="宋体" w:hAnsi="宋体"/>
          <w:color w:val="auto"/>
          <w:szCs w:val="24"/>
          <w:highlight w:val="none"/>
        </w:rPr>
      </w:pPr>
      <w:r>
        <w:rPr>
          <w:rFonts w:hint="eastAsia" w:ascii="宋体" w:hAnsi="宋体"/>
          <w:color w:val="auto"/>
          <w:szCs w:val="24"/>
          <w:highlight w:val="none"/>
        </w:rPr>
        <w:t>同时出现两种以上不一致的，按照前款规定的顺序修正。修正后的报价经投标人确认后产生约束力，投标人不确认的，其投标无效。</w:t>
      </w:r>
    </w:p>
    <w:p>
      <w:pPr>
        <w:ind w:firstLine="492"/>
        <w:rPr>
          <w:rFonts w:ascii="宋体" w:hAnsi="宋体"/>
          <w:color w:val="auto"/>
          <w:szCs w:val="24"/>
          <w:highlight w:val="none"/>
        </w:rPr>
      </w:pPr>
      <w:r>
        <w:rPr>
          <w:rFonts w:hint="eastAsia" w:ascii="宋体" w:hAnsi="宋体"/>
          <w:color w:val="auto"/>
          <w:szCs w:val="24"/>
          <w:highlight w:val="none"/>
        </w:rPr>
        <w:t>出现本条第（四）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ind w:firstLine="494"/>
        <w:rPr>
          <w:color w:val="auto"/>
          <w:szCs w:val="24"/>
          <w:highlight w:val="none"/>
        </w:rPr>
      </w:pPr>
      <w:r>
        <w:rPr>
          <w:rFonts w:hint="eastAsia" w:ascii="宋体"/>
          <w:b/>
          <w:color w:val="auto"/>
          <w:szCs w:val="24"/>
          <w:highlight w:val="none"/>
        </w:rPr>
        <w:t>注：评标委员会当积极履行澄清、说明或者更正的职责，不得滥用权力。供应商的投标文件可以要求澄清、说明或者更正的，不得未经澄清、说明或者更正而直接作无效投标处理。</w:t>
      </w:r>
    </w:p>
    <w:p>
      <w:pPr>
        <w:pStyle w:val="5"/>
        <w:ind w:left="322" w:leftChars="0" w:firstLine="494" w:firstLineChars="0"/>
        <w:rPr>
          <w:color w:val="auto"/>
          <w:szCs w:val="24"/>
          <w:highlight w:val="none"/>
        </w:rPr>
      </w:pPr>
      <w:bookmarkStart w:id="317" w:name="_Toc315871647"/>
      <w:bookmarkStart w:id="318" w:name="_Toc316292253"/>
      <w:bookmarkStart w:id="319" w:name="_Toc32133"/>
      <w:r>
        <w:rPr>
          <w:rFonts w:hint="eastAsia"/>
          <w:color w:val="auto"/>
          <w:szCs w:val="24"/>
          <w:highlight w:val="none"/>
        </w:rPr>
        <w:t>比较与评价</w:t>
      </w:r>
      <w:bookmarkEnd w:id="317"/>
      <w:bookmarkEnd w:id="318"/>
      <w:bookmarkEnd w:id="319"/>
    </w:p>
    <w:p>
      <w:pPr>
        <w:tabs>
          <w:tab w:val="left" w:pos="851"/>
        </w:tabs>
        <w:ind w:firstLine="492"/>
        <w:rPr>
          <w:rFonts w:ascii="宋体" w:hAnsi="宋体"/>
          <w:color w:val="auto"/>
          <w:szCs w:val="24"/>
          <w:highlight w:val="none"/>
        </w:rPr>
      </w:pPr>
      <w:r>
        <w:rPr>
          <w:rFonts w:hint="eastAsia" w:ascii="宋体" w:hAnsi="宋体"/>
          <w:color w:val="auto"/>
          <w:szCs w:val="24"/>
          <w:highlight w:val="none"/>
        </w:rPr>
        <w:t>按招标文件中规定的评标细则及标准，对资格性检查和符合性检查合格的投标文件进行商务和技术评估，综合比较与评价。</w:t>
      </w:r>
    </w:p>
    <w:p>
      <w:pPr>
        <w:pStyle w:val="5"/>
        <w:ind w:left="322" w:leftChars="0" w:firstLine="494" w:firstLineChars="0"/>
        <w:rPr>
          <w:color w:val="auto"/>
          <w:szCs w:val="24"/>
          <w:highlight w:val="none"/>
        </w:rPr>
      </w:pPr>
      <w:bookmarkStart w:id="320" w:name="_Toc18740"/>
      <w:bookmarkStart w:id="321" w:name="_Toc316292254"/>
      <w:bookmarkStart w:id="322" w:name="_Toc315871648"/>
      <w:r>
        <w:rPr>
          <w:rFonts w:hint="eastAsia"/>
          <w:color w:val="auto"/>
          <w:szCs w:val="24"/>
          <w:highlight w:val="none"/>
        </w:rPr>
        <w:t>复核</w:t>
      </w:r>
      <w:bookmarkEnd w:id="320"/>
    </w:p>
    <w:p>
      <w:pPr>
        <w:tabs>
          <w:tab w:val="left" w:pos="851"/>
        </w:tabs>
        <w:ind w:firstLine="492"/>
        <w:rPr>
          <w:rFonts w:ascii="宋体" w:hAnsi="宋体"/>
          <w:color w:val="auto"/>
          <w:szCs w:val="24"/>
          <w:highlight w:val="none"/>
        </w:rPr>
      </w:pPr>
      <w:r>
        <w:rPr>
          <w:rFonts w:hint="eastAsia" w:ascii="宋体" w:hAnsi="宋体"/>
          <w:color w:val="auto"/>
          <w:szCs w:val="24"/>
          <w:highlight w:val="none"/>
        </w:rPr>
        <w:t>评分汇总结束后，评标委员会应当进行复核，特别要对拟推荐为中标候选供应商的、报价最低的、投标文件被认定为无效的进行重点复核。</w:t>
      </w:r>
    </w:p>
    <w:p>
      <w:pPr>
        <w:pStyle w:val="5"/>
        <w:ind w:left="322" w:leftChars="0" w:firstLine="494" w:firstLineChars="0"/>
        <w:rPr>
          <w:color w:val="auto"/>
          <w:szCs w:val="24"/>
          <w:highlight w:val="none"/>
        </w:rPr>
      </w:pPr>
      <w:bookmarkStart w:id="323" w:name="_Toc24884"/>
      <w:r>
        <w:rPr>
          <w:rFonts w:hint="eastAsia"/>
          <w:color w:val="auto"/>
          <w:szCs w:val="24"/>
          <w:highlight w:val="none"/>
        </w:rPr>
        <w:t>推荐中标候选</w:t>
      </w:r>
      <w:bookmarkEnd w:id="321"/>
      <w:bookmarkEnd w:id="322"/>
      <w:r>
        <w:rPr>
          <w:rFonts w:hint="eastAsia"/>
          <w:color w:val="auto"/>
          <w:szCs w:val="24"/>
          <w:highlight w:val="none"/>
        </w:rPr>
        <w:t>人名单</w:t>
      </w:r>
      <w:bookmarkEnd w:id="323"/>
    </w:p>
    <w:p>
      <w:pPr>
        <w:ind w:firstLine="492"/>
        <w:rPr>
          <w:rFonts w:ascii="宋体"/>
          <w:color w:val="auto"/>
          <w:szCs w:val="24"/>
          <w:highlight w:val="none"/>
        </w:rPr>
      </w:pPr>
      <w:r>
        <w:rPr>
          <w:rFonts w:hint="eastAsia" w:ascii="宋体" w:hAnsi="宋体"/>
          <w:color w:val="auto"/>
          <w:szCs w:val="24"/>
          <w:highlight w:val="none"/>
        </w:rPr>
        <w:t>按投标人综合得分从高到低进行排序，各包推荐1-3名中标候选人。综合得分相同的，按投标报价由低到高顺序排列；得分且投标报价相同的，按技术指标优劣顺序排列；得分、报价相同且技术指标也相当的，由采购人自主采取公平、择优的方式选择中标供应商。</w:t>
      </w:r>
    </w:p>
    <w:p>
      <w:pPr>
        <w:pStyle w:val="5"/>
        <w:ind w:left="322" w:leftChars="0" w:firstLine="494" w:firstLineChars="0"/>
        <w:rPr>
          <w:color w:val="auto"/>
          <w:szCs w:val="24"/>
          <w:highlight w:val="none"/>
        </w:rPr>
      </w:pPr>
      <w:bookmarkStart w:id="324" w:name="_Toc315871649"/>
      <w:bookmarkEnd w:id="324"/>
      <w:bookmarkStart w:id="325" w:name="_Toc315871651"/>
      <w:bookmarkEnd w:id="325"/>
      <w:bookmarkStart w:id="326" w:name="_Toc315871650"/>
      <w:bookmarkEnd w:id="326"/>
      <w:bookmarkStart w:id="327" w:name="_Toc315871652"/>
      <w:bookmarkEnd w:id="327"/>
      <w:bookmarkStart w:id="328" w:name="_Toc316292255"/>
      <w:bookmarkStart w:id="329" w:name="_Toc17912"/>
      <w:bookmarkStart w:id="330" w:name="_Toc315871653"/>
      <w:r>
        <w:rPr>
          <w:rFonts w:hint="eastAsia"/>
          <w:color w:val="auto"/>
          <w:szCs w:val="24"/>
          <w:highlight w:val="none"/>
        </w:rPr>
        <w:t>编写评标报告</w:t>
      </w:r>
      <w:bookmarkEnd w:id="328"/>
      <w:bookmarkEnd w:id="329"/>
      <w:bookmarkEnd w:id="330"/>
    </w:p>
    <w:p>
      <w:pPr>
        <w:ind w:firstLine="492"/>
        <w:rPr>
          <w:rFonts w:ascii="宋体" w:hAnsi="宋体"/>
          <w:color w:val="auto"/>
          <w:szCs w:val="24"/>
          <w:highlight w:val="none"/>
        </w:rPr>
      </w:pPr>
      <w:r>
        <w:rPr>
          <w:rFonts w:hint="eastAsia" w:ascii="宋体" w:hAnsi="宋体"/>
          <w:color w:val="auto"/>
          <w:szCs w:val="24"/>
          <w:highlight w:val="none"/>
        </w:rPr>
        <w:t>评标报告是评标委员会根据全体评标成员签字的原始评标记录和评标结果编写的报告，其主要内容包括：</w:t>
      </w:r>
    </w:p>
    <w:p>
      <w:pPr>
        <w:numPr>
          <w:ilvl w:val="0"/>
          <w:numId w:val="49"/>
        </w:numPr>
        <w:tabs>
          <w:tab w:val="left" w:pos="1155"/>
        </w:tabs>
        <w:ind w:firstLine="492"/>
        <w:rPr>
          <w:rFonts w:ascii="宋体" w:hAnsi="宋体"/>
          <w:color w:val="auto"/>
          <w:szCs w:val="24"/>
          <w:highlight w:val="none"/>
        </w:rPr>
      </w:pPr>
      <w:r>
        <w:rPr>
          <w:rFonts w:hint="eastAsia" w:ascii="宋体" w:hAnsi="宋体"/>
          <w:color w:val="auto"/>
          <w:szCs w:val="24"/>
          <w:highlight w:val="none"/>
        </w:rPr>
        <w:t>招标公告刊登的媒体名称、开标日期和地点；</w:t>
      </w:r>
    </w:p>
    <w:p>
      <w:pPr>
        <w:numPr>
          <w:ilvl w:val="0"/>
          <w:numId w:val="49"/>
        </w:numPr>
        <w:tabs>
          <w:tab w:val="left" w:pos="1155"/>
        </w:tabs>
        <w:ind w:firstLine="492"/>
        <w:rPr>
          <w:rFonts w:ascii="宋体" w:hAnsi="宋体"/>
          <w:color w:val="auto"/>
          <w:szCs w:val="24"/>
          <w:highlight w:val="none"/>
        </w:rPr>
      </w:pPr>
      <w:r>
        <w:rPr>
          <w:rFonts w:hint="eastAsia" w:ascii="宋体" w:hAnsi="宋体"/>
          <w:color w:val="auto"/>
          <w:szCs w:val="24"/>
          <w:highlight w:val="none"/>
        </w:rPr>
        <w:t>投标人名单和评标委员会成员名单；</w:t>
      </w:r>
    </w:p>
    <w:p>
      <w:pPr>
        <w:numPr>
          <w:ilvl w:val="0"/>
          <w:numId w:val="49"/>
        </w:numPr>
        <w:ind w:firstLine="492"/>
        <w:rPr>
          <w:color w:val="auto"/>
          <w:highlight w:val="none"/>
        </w:rPr>
      </w:pPr>
      <w:r>
        <w:rPr>
          <w:rFonts w:hint="eastAsia"/>
          <w:color w:val="auto"/>
          <w:highlight w:val="none"/>
        </w:rPr>
        <w:t>评标方法和标准；</w:t>
      </w:r>
    </w:p>
    <w:p>
      <w:pPr>
        <w:numPr>
          <w:ilvl w:val="0"/>
          <w:numId w:val="49"/>
        </w:numPr>
        <w:tabs>
          <w:tab w:val="left" w:pos="1155"/>
        </w:tabs>
        <w:ind w:firstLine="492"/>
        <w:rPr>
          <w:rFonts w:ascii="宋体" w:hAnsi="宋体"/>
          <w:color w:val="auto"/>
          <w:szCs w:val="24"/>
          <w:highlight w:val="none"/>
        </w:rPr>
      </w:pPr>
      <w:r>
        <w:rPr>
          <w:rFonts w:hint="eastAsia" w:ascii="宋体" w:hAnsi="宋体"/>
          <w:color w:val="auto"/>
          <w:szCs w:val="24"/>
          <w:highlight w:val="none"/>
        </w:rPr>
        <w:t>开标记录和评标情况及说明，包括投标无效投标人名单及原因；</w:t>
      </w:r>
    </w:p>
    <w:p>
      <w:pPr>
        <w:numPr>
          <w:ilvl w:val="0"/>
          <w:numId w:val="49"/>
        </w:numPr>
        <w:tabs>
          <w:tab w:val="left" w:pos="1155"/>
        </w:tabs>
        <w:ind w:firstLine="492"/>
        <w:rPr>
          <w:color w:val="auto"/>
          <w:highlight w:val="none"/>
        </w:rPr>
      </w:pPr>
      <w:r>
        <w:rPr>
          <w:rFonts w:hint="eastAsia" w:ascii="宋体" w:hAnsi="宋体"/>
          <w:color w:val="auto"/>
          <w:szCs w:val="24"/>
          <w:highlight w:val="none"/>
        </w:rPr>
        <w:t>评标结果，确定的中标候选人名单或者经采购人委托直接确定的中标人；</w:t>
      </w:r>
    </w:p>
    <w:p>
      <w:pPr>
        <w:numPr>
          <w:ilvl w:val="0"/>
          <w:numId w:val="49"/>
        </w:numPr>
        <w:tabs>
          <w:tab w:val="left" w:pos="1155"/>
        </w:tabs>
        <w:ind w:firstLine="492"/>
        <w:rPr>
          <w:rFonts w:ascii="宋体" w:hAnsi="宋体"/>
          <w:color w:val="auto"/>
          <w:szCs w:val="24"/>
          <w:highlight w:val="none"/>
        </w:rPr>
      </w:pPr>
      <w:r>
        <w:rPr>
          <w:rFonts w:hint="eastAsia" w:ascii="宋体" w:hAnsi="宋体"/>
          <w:color w:val="auto"/>
          <w:szCs w:val="24"/>
          <w:highlight w:val="none"/>
        </w:rPr>
        <w:t>其他需要说明的情况，包括评标过程中投标人根据评标委员会要求进行的澄清、说明或者补正，评标委员会成员的更换等。</w:t>
      </w:r>
    </w:p>
    <w:p>
      <w:pPr>
        <w:tabs>
          <w:tab w:val="left" w:pos="1155"/>
        </w:tabs>
        <w:ind w:firstLine="492"/>
        <w:rPr>
          <w:rFonts w:ascii="宋体" w:hAnsi="宋体"/>
          <w:color w:val="auto"/>
          <w:szCs w:val="24"/>
          <w:highlight w:val="none"/>
        </w:rPr>
      </w:pPr>
      <w:r>
        <w:rPr>
          <w:rFonts w:hint="eastAsia" w:ascii="宋体" w:hAnsi="宋体"/>
          <w:color w:val="auto"/>
          <w:szCs w:val="24"/>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4"/>
        <w:rPr>
          <w:color w:val="auto"/>
          <w:highlight w:val="none"/>
        </w:rPr>
      </w:pPr>
      <w:bookmarkStart w:id="331" w:name="_Toc7182"/>
      <w:bookmarkStart w:id="332" w:name="_Toc3921"/>
      <w:bookmarkStart w:id="333" w:name="_Toc30609"/>
      <w:bookmarkStart w:id="334" w:name="_Toc12616"/>
      <w:bookmarkStart w:id="335" w:name="_Toc315871654"/>
      <w:bookmarkStart w:id="336" w:name="_Toc217446103"/>
      <w:bookmarkStart w:id="337" w:name="_Toc316292256"/>
      <w:r>
        <w:rPr>
          <w:rFonts w:hint="eastAsia"/>
          <w:color w:val="auto"/>
          <w:highlight w:val="none"/>
        </w:rPr>
        <w:t>评标争议处理规则</w:t>
      </w:r>
      <w:bookmarkEnd w:id="331"/>
      <w:bookmarkEnd w:id="332"/>
      <w:bookmarkEnd w:id="333"/>
      <w:bookmarkEnd w:id="334"/>
    </w:p>
    <w:p>
      <w:pPr>
        <w:tabs>
          <w:tab w:val="left" w:pos="1155"/>
        </w:tabs>
        <w:ind w:firstLine="492"/>
        <w:rPr>
          <w:rFonts w:ascii="宋体" w:hAnsi="宋体"/>
          <w:color w:val="auto"/>
          <w:szCs w:val="24"/>
          <w:highlight w:val="none"/>
        </w:rPr>
      </w:pPr>
      <w:r>
        <w:rPr>
          <w:rFonts w:hint="eastAsia" w:ascii="宋体" w:hAnsi="宋体"/>
          <w:color w:val="auto"/>
          <w:szCs w:val="24"/>
          <w:highlight w:val="none"/>
        </w:rPr>
        <w:t>评标委员会在评审过程中，对于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pStyle w:val="4"/>
        <w:rPr>
          <w:color w:val="auto"/>
          <w:highlight w:val="none"/>
        </w:rPr>
      </w:pPr>
      <w:bookmarkStart w:id="338" w:name="_Toc10580"/>
      <w:bookmarkStart w:id="339" w:name="_Toc20618"/>
      <w:bookmarkStart w:id="340" w:name="_Toc26373"/>
      <w:bookmarkStart w:id="341" w:name="_Toc25043"/>
      <w:r>
        <w:rPr>
          <w:rFonts w:hint="eastAsia"/>
          <w:color w:val="auto"/>
          <w:highlight w:val="none"/>
        </w:rPr>
        <w:t>招标采购单位现场复核评标结果</w:t>
      </w:r>
      <w:bookmarkEnd w:id="338"/>
      <w:bookmarkEnd w:id="339"/>
      <w:bookmarkEnd w:id="340"/>
      <w:bookmarkEnd w:id="341"/>
    </w:p>
    <w:p>
      <w:pPr>
        <w:pStyle w:val="152"/>
        <w:numPr>
          <w:ilvl w:val="0"/>
          <w:numId w:val="50"/>
        </w:numPr>
        <w:spacing w:line="360" w:lineRule="auto"/>
        <w:ind w:firstLine="490" w:firstLineChars="200"/>
        <w:rPr>
          <w:rFonts w:cs="Times New Roman"/>
          <w:color w:val="auto"/>
          <w:kern w:val="2"/>
          <w:highlight w:val="none"/>
        </w:rPr>
      </w:pPr>
      <w:r>
        <w:rPr>
          <w:rFonts w:hint="eastAsia" w:cs="Times New Roman"/>
          <w:color w:val="auto"/>
          <w:kern w:val="2"/>
          <w:highlight w:val="none"/>
        </w:rPr>
        <w:t>评标结果汇总完成后，评标委员会拟出具评标报告前，采购组织单位应当组织2名以上的本单位工作人员，在采购现场监督人员的监督之下，依据有关的法律制度和采购文件对评标结果进行复核，出具复核报告。存在下列情形之一的，采购组织单位应当根据情况书面建议评标委员会现场修改评标结果或者重新评标：</w:t>
      </w:r>
    </w:p>
    <w:p>
      <w:pPr>
        <w:pStyle w:val="152"/>
        <w:spacing w:line="360" w:lineRule="auto"/>
        <w:ind w:firstLine="490" w:firstLineChars="200"/>
        <w:rPr>
          <w:rFonts w:cs="Times New Roman"/>
          <w:color w:val="auto"/>
          <w:kern w:val="2"/>
          <w:highlight w:val="none"/>
        </w:rPr>
      </w:pPr>
      <w:r>
        <w:rPr>
          <w:rFonts w:hint="eastAsia" w:cs="Times New Roman"/>
          <w:color w:val="auto"/>
          <w:kern w:val="2"/>
          <w:highlight w:val="none"/>
        </w:rPr>
        <w:t>（一）分值汇总计算错误的；</w:t>
      </w:r>
    </w:p>
    <w:p>
      <w:pPr>
        <w:pStyle w:val="152"/>
        <w:spacing w:line="360" w:lineRule="auto"/>
        <w:ind w:firstLine="490" w:firstLineChars="200"/>
        <w:rPr>
          <w:rFonts w:cs="Times New Roman"/>
          <w:color w:val="auto"/>
          <w:kern w:val="2"/>
          <w:highlight w:val="none"/>
        </w:rPr>
      </w:pPr>
      <w:r>
        <w:rPr>
          <w:rFonts w:hint="eastAsia" w:cs="Times New Roman"/>
          <w:color w:val="auto"/>
          <w:kern w:val="2"/>
          <w:highlight w:val="none"/>
        </w:rPr>
        <w:t>（二）分项评分超出评分标准范围的；</w:t>
      </w:r>
    </w:p>
    <w:p>
      <w:pPr>
        <w:pStyle w:val="152"/>
        <w:spacing w:line="360" w:lineRule="auto"/>
        <w:ind w:firstLine="490" w:firstLineChars="200"/>
        <w:rPr>
          <w:rFonts w:cs="Times New Roman"/>
          <w:color w:val="auto"/>
          <w:kern w:val="2"/>
          <w:highlight w:val="none"/>
        </w:rPr>
      </w:pPr>
      <w:r>
        <w:rPr>
          <w:rFonts w:hint="eastAsia" w:cs="Times New Roman"/>
          <w:color w:val="auto"/>
          <w:kern w:val="2"/>
          <w:highlight w:val="none"/>
        </w:rPr>
        <w:t>（三）客观评分不一致的。</w:t>
      </w:r>
    </w:p>
    <w:p>
      <w:pPr>
        <w:pStyle w:val="152"/>
        <w:spacing w:line="360" w:lineRule="auto"/>
        <w:ind w:firstLine="490" w:firstLineChars="200"/>
        <w:rPr>
          <w:rFonts w:cs="Times New Roman"/>
          <w:color w:val="auto"/>
          <w:kern w:val="2"/>
          <w:highlight w:val="none"/>
        </w:rPr>
      </w:pPr>
      <w:r>
        <w:rPr>
          <w:rFonts w:hint="eastAsia" w:cs="Times New Roman"/>
          <w:color w:val="auto"/>
          <w:kern w:val="2"/>
          <w:highlight w:val="none"/>
        </w:rPr>
        <w:t>存在本条上述规定情形的，由评标委员会自主决定是否采纳采购组织单位的书面建议，并承担独立评审责任。评标委员会采纳采购组织单位书面建议的，应当按照规定现场修改评标结果或者重新评标，并在评标报告中详细记载有关事宜；不采纳采购组织单位书面建议的，应当书面说明理由。采购组织单位书面建议未被评标委员会采纳的，应当按照规定程序要求继续组织实施采购活动，不得擅自中止采购活动。采购组织单位认为评标委员会评标结果不合法的，应当书面报告采购项目同级财政部门依法处理。</w:t>
      </w:r>
    </w:p>
    <w:p>
      <w:pPr>
        <w:pStyle w:val="152"/>
        <w:numPr>
          <w:ilvl w:val="0"/>
          <w:numId w:val="50"/>
        </w:numPr>
        <w:spacing w:line="360" w:lineRule="auto"/>
        <w:ind w:firstLine="490" w:firstLineChars="200"/>
        <w:rPr>
          <w:rFonts w:cs="Times New Roman"/>
          <w:color w:val="auto"/>
          <w:kern w:val="2"/>
          <w:highlight w:val="none"/>
        </w:rPr>
      </w:pPr>
      <w:r>
        <w:rPr>
          <w:rFonts w:hint="eastAsia" w:cs="Times New Roman"/>
          <w:color w:val="auto"/>
          <w:kern w:val="2"/>
          <w:highlight w:val="none"/>
        </w:rPr>
        <w:t>有下列情形之一的，不得修改评标结果或者重新评标：</w:t>
      </w:r>
    </w:p>
    <w:p>
      <w:pPr>
        <w:pStyle w:val="152"/>
        <w:spacing w:line="360" w:lineRule="auto"/>
        <w:ind w:firstLine="490" w:firstLineChars="200"/>
        <w:rPr>
          <w:rFonts w:cs="Times New Roman"/>
          <w:color w:val="auto"/>
          <w:kern w:val="2"/>
          <w:highlight w:val="none"/>
        </w:rPr>
      </w:pPr>
      <w:r>
        <w:rPr>
          <w:rFonts w:hint="eastAsia" w:cs="Times New Roman"/>
          <w:color w:val="auto"/>
          <w:kern w:val="2"/>
          <w:highlight w:val="none"/>
        </w:rPr>
        <w:t>（一）评标委员会已经出具评标报告并且离开评标现场的；</w:t>
      </w:r>
    </w:p>
    <w:p>
      <w:pPr>
        <w:pStyle w:val="152"/>
        <w:spacing w:line="360" w:lineRule="auto"/>
        <w:ind w:firstLine="490" w:firstLineChars="200"/>
        <w:rPr>
          <w:rFonts w:cs="Times New Roman"/>
          <w:color w:val="auto"/>
          <w:kern w:val="2"/>
          <w:highlight w:val="none"/>
        </w:rPr>
      </w:pPr>
      <w:r>
        <w:rPr>
          <w:rFonts w:hint="eastAsia" w:cs="Times New Roman"/>
          <w:color w:val="auto"/>
          <w:kern w:val="2"/>
          <w:highlight w:val="none"/>
        </w:rPr>
        <w:t>（二）采购组织单位现场复核时，复核工作人员数量不足的；</w:t>
      </w:r>
    </w:p>
    <w:p>
      <w:pPr>
        <w:pStyle w:val="152"/>
        <w:spacing w:line="360" w:lineRule="auto"/>
        <w:ind w:firstLine="490" w:firstLineChars="200"/>
        <w:rPr>
          <w:rFonts w:cs="Times New Roman"/>
          <w:color w:val="auto"/>
          <w:kern w:val="2"/>
          <w:highlight w:val="none"/>
        </w:rPr>
      </w:pPr>
      <w:r>
        <w:rPr>
          <w:rFonts w:hint="eastAsia" w:cs="Times New Roman"/>
          <w:color w:val="auto"/>
          <w:kern w:val="2"/>
          <w:highlight w:val="none"/>
        </w:rPr>
        <w:t>（三）采购组织单位现场复核时，没有采购监督人员现场监督的；</w:t>
      </w:r>
    </w:p>
    <w:p>
      <w:pPr>
        <w:pStyle w:val="152"/>
        <w:spacing w:line="360" w:lineRule="auto"/>
        <w:ind w:firstLine="490" w:firstLineChars="200"/>
        <w:rPr>
          <w:rFonts w:cs="Times New Roman"/>
          <w:color w:val="auto"/>
          <w:kern w:val="2"/>
          <w:highlight w:val="none"/>
        </w:rPr>
      </w:pPr>
      <w:r>
        <w:rPr>
          <w:rFonts w:hint="eastAsia" w:cs="Times New Roman"/>
          <w:color w:val="auto"/>
          <w:kern w:val="2"/>
          <w:highlight w:val="none"/>
        </w:rPr>
        <w:t>（四）采购组织单位现场复核内容超出规定范围的；</w:t>
      </w:r>
    </w:p>
    <w:p>
      <w:pPr>
        <w:pStyle w:val="152"/>
        <w:spacing w:line="360" w:lineRule="auto"/>
        <w:ind w:firstLine="490" w:firstLineChars="200"/>
        <w:rPr>
          <w:color w:val="auto"/>
          <w:highlight w:val="none"/>
        </w:rPr>
      </w:pPr>
      <w:r>
        <w:rPr>
          <w:rFonts w:hint="eastAsia" w:cs="Times New Roman"/>
          <w:color w:val="auto"/>
          <w:kern w:val="2"/>
          <w:highlight w:val="none"/>
        </w:rPr>
        <w:t>（五）采购组织单位未提供书面建议的。</w:t>
      </w:r>
    </w:p>
    <w:p>
      <w:pPr>
        <w:pStyle w:val="4"/>
        <w:rPr>
          <w:color w:val="auto"/>
          <w:highlight w:val="none"/>
        </w:rPr>
      </w:pPr>
      <w:bookmarkStart w:id="342" w:name="_Toc29054"/>
      <w:bookmarkStart w:id="343" w:name="_Toc20341"/>
      <w:bookmarkStart w:id="344" w:name="_Toc21326"/>
      <w:bookmarkStart w:id="345" w:name="_Toc5128"/>
      <w:r>
        <w:rPr>
          <w:rFonts w:hint="eastAsia"/>
          <w:color w:val="auto"/>
          <w:highlight w:val="none"/>
        </w:rPr>
        <w:t>评标细则及标准</w:t>
      </w:r>
      <w:bookmarkEnd w:id="335"/>
      <w:bookmarkEnd w:id="336"/>
      <w:bookmarkEnd w:id="337"/>
      <w:bookmarkEnd w:id="342"/>
      <w:bookmarkEnd w:id="343"/>
      <w:bookmarkEnd w:id="344"/>
      <w:bookmarkEnd w:id="345"/>
    </w:p>
    <w:p>
      <w:pPr>
        <w:numPr>
          <w:ilvl w:val="0"/>
          <w:numId w:val="51"/>
        </w:numPr>
        <w:tabs>
          <w:tab w:val="left" w:pos="1155"/>
        </w:tabs>
        <w:ind w:left="0" w:firstLine="492"/>
        <w:rPr>
          <w:rFonts w:ascii="宋体" w:hAnsi="宋体"/>
          <w:color w:val="auto"/>
          <w:szCs w:val="24"/>
          <w:highlight w:val="none"/>
        </w:rPr>
      </w:pPr>
      <w:r>
        <w:rPr>
          <w:rFonts w:hint="eastAsia" w:ascii="宋体" w:hAnsi="宋体"/>
          <w:color w:val="auto"/>
          <w:szCs w:val="24"/>
          <w:highlight w:val="none"/>
        </w:rPr>
        <w:t>评标委员会只对通过初审的投标文件，根据招标文件的要求采用相同的评标程序、评分办法及标准进行评价和比较。</w:t>
      </w:r>
    </w:p>
    <w:p>
      <w:pPr>
        <w:numPr>
          <w:ilvl w:val="0"/>
          <w:numId w:val="51"/>
        </w:numPr>
        <w:tabs>
          <w:tab w:val="left" w:pos="1155"/>
        </w:tabs>
        <w:ind w:left="0" w:firstLine="492"/>
        <w:rPr>
          <w:rFonts w:ascii="宋体" w:hAnsi="宋体"/>
          <w:color w:val="auto"/>
          <w:szCs w:val="24"/>
          <w:highlight w:val="none"/>
        </w:rPr>
      </w:pPr>
      <w:r>
        <w:rPr>
          <w:rFonts w:hint="eastAsia" w:ascii="宋体" w:hAnsi="宋体"/>
          <w:color w:val="auto"/>
          <w:szCs w:val="24"/>
          <w:highlight w:val="none"/>
        </w:rPr>
        <w:t>本次综合评分的因素是：价格、技术、商务等。</w:t>
      </w:r>
    </w:p>
    <w:p>
      <w:pPr>
        <w:numPr>
          <w:ilvl w:val="0"/>
          <w:numId w:val="51"/>
        </w:numPr>
        <w:tabs>
          <w:tab w:val="left" w:pos="1155"/>
        </w:tabs>
        <w:ind w:left="0" w:firstLine="492"/>
        <w:rPr>
          <w:rFonts w:ascii="宋体" w:hAnsi="宋体"/>
          <w:color w:val="auto"/>
          <w:szCs w:val="24"/>
          <w:highlight w:val="none"/>
        </w:rPr>
      </w:pPr>
      <w:r>
        <w:rPr>
          <w:rFonts w:hint="eastAsia" w:ascii="宋体" w:hAnsi="宋体"/>
          <w:color w:val="auto"/>
          <w:szCs w:val="24"/>
          <w:highlight w:val="none"/>
        </w:rPr>
        <w:t>除价格因素外，评标委员会成员应依据招标文件规定的评分标准和方法独立对其他因素进行比较打分。</w:t>
      </w:r>
    </w:p>
    <w:p>
      <w:pPr>
        <w:pStyle w:val="5"/>
        <w:ind w:left="322" w:leftChars="0" w:firstLine="494" w:firstLineChars="0"/>
        <w:rPr>
          <w:color w:val="auto"/>
          <w:szCs w:val="24"/>
          <w:highlight w:val="none"/>
        </w:rPr>
      </w:pPr>
      <w:bookmarkStart w:id="346" w:name="_Toc218498587"/>
      <w:bookmarkStart w:id="347" w:name="_Toc22338"/>
      <w:bookmarkStart w:id="348" w:name="_Toc310176995"/>
      <w:bookmarkStart w:id="349" w:name="_Toc217102344"/>
      <w:r>
        <w:rPr>
          <w:rFonts w:hint="eastAsia"/>
          <w:color w:val="auto"/>
          <w:szCs w:val="24"/>
          <w:highlight w:val="none"/>
        </w:rPr>
        <w:t>评分办法</w:t>
      </w:r>
      <w:bookmarkEnd w:id="346"/>
      <w:bookmarkEnd w:id="347"/>
      <w:bookmarkEnd w:id="348"/>
      <w:bookmarkEnd w:id="349"/>
    </w:p>
    <w:p>
      <w:pPr>
        <w:ind w:firstLine="492"/>
        <w:rPr>
          <w:rFonts w:ascii="宋体" w:hAnsi="宋体"/>
          <w:color w:val="auto"/>
          <w:szCs w:val="24"/>
          <w:highlight w:val="none"/>
        </w:rPr>
      </w:pPr>
      <w:r>
        <w:rPr>
          <w:rFonts w:hint="eastAsia" w:ascii="宋体" w:hAnsi="宋体"/>
          <w:color w:val="auto"/>
          <w:szCs w:val="24"/>
          <w:highlight w:val="none"/>
        </w:rPr>
        <w:t xml:space="preserve">本次评标采用综合评分法，由评标委员会各成员独立对通过初审（资格检查和符合性检查）的投标人的投标文件进行评审和打分，    </w:t>
      </w:r>
    </w:p>
    <w:p>
      <w:pPr>
        <w:ind w:firstLine="492"/>
        <w:rPr>
          <w:rFonts w:ascii="宋体" w:hAnsi="宋体"/>
          <w:color w:val="auto"/>
          <w:szCs w:val="24"/>
          <w:highlight w:val="none"/>
        </w:rPr>
      </w:pPr>
      <w:r>
        <w:rPr>
          <w:rFonts w:hint="eastAsia" w:ascii="宋体" w:hAnsi="宋体"/>
          <w:color w:val="auto"/>
          <w:szCs w:val="24"/>
          <w:highlight w:val="none"/>
        </w:rPr>
        <w:t>评标得分＝（A</w:t>
      </w:r>
      <w:r>
        <w:rPr>
          <w:rFonts w:hint="eastAsia" w:ascii="宋体" w:hAnsi="宋体"/>
          <w:color w:val="auto"/>
          <w:szCs w:val="24"/>
          <w:highlight w:val="none"/>
          <w:vertAlign w:val="subscript"/>
        </w:rPr>
        <w:t>1</w:t>
      </w:r>
      <w:r>
        <w:rPr>
          <w:rFonts w:hint="eastAsia" w:ascii="宋体" w:hAnsi="宋体"/>
          <w:color w:val="auto"/>
          <w:szCs w:val="24"/>
          <w:highlight w:val="none"/>
        </w:rPr>
        <w:t>＋A</w:t>
      </w:r>
      <w:r>
        <w:rPr>
          <w:rFonts w:hint="eastAsia" w:ascii="宋体" w:hAnsi="宋体"/>
          <w:color w:val="auto"/>
          <w:szCs w:val="24"/>
          <w:highlight w:val="none"/>
          <w:vertAlign w:val="subscript"/>
        </w:rPr>
        <w:t>2</w:t>
      </w:r>
      <w:r>
        <w:rPr>
          <w:rFonts w:hint="eastAsia" w:ascii="宋体" w:hAnsi="宋体"/>
          <w:color w:val="auto"/>
          <w:szCs w:val="24"/>
          <w:highlight w:val="none"/>
        </w:rPr>
        <w:t>＋……＋A</w:t>
      </w:r>
      <w:r>
        <w:rPr>
          <w:rFonts w:hint="eastAsia" w:ascii="宋体" w:hAnsi="宋体"/>
          <w:color w:val="auto"/>
          <w:szCs w:val="24"/>
          <w:highlight w:val="none"/>
          <w:vertAlign w:val="subscript"/>
        </w:rPr>
        <w:t>n</w:t>
      </w:r>
      <w:r>
        <w:rPr>
          <w:rFonts w:hint="eastAsia" w:ascii="宋体" w:hAnsi="宋体"/>
          <w:color w:val="auto"/>
          <w:szCs w:val="24"/>
          <w:highlight w:val="none"/>
        </w:rPr>
        <w:t>）/n</w:t>
      </w:r>
      <w:r>
        <w:rPr>
          <w:rFonts w:hint="eastAsia" w:ascii="宋体" w:hAnsi="宋体"/>
          <w:color w:val="auto"/>
          <w:szCs w:val="24"/>
          <w:highlight w:val="none"/>
          <w:vertAlign w:val="subscript"/>
        </w:rPr>
        <w:t>1</w:t>
      </w:r>
      <w:r>
        <w:rPr>
          <w:rFonts w:hint="eastAsia" w:ascii="宋体" w:hAnsi="宋体"/>
          <w:color w:val="auto"/>
          <w:szCs w:val="24"/>
          <w:highlight w:val="none"/>
        </w:rPr>
        <w:t>+（B</w:t>
      </w:r>
      <w:r>
        <w:rPr>
          <w:rFonts w:hint="eastAsia" w:ascii="宋体" w:hAnsi="宋体"/>
          <w:color w:val="auto"/>
          <w:szCs w:val="24"/>
          <w:highlight w:val="none"/>
          <w:vertAlign w:val="subscript"/>
        </w:rPr>
        <w:t>1</w:t>
      </w:r>
      <w:r>
        <w:rPr>
          <w:rFonts w:hint="eastAsia" w:ascii="宋体" w:hAnsi="宋体"/>
          <w:color w:val="auto"/>
          <w:szCs w:val="24"/>
          <w:highlight w:val="none"/>
        </w:rPr>
        <w:t>＋B</w:t>
      </w:r>
      <w:r>
        <w:rPr>
          <w:rFonts w:hint="eastAsia" w:ascii="宋体" w:hAnsi="宋体"/>
          <w:color w:val="auto"/>
          <w:szCs w:val="24"/>
          <w:highlight w:val="none"/>
          <w:vertAlign w:val="subscript"/>
        </w:rPr>
        <w:t>2</w:t>
      </w:r>
      <w:r>
        <w:rPr>
          <w:rFonts w:hint="eastAsia" w:ascii="宋体" w:hAnsi="宋体"/>
          <w:color w:val="auto"/>
          <w:szCs w:val="24"/>
          <w:highlight w:val="none"/>
        </w:rPr>
        <w:t>＋……＋B</w:t>
      </w:r>
      <w:r>
        <w:rPr>
          <w:rFonts w:hint="eastAsia" w:ascii="宋体" w:hAnsi="宋体"/>
          <w:color w:val="auto"/>
          <w:szCs w:val="24"/>
          <w:highlight w:val="none"/>
          <w:vertAlign w:val="subscript"/>
        </w:rPr>
        <w:t>n</w:t>
      </w:r>
      <w:r>
        <w:rPr>
          <w:rFonts w:hint="eastAsia" w:ascii="宋体" w:hAnsi="宋体"/>
          <w:color w:val="auto"/>
          <w:szCs w:val="24"/>
          <w:highlight w:val="none"/>
        </w:rPr>
        <w:t>）/ n</w:t>
      </w:r>
      <w:r>
        <w:rPr>
          <w:rFonts w:hint="eastAsia" w:ascii="宋体" w:hAnsi="宋体"/>
          <w:color w:val="auto"/>
          <w:szCs w:val="24"/>
          <w:highlight w:val="none"/>
          <w:vertAlign w:val="subscript"/>
        </w:rPr>
        <w:t>2</w:t>
      </w:r>
      <w:r>
        <w:rPr>
          <w:rFonts w:hint="eastAsia" w:ascii="宋体" w:hAnsi="宋体"/>
          <w:color w:val="auto"/>
          <w:szCs w:val="24"/>
          <w:highlight w:val="none"/>
        </w:rPr>
        <w:t>+（C</w:t>
      </w:r>
      <w:r>
        <w:rPr>
          <w:rFonts w:hint="eastAsia" w:ascii="宋体" w:hAnsi="宋体"/>
          <w:color w:val="auto"/>
          <w:szCs w:val="24"/>
          <w:highlight w:val="none"/>
          <w:vertAlign w:val="subscript"/>
        </w:rPr>
        <w:t>1</w:t>
      </w:r>
      <w:r>
        <w:rPr>
          <w:rFonts w:hint="eastAsia" w:ascii="宋体" w:hAnsi="宋体"/>
          <w:color w:val="auto"/>
          <w:szCs w:val="24"/>
          <w:highlight w:val="none"/>
        </w:rPr>
        <w:t>＋C</w:t>
      </w:r>
      <w:r>
        <w:rPr>
          <w:rFonts w:hint="eastAsia" w:ascii="宋体" w:hAnsi="宋体"/>
          <w:color w:val="auto"/>
          <w:szCs w:val="24"/>
          <w:highlight w:val="none"/>
          <w:vertAlign w:val="subscript"/>
        </w:rPr>
        <w:t>2</w:t>
      </w:r>
      <w:r>
        <w:rPr>
          <w:rFonts w:hint="eastAsia" w:ascii="宋体" w:hAnsi="宋体"/>
          <w:color w:val="auto"/>
          <w:szCs w:val="24"/>
          <w:highlight w:val="none"/>
        </w:rPr>
        <w:t>＋……＋C</w:t>
      </w:r>
      <w:r>
        <w:rPr>
          <w:rFonts w:hint="eastAsia" w:ascii="宋体" w:hAnsi="宋体"/>
          <w:color w:val="auto"/>
          <w:szCs w:val="24"/>
          <w:highlight w:val="none"/>
          <w:vertAlign w:val="subscript"/>
        </w:rPr>
        <w:t>n</w:t>
      </w:r>
      <w:r>
        <w:rPr>
          <w:rFonts w:hint="eastAsia" w:ascii="宋体" w:hAnsi="宋体"/>
          <w:color w:val="auto"/>
          <w:szCs w:val="24"/>
          <w:highlight w:val="none"/>
        </w:rPr>
        <w:t>）/ n</w:t>
      </w:r>
      <w:r>
        <w:rPr>
          <w:rFonts w:hint="eastAsia" w:ascii="宋体" w:hAnsi="宋体"/>
          <w:color w:val="auto"/>
          <w:szCs w:val="24"/>
          <w:highlight w:val="none"/>
          <w:vertAlign w:val="subscript"/>
        </w:rPr>
        <w:t>3</w:t>
      </w:r>
    </w:p>
    <w:p>
      <w:pPr>
        <w:widowControl/>
        <w:ind w:firstLine="492"/>
        <w:rPr>
          <w:rFonts w:ascii="宋体" w:hAnsi="宋体"/>
          <w:color w:val="auto"/>
          <w:szCs w:val="24"/>
          <w:highlight w:val="none"/>
        </w:rPr>
      </w:pPr>
      <w:r>
        <w:rPr>
          <w:rFonts w:hint="eastAsia" w:ascii="宋体" w:hAnsi="宋体"/>
          <w:color w:val="auto"/>
          <w:szCs w:val="24"/>
          <w:highlight w:val="none"/>
        </w:rPr>
        <w:t>A</w:t>
      </w:r>
      <w:r>
        <w:rPr>
          <w:rFonts w:hint="eastAsia" w:ascii="宋体" w:hAnsi="宋体"/>
          <w:color w:val="auto"/>
          <w:szCs w:val="24"/>
          <w:highlight w:val="none"/>
          <w:vertAlign w:val="subscript"/>
        </w:rPr>
        <w:t>1</w:t>
      </w:r>
      <w:r>
        <w:rPr>
          <w:rFonts w:hint="eastAsia" w:ascii="宋体" w:hAnsi="宋体"/>
          <w:color w:val="auto"/>
          <w:szCs w:val="24"/>
          <w:highlight w:val="none"/>
        </w:rPr>
        <w:t>、A</w:t>
      </w:r>
      <w:r>
        <w:rPr>
          <w:rFonts w:hint="eastAsia" w:ascii="宋体" w:hAnsi="宋体"/>
          <w:color w:val="auto"/>
          <w:szCs w:val="24"/>
          <w:highlight w:val="none"/>
          <w:vertAlign w:val="subscript"/>
        </w:rPr>
        <w:t>2</w:t>
      </w:r>
      <w:r>
        <w:rPr>
          <w:rFonts w:hint="eastAsia" w:ascii="宋体" w:hAnsi="宋体"/>
          <w:color w:val="auto"/>
          <w:szCs w:val="24"/>
          <w:highlight w:val="none"/>
        </w:rPr>
        <w:t>……A</w:t>
      </w:r>
      <w:r>
        <w:rPr>
          <w:rFonts w:hint="eastAsia" w:ascii="宋体" w:hAnsi="宋体"/>
          <w:color w:val="auto"/>
          <w:szCs w:val="24"/>
          <w:highlight w:val="none"/>
          <w:vertAlign w:val="subscript"/>
        </w:rPr>
        <w:t>n</w:t>
      </w:r>
      <w:r>
        <w:rPr>
          <w:rFonts w:hint="eastAsia" w:ascii="宋体" w:hAnsi="宋体"/>
          <w:color w:val="auto"/>
          <w:szCs w:val="24"/>
          <w:highlight w:val="none"/>
        </w:rPr>
        <w:t>分别为每个</w:t>
      </w:r>
      <w:r>
        <w:rPr>
          <w:rFonts w:hint="eastAsia" w:ascii="宋体" w:hAnsi="宋体" w:cs="宋体"/>
          <w:color w:val="auto"/>
          <w:kern w:val="0"/>
          <w:szCs w:val="24"/>
          <w:highlight w:val="none"/>
        </w:rPr>
        <w:t>经济类</w:t>
      </w:r>
      <w:r>
        <w:rPr>
          <w:rFonts w:hint="eastAsia" w:ascii="宋体" w:hAnsi="宋体"/>
          <w:color w:val="auto"/>
          <w:szCs w:val="24"/>
          <w:highlight w:val="none"/>
        </w:rPr>
        <w:t>评委的打分，n</w:t>
      </w:r>
      <w:r>
        <w:rPr>
          <w:rFonts w:hint="eastAsia" w:ascii="宋体" w:hAnsi="宋体"/>
          <w:color w:val="auto"/>
          <w:szCs w:val="24"/>
          <w:highlight w:val="none"/>
          <w:vertAlign w:val="subscript"/>
        </w:rPr>
        <w:t>1</w:t>
      </w:r>
      <w:r>
        <w:rPr>
          <w:rFonts w:hint="eastAsia" w:ascii="宋体" w:hAnsi="宋体"/>
          <w:color w:val="auto"/>
          <w:szCs w:val="24"/>
          <w:highlight w:val="none"/>
        </w:rPr>
        <w:t>为</w:t>
      </w:r>
      <w:r>
        <w:rPr>
          <w:rFonts w:hint="eastAsia" w:ascii="宋体" w:hAnsi="宋体" w:cs="宋体"/>
          <w:color w:val="auto"/>
          <w:kern w:val="0"/>
          <w:szCs w:val="24"/>
          <w:highlight w:val="none"/>
        </w:rPr>
        <w:t>经济类</w:t>
      </w:r>
      <w:r>
        <w:rPr>
          <w:rFonts w:hint="eastAsia" w:ascii="宋体" w:hAnsi="宋体"/>
          <w:color w:val="auto"/>
          <w:szCs w:val="24"/>
          <w:highlight w:val="none"/>
        </w:rPr>
        <w:t>评委人数；B</w:t>
      </w:r>
      <w:r>
        <w:rPr>
          <w:rFonts w:hint="eastAsia" w:ascii="宋体" w:hAnsi="宋体"/>
          <w:color w:val="auto"/>
          <w:szCs w:val="24"/>
          <w:highlight w:val="none"/>
          <w:vertAlign w:val="subscript"/>
        </w:rPr>
        <w:t>1</w:t>
      </w:r>
      <w:r>
        <w:rPr>
          <w:rFonts w:hint="eastAsia" w:ascii="宋体" w:hAnsi="宋体"/>
          <w:color w:val="auto"/>
          <w:szCs w:val="24"/>
          <w:highlight w:val="none"/>
        </w:rPr>
        <w:t>、B</w:t>
      </w:r>
      <w:r>
        <w:rPr>
          <w:rFonts w:hint="eastAsia" w:ascii="宋体" w:hAnsi="宋体"/>
          <w:color w:val="auto"/>
          <w:szCs w:val="24"/>
          <w:highlight w:val="none"/>
          <w:vertAlign w:val="subscript"/>
        </w:rPr>
        <w:t>2</w:t>
      </w:r>
      <w:r>
        <w:rPr>
          <w:rFonts w:hint="eastAsia" w:ascii="宋体" w:hAnsi="宋体"/>
          <w:color w:val="auto"/>
          <w:szCs w:val="24"/>
          <w:highlight w:val="none"/>
        </w:rPr>
        <w:t>＋……B</w:t>
      </w:r>
      <w:r>
        <w:rPr>
          <w:rFonts w:hint="eastAsia" w:ascii="宋体" w:hAnsi="宋体"/>
          <w:color w:val="auto"/>
          <w:szCs w:val="24"/>
          <w:highlight w:val="none"/>
          <w:vertAlign w:val="subscript"/>
        </w:rPr>
        <w:t>n</w:t>
      </w:r>
      <w:r>
        <w:rPr>
          <w:rFonts w:hint="eastAsia" w:ascii="宋体" w:hAnsi="宋体"/>
          <w:color w:val="auto"/>
          <w:szCs w:val="24"/>
          <w:highlight w:val="none"/>
        </w:rPr>
        <w:t xml:space="preserve"> 分别为每个技术类评委（含采购人代表）的打分，n</w:t>
      </w:r>
      <w:r>
        <w:rPr>
          <w:rFonts w:hint="eastAsia" w:ascii="宋体" w:hAnsi="宋体"/>
          <w:color w:val="auto"/>
          <w:szCs w:val="24"/>
          <w:highlight w:val="none"/>
          <w:vertAlign w:val="subscript"/>
        </w:rPr>
        <w:t>2</w:t>
      </w:r>
      <w:r>
        <w:rPr>
          <w:rFonts w:hint="eastAsia" w:ascii="宋体" w:hAnsi="宋体"/>
          <w:color w:val="auto"/>
          <w:szCs w:val="24"/>
          <w:highlight w:val="none"/>
        </w:rPr>
        <w:t>为</w:t>
      </w:r>
      <w:r>
        <w:rPr>
          <w:rFonts w:hint="eastAsia" w:ascii="宋体" w:hAnsi="宋体" w:cs="宋体"/>
          <w:color w:val="auto"/>
          <w:kern w:val="0"/>
          <w:szCs w:val="24"/>
          <w:highlight w:val="none"/>
        </w:rPr>
        <w:t>技术类</w:t>
      </w:r>
      <w:r>
        <w:rPr>
          <w:rFonts w:hint="eastAsia" w:ascii="宋体" w:hAnsi="宋体"/>
          <w:color w:val="auto"/>
          <w:szCs w:val="24"/>
          <w:highlight w:val="none"/>
        </w:rPr>
        <w:t>评委（含采购人代表）人数；C</w:t>
      </w:r>
      <w:r>
        <w:rPr>
          <w:rFonts w:hint="eastAsia" w:ascii="宋体" w:hAnsi="宋体"/>
          <w:color w:val="auto"/>
          <w:szCs w:val="24"/>
          <w:highlight w:val="none"/>
          <w:vertAlign w:val="subscript"/>
        </w:rPr>
        <w:t>1</w:t>
      </w:r>
      <w:r>
        <w:rPr>
          <w:rFonts w:hint="eastAsia" w:ascii="宋体" w:hAnsi="宋体"/>
          <w:color w:val="auto"/>
          <w:szCs w:val="24"/>
          <w:highlight w:val="none"/>
        </w:rPr>
        <w:t>、C</w:t>
      </w:r>
      <w:r>
        <w:rPr>
          <w:rFonts w:hint="eastAsia" w:ascii="宋体" w:hAnsi="宋体"/>
          <w:color w:val="auto"/>
          <w:szCs w:val="24"/>
          <w:highlight w:val="none"/>
          <w:vertAlign w:val="subscript"/>
        </w:rPr>
        <w:t>2</w:t>
      </w:r>
      <w:r>
        <w:rPr>
          <w:rFonts w:hint="eastAsia" w:ascii="宋体" w:hAnsi="宋体"/>
          <w:color w:val="auto"/>
          <w:szCs w:val="24"/>
          <w:highlight w:val="none"/>
        </w:rPr>
        <w:t>……C</w:t>
      </w:r>
      <w:r>
        <w:rPr>
          <w:rFonts w:hint="eastAsia" w:ascii="宋体" w:hAnsi="宋体"/>
          <w:color w:val="auto"/>
          <w:szCs w:val="24"/>
          <w:highlight w:val="none"/>
          <w:vertAlign w:val="subscript"/>
        </w:rPr>
        <w:t>n</w:t>
      </w:r>
      <w:r>
        <w:rPr>
          <w:rFonts w:hint="eastAsia" w:ascii="宋体" w:hAnsi="宋体"/>
          <w:color w:val="auto"/>
          <w:szCs w:val="24"/>
          <w:highlight w:val="none"/>
        </w:rPr>
        <w:t xml:space="preserve"> 分别为评审委员会每个成员的打分，n</w:t>
      </w:r>
      <w:r>
        <w:rPr>
          <w:rFonts w:hint="eastAsia" w:ascii="宋体" w:hAnsi="宋体"/>
          <w:color w:val="auto"/>
          <w:szCs w:val="24"/>
          <w:highlight w:val="none"/>
          <w:vertAlign w:val="subscript"/>
        </w:rPr>
        <w:t>3</w:t>
      </w:r>
      <w:r>
        <w:rPr>
          <w:rFonts w:hint="eastAsia" w:ascii="宋体" w:hAnsi="宋体"/>
          <w:color w:val="auto"/>
          <w:szCs w:val="24"/>
          <w:highlight w:val="none"/>
        </w:rPr>
        <w:t>为评委人数。</w:t>
      </w:r>
    </w:p>
    <w:p>
      <w:pPr>
        <w:widowControl/>
        <w:ind w:firstLine="492"/>
        <w:rPr>
          <w:rFonts w:ascii="宋体" w:hAnsi="宋体"/>
          <w:color w:val="auto"/>
          <w:szCs w:val="24"/>
          <w:highlight w:val="none"/>
        </w:rPr>
      </w:pPr>
      <w:r>
        <w:rPr>
          <w:rFonts w:hint="eastAsia" w:ascii="宋体" w:hAnsi="宋体"/>
          <w:color w:val="auto"/>
          <w:szCs w:val="24"/>
          <w:highlight w:val="none"/>
        </w:rPr>
        <w:t>对记入诚信档案的且在有效期内的失信供应商，在本次政府采购活动中实行直接从总分中扣分的惩戒方法，且供应商失信行为惩戒实行无限制累加制。存在一次失信行为的，扣5分，每增加一次失信行为，加扣5分，直至扣完为止。</w:t>
      </w:r>
    </w:p>
    <w:p>
      <w:pPr>
        <w:pStyle w:val="5"/>
        <w:numPr>
          <w:ilvl w:val="2"/>
          <w:numId w:val="0"/>
        </w:numPr>
        <w:ind w:leftChars="200"/>
        <w:rPr>
          <w:b/>
          <w:bCs/>
          <w:color w:val="auto"/>
          <w:highlight w:val="none"/>
        </w:rPr>
      </w:pPr>
      <w:r>
        <w:rPr>
          <w:rFonts w:hint="eastAsia"/>
          <w:b/>
          <w:bCs/>
          <w:color w:val="auto"/>
          <w:highlight w:val="none"/>
          <w:lang w:val="en-US" w:eastAsia="zh-CN"/>
        </w:rPr>
        <w:t>各包</w:t>
      </w:r>
      <w:r>
        <w:rPr>
          <w:rFonts w:hint="eastAsia"/>
          <w:b/>
          <w:bCs/>
          <w:color w:val="auto"/>
          <w:highlight w:val="none"/>
        </w:rPr>
        <w:t>评分标准</w:t>
      </w:r>
    </w:p>
    <w:tbl>
      <w:tblPr>
        <w:tblStyle w:val="43"/>
        <w:tblpPr w:leftFromText="180" w:rightFromText="180" w:vertAnchor="text" w:horzAnchor="page" w:tblpX="1259" w:tblpY="450"/>
        <w:tblOverlap w:val="never"/>
        <w:tblW w:w="96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5"/>
        <w:gridCol w:w="1170"/>
        <w:gridCol w:w="6630"/>
        <w:gridCol w:w="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065" w:type="dxa"/>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评委类型</w:t>
            </w:r>
          </w:p>
        </w:tc>
        <w:tc>
          <w:tcPr>
            <w:tcW w:w="117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评审项目</w:t>
            </w:r>
          </w:p>
        </w:tc>
        <w:tc>
          <w:tcPr>
            <w:tcW w:w="663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758"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65" w:type="dxa"/>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共同评审</w:t>
            </w:r>
          </w:p>
        </w:tc>
        <w:tc>
          <w:tcPr>
            <w:tcW w:w="1170" w:type="dxa"/>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报价评审</w:t>
            </w:r>
          </w:p>
        </w:tc>
        <w:tc>
          <w:tcPr>
            <w:tcW w:w="6630" w:type="dxa"/>
            <w:noWrap w:val="0"/>
            <w:tcMar>
              <w:top w:w="0" w:type="dxa"/>
              <w:left w:w="80" w:type="dxa"/>
              <w:bottom w:w="0" w:type="dxa"/>
              <w:right w:w="0" w:type="dxa"/>
            </w:tcMar>
            <w:vAlign w:val="top"/>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经评审的最低有效</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报价作为评审基准价；</w:t>
            </w:r>
          </w:p>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报价得分=(评审基准价／</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p>
        </w:tc>
        <w:tc>
          <w:tcPr>
            <w:tcW w:w="758" w:type="dxa"/>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1065" w:type="dxa"/>
            <w:vMerge w:val="restart"/>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技术类评委</w:t>
            </w:r>
          </w:p>
        </w:tc>
        <w:tc>
          <w:tcPr>
            <w:tcW w:w="1170" w:type="dxa"/>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服务配套产品技术参数</w:t>
            </w:r>
          </w:p>
        </w:tc>
        <w:tc>
          <w:tcPr>
            <w:tcW w:w="6630" w:type="dxa"/>
            <w:noWrap w:val="0"/>
            <w:tcMar>
              <w:top w:w="0" w:type="dxa"/>
              <w:left w:w="80" w:type="dxa"/>
              <w:bottom w:w="0" w:type="dxa"/>
              <w:right w:w="0" w:type="dxa"/>
            </w:tcMar>
            <w:vAlign w:val="top"/>
          </w:tcPr>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投标人服务配套产品技术参数完全满足招标文件要求的，得20分，每有一项负偏离扣2分，扣完为止。（说明：以技术偏离表为准。）</w:t>
            </w:r>
          </w:p>
        </w:tc>
        <w:tc>
          <w:tcPr>
            <w:tcW w:w="758" w:type="dxa"/>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4" w:hRule="atLeast"/>
        </w:trPr>
        <w:tc>
          <w:tcPr>
            <w:tcW w:w="1065" w:type="dxa"/>
            <w:vMerge w:val="continue"/>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Cs/>
                <w:color w:val="auto"/>
                <w:sz w:val="24"/>
                <w:szCs w:val="24"/>
                <w:highlight w:val="none"/>
              </w:rPr>
            </w:pPr>
          </w:p>
        </w:tc>
        <w:tc>
          <w:tcPr>
            <w:tcW w:w="1170" w:type="dxa"/>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lang w:val="en-US"/>
              </w:rPr>
            </w:pPr>
            <w:r>
              <w:rPr>
                <w:rFonts w:hint="eastAsia" w:ascii="宋体" w:hAnsi="宋体" w:eastAsia="宋体" w:cs="宋体"/>
                <w:sz w:val="24"/>
                <w:szCs w:val="24"/>
              </w:rPr>
              <w:t>服务方案</w:t>
            </w:r>
          </w:p>
        </w:tc>
        <w:tc>
          <w:tcPr>
            <w:tcW w:w="6630"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rPr>
              <w:t>根据投标人针对本项目提供的服务方案，至少包含：1、组织机构设置；2、项目概况分析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现场情况描述；</w:t>
            </w:r>
            <w:r>
              <w:rPr>
                <w:rFonts w:hint="eastAsia" w:ascii="宋体" w:hAnsi="宋体" w:eastAsia="宋体" w:cs="宋体"/>
                <w:sz w:val="24"/>
                <w:szCs w:val="24"/>
                <w:lang w:val="en-US" w:eastAsia="zh-CN"/>
              </w:rPr>
              <w:t>4</w:t>
            </w:r>
            <w:r>
              <w:rPr>
                <w:rFonts w:hint="eastAsia" w:ascii="宋体" w:hAnsi="宋体" w:eastAsia="宋体" w:cs="宋体"/>
                <w:sz w:val="24"/>
                <w:szCs w:val="24"/>
              </w:rPr>
              <w:t>、具体实施方案 ；</w:t>
            </w:r>
            <w:r>
              <w:rPr>
                <w:rFonts w:hint="eastAsia" w:ascii="宋体" w:hAnsi="宋体" w:eastAsia="宋体" w:cs="宋体"/>
                <w:sz w:val="24"/>
                <w:szCs w:val="24"/>
                <w:lang w:val="en-US" w:eastAsia="zh-CN"/>
              </w:rPr>
              <w:t>5</w:t>
            </w:r>
            <w:r>
              <w:rPr>
                <w:rFonts w:hint="eastAsia" w:ascii="宋体" w:hAnsi="宋体" w:eastAsia="宋体" w:cs="宋体"/>
                <w:sz w:val="24"/>
                <w:szCs w:val="24"/>
              </w:rPr>
              <w:t>、质量保障措施；</w:t>
            </w:r>
            <w:r>
              <w:rPr>
                <w:rFonts w:hint="eastAsia" w:ascii="宋体" w:hAnsi="宋体" w:eastAsia="宋体" w:cs="宋体"/>
                <w:sz w:val="24"/>
                <w:szCs w:val="24"/>
                <w:lang w:val="en-US" w:eastAsia="zh-CN"/>
              </w:rPr>
              <w:t>6</w:t>
            </w:r>
            <w:r>
              <w:rPr>
                <w:rFonts w:hint="eastAsia" w:ascii="宋体" w:hAnsi="宋体" w:eastAsia="宋体" w:cs="宋体"/>
                <w:sz w:val="24"/>
                <w:szCs w:val="24"/>
              </w:rPr>
              <w:t>、安全保障措施；</w:t>
            </w:r>
            <w:r>
              <w:rPr>
                <w:rFonts w:hint="eastAsia" w:ascii="宋体" w:hAnsi="宋体" w:eastAsia="宋体" w:cs="宋体"/>
                <w:sz w:val="24"/>
                <w:szCs w:val="24"/>
                <w:lang w:val="en-US" w:eastAsia="zh-CN"/>
              </w:rPr>
              <w:t>7</w:t>
            </w:r>
            <w:r>
              <w:rPr>
                <w:rFonts w:hint="eastAsia" w:ascii="宋体" w:hAnsi="宋体" w:eastAsia="宋体" w:cs="宋体"/>
                <w:sz w:val="24"/>
                <w:szCs w:val="24"/>
              </w:rPr>
              <w:t>、环保控制措施；</w:t>
            </w:r>
            <w:r>
              <w:rPr>
                <w:rFonts w:hint="eastAsia" w:ascii="宋体" w:hAnsi="宋体" w:eastAsia="宋体" w:cs="宋体"/>
                <w:sz w:val="24"/>
                <w:szCs w:val="24"/>
                <w:lang w:val="en-US" w:eastAsia="zh-CN"/>
              </w:rPr>
              <w:t>8</w:t>
            </w:r>
            <w:r>
              <w:rPr>
                <w:rFonts w:hint="eastAsia" w:ascii="宋体" w:hAnsi="宋体" w:eastAsia="宋体" w:cs="宋体"/>
                <w:sz w:val="24"/>
                <w:szCs w:val="24"/>
              </w:rPr>
              <w:t>、突发应急情况分析及应急措施，方案齐全且完全符合本项目要求的，得</w:t>
            </w:r>
            <w:r>
              <w:rPr>
                <w:rFonts w:hint="eastAsia" w:ascii="宋体" w:hAnsi="宋体" w:eastAsia="宋体" w:cs="宋体"/>
                <w:sz w:val="24"/>
                <w:szCs w:val="24"/>
                <w:lang w:val="en-US" w:eastAsia="zh-CN"/>
              </w:rPr>
              <w:t>56</w:t>
            </w:r>
            <w:r>
              <w:rPr>
                <w:rFonts w:hint="eastAsia" w:ascii="宋体" w:hAnsi="宋体" w:eastAsia="宋体" w:cs="宋体"/>
                <w:sz w:val="24"/>
                <w:szCs w:val="24"/>
              </w:rPr>
              <w:t>分；每缺一项内容扣</w:t>
            </w:r>
            <w:r>
              <w:rPr>
                <w:rFonts w:hint="eastAsia" w:ascii="宋体" w:hAnsi="宋体" w:eastAsia="宋体" w:cs="宋体"/>
                <w:sz w:val="24"/>
                <w:szCs w:val="24"/>
                <w:lang w:val="en-US" w:eastAsia="zh-CN"/>
              </w:rPr>
              <w:t>7</w:t>
            </w:r>
            <w:r>
              <w:rPr>
                <w:rFonts w:hint="eastAsia" w:ascii="宋体" w:hAnsi="宋体" w:eastAsia="宋体" w:cs="宋体"/>
                <w:sz w:val="24"/>
                <w:szCs w:val="24"/>
              </w:rPr>
              <w:t>分，有一处不合理、脱离实际或不满足项目要求的，扣2分，扣完为止。</w:t>
            </w:r>
          </w:p>
        </w:tc>
        <w:tc>
          <w:tcPr>
            <w:tcW w:w="758" w:type="dxa"/>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56</w:t>
            </w:r>
            <w:r>
              <w:rPr>
                <w:rFonts w:hint="eastAsia" w:ascii="宋体" w:hAnsi="宋体" w:eastAsia="宋体" w:cs="宋体"/>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5" w:hRule="atLeast"/>
        </w:trPr>
        <w:tc>
          <w:tcPr>
            <w:tcW w:w="1065" w:type="dxa"/>
            <w:vMerge w:val="restart"/>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共同评审</w:t>
            </w:r>
          </w:p>
        </w:tc>
        <w:tc>
          <w:tcPr>
            <w:tcW w:w="117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履约能力</w:t>
            </w:r>
          </w:p>
        </w:tc>
        <w:tc>
          <w:tcPr>
            <w:tcW w:w="6630" w:type="dxa"/>
            <w:noWrap w:val="0"/>
            <w:tcMar>
              <w:top w:w="0" w:type="dxa"/>
              <w:left w:w="80" w:type="dxa"/>
              <w:bottom w:w="0" w:type="dxa"/>
              <w:right w:w="0" w:type="dxa"/>
            </w:tcMar>
            <w:vAlign w:val="center"/>
          </w:tcPr>
          <w:p>
            <w:pPr>
              <w:pStyle w:val="42"/>
              <w:keepNext w:val="0"/>
              <w:keepLines w:val="0"/>
              <w:pageBreakBefore w:val="0"/>
              <w:shd w:val="clear" w:color="auto" w:fill="auto"/>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投标人2018年以来具有类似项目业绩的，一个得</w:t>
            </w:r>
            <w:r>
              <w:rPr>
                <w:rFonts w:hint="eastAsia" w:hAnsi="宋体" w:cs="宋体"/>
                <w:color w:val="000000"/>
                <w:kern w:val="0"/>
                <w:sz w:val="24"/>
                <w:szCs w:val="24"/>
                <w:highlight w:val="none"/>
                <w:lang w:val="en-US" w:eastAsia="zh-CN" w:bidi="ar-SA"/>
              </w:rPr>
              <w:t>3</w:t>
            </w:r>
            <w:r>
              <w:rPr>
                <w:rFonts w:hint="eastAsia" w:ascii="宋体" w:hAnsi="宋体" w:eastAsia="宋体" w:cs="宋体"/>
                <w:color w:val="000000"/>
                <w:kern w:val="0"/>
                <w:sz w:val="24"/>
                <w:szCs w:val="24"/>
                <w:highlight w:val="none"/>
                <w:lang w:val="en-US" w:eastAsia="zh-CN" w:bidi="ar-SA"/>
              </w:rPr>
              <w:t>分，最多得</w:t>
            </w:r>
            <w:r>
              <w:rPr>
                <w:rFonts w:hint="eastAsia" w:hAnsi="宋体" w:cs="宋体"/>
                <w:color w:val="000000"/>
                <w:kern w:val="0"/>
                <w:sz w:val="24"/>
                <w:szCs w:val="24"/>
                <w:highlight w:val="none"/>
                <w:lang w:val="en-US" w:eastAsia="zh-CN" w:bidi="ar-SA"/>
              </w:rPr>
              <w:t>6</w:t>
            </w:r>
            <w:r>
              <w:rPr>
                <w:rFonts w:hint="eastAsia" w:ascii="宋体" w:hAnsi="宋体" w:eastAsia="宋体" w:cs="宋体"/>
                <w:color w:val="000000"/>
                <w:kern w:val="0"/>
                <w:sz w:val="24"/>
                <w:szCs w:val="24"/>
                <w:highlight w:val="none"/>
                <w:lang w:val="en-US" w:eastAsia="zh-CN" w:bidi="ar-SA"/>
              </w:rPr>
              <w:t>分。</w:t>
            </w:r>
            <w:r>
              <w:rPr>
                <w:rFonts w:hint="eastAsia" w:hAnsi="宋体" w:cs="宋体"/>
                <w:color w:val="000000"/>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说明：提供合同</w:t>
            </w:r>
            <w:r>
              <w:rPr>
                <w:rFonts w:hint="eastAsia" w:hAnsi="宋体" w:cs="宋体"/>
                <w:color w:val="000000"/>
                <w:kern w:val="0"/>
                <w:sz w:val="24"/>
                <w:szCs w:val="24"/>
                <w:highlight w:val="none"/>
                <w:lang w:val="en-US" w:eastAsia="zh-CN" w:bidi="ar-SA"/>
              </w:rPr>
              <w:t>或甲方派工单</w:t>
            </w:r>
            <w:r>
              <w:rPr>
                <w:rFonts w:hint="eastAsia" w:ascii="宋体" w:hAnsi="宋体" w:eastAsia="宋体" w:cs="宋体"/>
                <w:color w:val="000000"/>
                <w:kern w:val="0"/>
                <w:sz w:val="24"/>
                <w:szCs w:val="24"/>
                <w:highlight w:val="none"/>
                <w:lang w:val="en-US" w:eastAsia="zh-CN" w:bidi="ar-SA"/>
              </w:rPr>
              <w:t>复印件</w:t>
            </w:r>
            <w:r>
              <w:rPr>
                <w:rFonts w:hint="eastAsia" w:ascii="宋体" w:hAnsi="宋体" w:eastAsia="宋体" w:cs="宋体"/>
                <w:sz w:val="24"/>
                <w:szCs w:val="24"/>
                <w:highlight w:val="none"/>
                <w:lang w:eastAsia="zh-CN"/>
              </w:rPr>
              <w:t>。</w:t>
            </w:r>
            <w:r>
              <w:rPr>
                <w:rFonts w:hint="eastAsia" w:hAnsi="宋体" w:cs="宋体"/>
                <w:color w:val="000000"/>
                <w:kern w:val="0"/>
                <w:sz w:val="24"/>
                <w:szCs w:val="24"/>
                <w:highlight w:val="none"/>
                <w:lang w:val="en-US" w:eastAsia="zh-CN" w:bidi="ar-SA"/>
              </w:rPr>
              <w:t>）</w:t>
            </w:r>
          </w:p>
        </w:tc>
        <w:tc>
          <w:tcPr>
            <w:tcW w:w="758" w:type="dxa"/>
            <w:noWrap w:val="0"/>
            <w:tcMar>
              <w:top w:w="0" w:type="dxa"/>
              <w:left w:w="80" w:type="dxa"/>
              <w:bottom w:w="0" w:type="dxa"/>
              <w:right w:w="0" w:type="dxa"/>
            </w:tcMar>
            <w:vAlign w:val="center"/>
          </w:tcPr>
          <w:p>
            <w:pPr>
              <w:pStyle w:val="2"/>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65" w:type="dxa"/>
            <w:vMerge w:val="continue"/>
            <w:noWrap w:val="0"/>
            <w:vAlign w:val="top"/>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p>
        </w:tc>
        <w:tc>
          <w:tcPr>
            <w:tcW w:w="1170" w:type="dxa"/>
            <w:noWrap w:val="0"/>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文件的规范性</w:t>
            </w:r>
          </w:p>
        </w:tc>
        <w:tc>
          <w:tcPr>
            <w:tcW w:w="663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文件制作规范，没有细微偏差情形的得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分；有一项细微偏差扣0.5分，直至该项分值扣完为止。</w:t>
            </w:r>
          </w:p>
        </w:tc>
        <w:tc>
          <w:tcPr>
            <w:tcW w:w="758" w:type="dxa"/>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65" w:type="dxa"/>
            <w:vMerge w:val="continue"/>
            <w:noWrap w:val="0"/>
            <w:vAlign w:val="top"/>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Cs/>
                <w:color w:val="auto"/>
                <w:sz w:val="24"/>
                <w:szCs w:val="24"/>
                <w:highlight w:val="none"/>
              </w:rPr>
            </w:pPr>
          </w:p>
        </w:tc>
        <w:tc>
          <w:tcPr>
            <w:tcW w:w="1170"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不发达地区或少数民族地区</w:t>
            </w:r>
          </w:p>
        </w:tc>
        <w:tc>
          <w:tcPr>
            <w:tcW w:w="663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如为不发达地区或少数民族地区的，得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sz w:val="24"/>
                <w:szCs w:val="24"/>
                <w:highlight w:val="none"/>
              </w:rPr>
              <w:t>注：</w:t>
            </w:r>
            <w:r>
              <w:rPr>
                <w:rFonts w:hint="eastAsia" w:ascii="宋体" w:hAnsi="宋体" w:eastAsia="宋体" w:cs="宋体"/>
                <w:color w:val="000000"/>
                <w:sz w:val="24"/>
                <w:szCs w:val="24"/>
                <w:highlight w:val="none"/>
              </w:rPr>
              <w:t>以投标人营业执照上注册地为准</w:t>
            </w:r>
            <w:r>
              <w:rPr>
                <w:rFonts w:hint="eastAsia" w:ascii="宋体" w:hAnsi="宋体" w:eastAsia="宋体" w:cs="宋体"/>
                <w:sz w:val="24"/>
                <w:szCs w:val="24"/>
                <w:highlight w:val="none"/>
              </w:rPr>
              <w:t>。</w:t>
            </w:r>
          </w:p>
        </w:tc>
        <w:tc>
          <w:tcPr>
            <w:tcW w:w="758" w:type="dxa"/>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r>
    </w:tbl>
    <w:p>
      <w:pPr>
        <w:ind w:firstLine="494"/>
        <w:rPr>
          <w:rFonts w:ascii="宋体" w:hAnsi="宋体"/>
          <w:b/>
          <w:color w:val="auto"/>
          <w:szCs w:val="24"/>
          <w:highlight w:val="none"/>
        </w:rPr>
      </w:pPr>
      <w:r>
        <w:rPr>
          <w:rFonts w:hint="eastAsia" w:ascii="宋体" w:hAnsi="宋体"/>
          <w:b/>
          <w:color w:val="auto"/>
          <w:szCs w:val="24"/>
          <w:highlight w:val="none"/>
        </w:rPr>
        <w:t>说明：1、评分的取值按四舍五入法，保留小数点后两位；</w:t>
      </w:r>
    </w:p>
    <w:p>
      <w:pPr>
        <w:ind w:firstLine="494"/>
        <w:rPr>
          <w:rFonts w:ascii="宋体" w:hAnsi="宋体"/>
          <w:b/>
          <w:color w:val="auto"/>
          <w:szCs w:val="24"/>
          <w:highlight w:val="none"/>
        </w:rPr>
      </w:pPr>
      <w:r>
        <w:rPr>
          <w:rFonts w:hint="eastAsia" w:ascii="宋体" w:hAnsi="宋体"/>
          <w:b/>
          <w:color w:val="auto"/>
          <w:szCs w:val="24"/>
          <w:highlight w:val="none"/>
        </w:rPr>
        <w:t xml:space="preserve">  2、评分标准中要求提供复印件的证明材料须清晰可辨。</w:t>
      </w:r>
    </w:p>
    <w:p>
      <w:pPr>
        <w:pStyle w:val="4"/>
        <w:rPr>
          <w:color w:val="auto"/>
          <w:highlight w:val="none"/>
        </w:rPr>
      </w:pPr>
      <w:bookmarkStart w:id="350" w:name="_Toc320624275"/>
      <w:bookmarkEnd w:id="350"/>
      <w:bookmarkStart w:id="351" w:name="_Toc320624255"/>
      <w:bookmarkEnd w:id="351"/>
      <w:bookmarkStart w:id="352" w:name="_Toc320624295"/>
      <w:bookmarkEnd w:id="352"/>
      <w:bookmarkStart w:id="353" w:name="_Toc318206701"/>
      <w:bookmarkEnd w:id="353"/>
      <w:bookmarkStart w:id="354" w:name="_Toc315871725"/>
      <w:bookmarkEnd w:id="354"/>
      <w:bookmarkStart w:id="355" w:name="_Toc315871656"/>
      <w:bookmarkEnd w:id="355"/>
      <w:bookmarkStart w:id="356" w:name="_Toc320624260"/>
      <w:bookmarkEnd w:id="356"/>
      <w:bookmarkStart w:id="357" w:name="_Toc320624240"/>
      <w:bookmarkEnd w:id="357"/>
      <w:bookmarkStart w:id="358" w:name="_Toc315871657"/>
      <w:bookmarkEnd w:id="358"/>
      <w:bookmarkStart w:id="359" w:name="_Toc320624285"/>
      <w:bookmarkEnd w:id="359"/>
      <w:bookmarkStart w:id="360" w:name="_Toc320624290"/>
      <w:bookmarkEnd w:id="360"/>
      <w:bookmarkStart w:id="361" w:name="_Toc320624265"/>
      <w:bookmarkEnd w:id="361"/>
      <w:bookmarkStart w:id="362" w:name="_Toc315871658"/>
      <w:bookmarkEnd w:id="362"/>
      <w:bookmarkStart w:id="363" w:name="_Toc320624280"/>
      <w:bookmarkEnd w:id="363"/>
      <w:bookmarkStart w:id="364" w:name="_Toc315871726"/>
      <w:bookmarkStart w:id="365" w:name="_Toc9621"/>
      <w:bookmarkStart w:id="366" w:name="_Toc20130"/>
      <w:bookmarkStart w:id="367" w:name="_Toc31256"/>
      <w:bookmarkStart w:id="368" w:name="_Toc316292258"/>
      <w:bookmarkStart w:id="369" w:name="_Toc19639"/>
      <w:bookmarkStart w:id="370" w:name="_Toc217446060"/>
      <w:r>
        <w:rPr>
          <w:rFonts w:hint="eastAsia"/>
          <w:color w:val="auto"/>
          <w:highlight w:val="none"/>
        </w:rPr>
        <w:t>废标</w:t>
      </w:r>
      <w:bookmarkEnd w:id="364"/>
      <w:bookmarkEnd w:id="365"/>
      <w:bookmarkEnd w:id="366"/>
      <w:bookmarkEnd w:id="367"/>
      <w:bookmarkEnd w:id="368"/>
      <w:bookmarkEnd w:id="369"/>
    </w:p>
    <w:p>
      <w:pPr>
        <w:pStyle w:val="5"/>
        <w:ind w:left="322" w:leftChars="0" w:firstLine="494" w:firstLineChars="0"/>
        <w:rPr>
          <w:color w:val="auto"/>
          <w:highlight w:val="none"/>
        </w:rPr>
      </w:pPr>
      <w:bookmarkStart w:id="371" w:name="_Toc22999"/>
      <w:r>
        <w:rPr>
          <w:rFonts w:hint="eastAsia"/>
          <w:color w:val="auto"/>
          <w:highlight w:val="none"/>
        </w:rPr>
        <w:t>本次政府采购活动中，各包出现下列情形之一的，该包件予以废标：</w:t>
      </w:r>
      <w:bookmarkEnd w:id="371"/>
    </w:p>
    <w:p>
      <w:pPr>
        <w:numPr>
          <w:ilvl w:val="0"/>
          <w:numId w:val="52"/>
        </w:numPr>
        <w:tabs>
          <w:tab w:val="left" w:pos="1155"/>
        </w:tabs>
        <w:ind w:left="0" w:firstLine="492"/>
        <w:rPr>
          <w:rFonts w:ascii="宋体" w:hAnsi="宋体"/>
          <w:color w:val="auto"/>
          <w:szCs w:val="24"/>
          <w:highlight w:val="none"/>
        </w:rPr>
      </w:pPr>
      <w:r>
        <w:rPr>
          <w:rFonts w:hint="eastAsia" w:ascii="宋体" w:hAnsi="宋体"/>
          <w:color w:val="auto"/>
          <w:szCs w:val="24"/>
          <w:highlight w:val="none"/>
        </w:rPr>
        <w:t>符合专业条件的供应商或者对招标文件作实质响应的供应商不足三家的；</w:t>
      </w:r>
    </w:p>
    <w:p>
      <w:pPr>
        <w:numPr>
          <w:ilvl w:val="0"/>
          <w:numId w:val="52"/>
        </w:numPr>
        <w:tabs>
          <w:tab w:val="left" w:pos="1155"/>
        </w:tabs>
        <w:ind w:left="0" w:firstLine="492"/>
        <w:rPr>
          <w:rFonts w:ascii="宋体" w:hAnsi="宋体"/>
          <w:color w:val="auto"/>
          <w:szCs w:val="24"/>
          <w:highlight w:val="none"/>
        </w:rPr>
      </w:pPr>
      <w:r>
        <w:rPr>
          <w:rFonts w:hint="eastAsia" w:ascii="宋体" w:hAnsi="宋体"/>
          <w:color w:val="auto"/>
          <w:szCs w:val="24"/>
          <w:highlight w:val="none"/>
        </w:rPr>
        <w:t>出现影响采购公正的违法、违规行为的；</w:t>
      </w:r>
    </w:p>
    <w:p>
      <w:pPr>
        <w:numPr>
          <w:ilvl w:val="0"/>
          <w:numId w:val="52"/>
        </w:numPr>
        <w:tabs>
          <w:tab w:val="left" w:pos="1155"/>
        </w:tabs>
        <w:ind w:left="0" w:firstLine="492"/>
        <w:rPr>
          <w:color w:val="auto"/>
          <w:highlight w:val="none"/>
        </w:rPr>
      </w:pPr>
      <w:r>
        <w:rPr>
          <w:rFonts w:hint="eastAsia" w:ascii="宋体" w:hAnsi="宋体"/>
          <w:color w:val="auto"/>
          <w:szCs w:val="24"/>
          <w:highlight w:val="none"/>
        </w:rPr>
        <w:t>投标人的报价均超过了采购预算，采购人不能支付；</w:t>
      </w:r>
    </w:p>
    <w:p>
      <w:pPr>
        <w:numPr>
          <w:ilvl w:val="0"/>
          <w:numId w:val="52"/>
        </w:numPr>
        <w:tabs>
          <w:tab w:val="left" w:pos="1155"/>
        </w:tabs>
        <w:ind w:left="0" w:firstLine="492"/>
        <w:rPr>
          <w:rFonts w:ascii="宋体" w:hAnsi="宋体"/>
          <w:color w:val="auto"/>
          <w:szCs w:val="24"/>
          <w:highlight w:val="none"/>
        </w:rPr>
      </w:pPr>
      <w:r>
        <w:rPr>
          <w:rFonts w:hint="eastAsia" w:ascii="宋体" w:hAnsi="宋体"/>
          <w:color w:val="auto"/>
          <w:szCs w:val="24"/>
          <w:highlight w:val="none"/>
        </w:rPr>
        <w:t>因重大变故，采购任务取消的。</w:t>
      </w:r>
    </w:p>
    <w:p>
      <w:pPr>
        <w:tabs>
          <w:tab w:val="left" w:pos="1155"/>
        </w:tabs>
        <w:ind w:firstLine="492"/>
        <w:rPr>
          <w:rFonts w:ascii="宋体" w:hAnsi="宋体"/>
          <w:color w:val="auto"/>
          <w:szCs w:val="24"/>
          <w:highlight w:val="none"/>
        </w:rPr>
      </w:pPr>
      <w:r>
        <w:rPr>
          <w:rFonts w:hint="eastAsia" w:ascii="宋体" w:hAnsi="宋体"/>
          <w:color w:val="auto"/>
          <w:szCs w:val="24"/>
          <w:highlight w:val="none"/>
        </w:rPr>
        <w:t>废标后，采购代理机构应在《四川政府采购网》上公告，并公告废标的情形。</w:t>
      </w:r>
    </w:p>
    <w:p>
      <w:pPr>
        <w:pStyle w:val="5"/>
        <w:ind w:left="322" w:leftChars="0" w:firstLine="492" w:firstLineChars="0"/>
        <w:rPr>
          <w:b w:val="0"/>
          <w:bCs w:val="0"/>
          <w:color w:val="auto"/>
          <w:szCs w:val="24"/>
          <w:highlight w:val="none"/>
        </w:rPr>
      </w:pPr>
      <w:bookmarkStart w:id="372" w:name="_Toc7624"/>
      <w:r>
        <w:rPr>
          <w:rFonts w:hint="eastAsia"/>
          <w:b w:val="0"/>
          <w:bCs w:val="0"/>
          <w:color w:val="auto"/>
          <w:szCs w:val="24"/>
          <w:highlight w:val="none"/>
        </w:rPr>
        <w:t>对于评标过程中废标的采购项目，评标委员会应当对招标文件是否存在倾向性和歧视性、是否存在不合理条款进行论证，并出具书面论证意见。</w:t>
      </w:r>
      <w:bookmarkEnd w:id="372"/>
    </w:p>
    <w:p>
      <w:pPr>
        <w:pStyle w:val="4"/>
        <w:rPr>
          <w:color w:val="auto"/>
          <w:highlight w:val="none"/>
        </w:rPr>
      </w:pPr>
      <w:bookmarkStart w:id="373" w:name="_Toc11599"/>
      <w:bookmarkStart w:id="374" w:name="_Toc316292259"/>
      <w:bookmarkStart w:id="375" w:name="_Toc30388"/>
      <w:bookmarkStart w:id="376" w:name="_Toc5494"/>
      <w:bookmarkStart w:id="377" w:name="_Toc4584"/>
      <w:bookmarkStart w:id="378" w:name="_Toc315871727"/>
      <w:r>
        <w:rPr>
          <w:rFonts w:hint="eastAsia"/>
          <w:color w:val="auto"/>
          <w:highlight w:val="none"/>
        </w:rPr>
        <w:t>定标</w:t>
      </w:r>
      <w:bookmarkEnd w:id="370"/>
      <w:bookmarkEnd w:id="373"/>
      <w:bookmarkEnd w:id="374"/>
      <w:bookmarkEnd w:id="375"/>
      <w:bookmarkEnd w:id="376"/>
      <w:bookmarkEnd w:id="377"/>
      <w:bookmarkEnd w:id="378"/>
      <w:bookmarkStart w:id="379" w:name="_Toc217446061"/>
    </w:p>
    <w:p>
      <w:pPr>
        <w:pStyle w:val="5"/>
        <w:ind w:left="322" w:leftChars="0" w:firstLine="494" w:firstLineChars="0"/>
        <w:rPr>
          <w:color w:val="auto"/>
          <w:szCs w:val="24"/>
          <w:highlight w:val="none"/>
        </w:rPr>
      </w:pPr>
      <w:bookmarkStart w:id="380" w:name="_Toc18262"/>
      <w:bookmarkStart w:id="381" w:name="_Toc315871728"/>
      <w:bookmarkStart w:id="382" w:name="_Toc316292260"/>
      <w:r>
        <w:rPr>
          <w:rFonts w:hint="eastAsia"/>
          <w:color w:val="auto"/>
          <w:szCs w:val="24"/>
          <w:highlight w:val="none"/>
        </w:rPr>
        <w:t>定标原则</w:t>
      </w:r>
      <w:bookmarkEnd w:id="379"/>
      <w:bookmarkEnd w:id="380"/>
      <w:bookmarkEnd w:id="381"/>
      <w:bookmarkEnd w:id="382"/>
    </w:p>
    <w:p>
      <w:pPr>
        <w:ind w:firstLine="492"/>
        <w:rPr>
          <w:rFonts w:ascii="宋体" w:hAnsi="宋体"/>
          <w:color w:val="auto"/>
          <w:szCs w:val="24"/>
          <w:highlight w:val="none"/>
        </w:rPr>
      </w:pPr>
      <w:r>
        <w:rPr>
          <w:rFonts w:hint="eastAsia" w:ascii="宋体" w:hAnsi="宋体"/>
          <w:color w:val="auto"/>
          <w:szCs w:val="24"/>
          <w:highlight w:val="none"/>
        </w:rPr>
        <w:t>本项目根据评标委员会推荐的中标候选人名单，各包按顺序确定中标人。</w:t>
      </w:r>
    </w:p>
    <w:p>
      <w:pPr>
        <w:pStyle w:val="5"/>
        <w:ind w:left="322" w:leftChars="0" w:firstLine="494" w:firstLineChars="0"/>
        <w:rPr>
          <w:color w:val="auto"/>
          <w:szCs w:val="24"/>
          <w:highlight w:val="none"/>
        </w:rPr>
      </w:pPr>
      <w:bookmarkStart w:id="383" w:name="_Toc31914"/>
      <w:bookmarkStart w:id="384" w:name="_Toc316292261"/>
      <w:bookmarkStart w:id="385" w:name="_Toc315871729"/>
      <w:bookmarkStart w:id="386" w:name="_Toc217446062"/>
      <w:r>
        <w:rPr>
          <w:rFonts w:hint="eastAsia"/>
          <w:color w:val="auto"/>
          <w:szCs w:val="24"/>
          <w:highlight w:val="none"/>
        </w:rPr>
        <w:t>定标程序</w:t>
      </w:r>
      <w:bookmarkEnd w:id="383"/>
      <w:bookmarkEnd w:id="384"/>
      <w:bookmarkEnd w:id="385"/>
      <w:bookmarkEnd w:id="386"/>
    </w:p>
    <w:bookmarkEnd w:id="314"/>
    <w:p>
      <w:pPr>
        <w:ind w:firstLine="492"/>
        <w:rPr>
          <w:rFonts w:ascii="宋体" w:hAnsi="宋体"/>
          <w:color w:val="auto"/>
          <w:kern w:val="0"/>
          <w:szCs w:val="24"/>
          <w:highlight w:val="none"/>
        </w:rPr>
      </w:pPr>
      <w:bookmarkStart w:id="387" w:name="_Toc316292262"/>
      <w:bookmarkStart w:id="388" w:name="_Toc315871730"/>
      <w:r>
        <w:rPr>
          <w:rFonts w:hint="eastAsia" w:ascii="宋体" w:hAnsi="宋体"/>
          <w:color w:val="auto"/>
          <w:kern w:val="0"/>
          <w:szCs w:val="24"/>
          <w:highlight w:val="none"/>
        </w:rPr>
        <w:t>一、评审委员会根据评审情况写出书面报告，推荐中标候选供应商。</w:t>
      </w:r>
    </w:p>
    <w:p>
      <w:pPr>
        <w:ind w:firstLine="492"/>
        <w:rPr>
          <w:rFonts w:ascii="宋体" w:hAnsi="宋体"/>
          <w:color w:val="auto"/>
          <w:kern w:val="0"/>
          <w:szCs w:val="24"/>
          <w:highlight w:val="none"/>
        </w:rPr>
      </w:pPr>
      <w:r>
        <w:rPr>
          <w:rFonts w:hint="eastAsia" w:ascii="宋体" w:hAnsi="宋体"/>
          <w:color w:val="auto"/>
          <w:kern w:val="0"/>
          <w:szCs w:val="24"/>
          <w:highlight w:val="none"/>
        </w:rPr>
        <w:t>二、采购代理机构在评标结束后2个工作日内将评标报告送采购人。</w:t>
      </w:r>
    </w:p>
    <w:p>
      <w:pPr>
        <w:ind w:firstLine="492"/>
        <w:rPr>
          <w:rFonts w:ascii="宋体" w:hAnsi="宋体"/>
          <w:color w:val="auto"/>
          <w:kern w:val="0"/>
          <w:szCs w:val="24"/>
          <w:highlight w:val="none"/>
        </w:rPr>
      </w:pPr>
      <w:r>
        <w:rPr>
          <w:rFonts w:hint="eastAsia" w:ascii="宋体" w:hAnsi="宋体"/>
          <w:color w:val="auto"/>
          <w:kern w:val="0"/>
          <w:szCs w:val="24"/>
          <w:highlight w:val="none"/>
        </w:rPr>
        <w:t>三、采购人在收到评审报告后5个工作日内，按照评审报告中推荐的中标候选人顺序确定中标人。如果中标候选人及其现任法定代表人、主要负责人存在行贿犯罪记录，采购人不确定其为中标人。</w:t>
      </w:r>
    </w:p>
    <w:p>
      <w:pPr>
        <w:pStyle w:val="2"/>
        <w:spacing w:line="360" w:lineRule="auto"/>
        <w:ind w:firstLine="494"/>
        <w:rPr>
          <w:rFonts w:ascii="宋体" w:hAnsi="宋体" w:cs="宋体"/>
          <w:b/>
          <w:color w:val="auto"/>
          <w:szCs w:val="24"/>
          <w:highlight w:val="none"/>
        </w:rPr>
      </w:pPr>
      <w:r>
        <w:rPr>
          <w:rFonts w:hint="eastAsia" w:ascii="宋体" w:hAnsi="宋体" w:cs="宋体"/>
          <w:b/>
          <w:color w:val="auto"/>
          <w:szCs w:val="24"/>
          <w:highlight w:val="none"/>
        </w:rPr>
        <w:t>注意，采购人按照推荐的中标候选供应商顺序确定中标供应商，不能认为采购人只能确定第一中标候选供应商为中标供应商，采购人有正当理由的，可以确定后一顺序中标候选供应商为中标供应商，依次类推。</w:t>
      </w:r>
    </w:p>
    <w:p>
      <w:pPr>
        <w:ind w:firstLine="492"/>
        <w:rPr>
          <w:rFonts w:ascii="宋体" w:hAnsi="宋体"/>
          <w:color w:val="auto"/>
          <w:kern w:val="0"/>
          <w:szCs w:val="24"/>
          <w:highlight w:val="none"/>
        </w:rPr>
      </w:pPr>
      <w:r>
        <w:rPr>
          <w:rFonts w:hint="eastAsia" w:ascii="宋体" w:hAnsi="宋体"/>
          <w:color w:val="auto"/>
          <w:kern w:val="0"/>
          <w:szCs w:val="24"/>
          <w:highlight w:val="none"/>
        </w:rPr>
        <w:t>四、根据采购人确定的中标供应商，采购代理机构自采购人确定中标之日起2个工作日内在《四川政府采购网》上发布中标公告，同时向中标供应商发出中标通知书。</w:t>
      </w:r>
    </w:p>
    <w:p>
      <w:pPr>
        <w:ind w:firstLine="492"/>
        <w:rPr>
          <w:rFonts w:ascii="宋体" w:hAnsi="宋体"/>
          <w:color w:val="auto"/>
          <w:kern w:val="0"/>
          <w:szCs w:val="24"/>
          <w:highlight w:val="none"/>
        </w:rPr>
      </w:pPr>
      <w:r>
        <w:rPr>
          <w:rFonts w:hint="eastAsia" w:ascii="宋体" w:hAnsi="宋体"/>
          <w:color w:val="auto"/>
          <w:kern w:val="0"/>
          <w:szCs w:val="24"/>
          <w:highlight w:val="none"/>
        </w:rPr>
        <w:t>五、招标采购单位不退回投标文件和其他投标资料。</w:t>
      </w:r>
    </w:p>
    <w:p>
      <w:pPr>
        <w:pStyle w:val="4"/>
        <w:rPr>
          <w:color w:val="auto"/>
          <w:highlight w:val="none"/>
        </w:rPr>
      </w:pPr>
      <w:bookmarkStart w:id="389" w:name="_Toc31430"/>
      <w:bookmarkStart w:id="390" w:name="_Toc27727"/>
      <w:bookmarkStart w:id="391" w:name="_Toc3746"/>
      <w:bookmarkStart w:id="392" w:name="_Toc355"/>
      <w:r>
        <w:rPr>
          <w:rFonts w:hint="eastAsia"/>
          <w:color w:val="auto"/>
          <w:highlight w:val="none"/>
        </w:rPr>
        <w:t>评标专家在政府采购活动中承担以下义务</w:t>
      </w:r>
      <w:bookmarkEnd w:id="387"/>
      <w:bookmarkEnd w:id="388"/>
      <w:bookmarkEnd w:id="389"/>
      <w:bookmarkEnd w:id="390"/>
      <w:bookmarkEnd w:id="391"/>
      <w:bookmarkEnd w:id="392"/>
    </w:p>
    <w:p>
      <w:pPr>
        <w:numPr>
          <w:ilvl w:val="0"/>
          <w:numId w:val="53"/>
        </w:numPr>
        <w:ind w:firstLineChars="0"/>
        <w:rPr>
          <w:rFonts w:ascii="宋体"/>
          <w:color w:val="auto"/>
          <w:highlight w:val="none"/>
        </w:rPr>
      </w:pPr>
      <w:bookmarkStart w:id="393" w:name="_Toc4999"/>
      <w:bookmarkStart w:id="394" w:name="_Toc26972"/>
      <w:bookmarkStart w:id="395" w:name="_Toc316292263"/>
      <w:bookmarkStart w:id="396" w:name="_Toc315871731"/>
      <w:r>
        <w:rPr>
          <w:rFonts w:hint="eastAsia" w:ascii="宋体"/>
          <w:color w:val="auto"/>
          <w:highlight w:val="none"/>
        </w:rPr>
        <w:t xml:space="preserve">遵守评审工作纪律； </w:t>
      </w:r>
    </w:p>
    <w:p>
      <w:pPr>
        <w:numPr>
          <w:ilvl w:val="0"/>
          <w:numId w:val="53"/>
        </w:numPr>
        <w:ind w:firstLineChars="0"/>
        <w:rPr>
          <w:rFonts w:ascii="宋体"/>
          <w:color w:val="auto"/>
          <w:highlight w:val="none"/>
        </w:rPr>
      </w:pPr>
      <w:r>
        <w:rPr>
          <w:rFonts w:hint="eastAsia" w:ascii="宋体"/>
          <w:color w:val="auto"/>
          <w:highlight w:val="none"/>
        </w:rPr>
        <w:t>按照客观、公正、审慎的原则，根据采购文件规定的评审程序、评审方法和评审标准进行独立评审；</w:t>
      </w:r>
    </w:p>
    <w:p>
      <w:pPr>
        <w:numPr>
          <w:ilvl w:val="0"/>
          <w:numId w:val="53"/>
        </w:numPr>
        <w:ind w:firstLineChars="0"/>
        <w:rPr>
          <w:rFonts w:ascii="宋体"/>
          <w:color w:val="auto"/>
          <w:highlight w:val="none"/>
        </w:rPr>
      </w:pPr>
      <w:r>
        <w:rPr>
          <w:rFonts w:hint="eastAsia" w:ascii="宋体"/>
          <w:color w:val="auto"/>
          <w:highlight w:val="none"/>
        </w:rPr>
        <w:t>不得泄露评审文件、评审情况和在评审过程中获悉的商业秘密；</w:t>
      </w:r>
    </w:p>
    <w:p>
      <w:pPr>
        <w:numPr>
          <w:ilvl w:val="0"/>
          <w:numId w:val="53"/>
        </w:numPr>
        <w:ind w:firstLineChars="0"/>
        <w:rPr>
          <w:rFonts w:ascii="宋体"/>
          <w:color w:val="auto"/>
          <w:highlight w:val="none"/>
        </w:rPr>
      </w:pPr>
      <w:r>
        <w:rPr>
          <w:rFonts w:hint="eastAsia" w:ascii="宋体"/>
          <w:color w:val="auto"/>
          <w:highlight w:val="none"/>
        </w:rPr>
        <w:t>及时向监督部门报告评审过程中采购组织单位向评审专家做倾向性、误导性的解释或者说明，供应商行贿、提供虚假材料或者串通、受到的非法干预情况等违法违规行为；</w:t>
      </w:r>
    </w:p>
    <w:p>
      <w:pPr>
        <w:numPr>
          <w:ilvl w:val="0"/>
          <w:numId w:val="53"/>
        </w:numPr>
        <w:ind w:firstLineChars="0"/>
        <w:rPr>
          <w:rFonts w:ascii="宋体"/>
          <w:color w:val="auto"/>
          <w:highlight w:val="none"/>
        </w:rPr>
      </w:pPr>
      <w:r>
        <w:rPr>
          <w:rFonts w:hint="eastAsia" w:ascii="宋体"/>
          <w:color w:val="auto"/>
          <w:highlight w:val="none"/>
        </w:rPr>
        <w:t>发现采购文件内容违反国家有关强制性规定或者存在歧义、重大缺陷导致评审工作无法进行时，停止评审并向采购组织单位书面说明情况；</w:t>
      </w:r>
    </w:p>
    <w:p>
      <w:pPr>
        <w:numPr>
          <w:ilvl w:val="0"/>
          <w:numId w:val="53"/>
        </w:numPr>
        <w:ind w:firstLineChars="0"/>
        <w:rPr>
          <w:rFonts w:ascii="宋体"/>
          <w:color w:val="auto"/>
          <w:highlight w:val="none"/>
        </w:rPr>
      </w:pPr>
      <w:r>
        <w:rPr>
          <w:rFonts w:hint="eastAsia" w:ascii="宋体"/>
          <w:color w:val="auto"/>
          <w:highlight w:val="none"/>
        </w:rPr>
        <w:t>配合答复处理供应商的询问、质疑和投诉等事项；</w:t>
      </w:r>
    </w:p>
    <w:p>
      <w:pPr>
        <w:numPr>
          <w:ilvl w:val="0"/>
          <w:numId w:val="53"/>
        </w:numPr>
        <w:ind w:firstLineChars="0"/>
        <w:rPr>
          <w:rFonts w:ascii="宋体"/>
          <w:color w:val="auto"/>
          <w:highlight w:val="none"/>
        </w:rPr>
      </w:pPr>
      <w:r>
        <w:rPr>
          <w:rFonts w:hint="eastAsia" w:ascii="宋体"/>
          <w:color w:val="auto"/>
          <w:highlight w:val="none"/>
        </w:rPr>
        <w:t>法律、法规和规章规定的其他义务。</w:t>
      </w:r>
    </w:p>
    <w:p>
      <w:pPr>
        <w:pStyle w:val="4"/>
        <w:rPr>
          <w:color w:val="auto"/>
          <w:highlight w:val="none"/>
        </w:rPr>
      </w:pPr>
      <w:bookmarkStart w:id="397" w:name="_Toc25749"/>
      <w:bookmarkStart w:id="398" w:name="_Toc15759"/>
      <w:r>
        <w:rPr>
          <w:rFonts w:hint="eastAsia"/>
          <w:color w:val="auto"/>
          <w:highlight w:val="none"/>
        </w:rPr>
        <w:t>评审专家在政府采购活动中应当遵守以下工作纪律</w:t>
      </w:r>
      <w:bookmarkEnd w:id="393"/>
      <w:bookmarkEnd w:id="394"/>
      <w:bookmarkEnd w:id="395"/>
      <w:bookmarkEnd w:id="396"/>
      <w:bookmarkEnd w:id="397"/>
      <w:bookmarkEnd w:id="398"/>
    </w:p>
    <w:p>
      <w:pPr>
        <w:numPr>
          <w:ilvl w:val="0"/>
          <w:numId w:val="54"/>
        </w:numPr>
        <w:tabs>
          <w:tab w:val="left" w:pos="1155"/>
        </w:tabs>
        <w:ind w:firstLine="492"/>
        <w:rPr>
          <w:rFonts w:ascii="宋体" w:hAnsi="宋体"/>
          <w:color w:val="auto"/>
          <w:szCs w:val="24"/>
          <w:highlight w:val="none"/>
        </w:rPr>
      </w:pPr>
      <w:r>
        <w:rPr>
          <w:rFonts w:hint="eastAsia" w:ascii="宋体" w:hAnsi="宋体"/>
          <w:color w:val="auto"/>
          <w:szCs w:val="24"/>
          <w:highlight w:val="none"/>
        </w:rPr>
        <w:t>遵行《政府采购法》第十二条和《政府采购法实施条例》第九条及财政部关于回避的规定。</w:t>
      </w:r>
    </w:p>
    <w:p>
      <w:pPr>
        <w:numPr>
          <w:ilvl w:val="0"/>
          <w:numId w:val="54"/>
        </w:numPr>
        <w:tabs>
          <w:tab w:val="left" w:pos="1155"/>
        </w:tabs>
        <w:ind w:firstLine="492"/>
        <w:rPr>
          <w:rFonts w:ascii="宋体" w:hAnsi="宋体"/>
          <w:color w:val="auto"/>
          <w:szCs w:val="24"/>
          <w:highlight w:val="none"/>
        </w:rPr>
      </w:pPr>
      <w:r>
        <w:rPr>
          <w:rFonts w:hint="eastAsia" w:ascii="宋体" w:hAnsi="宋体"/>
          <w:color w:val="auto"/>
          <w:szCs w:val="24"/>
          <w:highlight w:val="none"/>
        </w:rPr>
        <w:t>评标前，应当将通讯工具或者相关电子设备交由招标采购单位统一保管。</w:t>
      </w:r>
    </w:p>
    <w:p>
      <w:pPr>
        <w:numPr>
          <w:ilvl w:val="0"/>
          <w:numId w:val="54"/>
        </w:numPr>
        <w:tabs>
          <w:tab w:val="left" w:pos="1155"/>
        </w:tabs>
        <w:ind w:firstLine="492"/>
        <w:rPr>
          <w:rFonts w:ascii="宋体" w:hAnsi="宋体"/>
          <w:color w:val="auto"/>
          <w:szCs w:val="24"/>
          <w:highlight w:val="none"/>
        </w:rPr>
      </w:pPr>
      <w:r>
        <w:rPr>
          <w:rFonts w:hint="eastAsia" w:ascii="宋体" w:hAnsi="宋体"/>
          <w:color w:val="auto"/>
          <w:szCs w:val="24"/>
          <w:highlight w:val="none"/>
        </w:rPr>
        <w:t>评标过程中，不得与外界联系，因发生不可预见情况，确实需要与外界联系的，应当在监督人员监督之下办理。</w:t>
      </w:r>
    </w:p>
    <w:p>
      <w:pPr>
        <w:numPr>
          <w:ilvl w:val="0"/>
          <w:numId w:val="54"/>
        </w:numPr>
        <w:tabs>
          <w:tab w:val="left" w:pos="1155"/>
        </w:tabs>
        <w:ind w:firstLine="492"/>
        <w:rPr>
          <w:rFonts w:ascii="宋体" w:hAnsi="宋体"/>
          <w:color w:val="auto"/>
          <w:szCs w:val="24"/>
          <w:highlight w:val="none"/>
        </w:rPr>
      </w:pPr>
      <w:r>
        <w:rPr>
          <w:rFonts w:hint="eastAsia" w:ascii="宋体" w:hAnsi="宋体"/>
          <w:color w:val="auto"/>
          <w:szCs w:val="24"/>
          <w:highlight w:val="none"/>
        </w:rPr>
        <w:t>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numPr>
          <w:ilvl w:val="0"/>
          <w:numId w:val="54"/>
        </w:numPr>
        <w:tabs>
          <w:tab w:val="left" w:pos="1155"/>
        </w:tabs>
        <w:ind w:firstLine="492"/>
        <w:rPr>
          <w:rFonts w:ascii="宋体" w:hAnsi="宋体"/>
          <w:color w:val="auto"/>
          <w:szCs w:val="24"/>
          <w:highlight w:val="none"/>
        </w:rPr>
      </w:pPr>
      <w:r>
        <w:rPr>
          <w:rFonts w:hint="eastAsia" w:ascii="宋体" w:hAnsi="宋体"/>
          <w:color w:val="auto"/>
          <w:szCs w:val="24"/>
          <w:highlight w:val="none"/>
        </w:rPr>
        <w:t>在评标过程中和评标结束后，不得记录、复制或带走任何评标资料，除因规定的义务外，不得向外界透露评标内容。</w:t>
      </w:r>
    </w:p>
    <w:p>
      <w:pPr>
        <w:numPr>
          <w:ilvl w:val="0"/>
          <w:numId w:val="54"/>
        </w:numPr>
        <w:tabs>
          <w:tab w:val="left" w:pos="1155"/>
        </w:tabs>
        <w:ind w:firstLine="492"/>
        <w:rPr>
          <w:rFonts w:ascii="宋体" w:hAnsi="宋体"/>
          <w:color w:val="auto"/>
          <w:szCs w:val="24"/>
          <w:highlight w:val="none"/>
        </w:rPr>
      </w:pPr>
      <w:r>
        <w:rPr>
          <w:rFonts w:hint="eastAsia" w:ascii="宋体" w:hAnsi="宋体"/>
          <w:color w:val="auto"/>
          <w:szCs w:val="24"/>
          <w:highlight w:val="none"/>
        </w:rPr>
        <w:t>服从评标现场招标采购单位的现场秩序管理，接受评标现场监督人员的合法监督。</w:t>
      </w:r>
    </w:p>
    <w:p>
      <w:pPr>
        <w:numPr>
          <w:ilvl w:val="0"/>
          <w:numId w:val="54"/>
        </w:numPr>
        <w:tabs>
          <w:tab w:val="left" w:pos="1155"/>
        </w:tabs>
        <w:ind w:firstLine="492"/>
        <w:rPr>
          <w:rFonts w:ascii="宋体" w:hAnsi="宋体"/>
          <w:color w:val="auto"/>
          <w:szCs w:val="24"/>
          <w:highlight w:val="none"/>
        </w:rPr>
      </w:pPr>
      <w:r>
        <w:rPr>
          <w:rFonts w:hint="eastAsia" w:ascii="宋体" w:hAnsi="宋体"/>
          <w:color w:val="auto"/>
          <w:szCs w:val="24"/>
          <w:highlight w:val="none"/>
        </w:rPr>
        <w:t>遵守有关廉洁自律规定，不得私下接触供应商，不得收受供应商及有关业务单位和个人的财物或好处，不得接受采购组织单位的请托。</w:t>
      </w:r>
    </w:p>
    <w:p>
      <w:pPr>
        <w:numPr>
          <w:ilvl w:val="0"/>
          <w:numId w:val="54"/>
        </w:numPr>
        <w:tabs>
          <w:tab w:val="left" w:pos="1155"/>
        </w:tabs>
        <w:ind w:firstLine="492"/>
        <w:rPr>
          <w:rFonts w:ascii="宋体" w:hAnsi="宋体"/>
          <w:color w:val="auto"/>
          <w:sz w:val="28"/>
          <w:szCs w:val="28"/>
          <w:highlight w:val="none"/>
        </w:rPr>
      </w:pPr>
      <w:r>
        <w:rPr>
          <w:rFonts w:hint="eastAsia" w:ascii="宋体" w:hAnsi="宋体"/>
          <w:color w:val="auto"/>
          <w:szCs w:val="24"/>
          <w:highlight w:val="none"/>
        </w:rPr>
        <w:t>遵守有关部门（机构）制定的其他评审工作纪律。</w:t>
      </w:r>
    </w:p>
    <w:p>
      <w:pPr>
        <w:pStyle w:val="3"/>
        <w:rPr>
          <w:color w:val="auto"/>
          <w:highlight w:val="none"/>
        </w:rPr>
      </w:pPr>
      <w:bookmarkStart w:id="399" w:name="_Toc26312"/>
      <w:bookmarkStart w:id="400" w:name="_Toc22856"/>
      <w:r>
        <w:rPr>
          <w:rFonts w:hint="eastAsia"/>
          <w:color w:val="auto"/>
          <w:highlight w:val="none"/>
        </w:rPr>
        <w:br w:type="page"/>
      </w:r>
      <w:bookmarkStart w:id="401" w:name="_Toc2734"/>
      <w:bookmarkStart w:id="402" w:name="_Toc20947"/>
      <w:r>
        <w:rPr>
          <w:rFonts w:hint="eastAsia"/>
          <w:color w:val="auto"/>
          <w:highlight w:val="none"/>
        </w:rPr>
        <w:t>政府采购合同</w:t>
      </w:r>
      <w:bookmarkEnd w:id="401"/>
      <w:bookmarkEnd w:id="402"/>
    </w:p>
    <w:p>
      <w:pPr>
        <w:ind w:firstLine="492"/>
        <w:rPr>
          <w:rFonts w:hint="eastAsia"/>
          <w:color w:val="auto"/>
          <w:highlight w:val="none"/>
        </w:rPr>
      </w:pPr>
      <w:r>
        <w:rPr>
          <w:rFonts w:hint="eastAsia"/>
          <w:color w:val="auto"/>
          <w:highlight w:val="none"/>
        </w:rPr>
        <w:t>（仅供参考，特别提醒：采购合同的签订不得偏离招标文件要约及投标文件承诺的实质性内容）</w:t>
      </w:r>
    </w:p>
    <w:p>
      <w:pPr>
        <w:spacing w:line="440" w:lineRule="exact"/>
        <w:ind w:firstLine="504"/>
        <w:rPr>
          <w:rFonts w:ascii="宋体" w:hAnsi="宋体"/>
          <w:color w:val="auto"/>
          <w:highlight w:val="none"/>
        </w:rPr>
      </w:pPr>
      <w:r>
        <w:rPr>
          <w:rFonts w:hint="eastAsia" w:ascii="宋体" w:hAnsi="宋体"/>
          <w:color w:val="auto"/>
          <w:highlight w:val="none"/>
        </w:rPr>
        <w:t>政府采购</w:t>
      </w:r>
      <w:r>
        <w:rPr>
          <w:rFonts w:ascii="宋体" w:hAnsi="宋体"/>
          <w:color w:val="auto"/>
          <w:highlight w:val="none"/>
        </w:rPr>
        <w:t>合同编号：</w:t>
      </w:r>
      <w:r>
        <w:rPr>
          <w:rFonts w:hint="eastAsia" w:ascii="宋体" w:hAnsi="宋体"/>
          <w:color w:val="auto"/>
          <w:szCs w:val="21"/>
          <w:highlight w:val="none"/>
        </w:rPr>
        <w:t>XXXX。</w:t>
      </w:r>
    </w:p>
    <w:p>
      <w:pPr>
        <w:spacing w:line="440" w:lineRule="exact"/>
        <w:ind w:firstLine="504"/>
        <w:rPr>
          <w:rFonts w:ascii="宋体" w:hAnsi="宋体"/>
          <w:color w:val="auto"/>
          <w:highlight w:val="none"/>
        </w:rPr>
      </w:pPr>
      <w:r>
        <w:rPr>
          <w:rFonts w:ascii="宋体" w:hAnsi="宋体"/>
          <w:color w:val="auto"/>
          <w:highlight w:val="none"/>
        </w:rPr>
        <w:t>签订地点：</w:t>
      </w:r>
      <w:r>
        <w:rPr>
          <w:rFonts w:hint="eastAsia" w:ascii="宋体" w:hAnsi="宋体"/>
          <w:color w:val="auto"/>
          <w:szCs w:val="21"/>
          <w:highlight w:val="none"/>
        </w:rPr>
        <w:t>XXXX。</w:t>
      </w:r>
    </w:p>
    <w:p>
      <w:pPr>
        <w:spacing w:line="440" w:lineRule="exact"/>
        <w:ind w:firstLine="504"/>
        <w:rPr>
          <w:rFonts w:ascii="宋体" w:hAnsi="宋体"/>
          <w:color w:val="auto"/>
          <w:highlight w:val="none"/>
        </w:rPr>
      </w:pPr>
      <w:r>
        <w:rPr>
          <w:rFonts w:ascii="宋体" w:hAnsi="宋体"/>
          <w:color w:val="auto"/>
          <w:highlight w:val="none"/>
        </w:rPr>
        <w:t>签订时间：</w:t>
      </w:r>
      <w:r>
        <w:rPr>
          <w:rFonts w:hint="eastAsia" w:ascii="宋体" w:hAnsi="宋体"/>
          <w:color w:val="auto"/>
          <w:szCs w:val="21"/>
          <w:highlight w:val="none"/>
        </w:rPr>
        <w:t>XXXX</w:t>
      </w:r>
      <w:r>
        <w:rPr>
          <w:rFonts w:ascii="宋体" w:hAnsi="宋体"/>
          <w:color w:val="auto"/>
          <w:highlight w:val="none"/>
        </w:rPr>
        <w:t>年</w:t>
      </w:r>
      <w:r>
        <w:rPr>
          <w:rFonts w:hint="eastAsia" w:ascii="宋体" w:hAnsi="宋体"/>
          <w:color w:val="auto"/>
          <w:szCs w:val="21"/>
          <w:highlight w:val="none"/>
        </w:rPr>
        <w:t>XX</w:t>
      </w:r>
      <w:r>
        <w:rPr>
          <w:rFonts w:ascii="宋体" w:hAnsi="宋体"/>
          <w:color w:val="auto"/>
          <w:highlight w:val="none"/>
        </w:rPr>
        <w:t>月</w:t>
      </w:r>
      <w:r>
        <w:rPr>
          <w:rFonts w:hint="eastAsia" w:ascii="宋体" w:hAnsi="宋体"/>
          <w:color w:val="auto"/>
          <w:szCs w:val="21"/>
          <w:highlight w:val="none"/>
        </w:rPr>
        <w:t>XX</w:t>
      </w:r>
      <w:r>
        <w:rPr>
          <w:rFonts w:ascii="宋体" w:hAnsi="宋体"/>
          <w:color w:val="auto"/>
          <w:highlight w:val="none"/>
        </w:rPr>
        <w:t>日</w:t>
      </w:r>
      <w:r>
        <w:rPr>
          <w:rFonts w:hint="eastAsia" w:ascii="宋体" w:hAnsi="宋体"/>
          <w:color w:val="auto"/>
          <w:highlight w:val="none"/>
        </w:rPr>
        <w:t>。</w:t>
      </w:r>
    </w:p>
    <w:p>
      <w:pPr>
        <w:spacing w:line="440" w:lineRule="exact"/>
        <w:ind w:firstLine="504"/>
        <w:rPr>
          <w:rFonts w:ascii="宋体" w:hAnsi="宋体"/>
          <w:color w:val="auto"/>
          <w:highlight w:val="none"/>
        </w:rPr>
      </w:pPr>
      <w:r>
        <w:rPr>
          <w:rFonts w:hint="eastAsia" w:ascii="宋体" w:hAnsi="宋体"/>
          <w:color w:val="auto"/>
          <w:highlight w:val="none"/>
        </w:rPr>
        <w:t>采购人（</w:t>
      </w:r>
      <w:r>
        <w:rPr>
          <w:rFonts w:ascii="宋体" w:hAnsi="宋体"/>
          <w:color w:val="auto"/>
          <w:highlight w:val="none"/>
        </w:rPr>
        <w:t>甲方</w:t>
      </w:r>
      <w:r>
        <w:rPr>
          <w:rFonts w:hint="eastAsia" w:ascii="宋体" w:hAnsi="宋体"/>
          <w:color w:val="auto"/>
          <w:highlight w:val="none"/>
        </w:rPr>
        <w:t>）</w:t>
      </w:r>
      <w:r>
        <w:rPr>
          <w:rFonts w:ascii="宋体" w:hAnsi="宋体"/>
          <w:color w:val="auto"/>
          <w:highlight w:val="none"/>
        </w:rPr>
        <w:t>：</w:t>
      </w:r>
      <w:r>
        <w:rPr>
          <w:rFonts w:ascii="宋体" w:hAnsi="宋体"/>
          <w:color w:val="auto"/>
          <w:highlight w:val="none"/>
          <w:u w:val="single"/>
        </w:rPr>
        <w:t xml:space="preserve">                              </w:t>
      </w:r>
    </w:p>
    <w:p>
      <w:pPr>
        <w:spacing w:line="440" w:lineRule="exact"/>
        <w:ind w:firstLine="504"/>
        <w:rPr>
          <w:rFonts w:ascii="宋体" w:hAnsi="宋体"/>
          <w:color w:val="auto"/>
          <w:highlight w:val="none"/>
          <w:u w:val="single"/>
        </w:rPr>
      </w:pPr>
      <w:r>
        <w:rPr>
          <w:rFonts w:hint="eastAsia" w:ascii="宋体" w:hAnsi="宋体"/>
          <w:color w:val="auto"/>
          <w:highlight w:val="none"/>
        </w:rPr>
        <w:t>供应商（乙</w:t>
      </w:r>
      <w:r>
        <w:rPr>
          <w:rFonts w:ascii="宋体" w:hAnsi="宋体"/>
          <w:color w:val="auto"/>
          <w:highlight w:val="none"/>
        </w:rPr>
        <w:t>方</w:t>
      </w:r>
      <w:r>
        <w:rPr>
          <w:rFonts w:hint="eastAsia" w:ascii="宋体" w:hAnsi="宋体"/>
          <w:color w:val="auto"/>
          <w:highlight w:val="none"/>
        </w:rPr>
        <w:t>）</w:t>
      </w:r>
      <w:r>
        <w:rPr>
          <w:rFonts w:ascii="宋体" w:hAnsi="宋体"/>
          <w:color w:val="auto"/>
          <w:highlight w:val="none"/>
        </w:rPr>
        <w:t>：</w:t>
      </w:r>
      <w:r>
        <w:rPr>
          <w:rFonts w:ascii="宋体" w:hAnsi="宋体"/>
          <w:color w:val="auto"/>
          <w:highlight w:val="none"/>
          <w:u w:val="single"/>
        </w:rPr>
        <w:t xml:space="preserve">                              </w:t>
      </w:r>
    </w:p>
    <w:p>
      <w:pPr>
        <w:spacing w:line="440" w:lineRule="exact"/>
        <w:ind w:firstLine="504"/>
        <w:rPr>
          <w:rFonts w:ascii="宋体" w:hAnsi="宋体"/>
          <w:color w:val="auto"/>
          <w:highlight w:val="none"/>
        </w:rPr>
      </w:pPr>
    </w:p>
    <w:p>
      <w:pPr>
        <w:spacing w:line="440" w:lineRule="exact"/>
        <w:ind w:firstLine="504"/>
        <w:rPr>
          <w:rFonts w:ascii="宋体" w:hAnsi="宋体"/>
          <w:color w:val="auto"/>
          <w:highlight w:val="none"/>
        </w:rPr>
      </w:pPr>
      <w:r>
        <w:rPr>
          <w:rFonts w:ascii="宋体" w:hAnsi="宋体"/>
          <w:color w:val="auto"/>
          <w:highlight w:val="none"/>
        </w:rPr>
        <w:t>依据《中华人民共和国</w:t>
      </w:r>
      <w:r>
        <w:rPr>
          <w:rFonts w:hint="eastAsia" w:ascii="宋体" w:hAnsi="宋体"/>
          <w:color w:val="auto"/>
          <w:highlight w:val="none"/>
        </w:rPr>
        <w:t>民法典</w:t>
      </w:r>
      <w:r>
        <w:rPr>
          <w:rFonts w:ascii="宋体" w:hAnsi="宋体"/>
          <w:color w:val="auto"/>
          <w:highlight w:val="none"/>
        </w:rPr>
        <w:t>》、《中华人民共和国政府采购法》</w:t>
      </w:r>
      <w:r>
        <w:rPr>
          <w:rFonts w:hint="eastAsia" w:ascii="宋体" w:hAnsi="宋体"/>
          <w:color w:val="auto"/>
          <w:highlight w:val="none"/>
        </w:rPr>
        <w:t>与项目行业有关的法律法规，以及xx采购项目  （项目编号：</w:t>
      </w:r>
      <w:r>
        <w:rPr>
          <w:rFonts w:hint="eastAsia" w:ascii="宋体" w:hAnsi="宋体"/>
          <w:color w:val="auto"/>
          <w:szCs w:val="21"/>
          <w:highlight w:val="none"/>
        </w:rPr>
        <w:t>XXXX</w:t>
      </w:r>
      <w:r>
        <w:rPr>
          <w:rFonts w:hint="eastAsia" w:ascii="宋体" w:hAnsi="宋体"/>
          <w:color w:val="auto"/>
          <w:highlight w:val="none"/>
        </w:rPr>
        <w:t>）</w:t>
      </w:r>
      <w:r>
        <w:rPr>
          <w:rFonts w:ascii="宋体" w:hAnsi="宋体"/>
          <w:color w:val="auto"/>
          <w:highlight w:val="none"/>
        </w:rPr>
        <w:t>的</w:t>
      </w:r>
      <w:r>
        <w:rPr>
          <w:rFonts w:hint="eastAsia" w:ascii="宋体" w:hAnsi="宋体"/>
          <w:color w:val="auto"/>
          <w:highlight w:val="none"/>
        </w:rPr>
        <w:t>《招标文件》</w:t>
      </w:r>
      <w:r>
        <w:rPr>
          <w:rFonts w:ascii="宋体" w:hAnsi="宋体"/>
          <w:color w:val="auto"/>
          <w:highlight w:val="none"/>
        </w:rPr>
        <w:t>，</w:t>
      </w:r>
      <w:r>
        <w:rPr>
          <w:rFonts w:hint="eastAsia" w:ascii="宋体" w:hAnsi="宋体"/>
          <w:color w:val="auto"/>
          <w:highlight w:val="none"/>
        </w:rPr>
        <w:t>乙方的《投标文件》及《中标通知书》，甲、乙双方同意签订本合同。详细技术说明及其他有关合同项目的特定信息由合同附件予以说明，合同附件及本项目的《招标文件》、《投标文件》、《中标通知书》等均为本合同的组成部分。</w:t>
      </w:r>
      <w:r>
        <w:rPr>
          <w:rFonts w:ascii="宋体" w:hAnsi="宋体"/>
          <w:color w:val="auto"/>
          <w:highlight w:val="none"/>
        </w:rPr>
        <w:t xml:space="preserve"> </w:t>
      </w:r>
    </w:p>
    <w:p>
      <w:pPr>
        <w:numPr>
          <w:ilvl w:val="0"/>
          <w:numId w:val="55"/>
        </w:numPr>
        <w:tabs>
          <w:tab w:val="left" w:pos="0"/>
          <w:tab w:val="clear" w:pos="1521"/>
        </w:tabs>
        <w:spacing w:line="440" w:lineRule="exact"/>
        <w:ind w:left="0" w:firstLine="0" w:firstLineChars="0"/>
        <w:rPr>
          <w:rFonts w:ascii="宋体" w:hAnsi="宋体"/>
          <w:b/>
          <w:color w:val="auto"/>
          <w:highlight w:val="none"/>
        </w:rPr>
      </w:pPr>
      <w:r>
        <w:rPr>
          <w:rFonts w:hint="eastAsia" w:ascii="宋体" w:hAnsi="宋体"/>
          <w:b/>
          <w:color w:val="auto"/>
          <w:highlight w:val="none"/>
        </w:rPr>
        <w:t>项目基本情况</w:t>
      </w:r>
    </w:p>
    <w:p>
      <w:pPr>
        <w:pStyle w:val="52"/>
        <w:ind w:firstLine="506"/>
        <w:rPr>
          <w:color w:val="auto"/>
          <w:highlight w:val="none"/>
        </w:rPr>
      </w:pPr>
    </w:p>
    <w:p>
      <w:pPr>
        <w:numPr>
          <w:ilvl w:val="0"/>
          <w:numId w:val="55"/>
        </w:numPr>
        <w:tabs>
          <w:tab w:val="left" w:pos="0"/>
          <w:tab w:val="clear" w:pos="1521"/>
        </w:tabs>
        <w:spacing w:line="440" w:lineRule="exact"/>
        <w:ind w:left="0" w:firstLine="0" w:firstLineChars="0"/>
        <w:rPr>
          <w:rFonts w:ascii="宋体" w:hAnsi="宋体"/>
          <w:b/>
          <w:color w:val="auto"/>
          <w:highlight w:val="none"/>
        </w:rPr>
      </w:pPr>
      <w:r>
        <w:rPr>
          <w:rFonts w:hint="eastAsia" w:ascii="宋体" w:hAnsi="宋体"/>
          <w:b/>
          <w:color w:val="auto"/>
          <w:highlight w:val="none"/>
        </w:rPr>
        <w:t>合同期限</w:t>
      </w:r>
    </w:p>
    <w:p>
      <w:pPr>
        <w:spacing w:line="440" w:lineRule="exact"/>
        <w:ind w:firstLine="504"/>
        <w:rPr>
          <w:rFonts w:ascii="宋体" w:hAnsi="宋体"/>
          <w:color w:val="auto"/>
          <w:highlight w:val="none"/>
        </w:rPr>
      </w:pPr>
    </w:p>
    <w:p>
      <w:pPr>
        <w:numPr>
          <w:ilvl w:val="0"/>
          <w:numId w:val="55"/>
        </w:numPr>
        <w:tabs>
          <w:tab w:val="left" w:pos="0"/>
          <w:tab w:val="clear" w:pos="1521"/>
        </w:tabs>
        <w:spacing w:line="440" w:lineRule="exact"/>
        <w:ind w:left="0" w:firstLine="0" w:firstLineChars="0"/>
        <w:rPr>
          <w:rFonts w:ascii="宋体" w:hAnsi="宋体"/>
          <w:b/>
          <w:color w:val="auto"/>
          <w:highlight w:val="none"/>
        </w:rPr>
      </w:pPr>
      <w:bookmarkStart w:id="403" w:name="_Toc286993786"/>
      <w:bookmarkStart w:id="404" w:name="_Toc225654644"/>
      <w:bookmarkStart w:id="405" w:name="_Toc225244852"/>
      <w:bookmarkStart w:id="406" w:name="_Toc247334841"/>
      <w:bookmarkStart w:id="407" w:name="_Toc237145406"/>
      <w:bookmarkStart w:id="408" w:name="_Toc211854449"/>
      <w:bookmarkStart w:id="409" w:name="_Toc238984975"/>
      <w:bookmarkStart w:id="410" w:name="_Toc239568418"/>
      <w:bookmarkStart w:id="411" w:name="_Toc282696226"/>
      <w:bookmarkStart w:id="412" w:name="_Toc283019214"/>
      <w:bookmarkStart w:id="413" w:name="_Toc239233914"/>
      <w:bookmarkStart w:id="414" w:name="_Toc241833903"/>
      <w:bookmarkStart w:id="415" w:name="_Toc232492928"/>
      <w:bookmarkStart w:id="416" w:name="_Toc251768862"/>
      <w:bookmarkStart w:id="417" w:name="_Toc185395249"/>
      <w:bookmarkStart w:id="418" w:name="_Toc211911348"/>
      <w:bookmarkStart w:id="419" w:name="_Toc212019594"/>
      <w:bookmarkStart w:id="420" w:name="_Toc225670751"/>
      <w:r>
        <w:rPr>
          <w:rFonts w:hint="eastAsia" w:ascii="宋体" w:hAnsi="宋体"/>
          <w:b/>
          <w:color w:val="auto"/>
          <w:highlight w:val="none"/>
        </w:rPr>
        <w:t>服务内容与质量标准</w:t>
      </w:r>
    </w:p>
    <w:p>
      <w:pPr>
        <w:spacing w:line="440" w:lineRule="exact"/>
        <w:ind w:left="567" w:firstLine="504"/>
        <w:rPr>
          <w:rFonts w:ascii="宋体" w:hAnsi="宋体"/>
          <w:color w:val="auto"/>
          <w:highlight w:val="none"/>
        </w:rPr>
      </w:pPr>
      <w:r>
        <w:rPr>
          <w:rFonts w:hint="eastAsia" w:ascii="宋体" w:hAnsi="宋体"/>
          <w:color w:val="auto"/>
          <w:highlight w:val="none"/>
        </w:rPr>
        <w:t>1、</w:t>
      </w:r>
      <w:r>
        <w:rPr>
          <w:rFonts w:hint="eastAsia" w:ascii="宋体" w:hAnsi="宋体"/>
          <w:color w:val="auto"/>
          <w:szCs w:val="21"/>
          <w:highlight w:val="none"/>
        </w:rPr>
        <w:t>XXXX；</w:t>
      </w:r>
    </w:p>
    <w:p>
      <w:pPr>
        <w:spacing w:line="440" w:lineRule="exact"/>
        <w:ind w:left="567" w:firstLine="504"/>
        <w:rPr>
          <w:rFonts w:ascii="宋体" w:hAnsi="宋体"/>
          <w:color w:val="auto"/>
          <w:highlight w:val="none"/>
        </w:rPr>
      </w:pPr>
      <w:r>
        <w:rPr>
          <w:rFonts w:hint="eastAsia" w:ascii="宋体" w:hAnsi="宋体"/>
          <w:color w:val="auto"/>
          <w:highlight w:val="none"/>
        </w:rPr>
        <w:t>2、</w:t>
      </w:r>
      <w:r>
        <w:rPr>
          <w:rFonts w:hint="eastAsia" w:ascii="宋体" w:hAnsi="宋体"/>
          <w:color w:val="auto"/>
          <w:szCs w:val="21"/>
          <w:highlight w:val="none"/>
        </w:rPr>
        <w:t>XXXX；</w:t>
      </w:r>
    </w:p>
    <w:p>
      <w:pPr>
        <w:spacing w:line="440" w:lineRule="exact"/>
        <w:ind w:left="567" w:firstLine="504"/>
        <w:rPr>
          <w:rFonts w:ascii="宋体" w:hAnsi="宋体"/>
          <w:color w:val="auto"/>
          <w:highlight w:val="none"/>
        </w:rPr>
      </w:pPr>
      <w:r>
        <w:rPr>
          <w:rFonts w:hint="eastAsia" w:ascii="宋体" w:hAnsi="宋体"/>
          <w:color w:val="auto"/>
          <w:highlight w:val="none"/>
        </w:rPr>
        <w:t>3、</w:t>
      </w:r>
      <w:r>
        <w:rPr>
          <w:rFonts w:hint="eastAsia" w:ascii="宋体" w:hAnsi="宋体"/>
          <w:color w:val="auto"/>
          <w:szCs w:val="21"/>
          <w:highlight w:val="none"/>
        </w:rPr>
        <w:t>XXXX．</w:t>
      </w:r>
    </w:p>
    <w:p>
      <w:pPr>
        <w:spacing w:line="440" w:lineRule="exact"/>
        <w:ind w:firstLine="504"/>
        <w:rPr>
          <w:rFonts w:ascii="宋体" w:hAnsi="宋体"/>
          <w:color w:val="auto"/>
          <w:highlight w:val="none"/>
        </w:rPr>
      </w:pPr>
      <w:r>
        <w:rPr>
          <w:rFonts w:ascii="宋体" w:hAnsi="宋体"/>
          <w:color w:val="auto"/>
          <w:highlight w:val="none"/>
        </w:rPr>
        <w:t>…</w:t>
      </w:r>
    </w:p>
    <w:p>
      <w:pPr>
        <w:numPr>
          <w:ilvl w:val="0"/>
          <w:numId w:val="55"/>
        </w:numPr>
        <w:tabs>
          <w:tab w:val="left" w:pos="0"/>
          <w:tab w:val="clear" w:pos="1521"/>
        </w:tabs>
        <w:spacing w:line="440" w:lineRule="exact"/>
        <w:ind w:left="0" w:firstLine="0" w:firstLineChars="0"/>
        <w:rPr>
          <w:rFonts w:ascii="宋体" w:hAnsi="宋体"/>
          <w:b/>
          <w:color w:val="auto"/>
          <w:highlight w:val="none"/>
        </w:rPr>
      </w:pPr>
      <w:r>
        <w:rPr>
          <w:rFonts w:hint="eastAsia" w:ascii="宋体" w:hAnsi="宋体"/>
          <w:b/>
          <w:color w:val="auto"/>
          <w:highlight w:val="none"/>
        </w:rPr>
        <w:t>服务费用及支付方式</w:t>
      </w:r>
    </w:p>
    <w:p>
      <w:pPr>
        <w:numPr>
          <w:ilvl w:val="0"/>
          <w:numId w:val="56"/>
        </w:numPr>
        <w:spacing w:line="440" w:lineRule="exact"/>
        <w:ind w:left="0" w:firstLine="506"/>
        <w:rPr>
          <w:rFonts w:ascii="宋体" w:hAnsi="宋体"/>
          <w:b/>
          <w:color w:val="auto"/>
          <w:highlight w:val="none"/>
        </w:rPr>
      </w:pPr>
      <w:r>
        <w:rPr>
          <w:rFonts w:hint="eastAsia" w:ascii="宋体" w:hAnsi="宋体"/>
          <w:b/>
          <w:color w:val="auto"/>
          <w:highlight w:val="none"/>
        </w:rPr>
        <w:t>本项目服务费用由以下组成：</w:t>
      </w:r>
    </w:p>
    <w:p>
      <w:pPr>
        <w:spacing w:line="440" w:lineRule="exact"/>
        <w:ind w:firstLine="504"/>
        <w:rPr>
          <w:rFonts w:ascii="宋体" w:hAnsi="宋体"/>
          <w:color w:val="auto"/>
          <w:highlight w:val="none"/>
        </w:rPr>
      </w:pPr>
      <w:r>
        <w:rPr>
          <w:rFonts w:hint="eastAsia" w:ascii="宋体" w:hAnsi="宋体"/>
          <w:color w:val="auto"/>
          <w:highlight w:val="none"/>
        </w:rPr>
        <w:t>1、</w:t>
      </w:r>
      <w:r>
        <w:rPr>
          <w:rFonts w:hint="eastAsia" w:ascii="宋体" w:hAnsi="宋体"/>
          <w:color w:val="auto"/>
          <w:szCs w:val="21"/>
          <w:highlight w:val="none"/>
        </w:rPr>
        <w:t>XX</w:t>
      </w:r>
      <w:r>
        <w:rPr>
          <w:rFonts w:hint="eastAsia" w:ascii="宋体" w:hAnsi="宋体"/>
          <w:color w:val="auto"/>
          <w:highlight w:val="none"/>
        </w:rPr>
        <w:t>万元；</w:t>
      </w:r>
    </w:p>
    <w:p>
      <w:pPr>
        <w:spacing w:line="440" w:lineRule="exact"/>
        <w:ind w:firstLine="504"/>
        <w:rPr>
          <w:rFonts w:ascii="宋体" w:hAnsi="宋体"/>
          <w:color w:val="auto"/>
          <w:highlight w:val="none"/>
        </w:rPr>
      </w:pPr>
      <w:r>
        <w:rPr>
          <w:rFonts w:hint="eastAsia" w:ascii="宋体" w:hAnsi="宋体"/>
          <w:color w:val="auto"/>
          <w:highlight w:val="none"/>
        </w:rPr>
        <w:t>2、</w:t>
      </w:r>
      <w:r>
        <w:rPr>
          <w:rFonts w:hint="eastAsia" w:ascii="宋体" w:hAnsi="宋体"/>
          <w:color w:val="auto"/>
          <w:szCs w:val="21"/>
          <w:highlight w:val="none"/>
        </w:rPr>
        <w:t>XX</w:t>
      </w:r>
      <w:r>
        <w:rPr>
          <w:rFonts w:hint="eastAsia" w:ascii="宋体" w:hAnsi="宋体"/>
          <w:color w:val="auto"/>
          <w:highlight w:val="none"/>
        </w:rPr>
        <w:t>万元；</w:t>
      </w:r>
    </w:p>
    <w:p>
      <w:pPr>
        <w:spacing w:line="440" w:lineRule="exact"/>
        <w:ind w:firstLine="504"/>
        <w:rPr>
          <w:rFonts w:ascii="宋体" w:hAnsi="宋体"/>
          <w:color w:val="auto"/>
          <w:highlight w:val="none"/>
        </w:rPr>
      </w:pPr>
      <w:r>
        <w:rPr>
          <w:rFonts w:hint="eastAsia" w:ascii="宋体" w:hAnsi="宋体"/>
          <w:color w:val="auto"/>
          <w:highlight w:val="none"/>
        </w:rPr>
        <w:t>3、</w:t>
      </w:r>
      <w:r>
        <w:rPr>
          <w:rFonts w:hint="eastAsia" w:ascii="宋体" w:hAnsi="宋体"/>
          <w:color w:val="auto"/>
          <w:szCs w:val="21"/>
          <w:highlight w:val="none"/>
        </w:rPr>
        <w:t>XX</w:t>
      </w:r>
      <w:r>
        <w:rPr>
          <w:rFonts w:hint="eastAsia" w:ascii="宋体" w:hAnsi="宋体"/>
          <w:color w:val="auto"/>
          <w:highlight w:val="none"/>
        </w:rPr>
        <w:t>万元。</w:t>
      </w:r>
    </w:p>
    <w:p>
      <w:pPr>
        <w:spacing w:line="440" w:lineRule="exact"/>
        <w:ind w:firstLine="504"/>
        <w:rPr>
          <w:rFonts w:ascii="宋体" w:hAnsi="宋体"/>
          <w:color w:val="auto"/>
          <w:highlight w:val="none"/>
        </w:rPr>
      </w:pPr>
      <w:r>
        <w:rPr>
          <w:rFonts w:ascii="宋体" w:hAnsi="宋体"/>
          <w:color w:val="auto"/>
          <w:highlight w:val="none"/>
        </w:rPr>
        <w:t>……</w:t>
      </w:r>
    </w:p>
    <w:p>
      <w:pPr>
        <w:numPr>
          <w:ilvl w:val="0"/>
          <w:numId w:val="56"/>
        </w:numPr>
        <w:tabs>
          <w:tab w:val="left" w:pos="780"/>
        </w:tabs>
        <w:spacing w:line="440" w:lineRule="exact"/>
        <w:ind w:left="0" w:firstLine="506"/>
        <w:rPr>
          <w:rFonts w:ascii="宋体" w:hAnsi="宋体" w:cs="宋体"/>
          <w:color w:val="auto"/>
          <w:szCs w:val="24"/>
          <w:highlight w:val="none"/>
        </w:rPr>
      </w:pPr>
      <w:r>
        <w:rPr>
          <w:rFonts w:hint="eastAsia" w:ascii="宋体" w:hAnsi="宋体"/>
          <w:b/>
          <w:color w:val="auto"/>
          <w:highlight w:val="none"/>
        </w:rPr>
        <w:t xml:space="preserve">服务费支付方式： </w:t>
      </w:r>
      <w:r>
        <w:rPr>
          <w:rFonts w:hint="eastAsia" w:ascii="宋体" w:hAnsi="宋体" w:cs="宋体"/>
          <w:color w:val="auto"/>
          <w:szCs w:val="24"/>
          <w:highlight w:val="none"/>
        </w:rPr>
        <w:t>。</w:t>
      </w:r>
    </w:p>
    <w:p>
      <w:pPr>
        <w:numPr>
          <w:ilvl w:val="0"/>
          <w:numId w:val="55"/>
        </w:numPr>
        <w:tabs>
          <w:tab w:val="left" w:pos="0"/>
          <w:tab w:val="clear" w:pos="1521"/>
        </w:tabs>
        <w:spacing w:line="440" w:lineRule="exact"/>
        <w:ind w:left="0" w:firstLine="0" w:firstLineChars="0"/>
        <w:rPr>
          <w:rFonts w:ascii="宋体" w:hAnsi="宋体"/>
          <w:b/>
          <w:color w:val="auto"/>
          <w:highlight w:val="none"/>
        </w:rPr>
      </w:pPr>
      <w:r>
        <w:rPr>
          <w:rFonts w:hint="eastAsia" w:ascii="宋体" w:hAnsi="宋体"/>
          <w:b/>
          <w:color w:val="auto"/>
          <w:highlight w:val="none"/>
        </w:rPr>
        <w:t>知识产权</w:t>
      </w:r>
    </w:p>
    <w:p>
      <w:pPr>
        <w:tabs>
          <w:tab w:val="left" w:pos="1440"/>
        </w:tabs>
        <w:spacing w:line="440" w:lineRule="exact"/>
        <w:ind w:firstLine="504"/>
        <w:rPr>
          <w:rFonts w:ascii="宋体" w:hAnsi="宋体"/>
          <w:color w:val="auto"/>
          <w:highlight w:val="none"/>
        </w:rPr>
      </w:pPr>
      <w:r>
        <w:rPr>
          <w:rFonts w:hint="eastAsia" w:ascii="宋体" w:hAnsi="宋体"/>
          <w:color w:val="auto"/>
          <w:highlight w:val="none"/>
        </w:rPr>
        <w:t>乙方应保证所提供的服务或其任何一部分均不会侵犯任何第三方的专利权、商标权或著作权。</w:t>
      </w:r>
    </w:p>
    <w:p>
      <w:pPr>
        <w:numPr>
          <w:ilvl w:val="0"/>
          <w:numId w:val="55"/>
        </w:numPr>
        <w:tabs>
          <w:tab w:val="left" w:pos="0"/>
          <w:tab w:val="clear" w:pos="1521"/>
        </w:tabs>
        <w:spacing w:line="440" w:lineRule="exact"/>
        <w:ind w:left="0" w:firstLine="0" w:firstLineChars="0"/>
        <w:rPr>
          <w:rFonts w:ascii="宋体" w:hAnsi="宋体"/>
          <w:b/>
          <w:color w:val="auto"/>
          <w:highlight w:val="none"/>
        </w:rPr>
      </w:pPr>
      <w:r>
        <w:rPr>
          <w:rFonts w:hint="eastAsia" w:ascii="宋体" w:hAnsi="宋体"/>
          <w:b/>
          <w:color w:val="auto"/>
          <w:highlight w:val="none"/>
        </w:rPr>
        <w:t>无产权瑕疵条款</w:t>
      </w:r>
    </w:p>
    <w:p>
      <w:pPr>
        <w:tabs>
          <w:tab w:val="left" w:pos="1440"/>
        </w:tabs>
        <w:spacing w:line="440" w:lineRule="exact"/>
        <w:ind w:firstLine="504"/>
        <w:rPr>
          <w:rFonts w:ascii="宋体" w:hAnsi="宋体"/>
          <w:color w:val="auto"/>
          <w:highlight w:val="none"/>
        </w:rPr>
      </w:pPr>
      <w:r>
        <w:rPr>
          <w:rFonts w:hint="eastAsia" w:ascii="宋体" w:hAnsi="宋体"/>
          <w:color w:val="auto"/>
          <w:highlight w:val="none"/>
        </w:rPr>
        <w:t>乙方保证所提供的服务的所有权完全属于乙方且无任何抵押、查封等产权瑕疵。如有产权瑕疵的，视为乙方违约。乙方应负担由此而产生的一切损失。</w:t>
      </w:r>
    </w:p>
    <w:p>
      <w:pPr>
        <w:numPr>
          <w:ilvl w:val="0"/>
          <w:numId w:val="55"/>
        </w:numPr>
        <w:tabs>
          <w:tab w:val="left" w:pos="0"/>
          <w:tab w:val="clear" w:pos="1521"/>
        </w:tabs>
        <w:spacing w:line="440" w:lineRule="exact"/>
        <w:ind w:left="0" w:firstLine="0" w:firstLineChars="0"/>
        <w:rPr>
          <w:rFonts w:ascii="宋体" w:hAnsi="宋体"/>
          <w:b/>
          <w:color w:val="auto"/>
          <w:highlight w:val="none"/>
        </w:rPr>
      </w:pPr>
      <w:r>
        <w:rPr>
          <w:rFonts w:ascii="宋体" w:hAnsi="宋体"/>
          <w:b/>
          <w:color w:val="auto"/>
          <w:highlight w:val="none"/>
        </w:rPr>
        <w:t>甲方的权利和义务</w:t>
      </w:r>
    </w:p>
    <w:p>
      <w:pPr>
        <w:adjustRightInd w:val="0"/>
        <w:spacing w:line="440" w:lineRule="exact"/>
        <w:ind w:firstLine="504"/>
        <w:textAlignment w:val="baseline"/>
        <w:rPr>
          <w:rFonts w:ascii="宋体" w:hAnsi="宋体"/>
          <w:bCs/>
          <w:color w:val="auto"/>
          <w:highlight w:val="none"/>
        </w:rPr>
      </w:pPr>
      <w:r>
        <w:rPr>
          <w:rFonts w:hint="eastAsia" w:ascii="宋体" w:hAnsi="宋体"/>
          <w:bCs/>
          <w:color w:val="auto"/>
          <w:highlight w:val="none"/>
        </w:rPr>
        <w:t>1、</w:t>
      </w:r>
      <w:r>
        <w:rPr>
          <w:rFonts w:ascii="宋体" w:hAnsi="宋体"/>
          <w:bCs/>
          <w:color w:val="auto"/>
          <w:highlight w:val="none"/>
        </w:rPr>
        <w:t>甲方有权对合同规定范围内</w:t>
      </w:r>
      <w:r>
        <w:rPr>
          <w:rFonts w:hint="eastAsia" w:ascii="宋体" w:hAnsi="宋体"/>
          <w:bCs/>
          <w:color w:val="auto"/>
          <w:highlight w:val="none"/>
        </w:rPr>
        <w:t>乙方的服务行为</w:t>
      </w:r>
      <w:r>
        <w:rPr>
          <w:rFonts w:ascii="宋体" w:hAnsi="宋体"/>
          <w:bCs/>
          <w:color w:val="auto"/>
          <w:highlight w:val="none"/>
        </w:rPr>
        <w:t>进行监督和检查，拥有监管权。有权定期核对乙方提供服务所配备的人员数量。对甲方认为不合理的部分有权</w:t>
      </w:r>
      <w:r>
        <w:rPr>
          <w:rFonts w:hint="eastAsia" w:ascii="宋体" w:hAnsi="宋体"/>
          <w:bCs/>
          <w:color w:val="auto"/>
          <w:highlight w:val="none"/>
        </w:rPr>
        <w:t>下达整改通知书，并</w:t>
      </w:r>
      <w:r>
        <w:rPr>
          <w:rFonts w:ascii="宋体" w:hAnsi="宋体"/>
          <w:bCs/>
          <w:color w:val="auto"/>
          <w:highlight w:val="none"/>
        </w:rPr>
        <w:t>要求乙方</w:t>
      </w:r>
      <w:r>
        <w:rPr>
          <w:rFonts w:hint="eastAsia" w:ascii="宋体" w:hAnsi="宋体"/>
          <w:bCs/>
          <w:color w:val="auto"/>
          <w:highlight w:val="none"/>
        </w:rPr>
        <w:t>限期整改</w:t>
      </w:r>
      <w:r>
        <w:rPr>
          <w:rFonts w:ascii="宋体" w:hAnsi="宋体"/>
          <w:bCs/>
          <w:color w:val="auto"/>
          <w:highlight w:val="none"/>
        </w:rPr>
        <w:t>。</w:t>
      </w:r>
    </w:p>
    <w:p>
      <w:pPr>
        <w:adjustRightInd w:val="0"/>
        <w:spacing w:line="440" w:lineRule="exact"/>
        <w:ind w:firstLine="504"/>
        <w:textAlignment w:val="baseline"/>
        <w:rPr>
          <w:rFonts w:ascii="宋体" w:hAnsi="宋体"/>
          <w:bCs/>
          <w:color w:val="auto"/>
          <w:highlight w:val="none"/>
        </w:rPr>
      </w:pPr>
      <w:r>
        <w:rPr>
          <w:rFonts w:hint="eastAsia" w:ascii="宋体" w:hAnsi="宋体"/>
          <w:bCs/>
          <w:color w:val="auto"/>
          <w:highlight w:val="none"/>
        </w:rPr>
        <w:t>2、甲方有权依据双方签订的考评办法对乙方提供的服务进行定期考评。当考评结果未达到标准时，有权依据考评办法约定的数额扣除履约保证金。</w:t>
      </w:r>
    </w:p>
    <w:p>
      <w:pPr>
        <w:adjustRightInd w:val="0"/>
        <w:spacing w:line="440" w:lineRule="exact"/>
        <w:ind w:firstLine="504"/>
        <w:textAlignment w:val="baseline"/>
        <w:rPr>
          <w:rFonts w:ascii="宋体" w:hAnsi="宋体"/>
          <w:bCs/>
          <w:color w:val="auto"/>
          <w:highlight w:val="none"/>
        </w:rPr>
      </w:pPr>
      <w:r>
        <w:rPr>
          <w:rFonts w:hint="eastAsia" w:ascii="宋体" w:hAnsi="宋体"/>
          <w:bCs/>
          <w:color w:val="auto"/>
          <w:highlight w:val="none"/>
        </w:rPr>
        <w:t>3、</w:t>
      </w:r>
      <w:r>
        <w:rPr>
          <w:rFonts w:ascii="宋体" w:hAnsi="宋体"/>
          <w:bCs/>
          <w:color w:val="auto"/>
          <w:highlight w:val="none"/>
        </w:rPr>
        <w:t>负责检查监督乙方管理工作的实施及制度的执行情况。</w:t>
      </w:r>
    </w:p>
    <w:p>
      <w:pPr>
        <w:adjustRightInd w:val="0"/>
        <w:spacing w:line="440" w:lineRule="exact"/>
        <w:ind w:firstLine="504"/>
        <w:textAlignment w:val="baseline"/>
        <w:rPr>
          <w:rFonts w:ascii="宋体" w:hAnsi="宋体"/>
          <w:bCs/>
          <w:color w:val="auto"/>
          <w:highlight w:val="none"/>
        </w:rPr>
      </w:pPr>
      <w:r>
        <w:rPr>
          <w:rFonts w:hint="eastAsia" w:ascii="宋体" w:hAnsi="宋体"/>
          <w:bCs/>
          <w:color w:val="auto"/>
          <w:highlight w:val="none"/>
        </w:rPr>
        <w:t>4、</w:t>
      </w:r>
      <w:r>
        <w:rPr>
          <w:rFonts w:ascii="宋体" w:hAnsi="宋体"/>
          <w:bCs/>
          <w:color w:val="auto"/>
          <w:highlight w:val="none"/>
        </w:rPr>
        <w:t>根据本合同规定，按时向乙方支付应付</w:t>
      </w:r>
      <w:r>
        <w:rPr>
          <w:rFonts w:hint="eastAsia" w:ascii="宋体" w:hAnsi="宋体"/>
          <w:bCs/>
          <w:color w:val="auto"/>
          <w:highlight w:val="none"/>
        </w:rPr>
        <w:t>服务费用</w:t>
      </w:r>
      <w:r>
        <w:rPr>
          <w:rFonts w:ascii="宋体" w:hAnsi="宋体"/>
          <w:bCs/>
          <w:color w:val="auto"/>
          <w:highlight w:val="none"/>
        </w:rPr>
        <w:t>。</w:t>
      </w:r>
    </w:p>
    <w:p>
      <w:pPr>
        <w:adjustRightInd w:val="0"/>
        <w:spacing w:line="440" w:lineRule="exact"/>
        <w:ind w:firstLine="504"/>
        <w:textAlignment w:val="baseline"/>
        <w:rPr>
          <w:rFonts w:ascii="宋体" w:hAnsi="宋体"/>
          <w:bCs/>
          <w:color w:val="auto"/>
          <w:highlight w:val="none"/>
        </w:rPr>
      </w:pPr>
      <w:r>
        <w:rPr>
          <w:rFonts w:hint="eastAsia" w:ascii="宋体" w:hAnsi="宋体"/>
          <w:bCs/>
          <w:color w:val="auto"/>
          <w:highlight w:val="none"/>
        </w:rPr>
        <w:t>5、</w:t>
      </w:r>
      <w:r>
        <w:rPr>
          <w:rFonts w:ascii="宋体" w:hAnsi="宋体"/>
          <w:bCs/>
          <w:color w:val="auto"/>
          <w:highlight w:val="none"/>
        </w:rPr>
        <w:t>国家法律、法规所规定由甲方承担的其它责任。</w:t>
      </w:r>
    </w:p>
    <w:p>
      <w:pPr>
        <w:numPr>
          <w:ilvl w:val="0"/>
          <w:numId w:val="55"/>
        </w:numPr>
        <w:tabs>
          <w:tab w:val="left" w:pos="0"/>
          <w:tab w:val="clear" w:pos="1521"/>
        </w:tabs>
        <w:spacing w:line="440" w:lineRule="exact"/>
        <w:ind w:left="0" w:firstLine="0" w:firstLineChars="0"/>
        <w:rPr>
          <w:rFonts w:ascii="宋体" w:hAnsi="宋体"/>
          <w:b/>
          <w:color w:val="auto"/>
          <w:highlight w:val="none"/>
        </w:rPr>
      </w:pPr>
      <w:r>
        <w:rPr>
          <w:rFonts w:ascii="宋体" w:hAnsi="宋体"/>
          <w:b/>
          <w:color w:val="auto"/>
          <w:highlight w:val="none"/>
        </w:rPr>
        <w:t>乙方的权利和义务</w:t>
      </w:r>
    </w:p>
    <w:p>
      <w:pPr>
        <w:adjustRightInd w:val="0"/>
        <w:spacing w:line="440" w:lineRule="exact"/>
        <w:ind w:firstLine="504"/>
        <w:textAlignment w:val="baseline"/>
        <w:rPr>
          <w:rFonts w:ascii="宋体" w:hAnsi="宋体"/>
          <w:bCs/>
          <w:color w:val="auto"/>
          <w:highlight w:val="none"/>
        </w:rPr>
      </w:pPr>
      <w:r>
        <w:rPr>
          <w:rFonts w:hint="eastAsia" w:ascii="宋体" w:hAnsi="宋体"/>
          <w:bCs/>
          <w:color w:val="auto"/>
          <w:highlight w:val="none"/>
        </w:rPr>
        <w:t>1、</w:t>
      </w:r>
      <w:r>
        <w:rPr>
          <w:rFonts w:ascii="宋体" w:hAnsi="宋体"/>
          <w:bCs/>
          <w:color w:val="auto"/>
          <w:highlight w:val="none"/>
        </w:rPr>
        <w:t>对本合同规定的委托</w:t>
      </w:r>
      <w:r>
        <w:rPr>
          <w:rFonts w:hint="eastAsia" w:ascii="宋体" w:hAnsi="宋体"/>
          <w:bCs/>
          <w:color w:val="auto"/>
          <w:highlight w:val="none"/>
        </w:rPr>
        <w:t>服务</w:t>
      </w:r>
      <w:r>
        <w:rPr>
          <w:rFonts w:ascii="宋体" w:hAnsi="宋体"/>
          <w:bCs/>
          <w:color w:val="auto"/>
          <w:highlight w:val="none"/>
        </w:rPr>
        <w:t>范围内的</w:t>
      </w:r>
      <w:r>
        <w:rPr>
          <w:rFonts w:hint="eastAsia" w:ascii="宋体" w:hAnsi="宋体"/>
          <w:bCs/>
          <w:color w:val="auto"/>
          <w:highlight w:val="none"/>
        </w:rPr>
        <w:t>项目</w:t>
      </w:r>
      <w:r>
        <w:rPr>
          <w:rFonts w:ascii="宋体" w:hAnsi="宋体"/>
          <w:bCs/>
          <w:color w:val="auto"/>
          <w:highlight w:val="none"/>
        </w:rPr>
        <w:t>享有管理权及服务义务。</w:t>
      </w:r>
    </w:p>
    <w:p>
      <w:pPr>
        <w:adjustRightInd w:val="0"/>
        <w:spacing w:line="440" w:lineRule="exact"/>
        <w:ind w:firstLine="504"/>
        <w:textAlignment w:val="baseline"/>
        <w:rPr>
          <w:rFonts w:ascii="宋体" w:hAnsi="宋体"/>
          <w:bCs/>
          <w:color w:val="auto"/>
          <w:highlight w:val="none"/>
        </w:rPr>
      </w:pPr>
      <w:r>
        <w:rPr>
          <w:rFonts w:hint="eastAsia" w:ascii="宋体" w:hAnsi="宋体"/>
          <w:bCs/>
          <w:color w:val="auto"/>
          <w:highlight w:val="none"/>
        </w:rPr>
        <w:t>2、</w:t>
      </w:r>
      <w:r>
        <w:rPr>
          <w:rFonts w:ascii="宋体" w:hAnsi="宋体"/>
          <w:bCs/>
          <w:color w:val="auto"/>
          <w:highlight w:val="none"/>
        </w:rPr>
        <w:t>根据本合同的规定向甲方收取相关</w:t>
      </w:r>
      <w:r>
        <w:rPr>
          <w:rFonts w:hint="eastAsia" w:ascii="宋体" w:hAnsi="宋体"/>
          <w:bCs/>
          <w:color w:val="auto"/>
          <w:highlight w:val="none"/>
        </w:rPr>
        <w:t>服务</w:t>
      </w:r>
      <w:r>
        <w:rPr>
          <w:rFonts w:ascii="宋体" w:hAnsi="宋体"/>
          <w:bCs/>
          <w:color w:val="auto"/>
          <w:highlight w:val="none"/>
        </w:rPr>
        <w:t>费用，并有权</w:t>
      </w:r>
      <w:r>
        <w:rPr>
          <w:rFonts w:hint="eastAsia" w:ascii="宋体" w:hAnsi="宋体"/>
          <w:bCs/>
          <w:color w:val="auto"/>
          <w:highlight w:val="none"/>
        </w:rPr>
        <w:t>在本项目管理范围内</w:t>
      </w:r>
      <w:r>
        <w:rPr>
          <w:rFonts w:ascii="宋体" w:hAnsi="宋体"/>
          <w:bCs/>
          <w:color w:val="auto"/>
          <w:highlight w:val="none"/>
        </w:rPr>
        <w:t>管理及合理使用。</w:t>
      </w:r>
    </w:p>
    <w:p>
      <w:pPr>
        <w:adjustRightInd w:val="0"/>
        <w:spacing w:line="440" w:lineRule="exact"/>
        <w:ind w:firstLine="504"/>
        <w:textAlignment w:val="baseline"/>
        <w:rPr>
          <w:rFonts w:ascii="宋体" w:hAnsi="宋体"/>
          <w:color w:val="auto"/>
          <w:highlight w:val="none"/>
        </w:rPr>
      </w:pPr>
      <w:r>
        <w:rPr>
          <w:rFonts w:hint="eastAsia" w:ascii="宋体" w:hAnsi="宋体"/>
          <w:color w:val="auto"/>
          <w:highlight w:val="none"/>
        </w:rPr>
        <w:t>3、及时向甲方通告本项目服务范围内有关服务的重大事项，及时配合处理投诉。</w:t>
      </w:r>
    </w:p>
    <w:p>
      <w:pPr>
        <w:adjustRightInd w:val="0"/>
        <w:spacing w:line="440" w:lineRule="exact"/>
        <w:ind w:firstLine="504"/>
        <w:textAlignment w:val="baseline"/>
        <w:rPr>
          <w:rFonts w:ascii="宋体" w:hAnsi="宋体"/>
          <w:bCs/>
          <w:color w:val="auto"/>
          <w:highlight w:val="none"/>
        </w:rPr>
      </w:pPr>
      <w:r>
        <w:rPr>
          <w:rFonts w:hint="eastAsia" w:ascii="宋体" w:hAnsi="宋体"/>
          <w:color w:val="auto"/>
          <w:highlight w:val="none"/>
        </w:rPr>
        <w:t>4、</w:t>
      </w:r>
      <w:r>
        <w:rPr>
          <w:rFonts w:ascii="宋体" w:hAnsi="宋体"/>
          <w:bCs/>
          <w:color w:val="auto"/>
          <w:highlight w:val="none"/>
        </w:rPr>
        <w:t>接受</w:t>
      </w:r>
      <w:r>
        <w:rPr>
          <w:rFonts w:hint="eastAsia" w:ascii="宋体" w:hAnsi="宋体"/>
          <w:bCs/>
          <w:color w:val="auto"/>
          <w:highlight w:val="none"/>
        </w:rPr>
        <w:t>项目行</w:t>
      </w:r>
      <w:r>
        <w:rPr>
          <w:rFonts w:ascii="宋体" w:hAnsi="宋体"/>
          <w:bCs/>
          <w:color w:val="auto"/>
          <w:highlight w:val="none"/>
        </w:rPr>
        <w:t>业管理部门及政府有关部门的指导，接受甲方的监督。</w:t>
      </w:r>
    </w:p>
    <w:p>
      <w:pPr>
        <w:adjustRightInd w:val="0"/>
        <w:spacing w:line="440" w:lineRule="exact"/>
        <w:ind w:firstLine="504"/>
        <w:textAlignment w:val="baseline"/>
        <w:rPr>
          <w:rFonts w:ascii="宋体" w:hAnsi="宋体"/>
          <w:bCs/>
          <w:color w:val="auto"/>
          <w:highlight w:val="none"/>
        </w:rPr>
      </w:pPr>
      <w:r>
        <w:rPr>
          <w:rFonts w:hint="eastAsia" w:ascii="宋体" w:hAnsi="宋体"/>
          <w:bCs/>
          <w:color w:val="auto"/>
          <w:highlight w:val="none"/>
        </w:rPr>
        <w:t>5、</w:t>
      </w:r>
      <w:r>
        <w:rPr>
          <w:rFonts w:ascii="宋体" w:hAnsi="宋体"/>
          <w:bCs/>
          <w:color w:val="auto"/>
          <w:highlight w:val="none"/>
        </w:rPr>
        <w:t>国家法律、法规所规定由乙方承担的其它责任。</w:t>
      </w:r>
    </w:p>
    <w:p>
      <w:pPr>
        <w:numPr>
          <w:ilvl w:val="0"/>
          <w:numId w:val="55"/>
        </w:numPr>
        <w:tabs>
          <w:tab w:val="left" w:pos="0"/>
          <w:tab w:val="clear" w:pos="1521"/>
        </w:tabs>
        <w:spacing w:line="440" w:lineRule="exact"/>
        <w:ind w:left="0" w:firstLine="0" w:firstLineChars="0"/>
        <w:rPr>
          <w:rFonts w:ascii="宋体" w:hAnsi="宋体"/>
          <w:b/>
          <w:color w:val="auto"/>
          <w:highlight w:val="none"/>
        </w:rPr>
      </w:pPr>
      <w:r>
        <w:rPr>
          <w:rFonts w:ascii="宋体" w:hAnsi="宋体"/>
          <w:b/>
          <w:color w:val="auto"/>
          <w:highlight w:val="none"/>
        </w:rPr>
        <w:t>违约责任</w:t>
      </w:r>
    </w:p>
    <w:p>
      <w:pPr>
        <w:adjustRightInd w:val="0"/>
        <w:spacing w:line="440" w:lineRule="exact"/>
        <w:ind w:firstLine="504"/>
        <w:textAlignment w:val="baseline"/>
        <w:rPr>
          <w:rFonts w:ascii="宋体" w:hAnsi="宋体"/>
          <w:bCs/>
          <w:color w:val="auto"/>
          <w:highlight w:val="none"/>
        </w:rPr>
      </w:pPr>
      <w:r>
        <w:rPr>
          <w:rFonts w:hint="eastAsia" w:ascii="宋体" w:hAnsi="宋体"/>
          <w:bCs/>
          <w:color w:val="auto"/>
          <w:highlight w:val="none"/>
        </w:rPr>
        <w:t>1、</w:t>
      </w:r>
      <w:r>
        <w:rPr>
          <w:rFonts w:ascii="宋体" w:hAnsi="宋体"/>
          <w:bCs/>
          <w:color w:val="auto"/>
          <w:highlight w:val="none"/>
        </w:rPr>
        <w:t>甲乙双方必须遵守本合同并执行合同中的各项规定，保证</w:t>
      </w:r>
      <w:r>
        <w:rPr>
          <w:rFonts w:hint="eastAsia" w:ascii="宋体" w:hAnsi="宋体"/>
          <w:bCs/>
          <w:color w:val="auto"/>
          <w:highlight w:val="none"/>
        </w:rPr>
        <w:t>本</w:t>
      </w:r>
      <w:r>
        <w:rPr>
          <w:rFonts w:ascii="宋体" w:hAnsi="宋体"/>
          <w:bCs/>
          <w:color w:val="auto"/>
          <w:highlight w:val="none"/>
        </w:rPr>
        <w:t>合同的正常</w:t>
      </w:r>
      <w:r>
        <w:rPr>
          <w:rFonts w:hint="eastAsia" w:ascii="宋体" w:hAnsi="宋体"/>
          <w:bCs/>
          <w:color w:val="auto"/>
          <w:highlight w:val="none"/>
        </w:rPr>
        <w:t>履行</w:t>
      </w:r>
      <w:r>
        <w:rPr>
          <w:rFonts w:ascii="宋体" w:hAnsi="宋体"/>
          <w:bCs/>
          <w:color w:val="auto"/>
          <w:highlight w:val="none"/>
        </w:rPr>
        <w:t>。</w:t>
      </w:r>
    </w:p>
    <w:p>
      <w:pPr>
        <w:adjustRightInd w:val="0"/>
        <w:spacing w:line="440" w:lineRule="exact"/>
        <w:ind w:firstLine="504"/>
        <w:textAlignment w:val="baseline"/>
        <w:rPr>
          <w:rFonts w:ascii="宋体" w:hAnsi="宋体"/>
          <w:bCs/>
          <w:color w:val="auto"/>
          <w:highlight w:val="none"/>
        </w:rPr>
      </w:pPr>
      <w:r>
        <w:rPr>
          <w:rFonts w:hint="eastAsia" w:ascii="宋体" w:hAnsi="宋体"/>
          <w:bCs/>
          <w:color w:val="auto"/>
          <w:highlight w:val="none"/>
        </w:rPr>
        <w:t>2、</w:t>
      </w:r>
      <w:r>
        <w:rPr>
          <w:rFonts w:ascii="宋体" w:hAnsi="宋体"/>
          <w:bCs/>
          <w:color w:val="auto"/>
          <w:highlight w:val="none"/>
        </w:rPr>
        <w:t>如因乙方</w:t>
      </w:r>
      <w:r>
        <w:rPr>
          <w:rFonts w:hint="eastAsia" w:ascii="宋体" w:hAnsi="宋体"/>
          <w:bCs/>
          <w:color w:val="auto"/>
          <w:highlight w:val="none"/>
        </w:rPr>
        <w:t>工作人员在履行职务过程中的</w:t>
      </w:r>
      <w:r>
        <w:rPr>
          <w:rFonts w:ascii="宋体" w:hAnsi="宋体"/>
          <w:bCs/>
          <w:color w:val="auto"/>
          <w:highlight w:val="none"/>
        </w:rPr>
        <w:t>的疏忽、失职、过错等</w:t>
      </w:r>
      <w:r>
        <w:rPr>
          <w:rFonts w:hint="eastAsia" w:ascii="宋体" w:hAnsi="宋体"/>
          <w:bCs/>
          <w:color w:val="auto"/>
          <w:highlight w:val="none"/>
        </w:rPr>
        <w:t>故意或者过失</w:t>
      </w:r>
      <w:r>
        <w:rPr>
          <w:rFonts w:ascii="宋体" w:hAnsi="宋体"/>
          <w:bCs/>
          <w:color w:val="auto"/>
          <w:highlight w:val="none"/>
        </w:rPr>
        <w:t>原因给甲方造成损失或侵害，</w:t>
      </w:r>
      <w:r>
        <w:rPr>
          <w:rFonts w:hint="eastAsia" w:ascii="宋体" w:hAnsi="宋体"/>
          <w:bCs/>
          <w:color w:val="auto"/>
          <w:highlight w:val="none"/>
        </w:rPr>
        <w:t>包括但不限于甲方本身的财产损失、由此而导致的甲方对任何第三方的法律责任等，乙方对此均应承担全部的赔偿责任</w:t>
      </w:r>
      <w:r>
        <w:rPr>
          <w:rFonts w:ascii="宋体" w:hAnsi="宋体"/>
          <w:bCs/>
          <w:color w:val="auto"/>
          <w:highlight w:val="none"/>
        </w:rPr>
        <w:t>。</w:t>
      </w:r>
    </w:p>
    <w:p>
      <w:pPr>
        <w:numPr>
          <w:ilvl w:val="0"/>
          <w:numId w:val="55"/>
        </w:numPr>
        <w:tabs>
          <w:tab w:val="left" w:pos="0"/>
          <w:tab w:val="clear" w:pos="1521"/>
        </w:tabs>
        <w:spacing w:line="440" w:lineRule="exact"/>
        <w:ind w:left="0" w:firstLine="0" w:firstLineChars="0"/>
        <w:rPr>
          <w:rFonts w:ascii="宋体" w:hAnsi="宋体"/>
          <w:b/>
          <w:color w:val="auto"/>
          <w:highlight w:val="none"/>
        </w:rPr>
      </w:pPr>
      <w:r>
        <w:rPr>
          <w:rFonts w:hint="eastAsia" w:ascii="宋体" w:hAnsi="宋体"/>
          <w:b/>
          <w:color w:val="auto"/>
          <w:highlight w:val="none"/>
        </w:rPr>
        <w:t>不可抗力事件处理</w:t>
      </w:r>
    </w:p>
    <w:p>
      <w:pPr>
        <w:tabs>
          <w:tab w:val="left" w:pos="0"/>
        </w:tabs>
        <w:spacing w:line="440" w:lineRule="exact"/>
        <w:ind w:firstLine="504"/>
        <w:rPr>
          <w:rFonts w:ascii="宋体" w:hAnsi="宋体"/>
          <w:color w:val="auto"/>
          <w:highlight w:val="none"/>
        </w:rPr>
      </w:pPr>
      <w:r>
        <w:rPr>
          <w:rFonts w:hint="eastAsia" w:ascii="宋体" w:hAnsi="宋体"/>
          <w:color w:val="auto"/>
          <w:highlight w:val="none"/>
        </w:rPr>
        <w:t>1、在合同有效期内，任何一方因不可抗力事件导致不能履行合同，则合同履行期可延长，其延长期与不可抗力影响期相同。</w:t>
      </w:r>
    </w:p>
    <w:p>
      <w:pPr>
        <w:tabs>
          <w:tab w:val="left" w:pos="0"/>
        </w:tabs>
        <w:spacing w:line="440" w:lineRule="exact"/>
        <w:ind w:firstLine="504"/>
        <w:rPr>
          <w:rFonts w:ascii="宋体" w:hAnsi="宋体"/>
          <w:color w:val="auto"/>
          <w:highlight w:val="none"/>
        </w:rPr>
      </w:pPr>
      <w:r>
        <w:rPr>
          <w:rFonts w:hint="eastAsia" w:ascii="宋体" w:hAnsi="宋体"/>
          <w:color w:val="auto"/>
          <w:highlight w:val="none"/>
        </w:rPr>
        <w:t>2、不可抗力事件发生后，应立即通知对方，并寄送有关权威机构出具的证明。</w:t>
      </w:r>
    </w:p>
    <w:p>
      <w:pPr>
        <w:tabs>
          <w:tab w:val="left" w:pos="0"/>
        </w:tabs>
        <w:spacing w:line="440" w:lineRule="exact"/>
        <w:ind w:firstLine="504"/>
        <w:rPr>
          <w:rFonts w:ascii="宋体" w:hAnsi="宋体"/>
          <w:color w:val="auto"/>
          <w:highlight w:val="none"/>
        </w:rPr>
      </w:pPr>
      <w:r>
        <w:rPr>
          <w:rFonts w:hint="eastAsia" w:ascii="宋体" w:hAnsi="宋体"/>
          <w:color w:val="auto"/>
          <w:highlight w:val="none"/>
        </w:rPr>
        <w:t>3、不可抗力事件延续</w:t>
      </w:r>
      <w:r>
        <w:rPr>
          <w:rFonts w:hint="eastAsia" w:ascii="宋体" w:hAnsi="宋体"/>
          <w:color w:val="auto"/>
          <w:szCs w:val="21"/>
          <w:highlight w:val="none"/>
        </w:rPr>
        <w:t>XX</w:t>
      </w:r>
      <w:r>
        <w:rPr>
          <w:rFonts w:hint="eastAsia" w:ascii="宋体" w:hAnsi="宋体"/>
          <w:color w:val="auto"/>
          <w:highlight w:val="none"/>
        </w:rPr>
        <w:t>天以上，双方应通过友好协商，确定是否继续履行合同。</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Pr>
        <w:numPr>
          <w:ilvl w:val="0"/>
          <w:numId w:val="55"/>
        </w:numPr>
        <w:tabs>
          <w:tab w:val="left" w:pos="0"/>
          <w:tab w:val="clear" w:pos="1521"/>
        </w:tabs>
        <w:spacing w:line="440" w:lineRule="exact"/>
        <w:ind w:left="0" w:firstLine="0" w:firstLineChars="0"/>
        <w:rPr>
          <w:rFonts w:ascii="宋体" w:hAnsi="宋体"/>
          <w:b/>
          <w:color w:val="auto"/>
          <w:highlight w:val="none"/>
        </w:rPr>
      </w:pPr>
      <w:bookmarkStart w:id="421" w:name="_Toc185395254"/>
      <w:bookmarkStart w:id="422" w:name="_Toc211854454"/>
      <w:bookmarkStart w:id="423" w:name="_Toc225670756"/>
      <w:bookmarkStart w:id="424" w:name="_Toc239568423"/>
      <w:bookmarkStart w:id="425" w:name="_Toc251768867"/>
      <w:bookmarkStart w:id="426" w:name="_Toc241833908"/>
      <w:bookmarkStart w:id="427" w:name="_Toc247334846"/>
      <w:bookmarkStart w:id="428" w:name="_Toc237145411"/>
      <w:bookmarkStart w:id="429" w:name="_Toc232492933"/>
      <w:bookmarkStart w:id="430" w:name="_Toc225244857"/>
      <w:bookmarkStart w:id="431" w:name="_Toc211911353"/>
      <w:bookmarkStart w:id="432" w:name="_Toc239233919"/>
      <w:bookmarkStart w:id="433" w:name="_Toc238984980"/>
      <w:bookmarkStart w:id="434" w:name="_Toc286993792"/>
      <w:bookmarkStart w:id="435" w:name="_Toc225654649"/>
      <w:bookmarkStart w:id="436" w:name="_Toc212019599"/>
      <w:r>
        <w:rPr>
          <w:rFonts w:hint="eastAsia" w:ascii="宋体" w:hAnsi="宋体"/>
          <w:b/>
          <w:color w:val="auto"/>
          <w:highlight w:val="none"/>
        </w:rPr>
        <w:t>解</w:t>
      </w:r>
      <w:r>
        <w:rPr>
          <w:rFonts w:ascii="宋体" w:hAnsi="宋体"/>
          <w:b/>
          <w:color w:val="auto"/>
          <w:highlight w:val="none"/>
        </w:rPr>
        <w:t>决合同纠纷的方式</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pPr>
        <w:tabs>
          <w:tab w:val="left" w:pos="0"/>
        </w:tabs>
        <w:spacing w:line="440" w:lineRule="exact"/>
        <w:ind w:firstLine="504"/>
        <w:rPr>
          <w:rFonts w:ascii="宋体" w:hAnsi="宋体"/>
          <w:color w:val="auto"/>
          <w:highlight w:val="none"/>
        </w:rPr>
      </w:pPr>
      <w:r>
        <w:rPr>
          <w:rFonts w:hint="eastAsia" w:ascii="宋体" w:hAnsi="宋体"/>
          <w:color w:val="auto"/>
          <w:highlight w:val="none"/>
        </w:rPr>
        <w:t>1、</w:t>
      </w:r>
      <w:r>
        <w:rPr>
          <w:rFonts w:ascii="宋体" w:hAnsi="宋体"/>
          <w:color w:val="auto"/>
          <w:highlight w:val="none"/>
        </w:rPr>
        <w:t>在执行本合同中发生的或与本合同有关的争端，双方应通过友好协商解决，经协商在</w:t>
      </w:r>
      <w:r>
        <w:rPr>
          <w:rFonts w:hint="eastAsia" w:ascii="宋体" w:hAnsi="宋体"/>
          <w:color w:val="auto"/>
          <w:szCs w:val="21"/>
          <w:highlight w:val="none"/>
          <w:u w:val="single"/>
        </w:rPr>
        <w:t xml:space="preserve">      </w:t>
      </w:r>
      <w:r>
        <w:rPr>
          <w:rFonts w:ascii="宋体" w:hAnsi="宋体"/>
          <w:color w:val="auto"/>
          <w:highlight w:val="none"/>
        </w:rPr>
        <w:t>天内不能达成协议时，应提交成都仲裁委员会仲裁。</w:t>
      </w:r>
    </w:p>
    <w:p>
      <w:pPr>
        <w:tabs>
          <w:tab w:val="left" w:pos="0"/>
        </w:tabs>
        <w:spacing w:line="440" w:lineRule="exact"/>
        <w:ind w:firstLine="504"/>
        <w:rPr>
          <w:rFonts w:ascii="宋体" w:hAnsi="宋体"/>
          <w:color w:val="auto"/>
          <w:highlight w:val="none"/>
        </w:rPr>
      </w:pPr>
      <w:r>
        <w:rPr>
          <w:rFonts w:hint="eastAsia" w:ascii="宋体" w:hAnsi="宋体"/>
          <w:color w:val="auto"/>
          <w:highlight w:val="none"/>
        </w:rPr>
        <w:t>2、</w:t>
      </w:r>
      <w:r>
        <w:rPr>
          <w:rFonts w:ascii="宋体" w:hAnsi="宋体"/>
          <w:color w:val="auto"/>
          <w:highlight w:val="none"/>
        </w:rPr>
        <w:t>仲裁裁决应为最终决定，并对双方具有约束力。</w:t>
      </w:r>
    </w:p>
    <w:p>
      <w:pPr>
        <w:tabs>
          <w:tab w:val="left" w:pos="0"/>
        </w:tabs>
        <w:spacing w:line="440" w:lineRule="exact"/>
        <w:ind w:firstLine="504"/>
        <w:rPr>
          <w:rFonts w:ascii="宋体" w:hAnsi="宋体"/>
          <w:color w:val="auto"/>
          <w:highlight w:val="none"/>
        </w:rPr>
      </w:pPr>
      <w:r>
        <w:rPr>
          <w:rFonts w:hint="eastAsia" w:ascii="宋体" w:hAnsi="宋体"/>
          <w:color w:val="auto"/>
          <w:highlight w:val="none"/>
        </w:rPr>
        <w:t>3、</w:t>
      </w:r>
      <w:r>
        <w:rPr>
          <w:rFonts w:ascii="宋体" w:hAnsi="宋体"/>
          <w:color w:val="auto"/>
          <w:highlight w:val="none"/>
        </w:rPr>
        <w:t xml:space="preserve">除另有裁决外，仲裁费应由败诉方负担。 </w:t>
      </w:r>
    </w:p>
    <w:p>
      <w:pPr>
        <w:tabs>
          <w:tab w:val="left" w:pos="0"/>
        </w:tabs>
        <w:spacing w:line="440" w:lineRule="exact"/>
        <w:ind w:firstLine="504"/>
        <w:rPr>
          <w:rFonts w:ascii="宋体" w:hAnsi="宋体"/>
          <w:color w:val="auto"/>
          <w:highlight w:val="none"/>
        </w:rPr>
      </w:pPr>
      <w:r>
        <w:rPr>
          <w:rFonts w:hint="eastAsia" w:ascii="宋体" w:hAnsi="宋体"/>
          <w:color w:val="auto"/>
          <w:highlight w:val="none"/>
        </w:rPr>
        <w:t>4、</w:t>
      </w:r>
      <w:r>
        <w:rPr>
          <w:rFonts w:ascii="宋体" w:hAnsi="宋体"/>
          <w:color w:val="auto"/>
          <w:highlight w:val="none"/>
        </w:rPr>
        <w:t xml:space="preserve">在仲裁期间，除正在进行仲裁部分外，合同其他部分继续执行。  </w:t>
      </w:r>
    </w:p>
    <w:p>
      <w:pPr>
        <w:numPr>
          <w:ilvl w:val="0"/>
          <w:numId w:val="55"/>
        </w:numPr>
        <w:tabs>
          <w:tab w:val="left" w:pos="0"/>
          <w:tab w:val="clear" w:pos="1521"/>
        </w:tabs>
        <w:spacing w:line="440" w:lineRule="exact"/>
        <w:ind w:left="0" w:firstLine="0" w:firstLineChars="0"/>
        <w:rPr>
          <w:rFonts w:ascii="宋体" w:hAnsi="宋体"/>
          <w:b/>
          <w:color w:val="auto"/>
          <w:highlight w:val="none"/>
        </w:rPr>
      </w:pPr>
      <w:bookmarkStart w:id="437" w:name="_Toc239568424"/>
      <w:bookmarkStart w:id="438" w:name="_Toc225670757"/>
      <w:bookmarkStart w:id="439" w:name="_Toc282696231"/>
      <w:bookmarkStart w:id="440" w:name="_Toc283019219"/>
      <w:bookmarkStart w:id="441" w:name="_Toc237145412"/>
      <w:bookmarkStart w:id="442" w:name="_Toc185395255"/>
      <w:bookmarkStart w:id="443" w:name="_Toc232492934"/>
      <w:bookmarkStart w:id="444" w:name="_Toc247334847"/>
      <w:bookmarkStart w:id="445" w:name="_Toc211911354"/>
      <w:bookmarkStart w:id="446" w:name="_Toc251768868"/>
      <w:bookmarkStart w:id="447" w:name="_Toc225244858"/>
      <w:bookmarkStart w:id="448" w:name="_Toc211854455"/>
      <w:bookmarkStart w:id="449" w:name="_Toc212019600"/>
      <w:bookmarkStart w:id="450" w:name="_Toc238984981"/>
      <w:bookmarkStart w:id="451" w:name="_Toc239233920"/>
      <w:bookmarkStart w:id="452" w:name="_Toc225654650"/>
      <w:bookmarkStart w:id="453" w:name="_Toc286993793"/>
      <w:bookmarkStart w:id="454" w:name="_Toc241833909"/>
      <w:r>
        <w:rPr>
          <w:rFonts w:ascii="宋体" w:hAnsi="宋体"/>
          <w:b/>
          <w:color w:val="auto"/>
          <w:highlight w:val="none"/>
        </w:rPr>
        <w:t>合同</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Pr>
          <w:rFonts w:hint="eastAsia" w:ascii="宋体" w:hAnsi="宋体"/>
          <w:b/>
          <w:color w:val="auto"/>
          <w:highlight w:val="none"/>
        </w:rPr>
        <w:t>生效及其他</w:t>
      </w:r>
    </w:p>
    <w:p>
      <w:pPr>
        <w:pStyle w:val="193"/>
        <w:spacing w:line="440" w:lineRule="exact"/>
        <w:ind w:firstLine="504"/>
        <w:rPr>
          <w:rFonts w:ascii="宋体" w:hAnsi="宋体"/>
          <w:color w:val="auto"/>
          <w:szCs w:val="24"/>
          <w:highlight w:val="none"/>
        </w:rPr>
      </w:pPr>
      <w:r>
        <w:rPr>
          <w:rFonts w:hint="eastAsia" w:ascii="宋体" w:hAnsi="宋体"/>
          <w:color w:val="auto"/>
          <w:szCs w:val="24"/>
          <w:highlight w:val="none"/>
        </w:rPr>
        <w:t>1、合同经双方法定代表人或授权委托代理人签字并加盖单位公章后生效。</w:t>
      </w:r>
    </w:p>
    <w:p>
      <w:pPr>
        <w:pStyle w:val="193"/>
        <w:spacing w:line="440" w:lineRule="exact"/>
        <w:ind w:firstLine="504"/>
        <w:rPr>
          <w:rFonts w:ascii="宋体" w:hAnsi="宋体"/>
          <w:color w:val="auto"/>
          <w:szCs w:val="24"/>
          <w:highlight w:val="none"/>
        </w:rPr>
      </w:pPr>
      <w:r>
        <w:rPr>
          <w:rFonts w:hint="eastAsia" w:ascii="宋体" w:hAnsi="宋体"/>
          <w:color w:val="auto"/>
          <w:szCs w:val="24"/>
          <w:highlight w:val="none"/>
        </w:rPr>
        <w:t>2、合同执行中涉及采购资金和采购内容修改或补充的，须经政府采购监管部门审批，并签书面补充协议报政府采购监督管理部门备案，方可作为主合同不可分割的一部分。</w:t>
      </w:r>
    </w:p>
    <w:p>
      <w:pPr>
        <w:widowControl/>
        <w:spacing w:line="440" w:lineRule="exact"/>
        <w:ind w:firstLine="504"/>
        <w:rPr>
          <w:rFonts w:ascii="宋体" w:hAnsi="宋体"/>
          <w:color w:val="auto"/>
          <w:szCs w:val="24"/>
          <w:highlight w:val="none"/>
        </w:rPr>
      </w:pPr>
      <w:r>
        <w:rPr>
          <w:rFonts w:hint="eastAsia" w:ascii="宋体" w:hAnsi="宋体"/>
          <w:color w:val="auto"/>
          <w:szCs w:val="24"/>
          <w:highlight w:val="none"/>
        </w:rPr>
        <w:t>3、本合同一式xx份，自双方签章之日起生效。甲方xx份，乙方xx份、政府采购管理部门、采购代理机构各一份。</w:t>
      </w:r>
    </w:p>
    <w:p>
      <w:pPr>
        <w:numPr>
          <w:ilvl w:val="0"/>
          <w:numId w:val="55"/>
        </w:numPr>
        <w:tabs>
          <w:tab w:val="left" w:pos="0"/>
          <w:tab w:val="clear" w:pos="1521"/>
        </w:tabs>
        <w:spacing w:line="440" w:lineRule="exact"/>
        <w:ind w:left="0" w:firstLine="0" w:firstLineChars="0"/>
        <w:rPr>
          <w:rFonts w:ascii="宋体" w:hAnsi="宋体"/>
          <w:b/>
          <w:color w:val="auto"/>
          <w:highlight w:val="none"/>
        </w:rPr>
      </w:pPr>
      <w:r>
        <w:rPr>
          <w:rFonts w:hint="eastAsia" w:ascii="宋体" w:hAnsi="宋体"/>
          <w:b/>
          <w:color w:val="auto"/>
          <w:highlight w:val="none"/>
        </w:rPr>
        <w:t>附件</w:t>
      </w:r>
    </w:p>
    <w:p>
      <w:pPr>
        <w:pStyle w:val="193"/>
        <w:spacing w:line="440" w:lineRule="exact"/>
        <w:ind w:firstLine="504"/>
        <w:rPr>
          <w:rFonts w:ascii="宋体" w:hAnsi="宋体"/>
          <w:color w:val="auto"/>
          <w:szCs w:val="24"/>
          <w:highlight w:val="none"/>
        </w:rPr>
      </w:pPr>
      <w:r>
        <w:rPr>
          <w:rFonts w:hint="eastAsia" w:ascii="宋体" w:hAnsi="宋体"/>
          <w:color w:val="auto"/>
          <w:szCs w:val="24"/>
          <w:highlight w:val="none"/>
        </w:rPr>
        <w:t>1、项目招标文件</w:t>
      </w:r>
    </w:p>
    <w:p>
      <w:pPr>
        <w:pStyle w:val="193"/>
        <w:spacing w:line="440" w:lineRule="exact"/>
        <w:ind w:firstLine="504"/>
        <w:rPr>
          <w:rFonts w:ascii="宋体" w:hAnsi="宋体"/>
          <w:color w:val="auto"/>
          <w:szCs w:val="24"/>
          <w:highlight w:val="none"/>
        </w:rPr>
      </w:pPr>
      <w:r>
        <w:rPr>
          <w:rFonts w:hint="eastAsia" w:ascii="宋体" w:hAnsi="宋体"/>
          <w:color w:val="auto"/>
          <w:szCs w:val="24"/>
          <w:highlight w:val="none"/>
        </w:rPr>
        <w:t>2、项目投标文件</w:t>
      </w:r>
    </w:p>
    <w:p>
      <w:pPr>
        <w:pStyle w:val="193"/>
        <w:spacing w:line="440" w:lineRule="exact"/>
        <w:ind w:firstLine="504"/>
        <w:rPr>
          <w:rFonts w:ascii="宋体" w:hAnsi="宋体"/>
          <w:color w:val="auto"/>
          <w:szCs w:val="24"/>
          <w:highlight w:val="none"/>
        </w:rPr>
      </w:pPr>
      <w:r>
        <w:rPr>
          <w:rFonts w:hint="eastAsia" w:ascii="宋体" w:hAnsi="宋体"/>
          <w:color w:val="auto"/>
          <w:szCs w:val="24"/>
          <w:highlight w:val="none"/>
        </w:rPr>
        <w:t>3、中标通知书</w:t>
      </w:r>
    </w:p>
    <w:p>
      <w:pPr>
        <w:pStyle w:val="193"/>
        <w:spacing w:line="440" w:lineRule="exact"/>
        <w:ind w:firstLine="504"/>
        <w:rPr>
          <w:rFonts w:ascii="宋体" w:hAnsi="宋体"/>
          <w:color w:val="auto"/>
          <w:szCs w:val="24"/>
          <w:highlight w:val="none"/>
        </w:rPr>
      </w:pPr>
      <w:r>
        <w:rPr>
          <w:rFonts w:hint="eastAsia" w:ascii="宋体" w:hAnsi="宋体"/>
          <w:color w:val="auto"/>
          <w:szCs w:val="24"/>
          <w:highlight w:val="none"/>
        </w:rPr>
        <w:t>4、其他</w:t>
      </w:r>
    </w:p>
    <w:p>
      <w:pPr>
        <w:spacing w:line="440" w:lineRule="exact"/>
        <w:ind w:firstLine="504"/>
        <w:rPr>
          <w:rFonts w:ascii="宋体" w:hAnsi="宋体"/>
          <w:color w:val="auto"/>
          <w:highlight w:val="none"/>
        </w:rPr>
      </w:pPr>
    </w:p>
    <w:p>
      <w:pPr>
        <w:spacing w:line="440" w:lineRule="exact"/>
        <w:ind w:firstLine="504"/>
        <w:rPr>
          <w:rFonts w:ascii="宋体" w:hAnsi="宋体"/>
          <w:color w:val="auto"/>
          <w:highlight w:val="none"/>
        </w:rPr>
      </w:pPr>
      <w:r>
        <w:rPr>
          <w:rFonts w:hint="eastAsia" w:ascii="宋体" w:hAnsi="宋体"/>
          <w:color w:val="auto"/>
          <w:highlight w:val="none"/>
        </w:rPr>
        <w:t>甲方：   （盖章）</w:t>
      </w:r>
      <w:r>
        <w:rPr>
          <w:rFonts w:ascii="宋体" w:hAnsi="宋体"/>
          <w:color w:val="auto"/>
          <w:highlight w:val="none"/>
        </w:rPr>
        <w:t xml:space="preserve">   </w:t>
      </w:r>
      <w:r>
        <w:rPr>
          <w:rFonts w:ascii="宋体" w:hAnsi="宋体"/>
          <w:color w:val="auto"/>
          <w:highlight w:val="none"/>
        </w:rPr>
        <w:tab/>
      </w:r>
      <w:r>
        <w:rPr>
          <w:rFonts w:ascii="宋体" w:hAnsi="宋体"/>
          <w:color w:val="auto"/>
          <w:highlight w:val="none"/>
        </w:rPr>
        <w:tab/>
      </w:r>
      <w:r>
        <w:rPr>
          <w:rFonts w:ascii="宋体" w:hAnsi="宋体"/>
          <w:color w:val="auto"/>
          <w:highlight w:val="none"/>
        </w:rPr>
        <w:tab/>
      </w:r>
      <w:r>
        <w:rPr>
          <w:rFonts w:ascii="宋体" w:hAnsi="宋体"/>
          <w:color w:val="auto"/>
          <w:highlight w:val="none"/>
        </w:rPr>
        <w:t xml:space="preserve">    </w:t>
      </w:r>
      <w:r>
        <w:rPr>
          <w:rFonts w:hint="eastAsia" w:ascii="宋体" w:hAnsi="宋体"/>
          <w:color w:val="auto"/>
          <w:highlight w:val="none"/>
        </w:rPr>
        <w:t xml:space="preserve">   乙方：</w:t>
      </w:r>
      <w:r>
        <w:rPr>
          <w:rFonts w:ascii="宋体" w:hAnsi="宋体"/>
          <w:color w:val="auto"/>
          <w:highlight w:val="none"/>
        </w:rPr>
        <w:t xml:space="preserve">   </w:t>
      </w:r>
      <w:r>
        <w:rPr>
          <w:rFonts w:hint="eastAsia" w:ascii="宋体" w:hAnsi="宋体"/>
          <w:color w:val="auto"/>
          <w:highlight w:val="none"/>
        </w:rPr>
        <w:t>（盖章）</w:t>
      </w:r>
    </w:p>
    <w:p>
      <w:pPr>
        <w:spacing w:line="440" w:lineRule="exact"/>
        <w:ind w:firstLine="504"/>
        <w:rPr>
          <w:rFonts w:ascii="宋体" w:hAnsi="宋体"/>
          <w:color w:val="auto"/>
          <w:highlight w:val="none"/>
        </w:rPr>
      </w:pPr>
      <w:r>
        <w:rPr>
          <w:rFonts w:hint="eastAsia" w:ascii="宋体" w:hAnsi="宋体"/>
          <w:color w:val="auto"/>
          <w:highlight w:val="none"/>
        </w:rPr>
        <w:t>法定代表人（授权代表）：</w:t>
      </w:r>
      <w:r>
        <w:rPr>
          <w:rFonts w:ascii="宋体" w:hAnsi="宋体"/>
          <w:color w:val="auto"/>
          <w:highlight w:val="none"/>
        </w:rPr>
        <w:t xml:space="preserve">            </w:t>
      </w:r>
      <w:r>
        <w:rPr>
          <w:rFonts w:hint="eastAsia" w:ascii="宋体" w:hAnsi="宋体"/>
          <w:color w:val="auto"/>
          <w:highlight w:val="none"/>
        </w:rPr>
        <w:t>法定代表人（授权代表）：</w:t>
      </w:r>
    </w:p>
    <w:p>
      <w:pPr>
        <w:spacing w:line="440" w:lineRule="exact"/>
        <w:ind w:firstLine="504"/>
        <w:rPr>
          <w:rFonts w:ascii="宋体" w:hAnsi="宋体"/>
          <w:color w:val="auto"/>
          <w:highlight w:val="none"/>
        </w:rPr>
      </w:pPr>
      <w:r>
        <w:rPr>
          <w:rFonts w:hint="eastAsia" w:ascii="宋体" w:hAnsi="宋体"/>
          <w:color w:val="auto"/>
          <w:highlight w:val="none"/>
        </w:rPr>
        <w:t>地</w:t>
      </w:r>
      <w:r>
        <w:rPr>
          <w:rFonts w:ascii="宋体" w:hAnsi="宋体"/>
          <w:color w:val="auto"/>
          <w:highlight w:val="none"/>
        </w:rPr>
        <w:t xml:space="preserve">    </w:t>
      </w:r>
      <w:r>
        <w:rPr>
          <w:rFonts w:hint="eastAsia" w:ascii="宋体" w:hAnsi="宋体"/>
          <w:color w:val="auto"/>
          <w:highlight w:val="none"/>
        </w:rPr>
        <w:t>址：</w:t>
      </w:r>
      <w:r>
        <w:rPr>
          <w:rFonts w:ascii="宋体" w:hAnsi="宋体"/>
          <w:color w:val="auto"/>
          <w:highlight w:val="none"/>
        </w:rPr>
        <w:t xml:space="preserve">                         </w:t>
      </w:r>
      <w:r>
        <w:rPr>
          <w:rFonts w:hint="eastAsia" w:ascii="宋体" w:hAnsi="宋体"/>
          <w:color w:val="auto"/>
          <w:highlight w:val="none"/>
        </w:rPr>
        <w:t>地</w:t>
      </w:r>
      <w:r>
        <w:rPr>
          <w:rFonts w:ascii="宋体" w:hAnsi="宋体"/>
          <w:color w:val="auto"/>
          <w:highlight w:val="none"/>
        </w:rPr>
        <w:t xml:space="preserve">    </w:t>
      </w:r>
      <w:r>
        <w:rPr>
          <w:rFonts w:hint="eastAsia" w:ascii="宋体" w:hAnsi="宋体"/>
          <w:color w:val="auto"/>
          <w:highlight w:val="none"/>
        </w:rPr>
        <w:t>址：</w:t>
      </w:r>
    </w:p>
    <w:p>
      <w:pPr>
        <w:spacing w:line="440" w:lineRule="exact"/>
        <w:ind w:firstLine="504"/>
        <w:rPr>
          <w:rFonts w:ascii="宋体" w:hAnsi="宋体"/>
          <w:color w:val="auto"/>
          <w:highlight w:val="none"/>
        </w:rPr>
      </w:pPr>
      <w:r>
        <w:rPr>
          <w:rFonts w:hint="eastAsia" w:ascii="宋体" w:hAnsi="宋体"/>
          <w:color w:val="auto"/>
          <w:highlight w:val="none"/>
        </w:rPr>
        <w:t>开户银行：</w:t>
      </w:r>
      <w:r>
        <w:rPr>
          <w:rFonts w:ascii="宋体" w:hAnsi="宋体"/>
          <w:color w:val="auto"/>
          <w:highlight w:val="none"/>
        </w:rPr>
        <w:t xml:space="preserve">                         </w:t>
      </w:r>
      <w:r>
        <w:rPr>
          <w:rFonts w:hint="eastAsia" w:ascii="宋体" w:hAnsi="宋体"/>
          <w:color w:val="auto"/>
          <w:highlight w:val="none"/>
        </w:rPr>
        <w:t>开户银行：</w:t>
      </w:r>
    </w:p>
    <w:p>
      <w:pPr>
        <w:spacing w:line="440" w:lineRule="exact"/>
        <w:ind w:firstLine="504"/>
        <w:rPr>
          <w:rFonts w:ascii="宋体" w:hAnsi="宋体"/>
          <w:color w:val="auto"/>
          <w:highlight w:val="none"/>
        </w:rPr>
      </w:pPr>
      <w:r>
        <w:rPr>
          <w:rFonts w:hint="eastAsia" w:ascii="宋体" w:hAnsi="宋体"/>
          <w:color w:val="auto"/>
          <w:highlight w:val="none"/>
        </w:rPr>
        <w:t>账号：</w:t>
      </w:r>
      <w:r>
        <w:rPr>
          <w:rFonts w:ascii="宋体" w:hAnsi="宋体"/>
          <w:color w:val="auto"/>
          <w:highlight w:val="none"/>
        </w:rPr>
        <w:t xml:space="preserve">                             </w:t>
      </w:r>
      <w:r>
        <w:rPr>
          <w:rFonts w:hint="eastAsia" w:ascii="宋体" w:hAnsi="宋体"/>
          <w:color w:val="auto"/>
          <w:highlight w:val="none"/>
        </w:rPr>
        <w:t>账号：</w:t>
      </w:r>
    </w:p>
    <w:p>
      <w:pPr>
        <w:spacing w:line="440" w:lineRule="exact"/>
        <w:ind w:firstLine="504"/>
        <w:rPr>
          <w:rFonts w:ascii="宋体" w:hAnsi="宋体"/>
          <w:color w:val="auto"/>
          <w:highlight w:val="none"/>
        </w:rPr>
      </w:pPr>
      <w:r>
        <w:rPr>
          <w:rFonts w:hint="eastAsia" w:ascii="宋体" w:hAnsi="宋体"/>
          <w:color w:val="auto"/>
          <w:highlight w:val="none"/>
        </w:rPr>
        <w:t>电</w:t>
      </w:r>
      <w:r>
        <w:rPr>
          <w:rFonts w:ascii="宋体" w:hAnsi="宋体"/>
          <w:color w:val="auto"/>
          <w:highlight w:val="none"/>
        </w:rPr>
        <w:t xml:space="preserve">    </w:t>
      </w:r>
      <w:r>
        <w:rPr>
          <w:rFonts w:hint="eastAsia" w:ascii="宋体" w:hAnsi="宋体"/>
          <w:color w:val="auto"/>
          <w:highlight w:val="none"/>
        </w:rPr>
        <w:t>话：</w:t>
      </w:r>
      <w:r>
        <w:rPr>
          <w:rFonts w:ascii="宋体" w:hAnsi="宋体"/>
          <w:color w:val="auto"/>
          <w:highlight w:val="none"/>
        </w:rPr>
        <w:t xml:space="preserve">                         </w:t>
      </w:r>
      <w:r>
        <w:rPr>
          <w:rFonts w:hint="eastAsia" w:ascii="宋体" w:hAnsi="宋体"/>
          <w:color w:val="auto"/>
          <w:highlight w:val="none"/>
        </w:rPr>
        <w:t>电</w:t>
      </w:r>
      <w:r>
        <w:rPr>
          <w:rFonts w:ascii="宋体" w:hAnsi="宋体"/>
          <w:color w:val="auto"/>
          <w:highlight w:val="none"/>
        </w:rPr>
        <w:t xml:space="preserve">    </w:t>
      </w:r>
      <w:r>
        <w:rPr>
          <w:rFonts w:hint="eastAsia" w:ascii="宋体" w:hAnsi="宋体"/>
          <w:color w:val="auto"/>
          <w:highlight w:val="none"/>
        </w:rPr>
        <w:t>话：</w:t>
      </w:r>
    </w:p>
    <w:p>
      <w:pPr>
        <w:spacing w:line="440" w:lineRule="exact"/>
        <w:ind w:firstLine="504"/>
        <w:rPr>
          <w:rFonts w:ascii="宋体" w:hAnsi="宋体"/>
          <w:color w:val="auto"/>
          <w:highlight w:val="none"/>
        </w:rPr>
      </w:pPr>
      <w:r>
        <w:rPr>
          <w:rFonts w:hint="eastAsia" w:ascii="宋体" w:hAnsi="宋体"/>
          <w:color w:val="auto"/>
          <w:highlight w:val="none"/>
        </w:rPr>
        <w:t>传</w:t>
      </w:r>
      <w:r>
        <w:rPr>
          <w:rFonts w:ascii="宋体" w:hAnsi="宋体"/>
          <w:color w:val="auto"/>
          <w:highlight w:val="none"/>
        </w:rPr>
        <w:t xml:space="preserve">    </w:t>
      </w:r>
      <w:r>
        <w:rPr>
          <w:rFonts w:hint="eastAsia" w:ascii="宋体" w:hAnsi="宋体"/>
          <w:color w:val="auto"/>
          <w:highlight w:val="none"/>
        </w:rPr>
        <w:t>真：</w:t>
      </w:r>
      <w:r>
        <w:rPr>
          <w:rFonts w:ascii="宋体" w:hAnsi="宋体"/>
          <w:color w:val="auto"/>
          <w:highlight w:val="none"/>
        </w:rPr>
        <w:t xml:space="preserve">                         </w:t>
      </w:r>
      <w:r>
        <w:rPr>
          <w:rFonts w:hint="eastAsia" w:ascii="宋体" w:hAnsi="宋体"/>
          <w:color w:val="auto"/>
          <w:highlight w:val="none"/>
        </w:rPr>
        <w:t>传</w:t>
      </w:r>
      <w:r>
        <w:rPr>
          <w:rFonts w:ascii="宋体" w:hAnsi="宋体"/>
          <w:color w:val="auto"/>
          <w:highlight w:val="none"/>
        </w:rPr>
        <w:t xml:space="preserve">    </w:t>
      </w:r>
      <w:r>
        <w:rPr>
          <w:rFonts w:hint="eastAsia" w:ascii="宋体" w:hAnsi="宋体"/>
          <w:color w:val="auto"/>
          <w:highlight w:val="none"/>
        </w:rPr>
        <w:t>真：</w:t>
      </w:r>
    </w:p>
    <w:p>
      <w:pPr>
        <w:spacing w:line="440" w:lineRule="exact"/>
        <w:ind w:firstLine="504"/>
        <w:rPr>
          <w:rFonts w:ascii="Calibri" w:hAnsi="Calibri"/>
          <w:color w:val="auto"/>
          <w:szCs w:val="24"/>
          <w:highlight w:val="none"/>
        </w:rPr>
      </w:pPr>
      <w:r>
        <w:rPr>
          <w:rFonts w:hint="eastAsia" w:ascii="宋体" w:hAnsi="宋体"/>
          <w:color w:val="auto"/>
          <w:highlight w:val="none"/>
        </w:rPr>
        <w:t>签约日期：</w:t>
      </w:r>
      <w:r>
        <w:rPr>
          <w:rFonts w:hint="eastAsia" w:ascii="宋体" w:hAnsi="宋体"/>
          <w:color w:val="auto"/>
          <w:szCs w:val="21"/>
          <w:highlight w:val="none"/>
        </w:rPr>
        <w:t>XX</w:t>
      </w:r>
      <w:r>
        <w:rPr>
          <w:rFonts w:hint="eastAsia" w:ascii="宋体" w:hAnsi="宋体"/>
          <w:color w:val="auto"/>
          <w:highlight w:val="none"/>
        </w:rPr>
        <w:t>年</w:t>
      </w:r>
      <w:r>
        <w:rPr>
          <w:rFonts w:hint="eastAsia" w:ascii="宋体" w:hAnsi="宋体"/>
          <w:color w:val="auto"/>
          <w:szCs w:val="21"/>
          <w:highlight w:val="none"/>
        </w:rPr>
        <w:t>XX</w:t>
      </w:r>
      <w:r>
        <w:rPr>
          <w:rFonts w:hint="eastAsia" w:ascii="宋体" w:hAnsi="宋体"/>
          <w:color w:val="auto"/>
          <w:highlight w:val="none"/>
        </w:rPr>
        <w:t>月</w:t>
      </w:r>
      <w:r>
        <w:rPr>
          <w:rFonts w:hint="eastAsia" w:ascii="宋体" w:hAnsi="宋体"/>
          <w:color w:val="auto"/>
          <w:szCs w:val="21"/>
          <w:highlight w:val="none"/>
        </w:rPr>
        <w:t>XX</w:t>
      </w:r>
      <w:r>
        <w:rPr>
          <w:rFonts w:hint="eastAsia" w:ascii="宋体" w:hAnsi="宋体"/>
          <w:color w:val="auto"/>
          <w:highlight w:val="none"/>
        </w:rPr>
        <w:t>日</w:t>
      </w:r>
      <w:r>
        <w:rPr>
          <w:rFonts w:ascii="宋体" w:hAnsi="宋体"/>
          <w:color w:val="auto"/>
          <w:highlight w:val="none"/>
        </w:rPr>
        <w:t xml:space="preserve"> </w:t>
      </w:r>
      <w:r>
        <w:rPr>
          <w:rFonts w:ascii="宋体" w:hAnsi="宋体"/>
          <w:color w:val="auto"/>
          <w:highlight w:val="none"/>
        </w:rPr>
        <w:tab/>
      </w:r>
      <w:r>
        <w:rPr>
          <w:rFonts w:ascii="宋体" w:hAnsi="宋体"/>
          <w:color w:val="auto"/>
          <w:highlight w:val="none"/>
        </w:rPr>
        <w:tab/>
      </w:r>
      <w:r>
        <w:rPr>
          <w:rFonts w:ascii="宋体" w:hAnsi="宋体"/>
          <w:color w:val="auto"/>
          <w:highlight w:val="none"/>
        </w:rPr>
        <w:tab/>
      </w:r>
      <w:r>
        <w:rPr>
          <w:rFonts w:hint="eastAsia" w:ascii="宋体" w:hAnsi="宋体"/>
          <w:color w:val="auto"/>
          <w:highlight w:val="none"/>
        </w:rPr>
        <w:t>签约日期：</w:t>
      </w:r>
      <w:r>
        <w:rPr>
          <w:rFonts w:hint="eastAsia" w:ascii="宋体" w:hAnsi="宋体"/>
          <w:color w:val="auto"/>
          <w:szCs w:val="21"/>
          <w:highlight w:val="none"/>
        </w:rPr>
        <w:t>XX</w:t>
      </w:r>
      <w:r>
        <w:rPr>
          <w:rFonts w:hint="eastAsia" w:ascii="宋体" w:hAnsi="宋体"/>
          <w:color w:val="auto"/>
          <w:highlight w:val="none"/>
        </w:rPr>
        <w:t>年</w:t>
      </w:r>
      <w:r>
        <w:rPr>
          <w:rFonts w:hint="eastAsia" w:ascii="宋体" w:hAnsi="宋体"/>
          <w:color w:val="auto"/>
          <w:szCs w:val="21"/>
          <w:highlight w:val="none"/>
        </w:rPr>
        <w:t>XX</w:t>
      </w:r>
      <w:r>
        <w:rPr>
          <w:rFonts w:hint="eastAsia" w:ascii="宋体" w:hAnsi="宋体"/>
          <w:color w:val="auto"/>
          <w:highlight w:val="none"/>
        </w:rPr>
        <w:t>月</w:t>
      </w:r>
      <w:r>
        <w:rPr>
          <w:rFonts w:hint="eastAsia" w:ascii="宋体" w:hAnsi="宋体"/>
          <w:color w:val="auto"/>
          <w:szCs w:val="21"/>
          <w:highlight w:val="none"/>
        </w:rPr>
        <w:t>XX日</w:t>
      </w:r>
      <w:bookmarkEnd w:id="0"/>
      <w:bookmarkEnd w:id="1"/>
      <w:bookmarkEnd w:id="2"/>
      <w:bookmarkEnd w:id="3"/>
      <w:bookmarkEnd w:id="399"/>
      <w:bookmarkEnd w:id="400"/>
    </w:p>
    <w:sectPr>
      <w:footerReference r:id="rId12" w:type="default"/>
      <w:pgSz w:w="11906" w:h="16838"/>
      <w:pgMar w:top="1417" w:right="1417" w:bottom="1417" w:left="1417" w:header="1134" w:footer="992" w:gutter="0"/>
      <w:pgNumType w:fmt="decimal"/>
      <w:cols w:space="0" w:num="1"/>
      <w:docGrid w:type="linesAndChars" w:linePitch="312"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90"/>
      </w:pPr>
      <w:r>
        <w:separator/>
      </w:r>
    </w:p>
  </w:endnote>
  <w:endnote w:type="continuationSeparator" w:id="1">
    <w:p>
      <w:pPr>
        <w:spacing w:line="240" w:lineRule="auto"/>
        <w:ind w:firstLine="49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 New (W1)">
    <w:altName w:val="Times New Roman"/>
    <w:panose1 w:val="00000000000000000000"/>
    <w:charset w:val="00"/>
    <w:family w:val="roman"/>
    <w:pitch w:val="default"/>
    <w:sig w:usb0="00000000" w:usb1="00000000" w:usb2="00000008" w:usb3="00000000" w:csb0="000001FF" w:csb1="00000000"/>
  </w:font>
  <w:font w:name="Arial (W1)">
    <w:altName w:val="Arial"/>
    <w:panose1 w:val="00000000000000000000"/>
    <w:charset w:val="00"/>
    <w:family w:val="auto"/>
    <w:pitch w:val="default"/>
    <w:sig w:usb0="00000000" w:usb1="00000000" w:usb2="00000009" w:usb3="00000000" w:csb0="000001FF"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ind w:firstLine="360"/>
      <w:rPr>
        <w:rStyle w:val="47"/>
      </w:rPr>
    </w:pPr>
    <w:r>
      <w:fldChar w:fldCharType="begin"/>
    </w:r>
    <w:r>
      <w:rPr>
        <w:rStyle w:val="47"/>
      </w:rPr>
      <w:instrText xml:space="preserve">PAGE  </w:instrText>
    </w:r>
    <w:r>
      <w:fldChar w:fldCharType="separate"/>
    </w:r>
    <w:r>
      <w:rPr>
        <w:rStyle w:val="47"/>
      </w:rPr>
      <w:t>71</w:t>
    </w:r>
    <w:r>
      <w:fldChar w:fldCharType="end"/>
    </w:r>
  </w:p>
  <w:p>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UyEM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1TIQyQEAAJkDAAAOAAAAAAAAAAEAIAAAAB4BAABkcnMvZTJvRG9j&#10;LnhtbFBLBQYAAAAABgAGAFkBAABZ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CnvccBAACZ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KUCnvccBAACZAwAADgAAAAAAAAABACAAAAAeAQAAZHJzL2Uyb0RvYy54&#10;bWxQSwUGAAAAAAYABgBZAQAAVwU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90"/>
      </w:pPr>
      <w:r>
        <w:separator/>
      </w:r>
    </w:p>
  </w:footnote>
  <w:footnote w:type="continuationSeparator" w:id="1">
    <w:p>
      <w:pPr>
        <w:spacing w:line="240" w:lineRule="auto"/>
        <w:ind w:firstLine="49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ind w:firstLine="0" w:firstLineChars="0"/>
      <w:jc w:val="both"/>
      <w:rPr>
        <w:u w:val="single"/>
      </w:rPr>
    </w:pPr>
    <w:r>
      <w:rPr>
        <w:rFonts w:hint="eastAsia"/>
        <w:sz w:val="21"/>
        <w:szCs w:val="21"/>
        <w:u w:val="single"/>
      </w:rPr>
      <w:drawing>
        <wp:anchor distT="0" distB="0" distL="114300" distR="114300" simplePos="0" relativeHeight="251659264" behindDoc="1" locked="0" layoutInCell="1" allowOverlap="1">
          <wp:simplePos x="0" y="0"/>
          <wp:positionH relativeFrom="column">
            <wp:posOffset>-80010</wp:posOffset>
          </wp:positionH>
          <wp:positionV relativeFrom="paragraph">
            <wp:posOffset>-247650</wp:posOffset>
          </wp:positionV>
          <wp:extent cx="2762250" cy="518160"/>
          <wp:effectExtent l="0" t="0" r="0" b="15240"/>
          <wp:wrapNone/>
          <wp:docPr id="1" name="图片 1"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小）"/>
                  <pic:cNvPicPr>
                    <a:picLocks noChangeAspect="1"/>
                  </pic:cNvPicPr>
                </pic:nvPicPr>
                <pic:blipFill>
                  <a:blip r:embed="rId1"/>
                  <a:stretch>
                    <a:fillRect/>
                  </a:stretch>
                </pic:blipFill>
                <pic:spPr>
                  <a:xfrm>
                    <a:off x="0" y="0"/>
                    <a:ext cx="2762250" cy="518160"/>
                  </a:xfrm>
                  <a:prstGeom prst="rect">
                    <a:avLst/>
                  </a:prstGeom>
                  <a:noFill/>
                  <a:ln w="9525">
                    <a:noFill/>
                  </a:ln>
                </pic:spPr>
              </pic:pic>
            </a:graphicData>
          </a:graphic>
        </wp:anchor>
      </w:drawing>
    </w:r>
    <w:r>
      <w:rPr>
        <w:rFonts w:hint="eastAsia"/>
        <w:sz w:val="21"/>
        <w:szCs w:val="21"/>
        <w:u w:val="single"/>
      </w:rPr>
      <w:t xml:space="preserve">                                                                    守法/诚信/严谨/高效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ED6FB"/>
    <w:multiLevelType w:val="singleLevel"/>
    <w:tmpl w:val="971ED6FB"/>
    <w:lvl w:ilvl="0" w:tentative="0">
      <w:start w:val="1"/>
      <w:numFmt w:val="chineseCounting"/>
      <w:suff w:val="nothing"/>
      <w:lvlText w:val="（%1）"/>
      <w:lvlJc w:val="left"/>
      <w:pPr>
        <w:ind w:left="0" w:firstLine="420"/>
      </w:pPr>
      <w:rPr>
        <w:rFonts w:hint="eastAsia"/>
      </w:rPr>
    </w:lvl>
  </w:abstractNum>
  <w:abstractNum w:abstractNumId="1">
    <w:nsid w:val="97A76D8D"/>
    <w:multiLevelType w:val="singleLevel"/>
    <w:tmpl w:val="97A76D8D"/>
    <w:lvl w:ilvl="0" w:tentative="0">
      <w:start w:val="1"/>
      <w:numFmt w:val="chineseCounting"/>
      <w:suff w:val="nothing"/>
      <w:lvlText w:val="（%1）"/>
      <w:lvlJc w:val="left"/>
      <w:pPr>
        <w:ind w:left="0" w:firstLine="420"/>
      </w:pPr>
      <w:rPr>
        <w:rFonts w:hint="eastAsia"/>
      </w:rPr>
    </w:lvl>
  </w:abstractNum>
  <w:abstractNum w:abstractNumId="2">
    <w:nsid w:val="C47B4B3C"/>
    <w:multiLevelType w:val="singleLevel"/>
    <w:tmpl w:val="C47B4B3C"/>
    <w:lvl w:ilvl="0" w:tentative="0">
      <w:start w:val="1"/>
      <w:numFmt w:val="decimal"/>
      <w:lvlText w:val="%1、"/>
      <w:lvlJc w:val="left"/>
      <w:pPr>
        <w:tabs>
          <w:tab w:val="left" w:pos="420"/>
        </w:tabs>
        <w:ind w:left="425" w:hanging="425"/>
      </w:pPr>
      <w:rPr>
        <w:rFonts w:hint="default"/>
      </w:rPr>
    </w:lvl>
  </w:abstractNum>
  <w:abstractNum w:abstractNumId="3">
    <w:nsid w:val="D79BAF09"/>
    <w:multiLevelType w:val="singleLevel"/>
    <w:tmpl w:val="D79BAF09"/>
    <w:lvl w:ilvl="0" w:tentative="0">
      <w:start w:val="1"/>
      <w:numFmt w:val="chineseCounting"/>
      <w:suff w:val="nothing"/>
      <w:lvlText w:val="%1、"/>
      <w:lvlJc w:val="left"/>
      <w:pPr>
        <w:ind w:left="0" w:firstLine="420"/>
      </w:pPr>
      <w:rPr>
        <w:rFonts w:hint="eastAsia"/>
      </w:rPr>
    </w:lvl>
  </w:abstractNum>
  <w:abstractNum w:abstractNumId="4">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400"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1696" w:hanging="420"/>
      </w:pPr>
      <w:rPr>
        <w:rFonts w:hint="eastAsia"/>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00000029"/>
    <w:multiLevelType w:val="multilevel"/>
    <w:tmpl w:val="00000029"/>
    <w:lvl w:ilvl="0" w:tentative="0">
      <w:start w:val="1"/>
      <w:numFmt w:val="decimal"/>
      <w:lvlText w:val="%1."/>
      <w:lvlJc w:val="left"/>
      <w:pPr>
        <w:ind w:left="420" w:hanging="420"/>
      </w:pPr>
      <w:rPr>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889"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91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8">
    <w:nsid w:val="0000003E"/>
    <w:multiLevelType w:val="multilevel"/>
    <w:tmpl w:val="0000003E"/>
    <w:lvl w:ilvl="0" w:tentative="0">
      <w:start w:val="1"/>
      <w:numFmt w:val="chineseCountingThousand"/>
      <w:suff w:val="nothing"/>
      <w:lvlText w:val="%1、"/>
      <w:lvlJc w:val="left"/>
      <w:pPr>
        <w:ind w:left="1540" w:hanging="420"/>
      </w:pPr>
      <w:rPr>
        <w:rFonts w:hint="eastAsia"/>
        <w:b/>
        <w:lang w:val="en-US"/>
      </w:rPr>
    </w:lvl>
    <w:lvl w:ilvl="1" w:tentative="0">
      <w:start w:val="1"/>
      <w:numFmt w:val="decimal"/>
      <w:lvlText w:val="%2、"/>
      <w:lvlJc w:val="left"/>
      <w:pPr>
        <w:ind w:left="1693" w:hanging="1125"/>
      </w:pPr>
      <w:rPr>
        <w:rFonts w:hint="default"/>
      </w:rPr>
    </w:lvl>
    <w:lvl w:ilvl="2" w:tentative="0">
      <w:start w:val="1"/>
      <w:numFmt w:val="lowerRoman"/>
      <w:lvlText w:val="%3."/>
      <w:lvlJc w:val="right"/>
      <w:pPr>
        <w:ind w:left="1971" w:hanging="420"/>
      </w:pPr>
    </w:lvl>
    <w:lvl w:ilvl="3" w:tentative="0">
      <w:start w:val="1"/>
      <w:numFmt w:val="decimal"/>
      <w:lvlText w:val="%4."/>
      <w:lvlJc w:val="left"/>
      <w:pPr>
        <w:ind w:left="2391" w:hanging="420"/>
      </w:pPr>
    </w:lvl>
    <w:lvl w:ilvl="4" w:tentative="0">
      <w:start w:val="1"/>
      <w:numFmt w:val="lowerLetter"/>
      <w:lvlText w:val="%5)"/>
      <w:lvlJc w:val="left"/>
      <w:pPr>
        <w:ind w:left="2811" w:hanging="420"/>
      </w:pPr>
    </w:lvl>
    <w:lvl w:ilvl="5" w:tentative="0">
      <w:start w:val="1"/>
      <w:numFmt w:val="lowerRoman"/>
      <w:lvlText w:val="%6."/>
      <w:lvlJc w:val="right"/>
      <w:pPr>
        <w:ind w:left="3231" w:hanging="420"/>
      </w:pPr>
    </w:lvl>
    <w:lvl w:ilvl="6" w:tentative="0">
      <w:start w:val="1"/>
      <w:numFmt w:val="decimal"/>
      <w:lvlText w:val="%7."/>
      <w:lvlJc w:val="left"/>
      <w:pPr>
        <w:ind w:left="3651" w:hanging="420"/>
      </w:pPr>
    </w:lvl>
    <w:lvl w:ilvl="7" w:tentative="0">
      <w:start w:val="1"/>
      <w:numFmt w:val="lowerLetter"/>
      <w:lvlText w:val="%8)"/>
      <w:lvlJc w:val="left"/>
      <w:pPr>
        <w:ind w:left="4071" w:hanging="420"/>
      </w:pPr>
    </w:lvl>
    <w:lvl w:ilvl="8" w:tentative="0">
      <w:start w:val="1"/>
      <w:numFmt w:val="lowerRoman"/>
      <w:lvlText w:val="%9."/>
      <w:lvlJc w:val="right"/>
      <w:pPr>
        <w:ind w:left="4491" w:hanging="420"/>
      </w:pPr>
    </w:lvl>
  </w:abstractNum>
  <w:abstractNum w:abstractNumId="9">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1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13">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58DDCC0E"/>
    <w:multiLevelType w:val="multilevel"/>
    <w:tmpl w:val="58DDCC0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8DDE819"/>
    <w:multiLevelType w:val="singleLevel"/>
    <w:tmpl w:val="58DDE819"/>
    <w:lvl w:ilvl="0" w:tentative="0">
      <w:start w:val="1"/>
      <w:numFmt w:val="chineseCounting"/>
      <w:suff w:val="nothing"/>
      <w:lvlText w:val="（%1）"/>
      <w:lvlJc w:val="left"/>
      <w:pPr>
        <w:ind w:left="0" w:firstLine="420"/>
      </w:pPr>
      <w:rPr>
        <w:rFonts w:hint="eastAsia"/>
      </w:rPr>
    </w:lvl>
  </w:abstractNum>
  <w:abstractNum w:abstractNumId="16">
    <w:nsid w:val="58DDF6CD"/>
    <w:multiLevelType w:val="singleLevel"/>
    <w:tmpl w:val="58DDF6CD"/>
    <w:lvl w:ilvl="0" w:tentative="0">
      <w:start w:val="1"/>
      <w:numFmt w:val="chineseCounting"/>
      <w:suff w:val="nothing"/>
      <w:lvlText w:val="%1、"/>
      <w:lvlJc w:val="left"/>
      <w:pPr>
        <w:ind w:left="0" w:firstLine="420"/>
      </w:pPr>
      <w:rPr>
        <w:rFonts w:hint="eastAsia"/>
      </w:rPr>
    </w:lvl>
  </w:abstractNum>
  <w:abstractNum w:abstractNumId="17">
    <w:nsid w:val="58E72D27"/>
    <w:multiLevelType w:val="singleLevel"/>
    <w:tmpl w:val="58E72D27"/>
    <w:lvl w:ilvl="0" w:tentative="0">
      <w:start w:val="1"/>
      <w:numFmt w:val="decimal"/>
      <w:lvlText w:val="%1."/>
      <w:lvlJc w:val="left"/>
      <w:pPr>
        <w:ind w:left="425" w:hanging="425"/>
      </w:pPr>
      <w:rPr>
        <w:rFonts w:hint="default"/>
      </w:rPr>
    </w:lvl>
  </w:abstractNum>
  <w:abstractNum w:abstractNumId="18">
    <w:nsid w:val="59DEF6EB"/>
    <w:multiLevelType w:val="singleLevel"/>
    <w:tmpl w:val="59DEF6EB"/>
    <w:lvl w:ilvl="0" w:tentative="0">
      <w:start w:val="1"/>
      <w:numFmt w:val="chineseCounting"/>
      <w:suff w:val="nothing"/>
      <w:lvlText w:val="%1、"/>
      <w:lvlJc w:val="left"/>
    </w:lvl>
  </w:abstractNum>
  <w:abstractNum w:abstractNumId="19">
    <w:nsid w:val="59DF2960"/>
    <w:multiLevelType w:val="singleLevel"/>
    <w:tmpl w:val="59DF2960"/>
    <w:lvl w:ilvl="0" w:tentative="0">
      <w:start w:val="1"/>
      <w:numFmt w:val="chineseCounting"/>
      <w:suff w:val="nothing"/>
      <w:lvlText w:val="（%1）"/>
      <w:lvlJc w:val="left"/>
      <w:pPr>
        <w:ind w:left="0" w:firstLine="420"/>
      </w:pPr>
      <w:rPr>
        <w:rFonts w:hint="eastAsia"/>
      </w:rPr>
    </w:lvl>
  </w:abstractNum>
  <w:abstractNum w:abstractNumId="20">
    <w:nsid w:val="59DF297E"/>
    <w:multiLevelType w:val="singleLevel"/>
    <w:tmpl w:val="59DF297E"/>
    <w:lvl w:ilvl="0" w:tentative="0">
      <w:start w:val="1"/>
      <w:numFmt w:val="chineseCounting"/>
      <w:suff w:val="nothing"/>
      <w:lvlText w:val="（%1）"/>
      <w:lvlJc w:val="left"/>
      <w:pPr>
        <w:ind w:left="0" w:firstLine="420"/>
      </w:pPr>
      <w:rPr>
        <w:rFonts w:hint="eastAsia"/>
      </w:rPr>
    </w:lvl>
  </w:abstractNum>
  <w:abstractNum w:abstractNumId="21">
    <w:nsid w:val="5A1BBB23"/>
    <w:multiLevelType w:val="singleLevel"/>
    <w:tmpl w:val="5A1BBB23"/>
    <w:lvl w:ilvl="0" w:tentative="0">
      <w:start w:val="1"/>
      <w:numFmt w:val="chineseCounting"/>
      <w:suff w:val="nothing"/>
      <w:lvlText w:val="（%1）"/>
      <w:lvlJc w:val="left"/>
    </w:lvl>
  </w:abstractNum>
  <w:abstractNum w:abstractNumId="22">
    <w:nsid w:val="5A1BC085"/>
    <w:multiLevelType w:val="singleLevel"/>
    <w:tmpl w:val="5A1BC085"/>
    <w:lvl w:ilvl="0" w:tentative="0">
      <w:start w:val="1"/>
      <w:numFmt w:val="chineseCounting"/>
      <w:suff w:val="nothing"/>
      <w:lvlText w:val="%1、"/>
      <w:lvlJc w:val="left"/>
      <w:pPr>
        <w:ind w:left="0" w:firstLine="420"/>
      </w:pPr>
      <w:rPr>
        <w:rFonts w:hint="eastAsia"/>
      </w:rPr>
    </w:lvl>
  </w:abstractNum>
  <w:abstractNum w:abstractNumId="23">
    <w:nsid w:val="5A1BC096"/>
    <w:multiLevelType w:val="singleLevel"/>
    <w:tmpl w:val="5A1BC096"/>
    <w:lvl w:ilvl="0" w:tentative="0">
      <w:start w:val="1"/>
      <w:numFmt w:val="chineseCounting"/>
      <w:suff w:val="nothing"/>
      <w:lvlText w:val="%1、"/>
      <w:lvlJc w:val="left"/>
      <w:pPr>
        <w:ind w:left="0" w:firstLine="420"/>
      </w:pPr>
      <w:rPr>
        <w:rFonts w:hint="eastAsia"/>
      </w:rPr>
    </w:lvl>
  </w:abstractNum>
  <w:abstractNum w:abstractNumId="24">
    <w:nsid w:val="5A1BC0C9"/>
    <w:multiLevelType w:val="singleLevel"/>
    <w:tmpl w:val="5A1BC0C9"/>
    <w:lvl w:ilvl="0" w:tentative="0">
      <w:start w:val="1"/>
      <w:numFmt w:val="chineseCounting"/>
      <w:suff w:val="nothing"/>
      <w:lvlText w:val="%1、"/>
      <w:lvlJc w:val="left"/>
      <w:pPr>
        <w:ind w:left="0" w:firstLine="420"/>
      </w:pPr>
      <w:rPr>
        <w:rFonts w:hint="eastAsia"/>
      </w:rPr>
    </w:lvl>
  </w:abstractNum>
  <w:abstractNum w:abstractNumId="25">
    <w:nsid w:val="5A1BC0DF"/>
    <w:multiLevelType w:val="singleLevel"/>
    <w:tmpl w:val="5A1BC0DF"/>
    <w:lvl w:ilvl="0" w:tentative="0">
      <w:start w:val="1"/>
      <w:numFmt w:val="chineseCounting"/>
      <w:suff w:val="nothing"/>
      <w:lvlText w:val="%1、"/>
      <w:lvlJc w:val="left"/>
      <w:pPr>
        <w:ind w:left="0" w:firstLine="420"/>
      </w:pPr>
      <w:rPr>
        <w:rFonts w:hint="eastAsia"/>
      </w:rPr>
    </w:lvl>
  </w:abstractNum>
  <w:abstractNum w:abstractNumId="26">
    <w:nsid w:val="5A1BC0F2"/>
    <w:multiLevelType w:val="singleLevel"/>
    <w:tmpl w:val="5A1BC0F2"/>
    <w:lvl w:ilvl="0" w:tentative="0">
      <w:start w:val="1"/>
      <w:numFmt w:val="chineseCounting"/>
      <w:suff w:val="nothing"/>
      <w:lvlText w:val="%1、"/>
      <w:lvlJc w:val="left"/>
      <w:pPr>
        <w:ind w:left="0" w:firstLine="420"/>
      </w:pPr>
      <w:rPr>
        <w:rFonts w:hint="eastAsia"/>
      </w:rPr>
    </w:lvl>
  </w:abstractNum>
  <w:abstractNum w:abstractNumId="27">
    <w:nsid w:val="5A1BC104"/>
    <w:multiLevelType w:val="singleLevel"/>
    <w:tmpl w:val="5A1BC104"/>
    <w:lvl w:ilvl="0" w:tentative="0">
      <w:start w:val="1"/>
      <w:numFmt w:val="chineseCounting"/>
      <w:suff w:val="nothing"/>
      <w:lvlText w:val="%1、"/>
      <w:lvlJc w:val="left"/>
      <w:pPr>
        <w:ind w:left="0" w:firstLine="420"/>
      </w:pPr>
      <w:rPr>
        <w:rFonts w:hint="eastAsia"/>
      </w:rPr>
    </w:lvl>
  </w:abstractNum>
  <w:abstractNum w:abstractNumId="28">
    <w:nsid w:val="5A1BC12D"/>
    <w:multiLevelType w:val="singleLevel"/>
    <w:tmpl w:val="5A1BC12D"/>
    <w:lvl w:ilvl="0" w:tentative="0">
      <w:start w:val="1"/>
      <w:numFmt w:val="chineseCounting"/>
      <w:suff w:val="nothing"/>
      <w:lvlText w:val="%1、"/>
      <w:lvlJc w:val="left"/>
      <w:pPr>
        <w:ind w:left="0" w:firstLine="420"/>
      </w:pPr>
      <w:rPr>
        <w:rFonts w:hint="eastAsia"/>
      </w:rPr>
    </w:lvl>
  </w:abstractNum>
  <w:abstractNum w:abstractNumId="29">
    <w:nsid w:val="5A1BCDD6"/>
    <w:multiLevelType w:val="singleLevel"/>
    <w:tmpl w:val="5A1BCDD6"/>
    <w:lvl w:ilvl="0" w:tentative="0">
      <w:start w:val="1"/>
      <w:numFmt w:val="chineseCounting"/>
      <w:suff w:val="nothing"/>
      <w:lvlText w:val="%1、"/>
      <w:lvlJc w:val="left"/>
      <w:pPr>
        <w:ind w:left="0" w:firstLine="420"/>
      </w:pPr>
      <w:rPr>
        <w:rFonts w:hint="eastAsia"/>
      </w:rPr>
    </w:lvl>
  </w:abstractNum>
  <w:abstractNum w:abstractNumId="30">
    <w:nsid w:val="5A1BCF2F"/>
    <w:multiLevelType w:val="singleLevel"/>
    <w:tmpl w:val="5A1BCF2F"/>
    <w:lvl w:ilvl="0" w:tentative="0">
      <w:start w:val="1"/>
      <w:numFmt w:val="chineseCounting"/>
      <w:suff w:val="nothing"/>
      <w:lvlText w:val="%1、"/>
      <w:lvlJc w:val="left"/>
      <w:pPr>
        <w:ind w:left="0" w:firstLine="420"/>
      </w:pPr>
      <w:rPr>
        <w:rFonts w:hint="eastAsia"/>
      </w:rPr>
    </w:lvl>
  </w:abstractNum>
  <w:abstractNum w:abstractNumId="31">
    <w:nsid w:val="5A1BCF5D"/>
    <w:multiLevelType w:val="singleLevel"/>
    <w:tmpl w:val="5A1BCF5D"/>
    <w:lvl w:ilvl="0" w:tentative="0">
      <w:start w:val="1"/>
      <w:numFmt w:val="decimal"/>
      <w:suff w:val="nothing"/>
      <w:lvlText w:val="%1、"/>
      <w:lvlJc w:val="left"/>
    </w:lvl>
  </w:abstractNum>
  <w:abstractNum w:abstractNumId="32">
    <w:nsid w:val="5A1BD2C8"/>
    <w:multiLevelType w:val="singleLevel"/>
    <w:tmpl w:val="5A1BD2C8"/>
    <w:lvl w:ilvl="0" w:tentative="0">
      <w:start w:val="1"/>
      <w:numFmt w:val="chineseCounting"/>
      <w:suff w:val="nothing"/>
      <w:lvlText w:val="%1、"/>
      <w:lvlJc w:val="left"/>
      <w:pPr>
        <w:ind w:left="0" w:firstLine="420"/>
      </w:pPr>
      <w:rPr>
        <w:rFonts w:hint="eastAsia"/>
      </w:rPr>
    </w:lvl>
  </w:abstractNum>
  <w:abstractNum w:abstractNumId="33">
    <w:nsid w:val="5A1BD3D3"/>
    <w:multiLevelType w:val="singleLevel"/>
    <w:tmpl w:val="5A1BD3D3"/>
    <w:lvl w:ilvl="0" w:tentative="0">
      <w:start w:val="1"/>
      <w:numFmt w:val="chineseCounting"/>
      <w:suff w:val="nothing"/>
      <w:lvlText w:val="%1、"/>
      <w:lvlJc w:val="left"/>
      <w:pPr>
        <w:ind w:left="0" w:firstLine="420"/>
      </w:pPr>
      <w:rPr>
        <w:rFonts w:hint="eastAsia"/>
      </w:rPr>
    </w:lvl>
  </w:abstractNum>
  <w:abstractNum w:abstractNumId="34">
    <w:nsid w:val="5A1BD3EE"/>
    <w:multiLevelType w:val="singleLevel"/>
    <w:tmpl w:val="5A1BD3EE"/>
    <w:lvl w:ilvl="0" w:tentative="0">
      <w:start w:val="1"/>
      <w:numFmt w:val="chineseCounting"/>
      <w:suff w:val="nothing"/>
      <w:lvlText w:val="%1、"/>
      <w:lvlJc w:val="left"/>
      <w:pPr>
        <w:ind w:left="0" w:firstLine="420"/>
      </w:pPr>
      <w:rPr>
        <w:rFonts w:hint="eastAsia"/>
      </w:rPr>
    </w:lvl>
  </w:abstractNum>
  <w:abstractNum w:abstractNumId="35">
    <w:nsid w:val="5A1CF407"/>
    <w:multiLevelType w:val="singleLevel"/>
    <w:tmpl w:val="5A1CF407"/>
    <w:lvl w:ilvl="0" w:tentative="0">
      <w:start w:val="1"/>
      <w:numFmt w:val="chineseCounting"/>
      <w:suff w:val="nothing"/>
      <w:lvlText w:val="（%1）"/>
      <w:lvlJc w:val="left"/>
      <w:pPr>
        <w:ind w:left="0" w:firstLine="420"/>
      </w:pPr>
      <w:rPr>
        <w:rFonts w:hint="eastAsia"/>
      </w:rPr>
    </w:lvl>
  </w:abstractNum>
  <w:abstractNum w:abstractNumId="36">
    <w:nsid w:val="5A1CF43F"/>
    <w:multiLevelType w:val="singleLevel"/>
    <w:tmpl w:val="5A1CF43F"/>
    <w:lvl w:ilvl="0" w:tentative="0">
      <w:start w:val="1"/>
      <w:numFmt w:val="chineseCounting"/>
      <w:suff w:val="nothing"/>
      <w:lvlText w:val="%1、"/>
      <w:lvlJc w:val="left"/>
      <w:pPr>
        <w:ind w:left="0" w:firstLine="420"/>
      </w:pPr>
      <w:rPr>
        <w:rFonts w:hint="eastAsia"/>
      </w:rPr>
    </w:lvl>
  </w:abstractNum>
  <w:abstractNum w:abstractNumId="37">
    <w:nsid w:val="5A1CF453"/>
    <w:multiLevelType w:val="singleLevel"/>
    <w:tmpl w:val="5A1CF453"/>
    <w:lvl w:ilvl="0" w:tentative="0">
      <w:start w:val="1"/>
      <w:numFmt w:val="chineseCounting"/>
      <w:suff w:val="nothing"/>
      <w:lvlText w:val="（%1）"/>
      <w:lvlJc w:val="left"/>
      <w:pPr>
        <w:ind w:left="0" w:firstLine="420"/>
      </w:pPr>
      <w:rPr>
        <w:rFonts w:hint="eastAsia"/>
      </w:rPr>
    </w:lvl>
  </w:abstractNum>
  <w:abstractNum w:abstractNumId="38">
    <w:nsid w:val="5A1CF847"/>
    <w:multiLevelType w:val="singleLevel"/>
    <w:tmpl w:val="5A1CF847"/>
    <w:lvl w:ilvl="0" w:tentative="0">
      <w:start w:val="1"/>
      <w:numFmt w:val="chineseCounting"/>
      <w:suff w:val="nothing"/>
      <w:lvlText w:val="%1、"/>
      <w:lvlJc w:val="left"/>
      <w:pPr>
        <w:ind w:left="0" w:firstLine="420"/>
      </w:pPr>
      <w:rPr>
        <w:rFonts w:hint="eastAsia"/>
      </w:rPr>
    </w:lvl>
  </w:abstractNum>
  <w:abstractNum w:abstractNumId="39">
    <w:nsid w:val="5A1CF8F5"/>
    <w:multiLevelType w:val="singleLevel"/>
    <w:tmpl w:val="5A1CF8F5"/>
    <w:lvl w:ilvl="0" w:tentative="0">
      <w:start w:val="1"/>
      <w:numFmt w:val="chineseCounting"/>
      <w:suff w:val="nothing"/>
      <w:lvlText w:val="%1、"/>
      <w:lvlJc w:val="left"/>
      <w:pPr>
        <w:ind w:left="0" w:firstLine="420"/>
      </w:pPr>
      <w:rPr>
        <w:rFonts w:hint="eastAsia"/>
      </w:rPr>
    </w:lvl>
  </w:abstractNum>
  <w:abstractNum w:abstractNumId="40">
    <w:nsid w:val="5A1CFC04"/>
    <w:multiLevelType w:val="singleLevel"/>
    <w:tmpl w:val="5A1CFC04"/>
    <w:lvl w:ilvl="0" w:tentative="0">
      <w:start w:val="1"/>
      <w:numFmt w:val="chineseCounting"/>
      <w:suff w:val="nothing"/>
      <w:lvlText w:val="%1、"/>
      <w:lvlJc w:val="left"/>
      <w:pPr>
        <w:ind w:left="0" w:firstLine="420"/>
      </w:pPr>
      <w:rPr>
        <w:rFonts w:hint="eastAsia"/>
      </w:rPr>
    </w:lvl>
  </w:abstractNum>
  <w:abstractNum w:abstractNumId="41">
    <w:nsid w:val="5A1D0417"/>
    <w:multiLevelType w:val="singleLevel"/>
    <w:tmpl w:val="5A1D0417"/>
    <w:lvl w:ilvl="0" w:tentative="0">
      <w:start w:val="1"/>
      <w:numFmt w:val="chineseCounting"/>
      <w:suff w:val="nothing"/>
      <w:lvlText w:val="%1、"/>
      <w:lvlJc w:val="left"/>
      <w:pPr>
        <w:ind w:left="0" w:firstLine="420"/>
      </w:pPr>
      <w:rPr>
        <w:rFonts w:hint="eastAsia"/>
      </w:rPr>
    </w:lvl>
  </w:abstractNum>
  <w:abstractNum w:abstractNumId="42">
    <w:nsid w:val="5A1FAC91"/>
    <w:multiLevelType w:val="singleLevel"/>
    <w:tmpl w:val="5A1FAC91"/>
    <w:lvl w:ilvl="0" w:tentative="0">
      <w:start w:val="1"/>
      <w:numFmt w:val="chineseCounting"/>
      <w:suff w:val="nothing"/>
      <w:lvlText w:val="%1、"/>
      <w:lvlJc w:val="left"/>
      <w:pPr>
        <w:ind w:left="0" w:firstLine="420"/>
      </w:pPr>
      <w:rPr>
        <w:rFonts w:hint="eastAsia"/>
      </w:rPr>
    </w:lvl>
  </w:abstractNum>
  <w:abstractNum w:abstractNumId="43">
    <w:nsid w:val="5A24ED39"/>
    <w:multiLevelType w:val="singleLevel"/>
    <w:tmpl w:val="5A24ED39"/>
    <w:lvl w:ilvl="0" w:tentative="0">
      <w:start w:val="1"/>
      <w:numFmt w:val="chineseCounting"/>
      <w:suff w:val="nothing"/>
      <w:lvlText w:val="%1、"/>
      <w:lvlJc w:val="left"/>
      <w:pPr>
        <w:ind w:left="0" w:firstLine="420"/>
      </w:pPr>
      <w:rPr>
        <w:rFonts w:hint="eastAsia"/>
      </w:rPr>
    </w:lvl>
  </w:abstractNum>
  <w:abstractNum w:abstractNumId="44">
    <w:nsid w:val="5A24ED4D"/>
    <w:multiLevelType w:val="singleLevel"/>
    <w:tmpl w:val="5A24ED4D"/>
    <w:lvl w:ilvl="0" w:tentative="0">
      <w:start w:val="1"/>
      <w:numFmt w:val="chineseCounting"/>
      <w:suff w:val="nothing"/>
      <w:lvlText w:val="%1、"/>
      <w:lvlJc w:val="left"/>
      <w:pPr>
        <w:ind w:left="0" w:firstLine="420"/>
      </w:pPr>
      <w:rPr>
        <w:rFonts w:hint="eastAsia"/>
      </w:rPr>
    </w:lvl>
  </w:abstractNum>
  <w:abstractNum w:abstractNumId="45">
    <w:nsid w:val="5A24ED60"/>
    <w:multiLevelType w:val="singleLevel"/>
    <w:tmpl w:val="5A24ED60"/>
    <w:lvl w:ilvl="0" w:tentative="0">
      <w:start w:val="1"/>
      <w:numFmt w:val="chineseCounting"/>
      <w:suff w:val="nothing"/>
      <w:lvlText w:val="%1、"/>
      <w:lvlJc w:val="left"/>
      <w:pPr>
        <w:ind w:left="0" w:firstLine="420"/>
      </w:pPr>
      <w:rPr>
        <w:rFonts w:hint="eastAsia"/>
      </w:rPr>
    </w:lvl>
  </w:abstractNum>
  <w:abstractNum w:abstractNumId="46">
    <w:nsid w:val="5A24ED80"/>
    <w:multiLevelType w:val="singleLevel"/>
    <w:tmpl w:val="5A24ED80"/>
    <w:lvl w:ilvl="0" w:tentative="0">
      <w:start w:val="1"/>
      <w:numFmt w:val="chineseCounting"/>
      <w:suff w:val="nothing"/>
      <w:lvlText w:val="%1、"/>
      <w:lvlJc w:val="left"/>
      <w:pPr>
        <w:ind w:left="0" w:firstLine="420"/>
      </w:pPr>
      <w:rPr>
        <w:rFonts w:hint="eastAsia"/>
      </w:rPr>
    </w:lvl>
  </w:abstractNum>
  <w:abstractNum w:abstractNumId="47">
    <w:nsid w:val="5A24ED8E"/>
    <w:multiLevelType w:val="singleLevel"/>
    <w:tmpl w:val="5A24ED8E"/>
    <w:lvl w:ilvl="0" w:tentative="0">
      <w:start w:val="1"/>
      <w:numFmt w:val="chineseCounting"/>
      <w:suff w:val="nothing"/>
      <w:lvlText w:val="%1、"/>
      <w:lvlJc w:val="left"/>
      <w:pPr>
        <w:ind w:left="0" w:firstLine="420"/>
      </w:pPr>
      <w:rPr>
        <w:rFonts w:hint="eastAsia"/>
      </w:rPr>
    </w:lvl>
  </w:abstractNum>
  <w:abstractNum w:abstractNumId="48">
    <w:nsid w:val="5A24EE1D"/>
    <w:multiLevelType w:val="singleLevel"/>
    <w:tmpl w:val="5A24EE1D"/>
    <w:lvl w:ilvl="0" w:tentative="0">
      <w:start w:val="1"/>
      <w:numFmt w:val="chineseCounting"/>
      <w:suff w:val="nothing"/>
      <w:lvlText w:val="%1、"/>
      <w:lvlJc w:val="left"/>
      <w:pPr>
        <w:ind w:left="0" w:firstLine="420"/>
      </w:pPr>
      <w:rPr>
        <w:rFonts w:hint="eastAsia"/>
      </w:rPr>
    </w:lvl>
  </w:abstractNum>
  <w:abstractNum w:abstractNumId="49">
    <w:nsid w:val="5A24EE2D"/>
    <w:multiLevelType w:val="singleLevel"/>
    <w:tmpl w:val="5A24EE2D"/>
    <w:lvl w:ilvl="0" w:tentative="0">
      <w:start w:val="1"/>
      <w:numFmt w:val="chineseCounting"/>
      <w:suff w:val="nothing"/>
      <w:lvlText w:val="%1、"/>
      <w:lvlJc w:val="left"/>
      <w:pPr>
        <w:ind w:left="0" w:firstLine="420"/>
      </w:pPr>
      <w:rPr>
        <w:rFonts w:hint="eastAsia"/>
      </w:rPr>
    </w:lvl>
  </w:abstractNum>
  <w:abstractNum w:abstractNumId="50">
    <w:nsid w:val="5A24EE3F"/>
    <w:multiLevelType w:val="singleLevel"/>
    <w:tmpl w:val="5A24EE3F"/>
    <w:lvl w:ilvl="0" w:tentative="0">
      <w:start w:val="1"/>
      <w:numFmt w:val="chineseCounting"/>
      <w:suff w:val="nothing"/>
      <w:lvlText w:val="%1、"/>
      <w:lvlJc w:val="left"/>
      <w:pPr>
        <w:ind w:left="0" w:firstLine="420"/>
      </w:pPr>
      <w:rPr>
        <w:rFonts w:hint="eastAsia"/>
      </w:rPr>
    </w:lvl>
  </w:abstractNum>
  <w:abstractNum w:abstractNumId="51">
    <w:nsid w:val="5A24EE53"/>
    <w:multiLevelType w:val="singleLevel"/>
    <w:tmpl w:val="5A24EE53"/>
    <w:lvl w:ilvl="0" w:tentative="0">
      <w:start w:val="1"/>
      <w:numFmt w:val="chineseCounting"/>
      <w:suff w:val="nothing"/>
      <w:lvlText w:val="（%1）"/>
      <w:lvlJc w:val="left"/>
      <w:pPr>
        <w:ind w:left="0" w:firstLine="420"/>
      </w:pPr>
      <w:rPr>
        <w:rFonts w:hint="eastAsia"/>
      </w:rPr>
    </w:lvl>
  </w:abstractNum>
  <w:abstractNum w:abstractNumId="52">
    <w:nsid w:val="5A24EE76"/>
    <w:multiLevelType w:val="singleLevel"/>
    <w:tmpl w:val="5A24EE76"/>
    <w:lvl w:ilvl="0" w:tentative="0">
      <w:start w:val="1"/>
      <w:numFmt w:val="chineseCounting"/>
      <w:suff w:val="nothing"/>
      <w:lvlText w:val="%1、"/>
      <w:lvlJc w:val="left"/>
      <w:pPr>
        <w:ind w:left="0" w:firstLine="420"/>
      </w:pPr>
      <w:rPr>
        <w:rFonts w:hint="eastAsia"/>
      </w:rPr>
    </w:lvl>
  </w:abstractNum>
  <w:abstractNum w:abstractNumId="53">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54">
    <w:nsid w:val="6FCB37F9"/>
    <w:multiLevelType w:val="singleLevel"/>
    <w:tmpl w:val="6FCB37F9"/>
    <w:lvl w:ilvl="0" w:tentative="0">
      <w:start w:val="1"/>
      <w:numFmt w:val="decimal"/>
      <w:suff w:val="nothing"/>
      <w:lvlText w:val="%1、"/>
      <w:lvlJc w:val="left"/>
    </w:lvl>
  </w:abstractNum>
  <w:abstractNum w:abstractNumId="55">
    <w:nsid w:val="7BF64CA9"/>
    <w:multiLevelType w:val="multilevel"/>
    <w:tmpl w:val="7BF64CA9"/>
    <w:lvl w:ilvl="0" w:tentative="0">
      <w:start w:val="1"/>
      <w:numFmt w:val="chineseCountingThousand"/>
      <w:lvlText w:val="(%1)"/>
      <w:lvlJc w:val="left"/>
      <w:pPr>
        <w:ind w:left="1130"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num w:numId="1">
    <w:abstractNumId w:val="7"/>
  </w:num>
  <w:num w:numId="2">
    <w:abstractNumId w:val="11"/>
  </w:num>
  <w:num w:numId="3">
    <w:abstractNumId w:val="8"/>
  </w:num>
  <w:num w:numId="4">
    <w:abstractNumId w:val="13"/>
  </w:num>
  <w:num w:numId="5">
    <w:abstractNumId w:val="2"/>
  </w:num>
  <w:num w:numId="6">
    <w:abstractNumId w:val="54"/>
  </w:num>
  <w:num w:numId="7">
    <w:abstractNumId w:val="55"/>
  </w:num>
  <w:num w:numId="8">
    <w:abstractNumId w:val="6"/>
  </w:num>
  <w:num w:numId="9">
    <w:abstractNumId w:val="21"/>
  </w:num>
  <w:num w:numId="10">
    <w:abstractNumId w:val="22"/>
  </w:num>
  <w:num w:numId="11">
    <w:abstractNumId w:val="23"/>
  </w:num>
  <w:num w:numId="12">
    <w:abstractNumId w:val="25"/>
  </w:num>
  <w:num w:numId="13">
    <w:abstractNumId w:val="4"/>
  </w:num>
  <w:num w:numId="14">
    <w:abstractNumId w:val="24"/>
  </w:num>
  <w:num w:numId="15">
    <w:abstractNumId w:val="26"/>
  </w:num>
  <w:num w:numId="16">
    <w:abstractNumId w:val="27"/>
  </w:num>
  <w:num w:numId="17">
    <w:abstractNumId w:val="28"/>
  </w:num>
  <w:num w:numId="18">
    <w:abstractNumId w:val="20"/>
  </w:num>
  <w:num w:numId="19">
    <w:abstractNumId w:val="19"/>
  </w:num>
  <w:num w:numId="20">
    <w:abstractNumId w:val="47"/>
  </w:num>
  <w:num w:numId="21">
    <w:abstractNumId w:val="46"/>
  </w:num>
  <w:num w:numId="22">
    <w:abstractNumId w:val="0"/>
  </w:num>
  <w:num w:numId="23">
    <w:abstractNumId w:val="45"/>
  </w:num>
  <w:num w:numId="24">
    <w:abstractNumId w:val="29"/>
  </w:num>
  <w:num w:numId="25">
    <w:abstractNumId w:val="42"/>
  </w:num>
  <w:num w:numId="26">
    <w:abstractNumId w:val="31"/>
  </w:num>
  <w:num w:numId="27">
    <w:abstractNumId w:val="30"/>
  </w:num>
  <w:num w:numId="28">
    <w:abstractNumId w:val="44"/>
  </w:num>
  <w:num w:numId="29">
    <w:abstractNumId w:val="43"/>
  </w:num>
  <w:num w:numId="30">
    <w:abstractNumId w:val="32"/>
  </w:num>
  <w:num w:numId="31">
    <w:abstractNumId w:val="33"/>
  </w:num>
  <w:num w:numId="32">
    <w:abstractNumId w:val="34"/>
  </w:num>
  <w:num w:numId="33">
    <w:abstractNumId w:val="14"/>
  </w:num>
  <w:num w:numId="34">
    <w:abstractNumId w:val="48"/>
  </w:num>
  <w:num w:numId="35">
    <w:abstractNumId w:val="49"/>
  </w:num>
  <w:num w:numId="36">
    <w:abstractNumId w:val="50"/>
  </w:num>
  <w:num w:numId="37">
    <w:abstractNumId w:val="51"/>
  </w:num>
  <w:num w:numId="38">
    <w:abstractNumId w:val="52"/>
  </w:num>
  <w:num w:numId="39">
    <w:abstractNumId w:val="17"/>
  </w:num>
  <w:num w:numId="40">
    <w:abstractNumId w:val="5"/>
  </w:num>
  <w:num w:numId="41">
    <w:abstractNumId w:val="18"/>
  </w:num>
  <w:num w:numId="42">
    <w:abstractNumId w:val="38"/>
  </w:num>
  <w:num w:numId="43">
    <w:abstractNumId w:val="35"/>
  </w:num>
  <w:num w:numId="44">
    <w:abstractNumId w:val="36"/>
  </w:num>
  <w:num w:numId="45">
    <w:abstractNumId w:val="15"/>
  </w:num>
  <w:num w:numId="46">
    <w:abstractNumId w:val="37"/>
  </w:num>
  <w:num w:numId="47">
    <w:abstractNumId w:val="39"/>
  </w:num>
  <w:num w:numId="48">
    <w:abstractNumId w:val="1"/>
  </w:num>
  <w:num w:numId="49">
    <w:abstractNumId w:val="40"/>
  </w:num>
  <w:num w:numId="50">
    <w:abstractNumId w:val="16"/>
  </w:num>
  <w:num w:numId="51">
    <w:abstractNumId w:val="53"/>
  </w:num>
  <w:num w:numId="52">
    <w:abstractNumId w:val="12"/>
  </w:num>
  <w:num w:numId="53">
    <w:abstractNumId w:val="3"/>
  </w:num>
  <w:num w:numId="54">
    <w:abstractNumId w:val="41"/>
  </w:num>
  <w:num w:numId="55">
    <w:abstractNumId w:val="10"/>
  </w:num>
  <w:num w:numId="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7D"/>
    <w:rsid w:val="00001C48"/>
    <w:rsid w:val="000024BC"/>
    <w:rsid w:val="00002925"/>
    <w:rsid w:val="00002C9E"/>
    <w:rsid w:val="0000472D"/>
    <w:rsid w:val="0000474A"/>
    <w:rsid w:val="00005414"/>
    <w:rsid w:val="000063D3"/>
    <w:rsid w:val="00007224"/>
    <w:rsid w:val="0000785C"/>
    <w:rsid w:val="000079C1"/>
    <w:rsid w:val="00007B68"/>
    <w:rsid w:val="00010AA2"/>
    <w:rsid w:val="00011086"/>
    <w:rsid w:val="00011A95"/>
    <w:rsid w:val="00012E61"/>
    <w:rsid w:val="00012F72"/>
    <w:rsid w:val="000131F9"/>
    <w:rsid w:val="000137C9"/>
    <w:rsid w:val="0001595A"/>
    <w:rsid w:val="00015DFB"/>
    <w:rsid w:val="00016AEA"/>
    <w:rsid w:val="00016E6A"/>
    <w:rsid w:val="00017F59"/>
    <w:rsid w:val="00020D79"/>
    <w:rsid w:val="00020DEE"/>
    <w:rsid w:val="00022677"/>
    <w:rsid w:val="00023399"/>
    <w:rsid w:val="000237E8"/>
    <w:rsid w:val="00023C54"/>
    <w:rsid w:val="00025F80"/>
    <w:rsid w:val="000313FF"/>
    <w:rsid w:val="00031419"/>
    <w:rsid w:val="00031528"/>
    <w:rsid w:val="00032B2C"/>
    <w:rsid w:val="000333CD"/>
    <w:rsid w:val="0003378B"/>
    <w:rsid w:val="000362A1"/>
    <w:rsid w:val="0003758F"/>
    <w:rsid w:val="000407F3"/>
    <w:rsid w:val="000409AA"/>
    <w:rsid w:val="00041BEB"/>
    <w:rsid w:val="0004286E"/>
    <w:rsid w:val="00042BB9"/>
    <w:rsid w:val="000438F0"/>
    <w:rsid w:val="000441EC"/>
    <w:rsid w:val="00044B0E"/>
    <w:rsid w:val="00044C1C"/>
    <w:rsid w:val="00044C8B"/>
    <w:rsid w:val="00044E8E"/>
    <w:rsid w:val="000475E5"/>
    <w:rsid w:val="00047FF4"/>
    <w:rsid w:val="00050B69"/>
    <w:rsid w:val="00050F96"/>
    <w:rsid w:val="00051825"/>
    <w:rsid w:val="00051C3A"/>
    <w:rsid w:val="000534BC"/>
    <w:rsid w:val="00055385"/>
    <w:rsid w:val="00056A07"/>
    <w:rsid w:val="00060163"/>
    <w:rsid w:val="000607DB"/>
    <w:rsid w:val="00061646"/>
    <w:rsid w:val="00062E57"/>
    <w:rsid w:val="00063A8E"/>
    <w:rsid w:val="00063B12"/>
    <w:rsid w:val="000665D0"/>
    <w:rsid w:val="00066BB4"/>
    <w:rsid w:val="00070CFF"/>
    <w:rsid w:val="00070FAF"/>
    <w:rsid w:val="00071456"/>
    <w:rsid w:val="00072924"/>
    <w:rsid w:val="0007459A"/>
    <w:rsid w:val="00075B9D"/>
    <w:rsid w:val="00076503"/>
    <w:rsid w:val="000773C7"/>
    <w:rsid w:val="000803E3"/>
    <w:rsid w:val="00081263"/>
    <w:rsid w:val="00081796"/>
    <w:rsid w:val="000818BC"/>
    <w:rsid w:val="00082655"/>
    <w:rsid w:val="000828C1"/>
    <w:rsid w:val="00083B0F"/>
    <w:rsid w:val="000846BC"/>
    <w:rsid w:val="00086155"/>
    <w:rsid w:val="00086D0F"/>
    <w:rsid w:val="00087903"/>
    <w:rsid w:val="00090956"/>
    <w:rsid w:val="00090A26"/>
    <w:rsid w:val="00090F84"/>
    <w:rsid w:val="0009171D"/>
    <w:rsid w:val="000943C7"/>
    <w:rsid w:val="00094C47"/>
    <w:rsid w:val="00096B87"/>
    <w:rsid w:val="000A002D"/>
    <w:rsid w:val="000A1FEC"/>
    <w:rsid w:val="000A2516"/>
    <w:rsid w:val="000A2D60"/>
    <w:rsid w:val="000A332B"/>
    <w:rsid w:val="000A37CF"/>
    <w:rsid w:val="000A4AE9"/>
    <w:rsid w:val="000A55FA"/>
    <w:rsid w:val="000A5FEE"/>
    <w:rsid w:val="000A7254"/>
    <w:rsid w:val="000A7C79"/>
    <w:rsid w:val="000B0976"/>
    <w:rsid w:val="000B0BF4"/>
    <w:rsid w:val="000B0E0B"/>
    <w:rsid w:val="000B23A3"/>
    <w:rsid w:val="000B2D86"/>
    <w:rsid w:val="000B3FEE"/>
    <w:rsid w:val="000B475F"/>
    <w:rsid w:val="000B4E88"/>
    <w:rsid w:val="000B54AD"/>
    <w:rsid w:val="000B5871"/>
    <w:rsid w:val="000B6AF2"/>
    <w:rsid w:val="000B6BD4"/>
    <w:rsid w:val="000B7961"/>
    <w:rsid w:val="000B7C61"/>
    <w:rsid w:val="000B7FB1"/>
    <w:rsid w:val="000C0116"/>
    <w:rsid w:val="000C0494"/>
    <w:rsid w:val="000C0A55"/>
    <w:rsid w:val="000C0CBA"/>
    <w:rsid w:val="000C15BB"/>
    <w:rsid w:val="000C194A"/>
    <w:rsid w:val="000C2C9F"/>
    <w:rsid w:val="000C2FFF"/>
    <w:rsid w:val="000C4F52"/>
    <w:rsid w:val="000C50B5"/>
    <w:rsid w:val="000C54CF"/>
    <w:rsid w:val="000C5F00"/>
    <w:rsid w:val="000C631A"/>
    <w:rsid w:val="000C6AD8"/>
    <w:rsid w:val="000C7C10"/>
    <w:rsid w:val="000D0055"/>
    <w:rsid w:val="000D066E"/>
    <w:rsid w:val="000D0D43"/>
    <w:rsid w:val="000D22E2"/>
    <w:rsid w:val="000D294E"/>
    <w:rsid w:val="000D3935"/>
    <w:rsid w:val="000D3FF3"/>
    <w:rsid w:val="000D54CA"/>
    <w:rsid w:val="000D57E3"/>
    <w:rsid w:val="000D5A59"/>
    <w:rsid w:val="000D62E7"/>
    <w:rsid w:val="000D72FC"/>
    <w:rsid w:val="000E01BD"/>
    <w:rsid w:val="000E09B4"/>
    <w:rsid w:val="000E1FD9"/>
    <w:rsid w:val="000E23F4"/>
    <w:rsid w:val="000E2E34"/>
    <w:rsid w:val="000E38D8"/>
    <w:rsid w:val="000E3B32"/>
    <w:rsid w:val="000E5907"/>
    <w:rsid w:val="000E5EAD"/>
    <w:rsid w:val="000E70F9"/>
    <w:rsid w:val="000E7772"/>
    <w:rsid w:val="000F1339"/>
    <w:rsid w:val="000F22BF"/>
    <w:rsid w:val="000F26BC"/>
    <w:rsid w:val="000F26C6"/>
    <w:rsid w:val="000F3701"/>
    <w:rsid w:val="000F51A7"/>
    <w:rsid w:val="00100D0E"/>
    <w:rsid w:val="00100F68"/>
    <w:rsid w:val="00101273"/>
    <w:rsid w:val="00101489"/>
    <w:rsid w:val="00102ECD"/>
    <w:rsid w:val="00102FFF"/>
    <w:rsid w:val="001037E9"/>
    <w:rsid w:val="00103A59"/>
    <w:rsid w:val="00103BCB"/>
    <w:rsid w:val="00103E5F"/>
    <w:rsid w:val="0010440D"/>
    <w:rsid w:val="00105AC1"/>
    <w:rsid w:val="00105CCB"/>
    <w:rsid w:val="0010664E"/>
    <w:rsid w:val="001067E0"/>
    <w:rsid w:val="00106C3C"/>
    <w:rsid w:val="00111D47"/>
    <w:rsid w:val="00111F75"/>
    <w:rsid w:val="0011397F"/>
    <w:rsid w:val="0011490E"/>
    <w:rsid w:val="001164A7"/>
    <w:rsid w:val="001168DB"/>
    <w:rsid w:val="001170FC"/>
    <w:rsid w:val="00117E01"/>
    <w:rsid w:val="001200B4"/>
    <w:rsid w:val="001211F5"/>
    <w:rsid w:val="00121D1C"/>
    <w:rsid w:val="00122E05"/>
    <w:rsid w:val="00123107"/>
    <w:rsid w:val="00123751"/>
    <w:rsid w:val="0012386F"/>
    <w:rsid w:val="00123A64"/>
    <w:rsid w:val="00124887"/>
    <w:rsid w:val="001255DD"/>
    <w:rsid w:val="00125C4B"/>
    <w:rsid w:val="00126029"/>
    <w:rsid w:val="00126115"/>
    <w:rsid w:val="001262DA"/>
    <w:rsid w:val="00127675"/>
    <w:rsid w:val="00131AD5"/>
    <w:rsid w:val="00133BF9"/>
    <w:rsid w:val="00140CCE"/>
    <w:rsid w:val="00142B1F"/>
    <w:rsid w:val="00143BF2"/>
    <w:rsid w:val="0014578A"/>
    <w:rsid w:val="0014673F"/>
    <w:rsid w:val="0014740E"/>
    <w:rsid w:val="0014772B"/>
    <w:rsid w:val="00150A9C"/>
    <w:rsid w:val="00151A69"/>
    <w:rsid w:val="00152A64"/>
    <w:rsid w:val="00153945"/>
    <w:rsid w:val="00153ABD"/>
    <w:rsid w:val="00153C00"/>
    <w:rsid w:val="00154859"/>
    <w:rsid w:val="00154E17"/>
    <w:rsid w:val="001564A9"/>
    <w:rsid w:val="00157889"/>
    <w:rsid w:val="00160734"/>
    <w:rsid w:val="0016156F"/>
    <w:rsid w:val="001622EA"/>
    <w:rsid w:val="00162E4D"/>
    <w:rsid w:val="00163474"/>
    <w:rsid w:val="00164592"/>
    <w:rsid w:val="001648A8"/>
    <w:rsid w:val="00165D98"/>
    <w:rsid w:val="0016797E"/>
    <w:rsid w:val="00167AAF"/>
    <w:rsid w:val="00167F4E"/>
    <w:rsid w:val="00170E34"/>
    <w:rsid w:val="00170EC4"/>
    <w:rsid w:val="00171813"/>
    <w:rsid w:val="00171F7F"/>
    <w:rsid w:val="00171FFB"/>
    <w:rsid w:val="0017227A"/>
    <w:rsid w:val="001725E8"/>
    <w:rsid w:val="00172A27"/>
    <w:rsid w:val="00172BFD"/>
    <w:rsid w:val="00172E2E"/>
    <w:rsid w:val="001739EE"/>
    <w:rsid w:val="0017408A"/>
    <w:rsid w:val="00174E1C"/>
    <w:rsid w:val="0017682F"/>
    <w:rsid w:val="0017683E"/>
    <w:rsid w:val="001773E8"/>
    <w:rsid w:val="00177583"/>
    <w:rsid w:val="00177A62"/>
    <w:rsid w:val="00180E2D"/>
    <w:rsid w:val="00181F7D"/>
    <w:rsid w:val="0018398F"/>
    <w:rsid w:val="00183AEB"/>
    <w:rsid w:val="00183C0A"/>
    <w:rsid w:val="001845DE"/>
    <w:rsid w:val="001851F4"/>
    <w:rsid w:val="001856E0"/>
    <w:rsid w:val="00185EFB"/>
    <w:rsid w:val="00186260"/>
    <w:rsid w:val="001869C7"/>
    <w:rsid w:val="00186D00"/>
    <w:rsid w:val="001878BF"/>
    <w:rsid w:val="00187E01"/>
    <w:rsid w:val="00191068"/>
    <w:rsid w:val="0019108A"/>
    <w:rsid w:val="00192AFA"/>
    <w:rsid w:val="00194369"/>
    <w:rsid w:val="001954DA"/>
    <w:rsid w:val="00196221"/>
    <w:rsid w:val="0019679D"/>
    <w:rsid w:val="00196D4F"/>
    <w:rsid w:val="00197D6D"/>
    <w:rsid w:val="001A0CA8"/>
    <w:rsid w:val="001A1BF6"/>
    <w:rsid w:val="001A1CC3"/>
    <w:rsid w:val="001A1D8D"/>
    <w:rsid w:val="001A3AE1"/>
    <w:rsid w:val="001A3E20"/>
    <w:rsid w:val="001A614A"/>
    <w:rsid w:val="001A63E7"/>
    <w:rsid w:val="001A7044"/>
    <w:rsid w:val="001A7212"/>
    <w:rsid w:val="001B0ED7"/>
    <w:rsid w:val="001B0ED9"/>
    <w:rsid w:val="001B1BEB"/>
    <w:rsid w:val="001B219D"/>
    <w:rsid w:val="001B2D5B"/>
    <w:rsid w:val="001B4A99"/>
    <w:rsid w:val="001B61F3"/>
    <w:rsid w:val="001B63DC"/>
    <w:rsid w:val="001B74F6"/>
    <w:rsid w:val="001C00E4"/>
    <w:rsid w:val="001C0FA8"/>
    <w:rsid w:val="001C27DA"/>
    <w:rsid w:val="001C31F0"/>
    <w:rsid w:val="001C32C1"/>
    <w:rsid w:val="001C34E3"/>
    <w:rsid w:val="001C3C80"/>
    <w:rsid w:val="001C3E11"/>
    <w:rsid w:val="001C4685"/>
    <w:rsid w:val="001C50C4"/>
    <w:rsid w:val="001C586D"/>
    <w:rsid w:val="001C64FA"/>
    <w:rsid w:val="001C717B"/>
    <w:rsid w:val="001C7248"/>
    <w:rsid w:val="001C7B1B"/>
    <w:rsid w:val="001D022E"/>
    <w:rsid w:val="001D02AA"/>
    <w:rsid w:val="001D0BB6"/>
    <w:rsid w:val="001D0D03"/>
    <w:rsid w:val="001D1211"/>
    <w:rsid w:val="001D17AB"/>
    <w:rsid w:val="001D2155"/>
    <w:rsid w:val="001D26B9"/>
    <w:rsid w:val="001D2769"/>
    <w:rsid w:val="001D3ECA"/>
    <w:rsid w:val="001D4C5D"/>
    <w:rsid w:val="001D637D"/>
    <w:rsid w:val="001D6472"/>
    <w:rsid w:val="001D6E99"/>
    <w:rsid w:val="001D7C5A"/>
    <w:rsid w:val="001D7E58"/>
    <w:rsid w:val="001E221B"/>
    <w:rsid w:val="001E2F42"/>
    <w:rsid w:val="001E336C"/>
    <w:rsid w:val="001E34EC"/>
    <w:rsid w:val="001E4FF0"/>
    <w:rsid w:val="001E51B4"/>
    <w:rsid w:val="001E57F9"/>
    <w:rsid w:val="001E581C"/>
    <w:rsid w:val="001E7F91"/>
    <w:rsid w:val="001F1EBD"/>
    <w:rsid w:val="001F22F0"/>
    <w:rsid w:val="001F294A"/>
    <w:rsid w:val="001F31BC"/>
    <w:rsid w:val="001F3A60"/>
    <w:rsid w:val="001F543A"/>
    <w:rsid w:val="001F67B8"/>
    <w:rsid w:val="001F712F"/>
    <w:rsid w:val="001F77F5"/>
    <w:rsid w:val="001F7DE9"/>
    <w:rsid w:val="0020067D"/>
    <w:rsid w:val="00201312"/>
    <w:rsid w:val="002018CC"/>
    <w:rsid w:val="00203B5C"/>
    <w:rsid w:val="002044EA"/>
    <w:rsid w:val="00204949"/>
    <w:rsid w:val="00205E9A"/>
    <w:rsid w:val="00207742"/>
    <w:rsid w:val="00210685"/>
    <w:rsid w:val="00212230"/>
    <w:rsid w:val="002122DE"/>
    <w:rsid w:val="002126AD"/>
    <w:rsid w:val="00212D78"/>
    <w:rsid w:val="00212E81"/>
    <w:rsid w:val="00213140"/>
    <w:rsid w:val="00213C4F"/>
    <w:rsid w:val="0021555A"/>
    <w:rsid w:val="00215632"/>
    <w:rsid w:val="0021579D"/>
    <w:rsid w:val="0021663A"/>
    <w:rsid w:val="00216B6D"/>
    <w:rsid w:val="00216F18"/>
    <w:rsid w:val="00217BC5"/>
    <w:rsid w:val="00217FC3"/>
    <w:rsid w:val="002214A2"/>
    <w:rsid w:val="002220D4"/>
    <w:rsid w:val="00222878"/>
    <w:rsid w:val="00222E31"/>
    <w:rsid w:val="00225D81"/>
    <w:rsid w:val="002275BE"/>
    <w:rsid w:val="00227CE3"/>
    <w:rsid w:val="00227F42"/>
    <w:rsid w:val="00230874"/>
    <w:rsid w:val="002309C2"/>
    <w:rsid w:val="00231A8C"/>
    <w:rsid w:val="002322B7"/>
    <w:rsid w:val="002323F6"/>
    <w:rsid w:val="00234380"/>
    <w:rsid w:val="002346F3"/>
    <w:rsid w:val="00234834"/>
    <w:rsid w:val="00235453"/>
    <w:rsid w:val="00236770"/>
    <w:rsid w:val="002377B6"/>
    <w:rsid w:val="00237D3D"/>
    <w:rsid w:val="00237F2C"/>
    <w:rsid w:val="002403D5"/>
    <w:rsid w:val="002407C8"/>
    <w:rsid w:val="00241E49"/>
    <w:rsid w:val="0024456C"/>
    <w:rsid w:val="002454E6"/>
    <w:rsid w:val="00245545"/>
    <w:rsid w:val="00246488"/>
    <w:rsid w:val="002474A3"/>
    <w:rsid w:val="00247829"/>
    <w:rsid w:val="00247C26"/>
    <w:rsid w:val="002515CC"/>
    <w:rsid w:val="00252548"/>
    <w:rsid w:val="00252703"/>
    <w:rsid w:val="00252A0F"/>
    <w:rsid w:val="00252FAC"/>
    <w:rsid w:val="002556FD"/>
    <w:rsid w:val="002563BD"/>
    <w:rsid w:val="0025692F"/>
    <w:rsid w:val="00256FDF"/>
    <w:rsid w:val="00257B76"/>
    <w:rsid w:val="00261662"/>
    <w:rsid w:val="002619BC"/>
    <w:rsid w:val="00263560"/>
    <w:rsid w:val="002645F0"/>
    <w:rsid w:val="00264F50"/>
    <w:rsid w:val="00266F83"/>
    <w:rsid w:val="00270984"/>
    <w:rsid w:val="00270E81"/>
    <w:rsid w:val="0027212F"/>
    <w:rsid w:val="002738DB"/>
    <w:rsid w:val="0027464F"/>
    <w:rsid w:val="002757CF"/>
    <w:rsid w:val="00276327"/>
    <w:rsid w:val="0027749F"/>
    <w:rsid w:val="00277BF7"/>
    <w:rsid w:val="00280218"/>
    <w:rsid w:val="002802AC"/>
    <w:rsid w:val="00280CD7"/>
    <w:rsid w:val="00280EA2"/>
    <w:rsid w:val="00281202"/>
    <w:rsid w:val="002818C6"/>
    <w:rsid w:val="00281A72"/>
    <w:rsid w:val="00281F12"/>
    <w:rsid w:val="0028405B"/>
    <w:rsid w:val="00284B1D"/>
    <w:rsid w:val="002854D6"/>
    <w:rsid w:val="002859FD"/>
    <w:rsid w:val="00285DF7"/>
    <w:rsid w:val="00286F46"/>
    <w:rsid w:val="00290753"/>
    <w:rsid w:val="00291A34"/>
    <w:rsid w:val="00291F74"/>
    <w:rsid w:val="00292977"/>
    <w:rsid w:val="00294CC2"/>
    <w:rsid w:val="00295057"/>
    <w:rsid w:val="002953A7"/>
    <w:rsid w:val="00295611"/>
    <w:rsid w:val="0029576F"/>
    <w:rsid w:val="00296ACB"/>
    <w:rsid w:val="002A02DD"/>
    <w:rsid w:val="002A0640"/>
    <w:rsid w:val="002A0E4B"/>
    <w:rsid w:val="002A4D00"/>
    <w:rsid w:val="002A4F5B"/>
    <w:rsid w:val="002A50B0"/>
    <w:rsid w:val="002A579C"/>
    <w:rsid w:val="002B0541"/>
    <w:rsid w:val="002B0C5C"/>
    <w:rsid w:val="002B12D0"/>
    <w:rsid w:val="002B38B1"/>
    <w:rsid w:val="002B39B6"/>
    <w:rsid w:val="002B3D69"/>
    <w:rsid w:val="002B40D6"/>
    <w:rsid w:val="002B46F8"/>
    <w:rsid w:val="002B529C"/>
    <w:rsid w:val="002B5A22"/>
    <w:rsid w:val="002B5AD2"/>
    <w:rsid w:val="002B65E0"/>
    <w:rsid w:val="002B6F15"/>
    <w:rsid w:val="002C08FD"/>
    <w:rsid w:val="002C0F7E"/>
    <w:rsid w:val="002C2382"/>
    <w:rsid w:val="002C5F49"/>
    <w:rsid w:val="002C61F6"/>
    <w:rsid w:val="002C6395"/>
    <w:rsid w:val="002D1873"/>
    <w:rsid w:val="002D22C4"/>
    <w:rsid w:val="002D248D"/>
    <w:rsid w:val="002D260B"/>
    <w:rsid w:val="002D28AA"/>
    <w:rsid w:val="002D38A9"/>
    <w:rsid w:val="002D397D"/>
    <w:rsid w:val="002D3D28"/>
    <w:rsid w:val="002D4CA5"/>
    <w:rsid w:val="002D4F54"/>
    <w:rsid w:val="002D4F56"/>
    <w:rsid w:val="002D53D1"/>
    <w:rsid w:val="002D5FE7"/>
    <w:rsid w:val="002D6190"/>
    <w:rsid w:val="002D6FF0"/>
    <w:rsid w:val="002E0C4E"/>
    <w:rsid w:val="002E0E97"/>
    <w:rsid w:val="002E0EF5"/>
    <w:rsid w:val="002E2572"/>
    <w:rsid w:val="002E2653"/>
    <w:rsid w:val="002E298F"/>
    <w:rsid w:val="002E2B0B"/>
    <w:rsid w:val="002E31AC"/>
    <w:rsid w:val="002E436D"/>
    <w:rsid w:val="002F0B37"/>
    <w:rsid w:val="002F3186"/>
    <w:rsid w:val="002F3B89"/>
    <w:rsid w:val="002F3D8D"/>
    <w:rsid w:val="002F3EEC"/>
    <w:rsid w:val="002F66B8"/>
    <w:rsid w:val="002F66EB"/>
    <w:rsid w:val="002F6FFC"/>
    <w:rsid w:val="002F7836"/>
    <w:rsid w:val="00301FBF"/>
    <w:rsid w:val="00302755"/>
    <w:rsid w:val="00303620"/>
    <w:rsid w:val="003036DC"/>
    <w:rsid w:val="0030495A"/>
    <w:rsid w:val="00305955"/>
    <w:rsid w:val="00305BBC"/>
    <w:rsid w:val="003061ED"/>
    <w:rsid w:val="003066BA"/>
    <w:rsid w:val="00306A5D"/>
    <w:rsid w:val="00306C9C"/>
    <w:rsid w:val="00307D10"/>
    <w:rsid w:val="0031111D"/>
    <w:rsid w:val="00311415"/>
    <w:rsid w:val="00311EA3"/>
    <w:rsid w:val="00313E4F"/>
    <w:rsid w:val="003142D8"/>
    <w:rsid w:val="0031438B"/>
    <w:rsid w:val="0031465A"/>
    <w:rsid w:val="003173DC"/>
    <w:rsid w:val="00320389"/>
    <w:rsid w:val="00323FB4"/>
    <w:rsid w:val="00324944"/>
    <w:rsid w:val="00324FEB"/>
    <w:rsid w:val="00325FB7"/>
    <w:rsid w:val="00326D73"/>
    <w:rsid w:val="00326F0F"/>
    <w:rsid w:val="00333692"/>
    <w:rsid w:val="00334E17"/>
    <w:rsid w:val="00335417"/>
    <w:rsid w:val="00336A5F"/>
    <w:rsid w:val="00337308"/>
    <w:rsid w:val="00340387"/>
    <w:rsid w:val="003406B9"/>
    <w:rsid w:val="00341D4C"/>
    <w:rsid w:val="003431EF"/>
    <w:rsid w:val="003434A6"/>
    <w:rsid w:val="003448E0"/>
    <w:rsid w:val="00345116"/>
    <w:rsid w:val="00345A7A"/>
    <w:rsid w:val="0034741B"/>
    <w:rsid w:val="003478A4"/>
    <w:rsid w:val="003500F7"/>
    <w:rsid w:val="00350E47"/>
    <w:rsid w:val="0035393C"/>
    <w:rsid w:val="0035583B"/>
    <w:rsid w:val="00356616"/>
    <w:rsid w:val="00356620"/>
    <w:rsid w:val="0035670E"/>
    <w:rsid w:val="003568B4"/>
    <w:rsid w:val="00360121"/>
    <w:rsid w:val="00360169"/>
    <w:rsid w:val="00360829"/>
    <w:rsid w:val="00361F68"/>
    <w:rsid w:val="00362E4E"/>
    <w:rsid w:val="00363A38"/>
    <w:rsid w:val="00363C7B"/>
    <w:rsid w:val="00365738"/>
    <w:rsid w:val="00366057"/>
    <w:rsid w:val="00367D7E"/>
    <w:rsid w:val="003707B0"/>
    <w:rsid w:val="00370E28"/>
    <w:rsid w:val="003713F9"/>
    <w:rsid w:val="00375C90"/>
    <w:rsid w:val="00376739"/>
    <w:rsid w:val="003770F4"/>
    <w:rsid w:val="00377485"/>
    <w:rsid w:val="00381CC3"/>
    <w:rsid w:val="00382537"/>
    <w:rsid w:val="0038290B"/>
    <w:rsid w:val="00384914"/>
    <w:rsid w:val="0038552C"/>
    <w:rsid w:val="00385F35"/>
    <w:rsid w:val="00385FE3"/>
    <w:rsid w:val="00386017"/>
    <w:rsid w:val="0038645C"/>
    <w:rsid w:val="0038752E"/>
    <w:rsid w:val="003875E6"/>
    <w:rsid w:val="0038797A"/>
    <w:rsid w:val="00387ABC"/>
    <w:rsid w:val="003902E1"/>
    <w:rsid w:val="0039034B"/>
    <w:rsid w:val="00392257"/>
    <w:rsid w:val="003929C3"/>
    <w:rsid w:val="00393D0F"/>
    <w:rsid w:val="00393E7F"/>
    <w:rsid w:val="00395837"/>
    <w:rsid w:val="00395AD1"/>
    <w:rsid w:val="003977F0"/>
    <w:rsid w:val="003A0763"/>
    <w:rsid w:val="003A4325"/>
    <w:rsid w:val="003A7913"/>
    <w:rsid w:val="003B014A"/>
    <w:rsid w:val="003B1DC7"/>
    <w:rsid w:val="003B1F4B"/>
    <w:rsid w:val="003B248D"/>
    <w:rsid w:val="003B40CE"/>
    <w:rsid w:val="003B4171"/>
    <w:rsid w:val="003B4473"/>
    <w:rsid w:val="003B6363"/>
    <w:rsid w:val="003B6C2F"/>
    <w:rsid w:val="003B76BC"/>
    <w:rsid w:val="003B77E9"/>
    <w:rsid w:val="003C085F"/>
    <w:rsid w:val="003C0FFA"/>
    <w:rsid w:val="003C1282"/>
    <w:rsid w:val="003C1429"/>
    <w:rsid w:val="003C2935"/>
    <w:rsid w:val="003C301A"/>
    <w:rsid w:val="003C32F8"/>
    <w:rsid w:val="003C60DC"/>
    <w:rsid w:val="003C6903"/>
    <w:rsid w:val="003C722E"/>
    <w:rsid w:val="003C72AC"/>
    <w:rsid w:val="003C7BFE"/>
    <w:rsid w:val="003D0AF8"/>
    <w:rsid w:val="003D1976"/>
    <w:rsid w:val="003D42B9"/>
    <w:rsid w:val="003D5566"/>
    <w:rsid w:val="003D595F"/>
    <w:rsid w:val="003D6E50"/>
    <w:rsid w:val="003E1012"/>
    <w:rsid w:val="003E19DF"/>
    <w:rsid w:val="003E33DA"/>
    <w:rsid w:val="003E4984"/>
    <w:rsid w:val="003E55FC"/>
    <w:rsid w:val="003E5A39"/>
    <w:rsid w:val="003E5FAE"/>
    <w:rsid w:val="003E64F7"/>
    <w:rsid w:val="003E7846"/>
    <w:rsid w:val="003F11F1"/>
    <w:rsid w:val="003F2A4A"/>
    <w:rsid w:val="003F34CD"/>
    <w:rsid w:val="003F4469"/>
    <w:rsid w:val="003F4FB6"/>
    <w:rsid w:val="003F586C"/>
    <w:rsid w:val="003F64CF"/>
    <w:rsid w:val="003F754C"/>
    <w:rsid w:val="004006F0"/>
    <w:rsid w:val="0040196C"/>
    <w:rsid w:val="0040282A"/>
    <w:rsid w:val="00403317"/>
    <w:rsid w:val="00403EAC"/>
    <w:rsid w:val="0040583A"/>
    <w:rsid w:val="00406EF3"/>
    <w:rsid w:val="00407130"/>
    <w:rsid w:val="00407575"/>
    <w:rsid w:val="004101F8"/>
    <w:rsid w:val="00410861"/>
    <w:rsid w:val="00410EBA"/>
    <w:rsid w:val="00412B1D"/>
    <w:rsid w:val="00413261"/>
    <w:rsid w:val="004138FB"/>
    <w:rsid w:val="004147A8"/>
    <w:rsid w:val="004170C8"/>
    <w:rsid w:val="004174C5"/>
    <w:rsid w:val="00417CD3"/>
    <w:rsid w:val="0042087A"/>
    <w:rsid w:val="00420904"/>
    <w:rsid w:val="00420A39"/>
    <w:rsid w:val="00420A94"/>
    <w:rsid w:val="00422CC4"/>
    <w:rsid w:val="0042339F"/>
    <w:rsid w:val="0042386E"/>
    <w:rsid w:val="0043126E"/>
    <w:rsid w:val="0043228A"/>
    <w:rsid w:val="00432ACD"/>
    <w:rsid w:val="00432C08"/>
    <w:rsid w:val="004335FF"/>
    <w:rsid w:val="00433751"/>
    <w:rsid w:val="00433AB0"/>
    <w:rsid w:val="00435C8E"/>
    <w:rsid w:val="00436327"/>
    <w:rsid w:val="0043701E"/>
    <w:rsid w:val="004373D1"/>
    <w:rsid w:val="0043779F"/>
    <w:rsid w:val="00437CF5"/>
    <w:rsid w:val="00440ABA"/>
    <w:rsid w:val="0044131E"/>
    <w:rsid w:val="00442F46"/>
    <w:rsid w:val="0044375A"/>
    <w:rsid w:val="00443901"/>
    <w:rsid w:val="00444569"/>
    <w:rsid w:val="0044477C"/>
    <w:rsid w:val="00444B86"/>
    <w:rsid w:val="004457D6"/>
    <w:rsid w:val="00445ED9"/>
    <w:rsid w:val="00446063"/>
    <w:rsid w:val="004460EB"/>
    <w:rsid w:val="00450AED"/>
    <w:rsid w:val="00450D9A"/>
    <w:rsid w:val="0045262E"/>
    <w:rsid w:val="004537BE"/>
    <w:rsid w:val="00454399"/>
    <w:rsid w:val="00455C66"/>
    <w:rsid w:val="00455E35"/>
    <w:rsid w:val="00456007"/>
    <w:rsid w:val="00456804"/>
    <w:rsid w:val="0046046A"/>
    <w:rsid w:val="00460D9A"/>
    <w:rsid w:val="004613D5"/>
    <w:rsid w:val="00462131"/>
    <w:rsid w:val="00462841"/>
    <w:rsid w:val="00464A32"/>
    <w:rsid w:val="00465117"/>
    <w:rsid w:val="004665EE"/>
    <w:rsid w:val="004677C3"/>
    <w:rsid w:val="004726BD"/>
    <w:rsid w:val="0047378E"/>
    <w:rsid w:val="00473C32"/>
    <w:rsid w:val="004741D4"/>
    <w:rsid w:val="00474830"/>
    <w:rsid w:val="00474972"/>
    <w:rsid w:val="0047497A"/>
    <w:rsid w:val="004750C5"/>
    <w:rsid w:val="00475505"/>
    <w:rsid w:val="0047646B"/>
    <w:rsid w:val="00477F64"/>
    <w:rsid w:val="00480D14"/>
    <w:rsid w:val="004810ED"/>
    <w:rsid w:val="0048172F"/>
    <w:rsid w:val="0048332E"/>
    <w:rsid w:val="00484432"/>
    <w:rsid w:val="00484815"/>
    <w:rsid w:val="00484A7B"/>
    <w:rsid w:val="00484D78"/>
    <w:rsid w:val="00485267"/>
    <w:rsid w:val="00490107"/>
    <w:rsid w:val="004906D5"/>
    <w:rsid w:val="004919ED"/>
    <w:rsid w:val="0049340B"/>
    <w:rsid w:val="0049580A"/>
    <w:rsid w:val="0049589E"/>
    <w:rsid w:val="00495D2D"/>
    <w:rsid w:val="00496ADC"/>
    <w:rsid w:val="0049793F"/>
    <w:rsid w:val="004A131A"/>
    <w:rsid w:val="004A1FCE"/>
    <w:rsid w:val="004A2D5A"/>
    <w:rsid w:val="004A3493"/>
    <w:rsid w:val="004A4264"/>
    <w:rsid w:val="004A4754"/>
    <w:rsid w:val="004A4ECE"/>
    <w:rsid w:val="004A6F67"/>
    <w:rsid w:val="004B07BF"/>
    <w:rsid w:val="004B0B3C"/>
    <w:rsid w:val="004B10D5"/>
    <w:rsid w:val="004B1A3D"/>
    <w:rsid w:val="004B22B0"/>
    <w:rsid w:val="004B251A"/>
    <w:rsid w:val="004B2950"/>
    <w:rsid w:val="004B2F1D"/>
    <w:rsid w:val="004B4A18"/>
    <w:rsid w:val="004B50EF"/>
    <w:rsid w:val="004B56E6"/>
    <w:rsid w:val="004B59CC"/>
    <w:rsid w:val="004B6B92"/>
    <w:rsid w:val="004B7271"/>
    <w:rsid w:val="004B738C"/>
    <w:rsid w:val="004C1014"/>
    <w:rsid w:val="004C1537"/>
    <w:rsid w:val="004C21EB"/>
    <w:rsid w:val="004C36CE"/>
    <w:rsid w:val="004C3A9B"/>
    <w:rsid w:val="004C46F2"/>
    <w:rsid w:val="004C5C67"/>
    <w:rsid w:val="004C5CFB"/>
    <w:rsid w:val="004C6C38"/>
    <w:rsid w:val="004C79FD"/>
    <w:rsid w:val="004D006E"/>
    <w:rsid w:val="004D056F"/>
    <w:rsid w:val="004D1727"/>
    <w:rsid w:val="004D17A8"/>
    <w:rsid w:val="004D53B2"/>
    <w:rsid w:val="004D6222"/>
    <w:rsid w:val="004E001A"/>
    <w:rsid w:val="004E101E"/>
    <w:rsid w:val="004E12FC"/>
    <w:rsid w:val="004E16C0"/>
    <w:rsid w:val="004E28D9"/>
    <w:rsid w:val="004E40E2"/>
    <w:rsid w:val="004E4A2E"/>
    <w:rsid w:val="004E69D1"/>
    <w:rsid w:val="004E7F9E"/>
    <w:rsid w:val="004F2112"/>
    <w:rsid w:val="004F3B9C"/>
    <w:rsid w:val="004F509D"/>
    <w:rsid w:val="004F588F"/>
    <w:rsid w:val="004F5959"/>
    <w:rsid w:val="004F627A"/>
    <w:rsid w:val="004F65E3"/>
    <w:rsid w:val="004F6C43"/>
    <w:rsid w:val="00500BD1"/>
    <w:rsid w:val="00500DEB"/>
    <w:rsid w:val="005012C8"/>
    <w:rsid w:val="00502579"/>
    <w:rsid w:val="00503EA7"/>
    <w:rsid w:val="00503FEF"/>
    <w:rsid w:val="00505493"/>
    <w:rsid w:val="00505D21"/>
    <w:rsid w:val="00506093"/>
    <w:rsid w:val="00506F41"/>
    <w:rsid w:val="0050756B"/>
    <w:rsid w:val="00511370"/>
    <w:rsid w:val="00512298"/>
    <w:rsid w:val="00513F37"/>
    <w:rsid w:val="005145BB"/>
    <w:rsid w:val="00516021"/>
    <w:rsid w:val="00516358"/>
    <w:rsid w:val="005166B8"/>
    <w:rsid w:val="0052257B"/>
    <w:rsid w:val="005227EC"/>
    <w:rsid w:val="00522A7F"/>
    <w:rsid w:val="00523022"/>
    <w:rsid w:val="00524461"/>
    <w:rsid w:val="005255C6"/>
    <w:rsid w:val="005274B2"/>
    <w:rsid w:val="0052768C"/>
    <w:rsid w:val="00527881"/>
    <w:rsid w:val="00530680"/>
    <w:rsid w:val="0053103D"/>
    <w:rsid w:val="0053233E"/>
    <w:rsid w:val="00532384"/>
    <w:rsid w:val="00532757"/>
    <w:rsid w:val="00534C33"/>
    <w:rsid w:val="00535FBD"/>
    <w:rsid w:val="00537120"/>
    <w:rsid w:val="005378A2"/>
    <w:rsid w:val="00540145"/>
    <w:rsid w:val="005423B5"/>
    <w:rsid w:val="00543975"/>
    <w:rsid w:val="00543B4B"/>
    <w:rsid w:val="00543EB8"/>
    <w:rsid w:val="0054454D"/>
    <w:rsid w:val="00544BA4"/>
    <w:rsid w:val="005502DD"/>
    <w:rsid w:val="005503B8"/>
    <w:rsid w:val="005513B1"/>
    <w:rsid w:val="00552640"/>
    <w:rsid w:val="005559DE"/>
    <w:rsid w:val="00556517"/>
    <w:rsid w:val="0055713D"/>
    <w:rsid w:val="00560BD1"/>
    <w:rsid w:val="00561489"/>
    <w:rsid w:val="005621AA"/>
    <w:rsid w:val="00562C0E"/>
    <w:rsid w:val="00562C8D"/>
    <w:rsid w:val="00563947"/>
    <w:rsid w:val="00564A99"/>
    <w:rsid w:val="0056573D"/>
    <w:rsid w:val="0056718F"/>
    <w:rsid w:val="0056748F"/>
    <w:rsid w:val="00567CCD"/>
    <w:rsid w:val="00567E98"/>
    <w:rsid w:val="00567EA1"/>
    <w:rsid w:val="00567FD6"/>
    <w:rsid w:val="0057012F"/>
    <w:rsid w:val="005706E1"/>
    <w:rsid w:val="005713FE"/>
    <w:rsid w:val="00572472"/>
    <w:rsid w:val="0057251B"/>
    <w:rsid w:val="00572BFB"/>
    <w:rsid w:val="00575376"/>
    <w:rsid w:val="00575F6F"/>
    <w:rsid w:val="00577F62"/>
    <w:rsid w:val="005813CA"/>
    <w:rsid w:val="00582428"/>
    <w:rsid w:val="00582B37"/>
    <w:rsid w:val="00582C87"/>
    <w:rsid w:val="00582DC3"/>
    <w:rsid w:val="0058338A"/>
    <w:rsid w:val="0058362D"/>
    <w:rsid w:val="00586013"/>
    <w:rsid w:val="005864EB"/>
    <w:rsid w:val="00586C7D"/>
    <w:rsid w:val="00586D5F"/>
    <w:rsid w:val="00590326"/>
    <w:rsid w:val="00590B24"/>
    <w:rsid w:val="00590B37"/>
    <w:rsid w:val="00590CF0"/>
    <w:rsid w:val="00591DA0"/>
    <w:rsid w:val="00592FAF"/>
    <w:rsid w:val="00593034"/>
    <w:rsid w:val="00593081"/>
    <w:rsid w:val="00593971"/>
    <w:rsid w:val="00593AB4"/>
    <w:rsid w:val="005952D3"/>
    <w:rsid w:val="00595DF1"/>
    <w:rsid w:val="00597FDB"/>
    <w:rsid w:val="005A00DB"/>
    <w:rsid w:val="005A07EA"/>
    <w:rsid w:val="005A1602"/>
    <w:rsid w:val="005A21F5"/>
    <w:rsid w:val="005A27C6"/>
    <w:rsid w:val="005A2886"/>
    <w:rsid w:val="005A2D1A"/>
    <w:rsid w:val="005A341D"/>
    <w:rsid w:val="005A3615"/>
    <w:rsid w:val="005A40EE"/>
    <w:rsid w:val="005A4CDE"/>
    <w:rsid w:val="005A52B2"/>
    <w:rsid w:val="005A56AF"/>
    <w:rsid w:val="005A6536"/>
    <w:rsid w:val="005A65D7"/>
    <w:rsid w:val="005B0684"/>
    <w:rsid w:val="005B17BD"/>
    <w:rsid w:val="005B1CDF"/>
    <w:rsid w:val="005B1F26"/>
    <w:rsid w:val="005B308E"/>
    <w:rsid w:val="005B3E97"/>
    <w:rsid w:val="005B3FF7"/>
    <w:rsid w:val="005B4FD9"/>
    <w:rsid w:val="005B53F8"/>
    <w:rsid w:val="005B57A5"/>
    <w:rsid w:val="005B5B45"/>
    <w:rsid w:val="005B602E"/>
    <w:rsid w:val="005B68AC"/>
    <w:rsid w:val="005C0264"/>
    <w:rsid w:val="005C0E2D"/>
    <w:rsid w:val="005C4D74"/>
    <w:rsid w:val="005C70AF"/>
    <w:rsid w:val="005D21CC"/>
    <w:rsid w:val="005D321D"/>
    <w:rsid w:val="005D363A"/>
    <w:rsid w:val="005D682D"/>
    <w:rsid w:val="005D6E56"/>
    <w:rsid w:val="005D6F06"/>
    <w:rsid w:val="005D7726"/>
    <w:rsid w:val="005E0CDA"/>
    <w:rsid w:val="005E1B47"/>
    <w:rsid w:val="005E4C17"/>
    <w:rsid w:val="005E61E5"/>
    <w:rsid w:val="005E657C"/>
    <w:rsid w:val="005E7492"/>
    <w:rsid w:val="005F0401"/>
    <w:rsid w:val="005F0968"/>
    <w:rsid w:val="005F11F4"/>
    <w:rsid w:val="005F1281"/>
    <w:rsid w:val="005F164F"/>
    <w:rsid w:val="005F2BBC"/>
    <w:rsid w:val="005F57B0"/>
    <w:rsid w:val="005F61B0"/>
    <w:rsid w:val="005F68DC"/>
    <w:rsid w:val="005F69E2"/>
    <w:rsid w:val="005F6C82"/>
    <w:rsid w:val="006001B7"/>
    <w:rsid w:val="00600AAA"/>
    <w:rsid w:val="00601855"/>
    <w:rsid w:val="006026AC"/>
    <w:rsid w:val="00603897"/>
    <w:rsid w:val="00604041"/>
    <w:rsid w:val="00604BBC"/>
    <w:rsid w:val="006068BD"/>
    <w:rsid w:val="00607D3C"/>
    <w:rsid w:val="006107B4"/>
    <w:rsid w:val="00610A9D"/>
    <w:rsid w:val="0061220A"/>
    <w:rsid w:val="00614532"/>
    <w:rsid w:val="00615B8B"/>
    <w:rsid w:val="006174BE"/>
    <w:rsid w:val="00617E20"/>
    <w:rsid w:val="006220DF"/>
    <w:rsid w:val="006221C0"/>
    <w:rsid w:val="0062351E"/>
    <w:rsid w:val="00623D4A"/>
    <w:rsid w:val="00623E17"/>
    <w:rsid w:val="0062634B"/>
    <w:rsid w:val="00626749"/>
    <w:rsid w:val="00627977"/>
    <w:rsid w:val="00627FFC"/>
    <w:rsid w:val="0063211B"/>
    <w:rsid w:val="006325D6"/>
    <w:rsid w:val="006328A6"/>
    <w:rsid w:val="00632C89"/>
    <w:rsid w:val="006333F8"/>
    <w:rsid w:val="00633A0E"/>
    <w:rsid w:val="00635474"/>
    <w:rsid w:val="00635987"/>
    <w:rsid w:val="00635F3B"/>
    <w:rsid w:val="006368A3"/>
    <w:rsid w:val="00637D17"/>
    <w:rsid w:val="00640287"/>
    <w:rsid w:val="0064198A"/>
    <w:rsid w:val="006428FD"/>
    <w:rsid w:val="00642C80"/>
    <w:rsid w:val="0064392E"/>
    <w:rsid w:val="00643CEB"/>
    <w:rsid w:val="00643EDA"/>
    <w:rsid w:val="0064441B"/>
    <w:rsid w:val="006449E3"/>
    <w:rsid w:val="00644E03"/>
    <w:rsid w:val="0064529E"/>
    <w:rsid w:val="00650286"/>
    <w:rsid w:val="006503DD"/>
    <w:rsid w:val="00650AFC"/>
    <w:rsid w:val="00651830"/>
    <w:rsid w:val="00651EA3"/>
    <w:rsid w:val="00651FB5"/>
    <w:rsid w:val="0065273C"/>
    <w:rsid w:val="00653395"/>
    <w:rsid w:val="00653590"/>
    <w:rsid w:val="00653F46"/>
    <w:rsid w:val="0065404E"/>
    <w:rsid w:val="00654099"/>
    <w:rsid w:val="006555C8"/>
    <w:rsid w:val="006561EB"/>
    <w:rsid w:val="0065654B"/>
    <w:rsid w:val="00656711"/>
    <w:rsid w:val="0065694C"/>
    <w:rsid w:val="00656AE9"/>
    <w:rsid w:val="0065724C"/>
    <w:rsid w:val="006578FC"/>
    <w:rsid w:val="0065797D"/>
    <w:rsid w:val="006579E8"/>
    <w:rsid w:val="00660049"/>
    <w:rsid w:val="00660C04"/>
    <w:rsid w:val="00660FE2"/>
    <w:rsid w:val="00661313"/>
    <w:rsid w:val="006617BC"/>
    <w:rsid w:val="006624AD"/>
    <w:rsid w:val="0066385B"/>
    <w:rsid w:val="006660D2"/>
    <w:rsid w:val="006707BC"/>
    <w:rsid w:val="00671020"/>
    <w:rsid w:val="0067170B"/>
    <w:rsid w:val="00671715"/>
    <w:rsid w:val="00671C0C"/>
    <w:rsid w:val="00674487"/>
    <w:rsid w:val="00675DF2"/>
    <w:rsid w:val="006773CC"/>
    <w:rsid w:val="006810F6"/>
    <w:rsid w:val="006830C5"/>
    <w:rsid w:val="00683567"/>
    <w:rsid w:val="0068378E"/>
    <w:rsid w:val="006837B1"/>
    <w:rsid w:val="00683F8A"/>
    <w:rsid w:val="006847E6"/>
    <w:rsid w:val="006854B1"/>
    <w:rsid w:val="006861BE"/>
    <w:rsid w:val="0068620E"/>
    <w:rsid w:val="00686B8F"/>
    <w:rsid w:val="00687DCE"/>
    <w:rsid w:val="0069112F"/>
    <w:rsid w:val="006911DE"/>
    <w:rsid w:val="006916B7"/>
    <w:rsid w:val="00691E7A"/>
    <w:rsid w:val="006920E1"/>
    <w:rsid w:val="00692748"/>
    <w:rsid w:val="0069389D"/>
    <w:rsid w:val="00693EB1"/>
    <w:rsid w:val="0069555A"/>
    <w:rsid w:val="00696731"/>
    <w:rsid w:val="006967C6"/>
    <w:rsid w:val="00696A33"/>
    <w:rsid w:val="00696D08"/>
    <w:rsid w:val="00696F9F"/>
    <w:rsid w:val="006977A3"/>
    <w:rsid w:val="006A0741"/>
    <w:rsid w:val="006A0C78"/>
    <w:rsid w:val="006A0E18"/>
    <w:rsid w:val="006A29CC"/>
    <w:rsid w:val="006A44C7"/>
    <w:rsid w:val="006A7538"/>
    <w:rsid w:val="006A7FA5"/>
    <w:rsid w:val="006B0EEF"/>
    <w:rsid w:val="006B3271"/>
    <w:rsid w:val="006B36F0"/>
    <w:rsid w:val="006B3E0D"/>
    <w:rsid w:val="006B4154"/>
    <w:rsid w:val="006B578D"/>
    <w:rsid w:val="006B5DA3"/>
    <w:rsid w:val="006C021A"/>
    <w:rsid w:val="006C0851"/>
    <w:rsid w:val="006C0C98"/>
    <w:rsid w:val="006C107A"/>
    <w:rsid w:val="006C112E"/>
    <w:rsid w:val="006C285E"/>
    <w:rsid w:val="006C3250"/>
    <w:rsid w:val="006C4406"/>
    <w:rsid w:val="006C5DDA"/>
    <w:rsid w:val="006C5FDE"/>
    <w:rsid w:val="006C6B7C"/>
    <w:rsid w:val="006C6E54"/>
    <w:rsid w:val="006D0E9A"/>
    <w:rsid w:val="006D160F"/>
    <w:rsid w:val="006D21F1"/>
    <w:rsid w:val="006D2AB6"/>
    <w:rsid w:val="006D31FD"/>
    <w:rsid w:val="006D3A03"/>
    <w:rsid w:val="006D3A9A"/>
    <w:rsid w:val="006D4CFB"/>
    <w:rsid w:val="006D4EDF"/>
    <w:rsid w:val="006D52EB"/>
    <w:rsid w:val="006D56BD"/>
    <w:rsid w:val="006D5F2A"/>
    <w:rsid w:val="006D7270"/>
    <w:rsid w:val="006D72BC"/>
    <w:rsid w:val="006D7598"/>
    <w:rsid w:val="006D79CE"/>
    <w:rsid w:val="006D7F8E"/>
    <w:rsid w:val="006E027B"/>
    <w:rsid w:val="006E03BE"/>
    <w:rsid w:val="006E2009"/>
    <w:rsid w:val="006E2524"/>
    <w:rsid w:val="006E31F0"/>
    <w:rsid w:val="006E4023"/>
    <w:rsid w:val="006E5115"/>
    <w:rsid w:val="006E55D4"/>
    <w:rsid w:val="006E5799"/>
    <w:rsid w:val="006F0884"/>
    <w:rsid w:val="006F12A6"/>
    <w:rsid w:val="006F15A9"/>
    <w:rsid w:val="006F1F9B"/>
    <w:rsid w:val="006F24AF"/>
    <w:rsid w:val="006F3A54"/>
    <w:rsid w:val="006F5F42"/>
    <w:rsid w:val="006F6719"/>
    <w:rsid w:val="006F795E"/>
    <w:rsid w:val="006F7986"/>
    <w:rsid w:val="006F7997"/>
    <w:rsid w:val="006F7B3A"/>
    <w:rsid w:val="0070025C"/>
    <w:rsid w:val="00701FC2"/>
    <w:rsid w:val="007021CC"/>
    <w:rsid w:val="00702313"/>
    <w:rsid w:val="00702F31"/>
    <w:rsid w:val="00704506"/>
    <w:rsid w:val="00705F5B"/>
    <w:rsid w:val="00706C1D"/>
    <w:rsid w:val="00707DF3"/>
    <w:rsid w:val="00707EE2"/>
    <w:rsid w:val="00710627"/>
    <w:rsid w:val="007113CE"/>
    <w:rsid w:val="00714DCA"/>
    <w:rsid w:val="007171C5"/>
    <w:rsid w:val="0072003E"/>
    <w:rsid w:val="00720215"/>
    <w:rsid w:val="00720841"/>
    <w:rsid w:val="00721427"/>
    <w:rsid w:val="00721788"/>
    <w:rsid w:val="00723176"/>
    <w:rsid w:val="00723506"/>
    <w:rsid w:val="00724C66"/>
    <w:rsid w:val="00724D37"/>
    <w:rsid w:val="00725A98"/>
    <w:rsid w:val="00725B58"/>
    <w:rsid w:val="00726746"/>
    <w:rsid w:val="007267E0"/>
    <w:rsid w:val="00727404"/>
    <w:rsid w:val="007309F4"/>
    <w:rsid w:val="00730B43"/>
    <w:rsid w:val="00731594"/>
    <w:rsid w:val="00731CD6"/>
    <w:rsid w:val="00732E8A"/>
    <w:rsid w:val="00733621"/>
    <w:rsid w:val="00735883"/>
    <w:rsid w:val="0073706A"/>
    <w:rsid w:val="007374E3"/>
    <w:rsid w:val="00737779"/>
    <w:rsid w:val="007401F5"/>
    <w:rsid w:val="00740250"/>
    <w:rsid w:val="00740A7D"/>
    <w:rsid w:val="00741088"/>
    <w:rsid w:val="00741BDC"/>
    <w:rsid w:val="00741E30"/>
    <w:rsid w:val="00743392"/>
    <w:rsid w:val="00744431"/>
    <w:rsid w:val="007462D4"/>
    <w:rsid w:val="007464C5"/>
    <w:rsid w:val="00746F5F"/>
    <w:rsid w:val="00750F27"/>
    <w:rsid w:val="0075177B"/>
    <w:rsid w:val="00752ACD"/>
    <w:rsid w:val="00752BD0"/>
    <w:rsid w:val="00753F18"/>
    <w:rsid w:val="00754616"/>
    <w:rsid w:val="00755370"/>
    <w:rsid w:val="007556B2"/>
    <w:rsid w:val="00756454"/>
    <w:rsid w:val="0075687A"/>
    <w:rsid w:val="00756EA7"/>
    <w:rsid w:val="007579ED"/>
    <w:rsid w:val="00757D25"/>
    <w:rsid w:val="00757D5D"/>
    <w:rsid w:val="0076072C"/>
    <w:rsid w:val="00760785"/>
    <w:rsid w:val="007646C3"/>
    <w:rsid w:val="00764838"/>
    <w:rsid w:val="00765762"/>
    <w:rsid w:val="00767ED4"/>
    <w:rsid w:val="00772C18"/>
    <w:rsid w:val="007734E2"/>
    <w:rsid w:val="00774FB1"/>
    <w:rsid w:val="00775396"/>
    <w:rsid w:val="00775A2A"/>
    <w:rsid w:val="00777917"/>
    <w:rsid w:val="007807A0"/>
    <w:rsid w:val="00780BB7"/>
    <w:rsid w:val="00782027"/>
    <w:rsid w:val="0078268F"/>
    <w:rsid w:val="007827ED"/>
    <w:rsid w:val="00782892"/>
    <w:rsid w:val="007834E3"/>
    <w:rsid w:val="00784130"/>
    <w:rsid w:val="0078598A"/>
    <w:rsid w:val="00787015"/>
    <w:rsid w:val="007876C5"/>
    <w:rsid w:val="00793089"/>
    <w:rsid w:val="0079505C"/>
    <w:rsid w:val="0079539B"/>
    <w:rsid w:val="0079556C"/>
    <w:rsid w:val="00796EFD"/>
    <w:rsid w:val="00797A87"/>
    <w:rsid w:val="00797B13"/>
    <w:rsid w:val="007A05FC"/>
    <w:rsid w:val="007A0A7D"/>
    <w:rsid w:val="007A0FE2"/>
    <w:rsid w:val="007A1639"/>
    <w:rsid w:val="007A1C14"/>
    <w:rsid w:val="007A2F08"/>
    <w:rsid w:val="007A3373"/>
    <w:rsid w:val="007A37B4"/>
    <w:rsid w:val="007A420F"/>
    <w:rsid w:val="007A44A5"/>
    <w:rsid w:val="007A70F6"/>
    <w:rsid w:val="007A7DBC"/>
    <w:rsid w:val="007B03A7"/>
    <w:rsid w:val="007B0771"/>
    <w:rsid w:val="007B2014"/>
    <w:rsid w:val="007B2BAF"/>
    <w:rsid w:val="007B2CE9"/>
    <w:rsid w:val="007B2DBA"/>
    <w:rsid w:val="007B30ED"/>
    <w:rsid w:val="007B4020"/>
    <w:rsid w:val="007B4227"/>
    <w:rsid w:val="007B4CB4"/>
    <w:rsid w:val="007B5CB6"/>
    <w:rsid w:val="007B6B06"/>
    <w:rsid w:val="007B7F7F"/>
    <w:rsid w:val="007C08C0"/>
    <w:rsid w:val="007C119D"/>
    <w:rsid w:val="007C33D6"/>
    <w:rsid w:val="007C3BD3"/>
    <w:rsid w:val="007C4101"/>
    <w:rsid w:val="007C5788"/>
    <w:rsid w:val="007C71E8"/>
    <w:rsid w:val="007C7AC3"/>
    <w:rsid w:val="007D14F1"/>
    <w:rsid w:val="007D304C"/>
    <w:rsid w:val="007D377E"/>
    <w:rsid w:val="007D3BE9"/>
    <w:rsid w:val="007D41DF"/>
    <w:rsid w:val="007D43EF"/>
    <w:rsid w:val="007D52FF"/>
    <w:rsid w:val="007D5AE5"/>
    <w:rsid w:val="007D6123"/>
    <w:rsid w:val="007D6663"/>
    <w:rsid w:val="007D7B34"/>
    <w:rsid w:val="007E00D0"/>
    <w:rsid w:val="007E3BC7"/>
    <w:rsid w:val="007E454A"/>
    <w:rsid w:val="007E58EB"/>
    <w:rsid w:val="007E659A"/>
    <w:rsid w:val="007E68C3"/>
    <w:rsid w:val="007E6E8C"/>
    <w:rsid w:val="007E709D"/>
    <w:rsid w:val="007E735C"/>
    <w:rsid w:val="007F0297"/>
    <w:rsid w:val="007F0786"/>
    <w:rsid w:val="007F16D8"/>
    <w:rsid w:val="007F1A89"/>
    <w:rsid w:val="007F372A"/>
    <w:rsid w:val="007F3BDE"/>
    <w:rsid w:val="007F4EF3"/>
    <w:rsid w:val="007F6646"/>
    <w:rsid w:val="007F69A3"/>
    <w:rsid w:val="007F6DA6"/>
    <w:rsid w:val="007F72CA"/>
    <w:rsid w:val="008005B8"/>
    <w:rsid w:val="00801F06"/>
    <w:rsid w:val="0080485C"/>
    <w:rsid w:val="00804E20"/>
    <w:rsid w:val="008078DE"/>
    <w:rsid w:val="008101CB"/>
    <w:rsid w:val="0081078C"/>
    <w:rsid w:val="008108C2"/>
    <w:rsid w:val="008113FB"/>
    <w:rsid w:val="00812502"/>
    <w:rsid w:val="00812893"/>
    <w:rsid w:val="00814125"/>
    <w:rsid w:val="008155AA"/>
    <w:rsid w:val="008159A3"/>
    <w:rsid w:val="00815F8E"/>
    <w:rsid w:val="0081603C"/>
    <w:rsid w:val="0082090B"/>
    <w:rsid w:val="008211DB"/>
    <w:rsid w:val="00821A04"/>
    <w:rsid w:val="00821D51"/>
    <w:rsid w:val="00821D64"/>
    <w:rsid w:val="00822EC8"/>
    <w:rsid w:val="00823761"/>
    <w:rsid w:val="00823CC3"/>
    <w:rsid w:val="0082450A"/>
    <w:rsid w:val="008249A9"/>
    <w:rsid w:val="00825DEA"/>
    <w:rsid w:val="00826D15"/>
    <w:rsid w:val="008270EF"/>
    <w:rsid w:val="00827A17"/>
    <w:rsid w:val="00827F53"/>
    <w:rsid w:val="008311BC"/>
    <w:rsid w:val="0083273E"/>
    <w:rsid w:val="00833CB0"/>
    <w:rsid w:val="00833DD7"/>
    <w:rsid w:val="008348F3"/>
    <w:rsid w:val="00835097"/>
    <w:rsid w:val="00835642"/>
    <w:rsid w:val="00835F36"/>
    <w:rsid w:val="0083636F"/>
    <w:rsid w:val="00837867"/>
    <w:rsid w:val="00842533"/>
    <w:rsid w:val="008430E4"/>
    <w:rsid w:val="00844819"/>
    <w:rsid w:val="008454AD"/>
    <w:rsid w:val="00845E37"/>
    <w:rsid w:val="00846E1E"/>
    <w:rsid w:val="00850712"/>
    <w:rsid w:val="00850A62"/>
    <w:rsid w:val="0085101C"/>
    <w:rsid w:val="0085222E"/>
    <w:rsid w:val="0085286C"/>
    <w:rsid w:val="00853805"/>
    <w:rsid w:val="00854440"/>
    <w:rsid w:val="008546E5"/>
    <w:rsid w:val="00854B68"/>
    <w:rsid w:val="0085630E"/>
    <w:rsid w:val="008567A9"/>
    <w:rsid w:val="0085707E"/>
    <w:rsid w:val="0086021A"/>
    <w:rsid w:val="0086098D"/>
    <w:rsid w:val="00860A5F"/>
    <w:rsid w:val="008610C1"/>
    <w:rsid w:val="0086359E"/>
    <w:rsid w:val="008640B9"/>
    <w:rsid w:val="00864864"/>
    <w:rsid w:val="00864EC6"/>
    <w:rsid w:val="00865A0F"/>
    <w:rsid w:val="00865B36"/>
    <w:rsid w:val="00865BA3"/>
    <w:rsid w:val="0086609D"/>
    <w:rsid w:val="00866343"/>
    <w:rsid w:val="00866FE6"/>
    <w:rsid w:val="00867AF9"/>
    <w:rsid w:val="0087128D"/>
    <w:rsid w:val="00871532"/>
    <w:rsid w:val="00871799"/>
    <w:rsid w:val="00871ADC"/>
    <w:rsid w:val="0087412F"/>
    <w:rsid w:val="00874131"/>
    <w:rsid w:val="008741EA"/>
    <w:rsid w:val="00874C3B"/>
    <w:rsid w:val="00875FC2"/>
    <w:rsid w:val="00876116"/>
    <w:rsid w:val="00876324"/>
    <w:rsid w:val="008779C8"/>
    <w:rsid w:val="00877A9B"/>
    <w:rsid w:val="008806BB"/>
    <w:rsid w:val="008809A3"/>
    <w:rsid w:val="008815C4"/>
    <w:rsid w:val="00881C73"/>
    <w:rsid w:val="00881EFB"/>
    <w:rsid w:val="00882E81"/>
    <w:rsid w:val="008831D6"/>
    <w:rsid w:val="008836C7"/>
    <w:rsid w:val="00883C8E"/>
    <w:rsid w:val="00887EA2"/>
    <w:rsid w:val="00887EB7"/>
    <w:rsid w:val="00891982"/>
    <w:rsid w:val="00891AA9"/>
    <w:rsid w:val="00892215"/>
    <w:rsid w:val="00893452"/>
    <w:rsid w:val="0089450B"/>
    <w:rsid w:val="008A0A9D"/>
    <w:rsid w:val="008A1782"/>
    <w:rsid w:val="008A45AA"/>
    <w:rsid w:val="008A489B"/>
    <w:rsid w:val="008A4CA1"/>
    <w:rsid w:val="008A50BE"/>
    <w:rsid w:val="008A58E3"/>
    <w:rsid w:val="008A5A20"/>
    <w:rsid w:val="008A70B4"/>
    <w:rsid w:val="008A769C"/>
    <w:rsid w:val="008A7A44"/>
    <w:rsid w:val="008B13E1"/>
    <w:rsid w:val="008B1C2F"/>
    <w:rsid w:val="008B20C7"/>
    <w:rsid w:val="008B368F"/>
    <w:rsid w:val="008B430C"/>
    <w:rsid w:val="008B54D4"/>
    <w:rsid w:val="008B5631"/>
    <w:rsid w:val="008B5A07"/>
    <w:rsid w:val="008B772A"/>
    <w:rsid w:val="008C15F8"/>
    <w:rsid w:val="008C2769"/>
    <w:rsid w:val="008C28A6"/>
    <w:rsid w:val="008C2922"/>
    <w:rsid w:val="008C2CB0"/>
    <w:rsid w:val="008C3AB3"/>
    <w:rsid w:val="008C3C12"/>
    <w:rsid w:val="008C5192"/>
    <w:rsid w:val="008C524C"/>
    <w:rsid w:val="008C530F"/>
    <w:rsid w:val="008C64BD"/>
    <w:rsid w:val="008D079C"/>
    <w:rsid w:val="008D219A"/>
    <w:rsid w:val="008D449C"/>
    <w:rsid w:val="008D52BD"/>
    <w:rsid w:val="008D6116"/>
    <w:rsid w:val="008D64FF"/>
    <w:rsid w:val="008D6517"/>
    <w:rsid w:val="008D7E47"/>
    <w:rsid w:val="008E049D"/>
    <w:rsid w:val="008E081E"/>
    <w:rsid w:val="008E164A"/>
    <w:rsid w:val="008E1A4D"/>
    <w:rsid w:val="008E20BC"/>
    <w:rsid w:val="008E249C"/>
    <w:rsid w:val="008E2BE7"/>
    <w:rsid w:val="008E3707"/>
    <w:rsid w:val="008E3E4E"/>
    <w:rsid w:val="008E4FFD"/>
    <w:rsid w:val="008E52C8"/>
    <w:rsid w:val="008E52E9"/>
    <w:rsid w:val="008E6E64"/>
    <w:rsid w:val="008E7A6A"/>
    <w:rsid w:val="008E7DEB"/>
    <w:rsid w:val="008F0052"/>
    <w:rsid w:val="008F040D"/>
    <w:rsid w:val="008F05E2"/>
    <w:rsid w:val="008F0CA8"/>
    <w:rsid w:val="008F1749"/>
    <w:rsid w:val="008F1DFF"/>
    <w:rsid w:val="008F2D8B"/>
    <w:rsid w:val="008F3484"/>
    <w:rsid w:val="008F3F1E"/>
    <w:rsid w:val="008F481E"/>
    <w:rsid w:val="008F53C5"/>
    <w:rsid w:val="008F5735"/>
    <w:rsid w:val="008F5C8D"/>
    <w:rsid w:val="008F5F06"/>
    <w:rsid w:val="008F6C64"/>
    <w:rsid w:val="008F7142"/>
    <w:rsid w:val="0090093B"/>
    <w:rsid w:val="009024BF"/>
    <w:rsid w:val="0090366E"/>
    <w:rsid w:val="0090397D"/>
    <w:rsid w:val="009045BC"/>
    <w:rsid w:val="00905474"/>
    <w:rsid w:val="00905827"/>
    <w:rsid w:val="00906D25"/>
    <w:rsid w:val="009078C1"/>
    <w:rsid w:val="00910239"/>
    <w:rsid w:val="009105C8"/>
    <w:rsid w:val="00911B6A"/>
    <w:rsid w:val="00912674"/>
    <w:rsid w:val="009126A4"/>
    <w:rsid w:val="009126EB"/>
    <w:rsid w:val="0091328D"/>
    <w:rsid w:val="0091345D"/>
    <w:rsid w:val="009136F2"/>
    <w:rsid w:val="00913884"/>
    <w:rsid w:val="00913E86"/>
    <w:rsid w:val="00915640"/>
    <w:rsid w:val="009158D7"/>
    <w:rsid w:val="00915D94"/>
    <w:rsid w:val="00916D05"/>
    <w:rsid w:val="0091752B"/>
    <w:rsid w:val="009176C5"/>
    <w:rsid w:val="009201C7"/>
    <w:rsid w:val="00920A95"/>
    <w:rsid w:val="00921974"/>
    <w:rsid w:val="009221DB"/>
    <w:rsid w:val="00923869"/>
    <w:rsid w:val="00923B86"/>
    <w:rsid w:val="00923CAB"/>
    <w:rsid w:val="00923CF3"/>
    <w:rsid w:val="00924D6C"/>
    <w:rsid w:val="009250C8"/>
    <w:rsid w:val="00925270"/>
    <w:rsid w:val="00925D54"/>
    <w:rsid w:val="00927E1E"/>
    <w:rsid w:val="00933509"/>
    <w:rsid w:val="009357BF"/>
    <w:rsid w:val="00936E79"/>
    <w:rsid w:val="00940FCD"/>
    <w:rsid w:val="00943D38"/>
    <w:rsid w:val="009440AE"/>
    <w:rsid w:val="00945431"/>
    <w:rsid w:val="00945687"/>
    <w:rsid w:val="00945689"/>
    <w:rsid w:val="00945A0E"/>
    <w:rsid w:val="00947CB1"/>
    <w:rsid w:val="009504BA"/>
    <w:rsid w:val="009510A8"/>
    <w:rsid w:val="0095260E"/>
    <w:rsid w:val="00952A5C"/>
    <w:rsid w:val="00952CD8"/>
    <w:rsid w:val="00952F3C"/>
    <w:rsid w:val="0095360C"/>
    <w:rsid w:val="00953B93"/>
    <w:rsid w:val="00953E94"/>
    <w:rsid w:val="0095416C"/>
    <w:rsid w:val="00954E15"/>
    <w:rsid w:val="00955012"/>
    <w:rsid w:val="00955A89"/>
    <w:rsid w:val="0095699E"/>
    <w:rsid w:val="009600D7"/>
    <w:rsid w:val="00960E58"/>
    <w:rsid w:val="00963971"/>
    <w:rsid w:val="00964761"/>
    <w:rsid w:val="00965047"/>
    <w:rsid w:val="00966924"/>
    <w:rsid w:val="00967374"/>
    <w:rsid w:val="00967EA7"/>
    <w:rsid w:val="00970C00"/>
    <w:rsid w:val="009716F0"/>
    <w:rsid w:val="009723A2"/>
    <w:rsid w:val="00972536"/>
    <w:rsid w:val="00972A77"/>
    <w:rsid w:val="00972F5C"/>
    <w:rsid w:val="00974352"/>
    <w:rsid w:val="009749D0"/>
    <w:rsid w:val="00974BB4"/>
    <w:rsid w:val="00974C31"/>
    <w:rsid w:val="00974CE6"/>
    <w:rsid w:val="009755BC"/>
    <w:rsid w:val="009760AC"/>
    <w:rsid w:val="00976AF8"/>
    <w:rsid w:val="009803ED"/>
    <w:rsid w:val="00980F55"/>
    <w:rsid w:val="00982982"/>
    <w:rsid w:val="00983042"/>
    <w:rsid w:val="00984027"/>
    <w:rsid w:val="0098405F"/>
    <w:rsid w:val="00987FAB"/>
    <w:rsid w:val="00992C22"/>
    <w:rsid w:val="00992EA9"/>
    <w:rsid w:val="00993483"/>
    <w:rsid w:val="00993880"/>
    <w:rsid w:val="00993D58"/>
    <w:rsid w:val="0099408F"/>
    <w:rsid w:val="009945CF"/>
    <w:rsid w:val="00996257"/>
    <w:rsid w:val="00996331"/>
    <w:rsid w:val="009965E4"/>
    <w:rsid w:val="009969BA"/>
    <w:rsid w:val="009972E9"/>
    <w:rsid w:val="009A09EE"/>
    <w:rsid w:val="009A0C1A"/>
    <w:rsid w:val="009A0CDD"/>
    <w:rsid w:val="009A1F26"/>
    <w:rsid w:val="009A2820"/>
    <w:rsid w:val="009A2E03"/>
    <w:rsid w:val="009A337D"/>
    <w:rsid w:val="009A3420"/>
    <w:rsid w:val="009A4C2F"/>
    <w:rsid w:val="009A4E4C"/>
    <w:rsid w:val="009A6BA0"/>
    <w:rsid w:val="009A6E7F"/>
    <w:rsid w:val="009A7157"/>
    <w:rsid w:val="009A71D8"/>
    <w:rsid w:val="009B0225"/>
    <w:rsid w:val="009B05BB"/>
    <w:rsid w:val="009B07FE"/>
    <w:rsid w:val="009B09ED"/>
    <w:rsid w:val="009B1C60"/>
    <w:rsid w:val="009B201B"/>
    <w:rsid w:val="009B2436"/>
    <w:rsid w:val="009B2BBB"/>
    <w:rsid w:val="009B2CAB"/>
    <w:rsid w:val="009B346A"/>
    <w:rsid w:val="009B7234"/>
    <w:rsid w:val="009B7A97"/>
    <w:rsid w:val="009C163A"/>
    <w:rsid w:val="009C2DC3"/>
    <w:rsid w:val="009C31F2"/>
    <w:rsid w:val="009C3D31"/>
    <w:rsid w:val="009C4C77"/>
    <w:rsid w:val="009C54C9"/>
    <w:rsid w:val="009C5C36"/>
    <w:rsid w:val="009C5D49"/>
    <w:rsid w:val="009C658D"/>
    <w:rsid w:val="009D001D"/>
    <w:rsid w:val="009D0EB5"/>
    <w:rsid w:val="009D1516"/>
    <w:rsid w:val="009D1855"/>
    <w:rsid w:val="009D3B1F"/>
    <w:rsid w:val="009D3B75"/>
    <w:rsid w:val="009D4085"/>
    <w:rsid w:val="009D602F"/>
    <w:rsid w:val="009E070D"/>
    <w:rsid w:val="009E15C4"/>
    <w:rsid w:val="009E1B97"/>
    <w:rsid w:val="009E1D3A"/>
    <w:rsid w:val="009E1DCD"/>
    <w:rsid w:val="009E39A8"/>
    <w:rsid w:val="009E56D9"/>
    <w:rsid w:val="009E58A8"/>
    <w:rsid w:val="009E6131"/>
    <w:rsid w:val="009E682F"/>
    <w:rsid w:val="009E7D35"/>
    <w:rsid w:val="009F19A4"/>
    <w:rsid w:val="009F1C40"/>
    <w:rsid w:val="009F2BDF"/>
    <w:rsid w:val="009F55C6"/>
    <w:rsid w:val="009F5876"/>
    <w:rsid w:val="009F67DE"/>
    <w:rsid w:val="009F6CDA"/>
    <w:rsid w:val="009F6FCA"/>
    <w:rsid w:val="00A00659"/>
    <w:rsid w:val="00A007EC"/>
    <w:rsid w:val="00A008E1"/>
    <w:rsid w:val="00A01543"/>
    <w:rsid w:val="00A01A6D"/>
    <w:rsid w:val="00A01EF8"/>
    <w:rsid w:val="00A02B1A"/>
    <w:rsid w:val="00A03060"/>
    <w:rsid w:val="00A03A85"/>
    <w:rsid w:val="00A03AA5"/>
    <w:rsid w:val="00A04778"/>
    <w:rsid w:val="00A053C8"/>
    <w:rsid w:val="00A06BFC"/>
    <w:rsid w:val="00A06CDD"/>
    <w:rsid w:val="00A073A9"/>
    <w:rsid w:val="00A07B82"/>
    <w:rsid w:val="00A07D0F"/>
    <w:rsid w:val="00A117FD"/>
    <w:rsid w:val="00A1184E"/>
    <w:rsid w:val="00A11B5E"/>
    <w:rsid w:val="00A12C84"/>
    <w:rsid w:val="00A134DC"/>
    <w:rsid w:val="00A15667"/>
    <w:rsid w:val="00A1694F"/>
    <w:rsid w:val="00A16C7C"/>
    <w:rsid w:val="00A17647"/>
    <w:rsid w:val="00A20358"/>
    <w:rsid w:val="00A20F6E"/>
    <w:rsid w:val="00A2127A"/>
    <w:rsid w:val="00A215C4"/>
    <w:rsid w:val="00A24866"/>
    <w:rsid w:val="00A26700"/>
    <w:rsid w:val="00A27FD8"/>
    <w:rsid w:val="00A31AA9"/>
    <w:rsid w:val="00A31EBF"/>
    <w:rsid w:val="00A32DFB"/>
    <w:rsid w:val="00A330E5"/>
    <w:rsid w:val="00A3415D"/>
    <w:rsid w:val="00A34BD0"/>
    <w:rsid w:val="00A34BE3"/>
    <w:rsid w:val="00A34CA7"/>
    <w:rsid w:val="00A35059"/>
    <w:rsid w:val="00A35535"/>
    <w:rsid w:val="00A3561C"/>
    <w:rsid w:val="00A3585F"/>
    <w:rsid w:val="00A3587B"/>
    <w:rsid w:val="00A35BEC"/>
    <w:rsid w:val="00A361D1"/>
    <w:rsid w:val="00A374FB"/>
    <w:rsid w:val="00A37C4B"/>
    <w:rsid w:val="00A37C76"/>
    <w:rsid w:val="00A411B0"/>
    <w:rsid w:val="00A417A8"/>
    <w:rsid w:val="00A41F09"/>
    <w:rsid w:val="00A4309C"/>
    <w:rsid w:val="00A43507"/>
    <w:rsid w:val="00A43889"/>
    <w:rsid w:val="00A43909"/>
    <w:rsid w:val="00A447A1"/>
    <w:rsid w:val="00A46689"/>
    <w:rsid w:val="00A50352"/>
    <w:rsid w:val="00A50589"/>
    <w:rsid w:val="00A513A6"/>
    <w:rsid w:val="00A518FB"/>
    <w:rsid w:val="00A51F1C"/>
    <w:rsid w:val="00A527F7"/>
    <w:rsid w:val="00A5299E"/>
    <w:rsid w:val="00A53160"/>
    <w:rsid w:val="00A53A7A"/>
    <w:rsid w:val="00A54528"/>
    <w:rsid w:val="00A56C9D"/>
    <w:rsid w:val="00A6344A"/>
    <w:rsid w:val="00A64847"/>
    <w:rsid w:val="00A648B9"/>
    <w:rsid w:val="00A673A5"/>
    <w:rsid w:val="00A673CF"/>
    <w:rsid w:val="00A67EDF"/>
    <w:rsid w:val="00A70433"/>
    <w:rsid w:val="00A70F04"/>
    <w:rsid w:val="00A71240"/>
    <w:rsid w:val="00A714CF"/>
    <w:rsid w:val="00A7187C"/>
    <w:rsid w:val="00A71E3E"/>
    <w:rsid w:val="00A71EA3"/>
    <w:rsid w:val="00A72168"/>
    <w:rsid w:val="00A7340C"/>
    <w:rsid w:val="00A744AA"/>
    <w:rsid w:val="00A744FC"/>
    <w:rsid w:val="00A74BAF"/>
    <w:rsid w:val="00A81ACE"/>
    <w:rsid w:val="00A83503"/>
    <w:rsid w:val="00A835AC"/>
    <w:rsid w:val="00A83CC8"/>
    <w:rsid w:val="00A83D57"/>
    <w:rsid w:val="00A84480"/>
    <w:rsid w:val="00A84BEF"/>
    <w:rsid w:val="00A84DFC"/>
    <w:rsid w:val="00A87C94"/>
    <w:rsid w:val="00A915B5"/>
    <w:rsid w:val="00A9219D"/>
    <w:rsid w:val="00A93219"/>
    <w:rsid w:val="00A97513"/>
    <w:rsid w:val="00AA07DD"/>
    <w:rsid w:val="00AA1422"/>
    <w:rsid w:val="00AA38BF"/>
    <w:rsid w:val="00AA3D14"/>
    <w:rsid w:val="00AA4A60"/>
    <w:rsid w:val="00AA4D56"/>
    <w:rsid w:val="00AA4FD6"/>
    <w:rsid w:val="00AA5429"/>
    <w:rsid w:val="00AA5509"/>
    <w:rsid w:val="00AA5A01"/>
    <w:rsid w:val="00AA7142"/>
    <w:rsid w:val="00AA7A5C"/>
    <w:rsid w:val="00AB00C6"/>
    <w:rsid w:val="00AB0D23"/>
    <w:rsid w:val="00AB10DC"/>
    <w:rsid w:val="00AB1F0D"/>
    <w:rsid w:val="00AB27E8"/>
    <w:rsid w:val="00AB389C"/>
    <w:rsid w:val="00AB393F"/>
    <w:rsid w:val="00AB47FC"/>
    <w:rsid w:val="00AB4D08"/>
    <w:rsid w:val="00AB56D1"/>
    <w:rsid w:val="00AB5B26"/>
    <w:rsid w:val="00AB6932"/>
    <w:rsid w:val="00AC0C6D"/>
    <w:rsid w:val="00AC0ECE"/>
    <w:rsid w:val="00AC10B9"/>
    <w:rsid w:val="00AC265C"/>
    <w:rsid w:val="00AC2D29"/>
    <w:rsid w:val="00AC3DF2"/>
    <w:rsid w:val="00AC4876"/>
    <w:rsid w:val="00AC5F49"/>
    <w:rsid w:val="00AC6253"/>
    <w:rsid w:val="00AC6C7D"/>
    <w:rsid w:val="00AC6CBA"/>
    <w:rsid w:val="00AC77E7"/>
    <w:rsid w:val="00AC78AE"/>
    <w:rsid w:val="00AD2455"/>
    <w:rsid w:val="00AD316F"/>
    <w:rsid w:val="00AD4E9D"/>
    <w:rsid w:val="00AD5D74"/>
    <w:rsid w:val="00AD649E"/>
    <w:rsid w:val="00AE0529"/>
    <w:rsid w:val="00AE233E"/>
    <w:rsid w:val="00AE24B7"/>
    <w:rsid w:val="00AE37CA"/>
    <w:rsid w:val="00AE48B4"/>
    <w:rsid w:val="00AE6139"/>
    <w:rsid w:val="00AE75C3"/>
    <w:rsid w:val="00AF1722"/>
    <w:rsid w:val="00AF179A"/>
    <w:rsid w:val="00AF2BB2"/>
    <w:rsid w:val="00AF2CE8"/>
    <w:rsid w:val="00AF2D51"/>
    <w:rsid w:val="00AF3A3E"/>
    <w:rsid w:val="00AF48AA"/>
    <w:rsid w:val="00AF5B2D"/>
    <w:rsid w:val="00AF6D64"/>
    <w:rsid w:val="00AF7E4C"/>
    <w:rsid w:val="00B00656"/>
    <w:rsid w:val="00B0247E"/>
    <w:rsid w:val="00B026E9"/>
    <w:rsid w:val="00B0354D"/>
    <w:rsid w:val="00B05039"/>
    <w:rsid w:val="00B05997"/>
    <w:rsid w:val="00B077ED"/>
    <w:rsid w:val="00B11AEC"/>
    <w:rsid w:val="00B1227C"/>
    <w:rsid w:val="00B124CD"/>
    <w:rsid w:val="00B14004"/>
    <w:rsid w:val="00B159B8"/>
    <w:rsid w:val="00B174BA"/>
    <w:rsid w:val="00B204AE"/>
    <w:rsid w:val="00B20D60"/>
    <w:rsid w:val="00B21B4A"/>
    <w:rsid w:val="00B21BFB"/>
    <w:rsid w:val="00B21DA2"/>
    <w:rsid w:val="00B22122"/>
    <w:rsid w:val="00B22F57"/>
    <w:rsid w:val="00B2309C"/>
    <w:rsid w:val="00B24B17"/>
    <w:rsid w:val="00B24B24"/>
    <w:rsid w:val="00B250F0"/>
    <w:rsid w:val="00B2521C"/>
    <w:rsid w:val="00B25497"/>
    <w:rsid w:val="00B2564D"/>
    <w:rsid w:val="00B27002"/>
    <w:rsid w:val="00B270D9"/>
    <w:rsid w:val="00B2712E"/>
    <w:rsid w:val="00B2738C"/>
    <w:rsid w:val="00B302AA"/>
    <w:rsid w:val="00B308AD"/>
    <w:rsid w:val="00B30BD4"/>
    <w:rsid w:val="00B31941"/>
    <w:rsid w:val="00B3198F"/>
    <w:rsid w:val="00B3244B"/>
    <w:rsid w:val="00B32A61"/>
    <w:rsid w:val="00B3374F"/>
    <w:rsid w:val="00B3438C"/>
    <w:rsid w:val="00B34C4A"/>
    <w:rsid w:val="00B35172"/>
    <w:rsid w:val="00B3518C"/>
    <w:rsid w:val="00B35436"/>
    <w:rsid w:val="00B362E0"/>
    <w:rsid w:val="00B3728E"/>
    <w:rsid w:val="00B37F7D"/>
    <w:rsid w:val="00B40BD4"/>
    <w:rsid w:val="00B4206C"/>
    <w:rsid w:val="00B422B1"/>
    <w:rsid w:val="00B428D3"/>
    <w:rsid w:val="00B42E96"/>
    <w:rsid w:val="00B43DE8"/>
    <w:rsid w:val="00B45E27"/>
    <w:rsid w:val="00B4632D"/>
    <w:rsid w:val="00B46E04"/>
    <w:rsid w:val="00B4715B"/>
    <w:rsid w:val="00B47A76"/>
    <w:rsid w:val="00B50AC5"/>
    <w:rsid w:val="00B5106A"/>
    <w:rsid w:val="00B515CC"/>
    <w:rsid w:val="00B51B8E"/>
    <w:rsid w:val="00B51C3D"/>
    <w:rsid w:val="00B51E0A"/>
    <w:rsid w:val="00B52048"/>
    <w:rsid w:val="00B52150"/>
    <w:rsid w:val="00B522A8"/>
    <w:rsid w:val="00B525FE"/>
    <w:rsid w:val="00B5302D"/>
    <w:rsid w:val="00B53CA2"/>
    <w:rsid w:val="00B56151"/>
    <w:rsid w:val="00B60178"/>
    <w:rsid w:val="00B60980"/>
    <w:rsid w:val="00B60EF7"/>
    <w:rsid w:val="00B61C65"/>
    <w:rsid w:val="00B6320D"/>
    <w:rsid w:val="00B63723"/>
    <w:rsid w:val="00B638AF"/>
    <w:rsid w:val="00B655FE"/>
    <w:rsid w:val="00B65C20"/>
    <w:rsid w:val="00B676CA"/>
    <w:rsid w:val="00B678D4"/>
    <w:rsid w:val="00B703FC"/>
    <w:rsid w:val="00B7119C"/>
    <w:rsid w:val="00B746DD"/>
    <w:rsid w:val="00B746E2"/>
    <w:rsid w:val="00B75B88"/>
    <w:rsid w:val="00B760A0"/>
    <w:rsid w:val="00B76BA4"/>
    <w:rsid w:val="00B80BEE"/>
    <w:rsid w:val="00B8150F"/>
    <w:rsid w:val="00B81B24"/>
    <w:rsid w:val="00B83F11"/>
    <w:rsid w:val="00B841DF"/>
    <w:rsid w:val="00B84F7C"/>
    <w:rsid w:val="00B8597D"/>
    <w:rsid w:val="00B86B15"/>
    <w:rsid w:val="00B86C23"/>
    <w:rsid w:val="00B87713"/>
    <w:rsid w:val="00B87D40"/>
    <w:rsid w:val="00B87DB0"/>
    <w:rsid w:val="00B92563"/>
    <w:rsid w:val="00B92BD7"/>
    <w:rsid w:val="00B932D7"/>
    <w:rsid w:val="00B93CDA"/>
    <w:rsid w:val="00B93E5B"/>
    <w:rsid w:val="00B95461"/>
    <w:rsid w:val="00B977E7"/>
    <w:rsid w:val="00B97C3C"/>
    <w:rsid w:val="00BA0B8E"/>
    <w:rsid w:val="00BA0CD0"/>
    <w:rsid w:val="00BA14DD"/>
    <w:rsid w:val="00BA2480"/>
    <w:rsid w:val="00BA44DB"/>
    <w:rsid w:val="00BA4C83"/>
    <w:rsid w:val="00BA50B7"/>
    <w:rsid w:val="00BA60D3"/>
    <w:rsid w:val="00BA6769"/>
    <w:rsid w:val="00BA6AAE"/>
    <w:rsid w:val="00BA6B70"/>
    <w:rsid w:val="00BA725A"/>
    <w:rsid w:val="00BB0080"/>
    <w:rsid w:val="00BB1FDF"/>
    <w:rsid w:val="00BB2ACA"/>
    <w:rsid w:val="00BB3265"/>
    <w:rsid w:val="00BB3889"/>
    <w:rsid w:val="00BB508C"/>
    <w:rsid w:val="00BB526A"/>
    <w:rsid w:val="00BB5AB7"/>
    <w:rsid w:val="00BB603B"/>
    <w:rsid w:val="00BB6DF8"/>
    <w:rsid w:val="00BC09BB"/>
    <w:rsid w:val="00BC1753"/>
    <w:rsid w:val="00BC178C"/>
    <w:rsid w:val="00BC20A2"/>
    <w:rsid w:val="00BC2262"/>
    <w:rsid w:val="00BC290D"/>
    <w:rsid w:val="00BC32BC"/>
    <w:rsid w:val="00BC3AC6"/>
    <w:rsid w:val="00BC3B7C"/>
    <w:rsid w:val="00BC4466"/>
    <w:rsid w:val="00BC4CBC"/>
    <w:rsid w:val="00BC4CC7"/>
    <w:rsid w:val="00BC4D3B"/>
    <w:rsid w:val="00BC535B"/>
    <w:rsid w:val="00BC6FA6"/>
    <w:rsid w:val="00BC7A21"/>
    <w:rsid w:val="00BD05B1"/>
    <w:rsid w:val="00BD08D8"/>
    <w:rsid w:val="00BD1981"/>
    <w:rsid w:val="00BD404D"/>
    <w:rsid w:val="00BD582F"/>
    <w:rsid w:val="00BD5D27"/>
    <w:rsid w:val="00BD60E0"/>
    <w:rsid w:val="00BD68CF"/>
    <w:rsid w:val="00BE15A2"/>
    <w:rsid w:val="00BE1718"/>
    <w:rsid w:val="00BE1E87"/>
    <w:rsid w:val="00BE2786"/>
    <w:rsid w:val="00BE3B24"/>
    <w:rsid w:val="00BE44DD"/>
    <w:rsid w:val="00BE58CD"/>
    <w:rsid w:val="00BE78C4"/>
    <w:rsid w:val="00BF0CDC"/>
    <w:rsid w:val="00BF12C8"/>
    <w:rsid w:val="00BF1CBB"/>
    <w:rsid w:val="00BF4EB7"/>
    <w:rsid w:val="00BF7EE8"/>
    <w:rsid w:val="00C006E5"/>
    <w:rsid w:val="00C017B6"/>
    <w:rsid w:val="00C049DE"/>
    <w:rsid w:val="00C0549E"/>
    <w:rsid w:val="00C05784"/>
    <w:rsid w:val="00C05B04"/>
    <w:rsid w:val="00C05E85"/>
    <w:rsid w:val="00C07032"/>
    <w:rsid w:val="00C073C3"/>
    <w:rsid w:val="00C07460"/>
    <w:rsid w:val="00C10821"/>
    <w:rsid w:val="00C11311"/>
    <w:rsid w:val="00C11755"/>
    <w:rsid w:val="00C13818"/>
    <w:rsid w:val="00C1567E"/>
    <w:rsid w:val="00C16211"/>
    <w:rsid w:val="00C17CB0"/>
    <w:rsid w:val="00C2090E"/>
    <w:rsid w:val="00C20A49"/>
    <w:rsid w:val="00C20E43"/>
    <w:rsid w:val="00C22C10"/>
    <w:rsid w:val="00C233D0"/>
    <w:rsid w:val="00C23E4F"/>
    <w:rsid w:val="00C24EB7"/>
    <w:rsid w:val="00C253F1"/>
    <w:rsid w:val="00C26E77"/>
    <w:rsid w:val="00C26FC9"/>
    <w:rsid w:val="00C270F0"/>
    <w:rsid w:val="00C27CB7"/>
    <w:rsid w:val="00C30420"/>
    <w:rsid w:val="00C32AB6"/>
    <w:rsid w:val="00C33003"/>
    <w:rsid w:val="00C336DA"/>
    <w:rsid w:val="00C338B3"/>
    <w:rsid w:val="00C33BBC"/>
    <w:rsid w:val="00C347D3"/>
    <w:rsid w:val="00C34910"/>
    <w:rsid w:val="00C34DE1"/>
    <w:rsid w:val="00C37358"/>
    <w:rsid w:val="00C37A39"/>
    <w:rsid w:val="00C40F22"/>
    <w:rsid w:val="00C41130"/>
    <w:rsid w:val="00C4164F"/>
    <w:rsid w:val="00C418E3"/>
    <w:rsid w:val="00C422AD"/>
    <w:rsid w:val="00C43382"/>
    <w:rsid w:val="00C44665"/>
    <w:rsid w:val="00C450EA"/>
    <w:rsid w:val="00C4520C"/>
    <w:rsid w:val="00C45981"/>
    <w:rsid w:val="00C45AFA"/>
    <w:rsid w:val="00C46163"/>
    <w:rsid w:val="00C4690F"/>
    <w:rsid w:val="00C51FBA"/>
    <w:rsid w:val="00C5207F"/>
    <w:rsid w:val="00C52547"/>
    <w:rsid w:val="00C52E70"/>
    <w:rsid w:val="00C53670"/>
    <w:rsid w:val="00C53B91"/>
    <w:rsid w:val="00C5666C"/>
    <w:rsid w:val="00C578D0"/>
    <w:rsid w:val="00C57C6B"/>
    <w:rsid w:val="00C602AD"/>
    <w:rsid w:val="00C61479"/>
    <w:rsid w:val="00C61CDE"/>
    <w:rsid w:val="00C637C8"/>
    <w:rsid w:val="00C640B6"/>
    <w:rsid w:val="00C6512C"/>
    <w:rsid w:val="00C658E8"/>
    <w:rsid w:val="00C70539"/>
    <w:rsid w:val="00C70D4E"/>
    <w:rsid w:val="00C72003"/>
    <w:rsid w:val="00C72795"/>
    <w:rsid w:val="00C730CB"/>
    <w:rsid w:val="00C73AFB"/>
    <w:rsid w:val="00C74E3F"/>
    <w:rsid w:val="00C7570D"/>
    <w:rsid w:val="00C75DF6"/>
    <w:rsid w:val="00C804D4"/>
    <w:rsid w:val="00C812F6"/>
    <w:rsid w:val="00C81398"/>
    <w:rsid w:val="00C81AD9"/>
    <w:rsid w:val="00C81B18"/>
    <w:rsid w:val="00C8294D"/>
    <w:rsid w:val="00C82985"/>
    <w:rsid w:val="00C8330E"/>
    <w:rsid w:val="00C848B3"/>
    <w:rsid w:val="00C8495A"/>
    <w:rsid w:val="00C849B6"/>
    <w:rsid w:val="00C84BB5"/>
    <w:rsid w:val="00C84F4F"/>
    <w:rsid w:val="00C85423"/>
    <w:rsid w:val="00C8550C"/>
    <w:rsid w:val="00C85682"/>
    <w:rsid w:val="00C867B3"/>
    <w:rsid w:val="00C9030A"/>
    <w:rsid w:val="00C92F2F"/>
    <w:rsid w:val="00C93180"/>
    <w:rsid w:val="00C93FB9"/>
    <w:rsid w:val="00C94738"/>
    <w:rsid w:val="00C94A5A"/>
    <w:rsid w:val="00C959FA"/>
    <w:rsid w:val="00CA0AF4"/>
    <w:rsid w:val="00CA1BF5"/>
    <w:rsid w:val="00CA2B03"/>
    <w:rsid w:val="00CA3529"/>
    <w:rsid w:val="00CA36E6"/>
    <w:rsid w:val="00CA55C8"/>
    <w:rsid w:val="00CA5AF4"/>
    <w:rsid w:val="00CA6FB6"/>
    <w:rsid w:val="00CA7C7A"/>
    <w:rsid w:val="00CB0A0E"/>
    <w:rsid w:val="00CB1EFA"/>
    <w:rsid w:val="00CB375F"/>
    <w:rsid w:val="00CB4C86"/>
    <w:rsid w:val="00CB65A1"/>
    <w:rsid w:val="00CB66F4"/>
    <w:rsid w:val="00CB682A"/>
    <w:rsid w:val="00CC00CB"/>
    <w:rsid w:val="00CC11F6"/>
    <w:rsid w:val="00CC1995"/>
    <w:rsid w:val="00CC308A"/>
    <w:rsid w:val="00CC3BAF"/>
    <w:rsid w:val="00CC3CF5"/>
    <w:rsid w:val="00CC5E62"/>
    <w:rsid w:val="00CC6331"/>
    <w:rsid w:val="00CC68D2"/>
    <w:rsid w:val="00CC6A0E"/>
    <w:rsid w:val="00CC77E4"/>
    <w:rsid w:val="00CC7B9C"/>
    <w:rsid w:val="00CC7D48"/>
    <w:rsid w:val="00CC7E7A"/>
    <w:rsid w:val="00CD00E3"/>
    <w:rsid w:val="00CD0441"/>
    <w:rsid w:val="00CD25CD"/>
    <w:rsid w:val="00CD31AC"/>
    <w:rsid w:val="00CD31E4"/>
    <w:rsid w:val="00CD44A7"/>
    <w:rsid w:val="00CD48BA"/>
    <w:rsid w:val="00CD48C6"/>
    <w:rsid w:val="00CD5461"/>
    <w:rsid w:val="00CD6202"/>
    <w:rsid w:val="00CD6718"/>
    <w:rsid w:val="00CD6CCA"/>
    <w:rsid w:val="00CD6F14"/>
    <w:rsid w:val="00CD6F73"/>
    <w:rsid w:val="00CE16FA"/>
    <w:rsid w:val="00CE2FD7"/>
    <w:rsid w:val="00CE34F4"/>
    <w:rsid w:val="00CE44F9"/>
    <w:rsid w:val="00CE450D"/>
    <w:rsid w:val="00CE55F6"/>
    <w:rsid w:val="00CE59B9"/>
    <w:rsid w:val="00CE6646"/>
    <w:rsid w:val="00CF1930"/>
    <w:rsid w:val="00CF272F"/>
    <w:rsid w:val="00CF4193"/>
    <w:rsid w:val="00CF43DF"/>
    <w:rsid w:val="00CF44CB"/>
    <w:rsid w:val="00CF5C76"/>
    <w:rsid w:val="00CF6094"/>
    <w:rsid w:val="00D00094"/>
    <w:rsid w:val="00D0145F"/>
    <w:rsid w:val="00D01B8E"/>
    <w:rsid w:val="00D01EAC"/>
    <w:rsid w:val="00D0289D"/>
    <w:rsid w:val="00D06A3F"/>
    <w:rsid w:val="00D07321"/>
    <w:rsid w:val="00D07431"/>
    <w:rsid w:val="00D10DC4"/>
    <w:rsid w:val="00D112B8"/>
    <w:rsid w:val="00D11303"/>
    <w:rsid w:val="00D12955"/>
    <w:rsid w:val="00D12CC4"/>
    <w:rsid w:val="00D13503"/>
    <w:rsid w:val="00D15292"/>
    <w:rsid w:val="00D161B1"/>
    <w:rsid w:val="00D165AE"/>
    <w:rsid w:val="00D20151"/>
    <w:rsid w:val="00D2180C"/>
    <w:rsid w:val="00D21B91"/>
    <w:rsid w:val="00D2362B"/>
    <w:rsid w:val="00D2694D"/>
    <w:rsid w:val="00D30D9A"/>
    <w:rsid w:val="00D32123"/>
    <w:rsid w:val="00D32177"/>
    <w:rsid w:val="00D323FD"/>
    <w:rsid w:val="00D32860"/>
    <w:rsid w:val="00D32D2F"/>
    <w:rsid w:val="00D33434"/>
    <w:rsid w:val="00D33AC1"/>
    <w:rsid w:val="00D34B90"/>
    <w:rsid w:val="00D3559F"/>
    <w:rsid w:val="00D3616F"/>
    <w:rsid w:val="00D40060"/>
    <w:rsid w:val="00D410B3"/>
    <w:rsid w:val="00D41192"/>
    <w:rsid w:val="00D41474"/>
    <w:rsid w:val="00D42E80"/>
    <w:rsid w:val="00D4438E"/>
    <w:rsid w:val="00D45224"/>
    <w:rsid w:val="00D4556D"/>
    <w:rsid w:val="00D4626B"/>
    <w:rsid w:val="00D506C4"/>
    <w:rsid w:val="00D53C09"/>
    <w:rsid w:val="00D564D3"/>
    <w:rsid w:val="00D56739"/>
    <w:rsid w:val="00D56EFA"/>
    <w:rsid w:val="00D57A69"/>
    <w:rsid w:val="00D619FD"/>
    <w:rsid w:val="00D62469"/>
    <w:rsid w:val="00D62F6B"/>
    <w:rsid w:val="00D6382E"/>
    <w:rsid w:val="00D64015"/>
    <w:rsid w:val="00D64622"/>
    <w:rsid w:val="00D648BE"/>
    <w:rsid w:val="00D64B86"/>
    <w:rsid w:val="00D66785"/>
    <w:rsid w:val="00D67F44"/>
    <w:rsid w:val="00D70437"/>
    <w:rsid w:val="00D70E66"/>
    <w:rsid w:val="00D70F9B"/>
    <w:rsid w:val="00D71544"/>
    <w:rsid w:val="00D7272F"/>
    <w:rsid w:val="00D72A33"/>
    <w:rsid w:val="00D72DF6"/>
    <w:rsid w:val="00D72F95"/>
    <w:rsid w:val="00D74235"/>
    <w:rsid w:val="00D75A0D"/>
    <w:rsid w:val="00D75A87"/>
    <w:rsid w:val="00D769FC"/>
    <w:rsid w:val="00D76DBB"/>
    <w:rsid w:val="00D7726D"/>
    <w:rsid w:val="00D810B5"/>
    <w:rsid w:val="00D81F9D"/>
    <w:rsid w:val="00D826EE"/>
    <w:rsid w:val="00D84117"/>
    <w:rsid w:val="00D84C29"/>
    <w:rsid w:val="00D85C8E"/>
    <w:rsid w:val="00D86FC5"/>
    <w:rsid w:val="00D877F5"/>
    <w:rsid w:val="00D90F7E"/>
    <w:rsid w:val="00D92597"/>
    <w:rsid w:val="00D94D4A"/>
    <w:rsid w:val="00D95720"/>
    <w:rsid w:val="00D95998"/>
    <w:rsid w:val="00D95E31"/>
    <w:rsid w:val="00DA004E"/>
    <w:rsid w:val="00DA028D"/>
    <w:rsid w:val="00DA0C26"/>
    <w:rsid w:val="00DA0F33"/>
    <w:rsid w:val="00DA274D"/>
    <w:rsid w:val="00DA3BCB"/>
    <w:rsid w:val="00DA4AA5"/>
    <w:rsid w:val="00DA4CE9"/>
    <w:rsid w:val="00DA4EE1"/>
    <w:rsid w:val="00DA4F4E"/>
    <w:rsid w:val="00DA61BC"/>
    <w:rsid w:val="00DA6987"/>
    <w:rsid w:val="00DA6E24"/>
    <w:rsid w:val="00DA7050"/>
    <w:rsid w:val="00DA7F57"/>
    <w:rsid w:val="00DB0568"/>
    <w:rsid w:val="00DB26A6"/>
    <w:rsid w:val="00DB297B"/>
    <w:rsid w:val="00DB39E2"/>
    <w:rsid w:val="00DB4E65"/>
    <w:rsid w:val="00DB5457"/>
    <w:rsid w:val="00DB5AE9"/>
    <w:rsid w:val="00DB5AF8"/>
    <w:rsid w:val="00DB78DB"/>
    <w:rsid w:val="00DC2428"/>
    <w:rsid w:val="00DC31A3"/>
    <w:rsid w:val="00DC4C06"/>
    <w:rsid w:val="00DC4D82"/>
    <w:rsid w:val="00DC5CD1"/>
    <w:rsid w:val="00DC78CB"/>
    <w:rsid w:val="00DC7E24"/>
    <w:rsid w:val="00DD01FB"/>
    <w:rsid w:val="00DD16F2"/>
    <w:rsid w:val="00DD47A0"/>
    <w:rsid w:val="00DD650D"/>
    <w:rsid w:val="00DD73B5"/>
    <w:rsid w:val="00DE2A37"/>
    <w:rsid w:val="00DE2A9E"/>
    <w:rsid w:val="00DE2B01"/>
    <w:rsid w:val="00DE3B16"/>
    <w:rsid w:val="00DE3CF6"/>
    <w:rsid w:val="00DE5EF0"/>
    <w:rsid w:val="00DE76FB"/>
    <w:rsid w:val="00DE775B"/>
    <w:rsid w:val="00DF0FC7"/>
    <w:rsid w:val="00DF360A"/>
    <w:rsid w:val="00DF3707"/>
    <w:rsid w:val="00DF403F"/>
    <w:rsid w:val="00DF5EC0"/>
    <w:rsid w:val="00DF61CB"/>
    <w:rsid w:val="00DF6376"/>
    <w:rsid w:val="00DF7183"/>
    <w:rsid w:val="00DF721B"/>
    <w:rsid w:val="00E00E7F"/>
    <w:rsid w:val="00E00FF9"/>
    <w:rsid w:val="00E03826"/>
    <w:rsid w:val="00E0456C"/>
    <w:rsid w:val="00E04814"/>
    <w:rsid w:val="00E05957"/>
    <w:rsid w:val="00E05A1E"/>
    <w:rsid w:val="00E0610A"/>
    <w:rsid w:val="00E06440"/>
    <w:rsid w:val="00E103A3"/>
    <w:rsid w:val="00E10414"/>
    <w:rsid w:val="00E10970"/>
    <w:rsid w:val="00E10AEA"/>
    <w:rsid w:val="00E117A0"/>
    <w:rsid w:val="00E11D89"/>
    <w:rsid w:val="00E1220C"/>
    <w:rsid w:val="00E12960"/>
    <w:rsid w:val="00E129E9"/>
    <w:rsid w:val="00E12BE3"/>
    <w:rsid w:val="00E13E43"/>
    <w:rsid w:val="00E14EC4"/>
    <w:rsid w:val="00E150A4"/>
    <w:rsid w:val="00E15C27"/>
    <w:rsid w:val="00E1609D"/>
    <w:rsid w:val="00E1629D"/>
    <w:rsid w:val="00E17B39"/>
    <w:rsid w:val="00E207D8"/>
    <w:rsid w:val="00E24049"/>
    <w:rsid w:val="00E24601"/>
    <w:rsid w:val="00E2616A"/>
    <w:rsid w:val="00E26AA8"/>
    <w:rsid w:val="00E312AD"/>
    <w:rsid w:val="00E313C3"/>
    <w:rsid w:val="00E321B8"/>
    <w:rsid w:val="00E32B5A"/>
    <w:rsid w:val="00E336E6"/>
    <w:rsid w:val="00E34899"/>
    <w:rsid w:val="00E362B2"/>
    <w:rsid w:val="00E36585"/>
    <w:rsid w:val="00E36B1A"/>
    <w:rsid w:val="00E37861"/>
    <w:rsid w:val="00E412DC"/>
    <w:rsid w:val="00E4158A"/>
    <w:rsid w:val="00E41872"/>
    <w:rsid w:val="00E420F0"/>
    <w:rsid w:val="00E43599"/>
    <w:rsid w:val="00E44126"/>
    <w:rsid w:val="00E44187"/>
    <w:rsid w:val="00E46906"/>
    <w:rsid w:val="00E47384"/>
    <w:rsid w:val="00E50463"/>
    <w:rsid w:val="00E53A3A"/>
    <w:rsid w:val="00E54A1E"/>
    <w:rsid w:val="00E55A74"/>
    <w:rsid w:val="00E602CF"/>
    <w:rsid w:val="00E60361"/>
    <w:rsid w:val="00E62240"/>
    <w:rsid w:val="00E62AC2"/>
    <w:rsid w:val="00E63AA9"/>
    <w:rsid w:val="00E64020"/>
    <w:rsid w:val="00E64C05"/>
    <w:rsid w:val="00E6584F"/>
    <w:rsid w:val="00E65E88"/>
    <w:rsid w:val="00E65F42"/>
    <w:rsid w:val="00E668FB"/>
    <w:rsid w:val="00E66C30"/>
    <w:rsid w:val="00E66E76"/>
    <w:rsid w:val="00E70F0C"/>
    <w:rsid w:val="00E71122"/>
    <w:rsid w:val="00E7149B"/>
    <w:rsid w:val="00E71EB0"/>
    <w:rsid w:val="00E76A01"/>
    <w:rsid w:val="00E77E32"/>
    <w:rsid w:val="00E77EE7"/>
    <w:rsid w:val="00E82184"/>
    <w:rsid w:val="00E82A1F"/>
    <w:rsid w:val="00E8332A"/>
    <w:rsid w:val="00E83690"/>
    <w:rsid w:val="00E83F05"/>
    <w:rsid w:val="00E85295"/>
    <w:rsid w:val="00E8558D"/>
    <w:rsid w:val="00E875D8"/>
    <w:rsid w:val="00E87C3D"/>
    <w:rsid w:val="00E90F74"/>
    <w:rsid w:val="00E9151B"/>
    <w:rsid w:val="00E9195C"/>
    <w:rsid w:val="00E941B6"/>
    <w:rsid w:val="00E948F6"/>
    <w:rsid w:val="00E9638D"/>
    <w:rsid w:val="00E96F53"/>
    <w:rsid w:val="00E9750D"/>
    <w:rsid w:val="00E978EA"/>
    <w:rsid w:val="00E97B73"/>
    <w:rsid w:val="00EA03F6"/>
    <w:rsid w:val="00EA065A"/>
    <w:rsid w:val="00EA0772"/>
    <w:rsid w:val="00EA1D63"/>
    <w:rsid w:val="00EA1D8D"/>
    <w:rsid w:val="00EA3FE8"/>
    <w:rsid w:val="00EA5436"/>
    <w:rsid w:val="00EA55DE"/>
    <w:rsid w:val="00EA5F49"/>
    <w:rsid w:val="00EA6232"/>
    <w:rsid w:val="00EB15DA"/>
    <w:rsid w:val="00EB1BA7"/>
    <w:rsid w:val="00EB2A88"/>
    <w:rsid w:val="00EB2C91"/>
    <w:rsid w:val="00EB6176"/>
    <w:rsid w:val="00EB6457"/>
    <w:rsid w:val="00EB728F"/>
    <w:rsid w:val="00EB7B2B"/>
    <w:rsid w:val="00EC0759"/>
    <w:rsid w:val="00EC0E69"/>
    <w:rsid w:val="00EC0FEC"/>
    <w:rsid w:val="00EC1AEB"/>
    <w:rsid w:val="00EC5486"/>
    <w:rsid w:val="00EC5A05"/>
    <w:rsid w:val="00EC6435"/>
    <w:rsid w:val="00EC6641"/>
    <w:rsid w:val="00EC79DB"/>
    <w:rsid w:val="00ED05B5"/>
    <w:rsid w:val="00ED1769"/>
    <w:rsid w:val="00ED4163"/>
    <w:rsid w:val="00ED5E49"/>
    <w:rsid w:val="00ED7A67"/>
    <w:rsid w:val="00EE1494"/>
    <w:rsid w:val="00EE2B9D"/>
    <w:rsid w:val="00EE3A74"/>
    <w:rsid w:val="00EE3BF0"/>
    <w:rsid w:val="00EE4628"/>
    <w:rsid w:val="00EE4AC0"/>
    <w:rsid w:val="00EE5ED3"/>
    <w:rsid w:val="00EE7486"/>
    <w:rsid w:val="00EE7718"/>
    <w:rsid w:val="00EE779F"/>
    <w:rsid w:val="00EF01CB"/>
    <w:rsid w:val="00EF20A4"/>
    <w:rsid w:val="00EF40A0"/>
    <w:rsid w:val="00EF41D9"/>
    <w:rsid w:val="00EF4AF9"/>
    <w:rsid w:val="00EF5AAC"/>
    <w:rsid w:val="00EF5D1A"/>
    <w:rsid w:val="00EF6761"/>
    <w:rsid w:val="00EF6B5F"/>
    <w:rsid w:val="00EF6F2D"/>
    <w:rsid w:val="00F021E2"/>
    <w:rsid w:val="00F0265C"/>
    <w:rsid w:val="00F02BB0"/>
    <w:rsid w:val="00F04FA7"/>
    <w:rsid w:val="00F052BB"/>
    <w:rsid w:val="00F05559"/>
    <w:rsid w:val="00F05A8C"/>
    <w:rsid w:val="00F065B3"/>
    <w:rsid w:val="00F06954"/>
    <w:rsid w:val="00F07155"/>
    <w:rsid w:val="00F10AFB"/>
    <w:rsid w:val="00F10F99"/>
    <w:rsid w:val="00F11420"/>
    <w:rsid w:val="00F11495"/>
    <w:rsid w:val="00F118F6"/>
    <w:rsid w:val="00F13898"/>
    <w:rsid w:val="00F13A65"/>
    <w:rsid w:val="00F14A92"/>
    <w:rsid w:val="00F17BE4"/>
    <w:rsid w:val="00F17E82"/>
    <w:rsid w:val="00F2000D"/>
    <w:rsid w:val="00F21091"/>
    <w:rsid w:val="00F22B6D"/>
    <w:rsid w:val="00F22D50"/>
    <w:rsid w:val="00F231CE"/>
    <w:rsid w:val="00F23708"/>
    <w:rsid w:val="00F24A0F"/>
    <w:rsid w:val="00F259CA"/>
    <w:rsid w:val="00F25DF2"/>
    <w:rsid w:val="00F25E18"/>
    <w:rsid w:val="00F27BD3"/>
    <w:rsid w:val="00F3200F"/>
    <w:rsid w:val="00F33E19"/>
    <w:rsid w:val="00F34EA0"/>
    <w:rsid w:val="00F367D8"/>
    <w:rsid w:val="00F373F6"/>
    <w:rsid w:val="00F37B0D"/>
    <w:rsid w:val="00F37D5B"/>
    <w:rsid w:val="00F37FBF"/>
    <w:rsid w:val="00F41C03"/>
    <w:rsid w:val="00F41E3C"/>
    <w:rsid w:val="00F42768"/>
    <w:rsid w:val="00F43A64"/>
    <w:rsid w:val="00F446F3"/>
    <w:rsid w:val="00F44ADE"/>
    <w:rsid w:val="00F45A39"/>
    <w:rsid w:val="00F474AF"/>
    <w:rsid w:val="00F4759A"/>
    <w:rsid w:val="00F4760D"/>
    <w:rsid w:val="00F478AB"/>
    <w:rsid w:val="00F47E52"/>
    <w:rsid w:val="00F47F07"/>
    <w:rsid w:val="00F5119F"/>
    <w:rsid w:val="00F5175D"/>
    <w:rsid w:val="00F52315"/>
    <w:rsid w:val="00F536CF"/>
    <w:rsid w:val="00F554C7"/>
    <w:rsid w:val="00F55767"/>
    <w:rsid w:val="00F55DC8"/>
    <w:rsid w:val="00F56A78"/>
    <w:rsid w:val="00F56C38"/>
    <w:rsid w:val="00F57173"/>
    <w:rsid w:val="00F57B5F"/>
    <w:rsid w:val="00F617B5"/>
    <w:rsid w:val="00F622D8"/>
    <w:rsid w:val="00F62E71"/>
    <w:rsid w:val="00F62EA5"/>
    <w:rsid w:val="00F63CA6"/>
    <w:rsid w:val="00F660E9"/>
    <w:rsid w:val="00F670FD"/>
    <w:rsid w:val="00F676DA"/>
    <w:rsid w:val="00F70139"/>
    <w:rsid w:val="00F70AA1"/>
    <w:rsid w:val="00F70C4C"/>
    <w:rsid w:val="00F72062"/>
    <w:rsid w:val="00F73CBA"/>
    <w:rsid w:val="00F73E24"/>
    <w:rsid w:val="00F764E9"/>
    <w:rsid w:val="00F76776"/>
    <w:rsid w:val="00F7799B"/>
    <w:rsid w:val="00F8011A"/>
    <w:rsid w:val="00F80334"/>
    <w:rsid w:val="00F81620"/>
    <w:rsid w:val="00F81B76"/>
    <w:rsid w:val="00F82D20"/>
    <w:rsid w:val="00F85DD2"/>
    <w:rsid w:val="00F86399"/>
    <w:rsid w:val="00F86D7B"/>
    <w:rsid w:val="00F86EC6"/>
    <w:rsid w:val="00F90CBC"/>
    <w:rsid w:val="00F912EC"/>
    <w:rsid w:val="00F91644"/>
    <w:rsid w:val="00F91CEC"/>
    <w:rsid w:val="00F92039"/>
    <w:rsid w:val="00F92142"/>
    <w:rsid w:val="00F921CF"/>
    <w:rsid w:val="00F9241E"/>
    <w:rsid w:val="00F9295F"/>
    <w:rsid w:val="00F92C48"/>
    <w:rsid w:val="00F92CC8"/>
    <w:rsid w:val="00F932E9"/>
    <w:rsid w:val="00F934ED"/>
    <w:rsid w:val="00F93AB3"/>
    <w:rsid w:val="00F93D00"/>
    <w:rsid w:val="00F93FDA"/>
    <w:rsid w:val="00F94007"/>
    <w:rsid w:val="00F954C9"/>
    <w:rsid w:val="00F95B66"/>
    <w:rsid w:val="00F95EAE"/>
    <w:rsid w:val="00F96854"/>
    <w:rsid w:val="00F97AF8"/>
    <w:rsid w:val="00FA163C"/>
    <w:rsid w:val="00FA2CED"/>
    <w:rsid w:val="00FA405A"/>
    <w:rsid w:val="00FA743D"/>
    <w:rsid w:val="00FB00EB"/>
    <w:rsid w:val="00FB0779"/>
    <w:rsid w:val="00FB0B6B"/>
    <w:rsid w:val="00FB0F33"/>
    <w:rsid w:val="00FB1900"/>
    <w:rsid w:val="00FB2251"/>
    <w:rsid w:val="00FB31C9"/>
    <w:rsid w:val="00FB56B3"/>
    <w:rsid w:val="00FB58D3"/>
    <w:rsid w:val="00FB6D80"/>
    <w:rsid w:val="00FB7773"/>
    <w:rsid w:val="00FC08DA"/>
    <w:rsid w:val="00FC1CED"/>
    <w:rsid w:val="00FC2B8C"/>
    <w:rsid w:val="00FC5423"/>
    <w:rsid w:val="00FC6AEA"/>
    <w:rsid w:val="00FC6AF0"/>
    <w:rsid w:val="00FC70AF"/>
    <w:rsid w:val="00FC7159"/>
    <w:rsid w:val="00FC73B5"/>
    <w:rsid w:val="00FC7C06"/>
    <w:rsid w:val="00FC7DC5"/>
    <w:rsid w:val="00FD0539"/>
    <w:rsid w:val="00FD0659"/>
    <w:rsid w:val="00FD06ED"/>
    <w:rsid w:val="00FD09A5"/>
    <w:rsid w:val="00FD222E"/>
    <w:rsid w:val="00FD2B1C"/>
    <w:rsid w:val="00FD2F1B"/>
    <w:rsid w:val="00FD32FF"/>
    <w:rsid w:val="00FD652D"/>
    <w:rsid w:val="00FE0B16"/>
    <w:rsid w:val="00FE50B4"/>
    <w:rsid w:val="00FE6A86"/>
    <w:rsid w:val="00FE74C4"/>
    <w:rsid w:val="00FE7B1F"/>
    <w:rsid w:val="00FE7F14"/>
    <w:rsid w:val="00FF01EF"/>
    <w:rsid w:val="00FF05B6"/>
    <w:rsid w:val="00FF1BAF"/>
    <w:rsid w:val="00FF3FAD"/>
    <w:rsid w:val="00FF4669"/>
    <w:rsid w:val="00FF4C98"/>
    <w:rsid w:val="00FF4DA9"/>
    <w:rsid w:val="00FF5F40"/>
    <w:rsid w:val="00FF7440"/>
    <w:rsid w:val="01342858"/>
    <w:rsid w:val="01457B13"/>
    <w:rsid w:val="01814A66"/>
    <w:rsid w:val="01DE7AA6"/>
    <w:rsid w:val="01E4013F"/>
    <w:rsid w:val="025D718F"/>
    <w:rsid w:val="028748D6"/>
    <w:rsid w:val="02976E3A"/>
    <w:rsid w:val="02A22DAC"/>
    <w:rsid w:val="02DD429F"/>
    <w:rsid w:val="031603BF"/>
    <w:rsid w:val="031C2C36"/>
    <w:rsid w:val="032650D8"/>
    <w:rsid w:val="03314410"/>
    <w:rsid w:val="03656041"/>
    <w:rsid w:val="039D2BB9"/>
    <w:rsid w:val="03A66D20"/>
    <w:rsid w:val="03CB5125"/>
    <w:rsid w:val="041A3F8C"/>
    <w:rsid w:val="043869BA"/>
    <w:rsid w:val="046643CD"/>
    <w:rsid w:val="046A109B"/>
    <w:rsid w:val="047570E6"/>
    <w:rsid w:val="04857063"/>
    <w:rsid w:val="049E51F0"/>
    <w:rsid w:val="05645101"/>
    <w:rsid w:val="059473B8"/>
    <w:rsid w:val="05B96F54"/>
    <w:rsid w:val="05E26745"/>
    <w:rsid w:val="05E615FD"/>
    <w:rsid w:val="063613FC"/>
    <w:rsid w:val="06775686"/>
    <w:rsid w:val="06882FC2"/>
    <w:rsid w:val="06B42D73"/>
    <w:rsid w:val="06F90AE1"/>
    <w:rsid w:val="072D7F2E"/>
    <w:rsid w:val="076E3C6E"/>
    <w:rsid w:val="07AE1443"/>
    <w:rsid w:val="085E69D6"/>
    <w:rsid w:val="08A4711A"/>
    <w:rsid w:val="08AC1A22"/>
    <w:rsid w:val="08AC6A74"/>
    <w:rsid w:val="08EA0E6E"/>
    <w:rsid w:val="09297956"/>
    <w:rsid w:val="093379F4"/>
    <w:rsid w:val="0939162F"/>
    <w:rsid w:val="09586AFD"/>
    <w:rsid w:val="097E4DEF"/>
    <w:rsid w:val="0987670B"/>
    <w:rsid w:val="09B67BB6"/>
    <w:rsid w:val="09D12F06"/>
    <w:rsid w:val="09E66F25"/>
    <w:rsid w:val="09F0498C"/>
    <w:rsid w:val="0A10364C"/>
    <w:rsid w:val="0A1B0067"/>
    <w:rsid w:val="0A6230D8"/>
    <w:rsid w:val="0A670F06"/>
    <w:rsid w:val="0A6D4BFF"/>
    <w:rsid w:val="0AAC6D5E"/>
    <w:rsid w:val="0AC31512"/>
    <w:rsid w:val="0AE376EC"/>
    <w:rsid w:val="0B0438D0"/>
    <w:rsid w:val="0B761876"/>
    <w:rsid w:val="0BBC49D8"/>
    <w:rsid w:val="0BC66307"/>
    <w:rsid w:val="0C152FCE"/>
    <w:rsid w:val="0C780194"/>
    <w:rsid w:val="0C924963"/>
    <w:rsid w:val="0CC26D86"/>
    <w:rsid w:val="0CD45921"/>
    <w:rsid w:val="0D145700"/>
    <w:rsid w:val="0D181335"/>
    <w:rsid w:val="0D1E6FFB"/>
    <w:rsid w:val="0D2544F7"/>
    <w:rsid w:val="0D3C5632"/>
    <w:rsid w:val="0D66602D"/>
    <w:rsid w:val="0D885A9C"/>
    <w:rsid w:val="0DA35783"/>
    <w:rsid w:val="0DBF68CD"/>
    <w:rsid w:val="0DC43CB1"/>
    <w:rsid w:val="0E2407CC"/>
    <w:rsid w:val="0E737D4F"/>
    <w:rsid w:val="0E9201B9"/>
    <w:rsid w:val="0EAD6F71"/>
    <w:rsid w:val="0ED05A13"/>
    <w:rsid w:val="0EFE259F"/>
    <w:rsid w:val="0F2B14CB"/>
    <w:rsid w:val="0F6F21E6"/>
    <w:rsid w:val="0FA030AD"/>
    <w:rsid w:val="0FA177F6"/>
    <w:rsid w:val="0FB15EFE"/>
    <w:rsid w:val="10053D35"/>
    <w:rsid w:val="100D05EB"/>
    <w:rsid w:val="102461A8"/>
    <w:rsid w:val="103C3C6D"/>
    <w:rsid w:val="10AC4FF4"/>
    <w:rsid w:val="10BD4BC0"/>
    <w:rsid w:val="10D53BE2"/>
    <w:rsid w:val="110D1362"/>
    <w:rsid w:val="11435093"/>
    <w:rsid w:val="1152419B"/>
    <w:rsid w:val="121E3713"/>
    <w:rsid w:val="123B1823"/>
    <w:rsid w:val="12450BAF"/>
    <w:rsid w:val="124F3FD1"/>
    <w:rsid w:val="12670DD1"/>
    <w:rsid w:val="126C323A"/>
    <w:rsid w:val="129D7E76"/>
    <w:rsid w:val="12A5120B"/>
    <w:rsid w:val="12A92791"/>
    <w:rsid w:val="12E06E61"/>
    <w:rsid w:val="13437CCE"/>
    <w:rsid w:val="13683A14"/>
    <w:rsid w:val="13A44F0B"/>
    <w:rsid w:val="13B239FC"/>
    <w:rsid w:val="13C158A8"/>
    <w:rsid w:val="13DC75A8"/>
    <w:rsid w:val="13E81A72"/>
    <w:rsid w:val="13F52C61"/>
    <w:rsid w:val="14042586"/>
    <w:rsid w:val="142C2C6B"/>
    <w:rsid w:val="14520BBC"/>
    <w:rsid w:val="14D469C7"/>
    <w:rsid w:val="14DB2C30"/>
    <w:rsid w:val="14DC0E23"/>
    <w:rsid w:val="15367A96"/>
    <w:rsid w:val="153B5DCB"/>
    <w:rsid w:val="15AC4A9C"/>
    <w:rsid w:val="161C68C4"/>
    <w:rsid w:val="163303D9"/>
    <w:rsid w:val="165215F4"/>
    <w:rsid w:val="165709F8"/>
    <w:rsid w:val="165E68B8"/>
    <w:rsid w:val="166A10D5"/>
    <w:rsid w:val="168D5B82"/>
    <w:rsid w:val="16B9124E"/>
    <w:rsid w:val="16C230B7"/>
    <w:rsid w:val="16D97918"/>
    <w:rsid w:val="16E63F2C"/>
    <w:rsid w:val="17000B89"/>
    <w:rsid w:val="174170B6"/>
    <w:rsid w:val="175C00C8"/>
    <w:rsid w:val="17736B2F"/>
    <w:rsid w:val="17D1477B"/>
    <w:rsid w:val="17D839C4"/>
    <w:rsid w:val="17E45112"/>
    <w:rsid w:val="18182FA5"/>
    <w:rsid w:val="18245CC3"/>
    <w:rsid w:val="184A3E2A"/>
    <w:rsid w:val="184E1211"/>
    <w:rsid w:val="192505D5"/>
    <w:rsid w:val="19305586"/>
    <w:rsid w:val="194159AF"/>
    <w:rsid w:val="194D6D6B"/>
    <w:rsid w:val="195F49F3"/>
    <w:rsid w:val="19967B64"/>
    <w:rsid w:val="19991559"/>
    <w:rsid w:val="19D406DA"/>
    <w:rsid w:val="19DC63DF"/>
    <w:rsid w:val="1A8A186A"/>
    <w:rsid w:val="1AB50471"/>
    <w:rsid w:val="1AC31A76"/>
    <w:rsid w:val="1ACA0A70"/>
    <w:rsid w:val="1B0D15D1"/>
    <w:rsid w:val="1B13156E"/>
    <w:rsid w:val="1B6225BC"/>
    <w:rsid w:val="1BE42253"/>
    <w:rsid w:val="1C003141"/>
    <w:rsid w:val="1C16504C"/>
    <w:rsid w:val="1C3D26D4"/>
    <w:rsid w:val="1C574BC2"/>
    <w:rsid w:val="1C5A41DD"/>
    <w:rsid w:val="1C5D242E"/>
    <w:rsid w:val="1D4F2AAC"/>
    <w:rsid w:val="1D736FD5"/>
    <w:rsid w:val="1D9A2DD7"/>
    <w:rsid w:val="1DFB4C20"/>
    <w:rsid w:val="1E2471A4"/>
    <w:rsid w:val="1E2B49DB"/>
    <w:rsid w:val="1E2F2C1C"/>
    <w:rsid w:val="1E3D1E18"/>
    <w:rsid w:val="1E6165B6"/>
    <w:rsid w:val="1E893715"/>
    <w:rsid w:val="1F0E4D3F"/>
    <w:rsid w:val="1F592F62"/>
    <w:rsid w:val="1FD415D8"/>
    <w:rsid w:val="1FF0448F"/>
    <w:rsid w:val="20142710"/>
    <w:rsid w:val="201954BC"/>
    <w:rsid w:val="206866A0"/>
    <w:rsid w:val="208A327C"/>
    <w:rsid w:val="20BC2DAD"/>
    <w:rsid w:val="20C459C9"/>
    <w:rsid w:val="20E32684"/>
    <w:rsid w:val="20FD731C"/>
    <w:rsid w:val="20FE67E6"/>
    <w:rsid w:val="211060DA"/>
    <w:rsid w:val="21464C5F"/>
    <w:rsid w:val="2170325F"/>
    <w:rsid w:val="217515B7"/>
    <w:rsid w:val="2180316D"/>
    <w:rsid w:val="21D63406"/>
    <w:rsid w:val="21DC734B"/>
    <w:rsid w:val="21F12723"/>
    <w:rsid w:val="22455298"/>
    <w:rsid w:val="22AE7FBA"/>
    <w:rsid w:val="22C20677"/>
    <w:rsid w:val="230650F4"/>
    <w:rsid w:val="231C4807"/>
    <w:rsid w:val="231E0FA0"/>
    <w:rsid w:val="235C334B"/>
    <w:rsid w:val="23793872"/>
    <w:rsid w:val="238F4C93"/>
    <w:rsid w:val="23A135EE"/>
    <w:rsid w:val="23AC564C"/>
    <w:rsid w:val="23B05B68"/>
    <w:rsid w:val="23BF5003"/>
    <w:rsid w:val="23E806CF"/>
    <w:rsid w:val="23FE7406"/>
    <w:rsid w:val="24112498"/>
    <w:rsid w:val="247E6945"/>
    <w:rsid w:val="249E06DB"/>
    <w:rsid w:val="24E017CD"/>
    <w:rsid w:val="24EA50DD"/>
    <w:rsid w:val="24F1620A"/>
    <w:rsid w:val="25295B0C"/>
    <w:rsid w:val="253F19AA"/>
    <w:rsid w:val="25565033"/>
    <w:rsid w:val="256C2B48"/>
    <w:rsid w:val="257E77A0"/>
    <w:rsid w:val="25A509B2"/>
    <w:rsid w:val="25B00E3A"/>
    <w:rsid w:val="25DF1481"/>
    <w:rsid w:val="26646141"/>
    <w:rsid w:val="271B5CEC"/>
    <w:rsid w:val="27526BAA"/>
    <w:rsid w:val="275E1797"/>
    <w:rsid w:val="27DD5981"/>
    <w:rsid w:val="280C52A4"/>
    <w:rsid w:val="28176E43"/>
    <w:rsid w:val="281F7F99"/>
    <w:rsid w:val="28592EF1"/>
    <w:rsid w:val="287953EB"/>
    <w:rsid w:val="28806DF0"/>
    <w:rsid w:val="28900BA9"/>
    <w:rsid w:val="28FA0E51"/>
    <w:rsid w:val="294E5EB7"/>
    <w:rsid w:val="29C744CF"/>
    <w:rsid w:val="2A0318CF"/>
    <w:rsid w:val="2A064835"/>
    <w:rsid w:val="2A3F11DE"/>
    <w:rsid w:val="2A581A37"/>
    <w:rsid w:val="2A7A772A"/>
    <w:rsid w:val="2AB54AE1"/>
    <w:rsid w:val="2AFE46AA"/>
    <w:rsid w:val="2B383D51"/>
    <w:rsid w:val="2B4C2697"/>
    <w:rsid w:val="2B5451DF"/>
    <w:rsid w:val="2B547374"/>
    <w:rsid w:val="2B5A1BA0"/>
    <w:rsid w:val="2B7D2315"/>
    <w:rsid w:val="2B8C63BF"/>
    <w:rsid w:val="2BB1038F"/>
    <w:rsid w:val="2BC2693B"/>
    <w:rsid w:val="2BD262B8"/>
    <w:rsid w:val="2BD31A64"/>
    <w:rsid w:val="2C6401B5"/>
    <w:rsid w:val="2C640D7E"/>
    <w:rsid w:val="2CDF427D"/>
    <w:rsid w:val="2D064334"/>
    <w:rsid w:val="2D3357C2"/>
    <w:rsid w:val="2D6A1BB6"/>
    <w:rsid w:val="2D703FDF"/>
    <w:rsid w:val="2DCD7FAF"/>
    <w:rsid w:val="2DF1284B"/>
    <w:rsid w:val="2EB166DA"/>
    <w:rsid w:val="2ED365DA"/>
    <w:rsid w:val="2EF35CF5"/>
    <w:rsid w:val="2F115AC7"/>
    <w:rsid w:val="2F373202"/>
    <w:rsid w:val="2F4706D4"/>
    <w:rsid w:val="2F5A0DD1"/>
    <w:rsid w:val="2F8A1F4B"/>
    <w:rsid w:val="2FAA47B9"/>
    <w:rsid w:val="30655558"/>
    <w:rsid w:val="30753F5F"/>
    <w:rsid w:val="30B545AA"/>
    <w:rsid w:val="312447A0"/>
    <w:rsid w:val="314725D9"/>
    <w:rsid w:val="31CD5062"/>
    <w:rsid w:val="31E65944"/>
    <w:rsid w:val="31EB0128"/>
    <w:rsid w:val="32756BFC"/>
    <w:rsid w:val="33A24BDF"/>
    <w:rsid w:val="33B769CC"/>
    <w:rsid w:val="34CE29F1"/>
    <w:rsid w:val="34D53238"/>
    <w:rsid w:val="35402119"/>
    <w:rsid w:val="355F7D17"/>
    <w:rsid w:val="35656C01"/>
    <w:rsid w:val="356C5ADB"/>
    <w:rsid w:val="35933C9C"/>
    <w:rsid w:val="35FC7290"/>
    <w:rsid w:val="36707B23"/>
    <w:rsid w:val="36805626"/>
    <w:rsid w:val="36E47FB4"/>
    <w:rsid w:val="36F53640"/>
    <w:rsid w:val="37056AC8"/>
    <w:rsid w:val="373C15FF"/>
    <w:rsid w:val="3744252A"/>
    <w:rsid w:val="37A2268B"/>
    <w:rsid w:val="37C73F5F"/>
    <w:rsid w:val="382C2525"/>
    <w:rsid w:val="388762A5"/>
    <w:rsid w:val="38D964CE"/>
    <w:rsid w:val="38EE2589"/>
    <w:rsid w:val="38FD6CFE"/>
    <w:rsid w:val="390E0843"/>
    <w:rsid w:val="39146911"/>
    <w:rsid w:val="399A6D5A"/>
    <w:rsid w:val="39D92652"/>
    <w:rsid w:val="3A06009B"/>
    <w:rsid w:val="3A1472D4"/>
    <w:rsid w:val="3A353ED7"/>
    <w:rsid w:val="3A39635F"/>
    <w:rsid w:val="3A9E5220"/>
    <w:rsid w:val="3ACC4674"/>
    <w:rsid w:val="3AF54968"/>
    <w:rsid w:val="3AF67BF5"/>
    <w:rsid w:val="3B0C109E"/>
    <w:rsid w:val="3B443F62"/>
    <w:rsid w:val="3B951ABA"/>
    <w:rsid w:val="3B982578"/>
    <w:rsid w:val="3BB03A6E"/>
    <w:rsid w:val="3BC0222D"/>
    <w:rsid w:val="3C581593"/>
    <w:rsid w:val="3C8214CE"/>
    <w:rsid w:val="3CBA4DF2"/>
    <w:rsid w:val="3D23441D"/>
    <w:rsid w:val="3D382A3C"/>
    <w:rsid w:val="3D5D4285"/>
    <w:rsid w:val="3D893630"/>
    <w:rsid w:val="3E0F7A97"/>
    <w:rsid w:val="3E22564C"/>
    <w:rsid w:val="3E2E0840"/>
    <w:rsid w:val="3E4D7995"/>
    <w:rsid w:val="3E7552A2"/>
    <w:rsid w:val="3EAC2183"/>
    <w:rsid w:val="3EBD25D1"/>
    <w:rsid w:val="3ED2670F"/>
    <w:rsid w:val="3EDA312F"/>
    <w:rsid w:val="3EDA7B13"/>
    <w:rsid w:val="3F2D2F76"/>
    <w:rsid w:val="3F6854DC"/>
    <w:rsid w:val="3FAA16E8"/>
    <w:rsid w:val="40686D05"/>
    <w:rsid w:val="406E346D"/>
    <w:rsid w:val="407F2AFB"/>
    <w:rsid w:val="40B94622"/>
    <w:rsid w:val="40E56436"/>
    <w:rsid w:val="40F12CAD"/>
    <w:rsid w:val="41C9059B"/>
    <w:rsid w:val="41ED4AA3"/>
    <w:rsid w:val="41FA00D0"/>
    <w:rsid w:val="42580FAD"/>
    <w:rsid w:val="42A850C0"/>
    <w:rsid w:val="42C5190D"/>
    <w:rsid w:val="434C616C"/>
    <w:rsid w:val="435A4CE0"/>
    <w:rsid w:val="439B3058"/>
    <w:rsid w:val="43AA02EC"/>
    <w:rsid w:val="43E47436"/>
    <w:rsid w:val="44676FC7"/>
    <w:rsid w:val="44AB5D0D"/>
    <w:rsid w:val="44C64B75"/>
    <w:rsid w:val="44F33DE8"/>
    <w:rsid w:val="45060930"/>
    <w:rsid w:val="452B7206"/>
    <w:rsid w:val="455D4AF3"/>
    <w:rsid w:val="45633339"/>
    <w:rsid w:val="458564BB"/>
    <w:rsid w:val="45917CDF"/>
    <w:rsid w:val="462C587B"/>
    <w:rsid w:val="462E1313"/>
    <w:rsid w:val="46430B68"/>
    <w:rsid w:val="46775896"/>
    <w:rsid w:val="468E278E"/>
    <w:rsid w:val="46BC1005"/>
    <w:rsid w:val="46C34577"/>
    <w:rsid w:val="46E314B4"/>
    <w:rsid w:val="46E6370E"/>
    <w:rsid w:val="470D5511"/>
    <w:rsid w:val="47736C8F"/>
    <w:rsid w:val="47891CC0"/>
    <w:rsid w:val="47AD08E1"/>
    <w:rsid w:val="47D60F1E"/>
    <w:rsid w:val="47FD0464"/>
    <w:rsid w:val="486663E5"/>
    <w:rsid w:val="486F2D6A"/>
    <w:rsid w:val="48762AED"/>
    <w:rsid w:val="491D31DE"/>
    <w:rsid w:val="49603D57"/>
    <w:rsid w:val="49666CE1"/>
    <w:rsid w:val="496C08F4"/>
    <w:rsid w:val="498A27AD"/>
    <w:rsid w:val="498B553A"/>
    <w:rsid w:val="49D81D4E"/>
    <w:rsid w:val="49F713F7"/>
    <w:rsid w:val="4A450A6D"/>
    <w:rsid w:val="4A643214"/>
    <w:rsid w:val="4A847609"/>
    <w:rsid w:val="4A8479EE"/>
    <w:rsid w:val="4A936085"/>
    <w:rsid w:val="4A9A1EE7"/>
    <w:rsid w:val="4ACA748C"/>
    <w:rsid w:val="4AE55D5C"/>
    <w:rsid w:val="4B1423E4"/>
    <w:rsid w:val="4B1E6129"/>
    <w:rsid w:val="4B3A33D9"/>
    <w:rsid w:val="4B580B2A"/>
    <w:rsid w:val="4B7C2C4B"/>
    <w:rsid w:val="4BA006BE"/>
    <w:rsid w:val="4BE324A0"/>
    <w:rsid w:val="4C3034E2"/>
    <w:rsid w:val="4C333065"/>
    <w:rsid w:val="4C9445E0"/>
    <w:rsid w:val="4D4761E9"/>
    <w:rsid w:val="4D503A5A"/>
    <w:rsid w:val="4D8E0FA5"/>
    <w:rsid w:val="4DFD5CE0"/>
    <w:rsid w:val="4E391CE2"/>
    <w:rsid w:val="4E5A75D8"/>
    <w:rsid w:val="4E887BB0"/>
    <w:rsid w:val="4EBA4566"/>
    <w:rsid w:val="4EBC742B"/>
    <w:rsid w:val="4EBD0135"/>
    <w:rsid w:val="4EC45138"/>
    <w:rsid w:val="4ED50F77"/>
    <w:rsid w:val="4F4676B3"/>
    <w:rsid w:val="4F5419D0"/>
    <w:rsid w:val="4F710190"/>
    <w:rsid w:val="4F787B4A"/>
    <w:rsid w:val="4FA076C9"/>
    <w:rsid w:val="4FC15AB0"/>
    <w:rsid w:val="4FE810B2"/>
    <w:rsid w:val="4FEE0AB0"/>
    <w:rsid w:val="506B3BDE"/>
    <w:rsid w:val="508B6819"/>
    <w:rsid w:val="51013AD0"/>
    <w:rsid w:val="516C0B41"/>
    <w:rsid w:val="517B747C"/>
    <w:rsid w:val="51DA671A"/>
    <w:rsid w:val="522B3139"/>
    <w:rsid w:val="524B22B2"/>
    <w:rsid w:val="52C2375C"/>
    <w:rsid w:val="52EF122B"/>
    <w:rsid w:val="530A2890"/>
    <w:rsid w:val="53162C32"/>
    <w:rsid w:val="53221710"/>
    <w:rsid w:val="533830F3"/>
    <w:rsid w:val="534A43F1"/>
    <w:rsid w:val="53516E6B"/>
    <w:rsid w:val="536D715A"/>
    <w:rsid w:val="538802AE"/>
    <w:rsid w:val="53AF3E35"/>
    <w:rsid w:val="53C42B4B"/>
    <w:rsid w:val="53D5282C"/>
    <w:rsid w:val="53E742FC"/>
    <w:rsid w:val="542D6815"/>
    <w:rsid w:val="54580D1C"/>
    <w:rsid w:val="54FC0FFB"/>
    <w:rsid w:val="55176933"/>
    <w:rsid w:val="553A3871"/>
    <w:rsid w:val="55447071"/>
    <w:rsid w:val="55A7121A"/>
    <w:rsid w:val="55CD2ECD"/>
    <w:rsid w:val="55E837F5"/>
    <w:rsid w:val="55E86ECF"/>
    <w:rsid w:val="567F78C0"/>
    <w:rsid w:val="56CD78F5"/>
    <w:rsid w:val="56D50094"/>
    <w:rsid w:val="56DA7897"/>
    <w:rsid w:val="570E41C9"/>
    <w:rsid w:val="57153CF5"/>
    <w:rsid w:val="57442BF6"/>
    <w:rsid w:val="57617296"/>
    <w:rsid w:val="5762709E"/>
    <w:rsid w:val="578B7F80"/>
    <w:rsid w:val="57CA7389"/>
    <w:rsid w:val="57D00616"/>
    <w:rsid w:val="57F00E70"/>
    <w:rsid w:val="58025A23"/>
    <w:rsid w:val="581111F8"/>
    <w:rsid w:val="58254067"/>
    <w:rsid w:val="585A454E"/>
    <w:rsid w:val="58630098"/>
    <w:rsid w:val="58C83A07"/>
    <w:rsid w:val="58E47C9D"/>
    <w:rsid w:val="591F3C70"/>
    <w:rsid w:val="592D7A55"/>
    <w:rsid w:val="59514407"/>
    <w:rsid w:val="59721430"/>
    <w:rsid w:val="59785AD8"/>
    <w:rsid w:val="598D6FDC"/>
    <w:rsid w:val="59B60545"/>
    <w:rsid w:val="59D576B2"/>
    <w:rsid w:val="59DC2232"/>
    <w:rsid w:val="5A22634A"/>
    <w:rsid w:val="5A3D29B1"/>
    <w:rsid w:val="5A457608"/>
    <w:rsid w:val="5A506BCC"/>
    <w:rsid w:val="5A6B5BE7"/>
    <w:rsid w:val="5AA16047"/>
    <w:rsid w:val="5AB16798"/>
    <w:rsid w:val="5B6E7A31"/>
    <w:rsid w:val="5B762678"/>
    <w:rsid w:val="5B8A010C"/>
    <w:rsid w:val="5BEE62DE"/>
    <w:rsid w:val="5C2A414B"/>
    <w:rsid w:val="5C49243F"/>
    <w:rsid w:val="5C546A39"/>
    <w:rsid w:val="5C6C657F"/>
    <w:rsid w:val="5D16498C"/>
    <w:rsid w:val="5D387537"/>
    <w:rsid w:val="5D4003CB"/>
    <w:rsid w:val="5D427C0C"/>
    <w:rsid w:val="5D587BD2"/>
    <w:rsid w:val="5D8E7F9F"/>
    <w:rsid w:val="5DA10596"/>
    <w:rsid w:val="5DD60224"/>
    <w:rsid w:val="5DF612B1"/>
    <w:rsid w:val="5E4A376A"/>
    <w:rsid w:val="5E95437A"/>
    <w:rsid w:val="5EFD014A"/>
    <w:rsid w:val="5F966266"/>
    <w:rsid w:val="603C26C5"/>
    <w:rsid w:val="604146E8"/>
    <w:rsid w:val="60A54DA0"/>
    <w:rsid w:val="60BF2365"/>
    <w:rsid w:val="60CE080D"/>
    <w:rsid w:val="60EB1333"/>
    <w:rsid w:val="60FF6911"/>
    <w:rsid w:val="610F73FC"/>
    <w:rsid w:val="61210257"/>
    <w:rsid w:val="61430DF7"/>
    <w:rsid w:val="616E09E5"/>
    <w:rsid w:val="61CE52B8"/>
    <w:rsid w:val="61D62E4A"/>
    <w:rsid w:val="62220A11"/>
    <w:rsid w:val="62401566"/>
    <w:rsid w:val="632376F2"/>
    <w:rsid w:val="634966B7"/>
    <w:rsid w:val="635B3C49"/>
    <w:rsid w:val="63645397"/>
    <w:rsid w:val="636F15A5"/>
    <w:rsid w:val="63F543AD"/>
    <w:rsid w:val="640158BC"/>
    <w:rsid w:val="641E079B"/>
    <w:rsid w:val="64BD4E61"/>
    <w:rsid w:val="64E30823"/>
    <w:rsid w:val="6512108F"/>
    <w:rsid w:val="651A11FD"/>
    <w:rsid w:val="65A416D5"/>
    <w:rsid w:val="66722E47"/>
    <w:rsid w:val="6696635E"/>
    <w:rsid w:val="669B3F41"/>
    <w:rsid w:val="66E77B3B"/>
    <w:rsid w:val="67071531"/>
    <w:rsid w:val="671168D4"/>
    <w:rsid w:val="677B41B8"/>
    <w:rsid w:val="6780383B"/>
    <w:rsid w:val="67825A99"/>
    <w:rsid w:val="67A24DFF"/>
    <w:rsid w:val="67C311A0"/>
    <w:rsid w:val="67E47D0B"/>
    <w:rsid w:val="67FD381F"/>
    <w:rsid w:val="68211D9A"/>
    <w:rsid w:val="68282183"/>
    <w:rsid w:val="682C568A"/>
    <w:rsid w:val="68B91B9A"/>
    <w:rsid w:val="68E2551D"/>
    <w:rsid w:val="68FA5F02"/>
    <w:rsid w:val="694F3A5E"/>
    <w:rsid w:val="695E2587"/>
    <w:rsid w:val="6969566A"/>
    <w:rsid w:val="697417B6"/>
    <w:rsid w:val="69C72F50"/>
    <w:rsid w:val="69C935B6"/>
    <w:rsid w:val="6A047788"/>
    <w:rsid w:val="6A1760EC"/>
    <w:rsid w:val="6A181B06"/>
    <w:rsid w:val="6A497FF7"/>
    <w:rsid w:val="6AC702E3"/>
    <w:rsid w:val="6AD22650"/>
    <w:rsid w:val="6B45441D"/>
    <w:rsid w:val="6B724008"/>
    <w:rsid w:val="6BD810BD"/>
    <w:rsid w:val="6C5A7557"/>
    <w:rsid w:val="6C971767"/>
    <w:rsid w:val="6CAB2DD7"/>
    <w:rsid w:val="6CB471F3"/>
    <w:rsid w:val="6D122993"/>
    <w:rsid w:val="6D906BE5"/>
    <w:rsid w:val="6D9F0BE5"/>
    <w:rsid w:val="6DA50E56"/>
    <w:rsid w:val="6DFC2B7E"/>
    <w:rsid w:val="6E2D5C2A"/>
    <w:rsid w:val="6EC413A7"/>
    <w:rsid w:val="6F1C0879"/>
    <w:rsid w:val="6F7A0C51"/>
    <w:rsid w:val="6F81487E"/>
    <w:rsid w:val="6F9334E7"/>
    <w:rsid w:val="6FB91A62"/>
    <w:rsid w:val="6FE5543D"/>
    <w:rsid w:val="70160330"/>
    <w:rsid w:val="70176FFD"/>
    <w:rsid w:val="7053650B"/>
    <w:rsid w:val="70851A43"/>
    <w:rsid w:val="70B827F1"/>
    <w:rsid w:val="70D9413F"/>
    <w:rsid w:val="71175496"/>
    <w:rsid w:val="71226BBC"/>
    <w:rsid w:val="71646BFB"/>
    <w:rsid w:val="71745FA3"/>
    <w:rsid w:val="71780BE9"/>
    <w:rsid w:val="71EA7D6C"/>
    <w:rsid w:val="71EB2DF1"/>
    <w:rsid w:val="723F274B"/>
    <w:rsid w:val="724C1F5D"/>
    <w:rsid w:val="724E7B3B"/>
    <w:rsid w:val="72917AA6"/>
    <w:rsid w:val="72BE66A5"/>
    <w:rsid w:val="72D939EF"/>
    <w:rsid w:val="72DE23D9"/>
    <w:rsid w:val="72DF5E19"/>
    <w:rsid w:val="72E32A5F"/>
    <w:rsid w:val="72E619B6"/>
    <w:rsid w:val="73515FDB"/>
    <w:rsid w:val="735B1B9E"/>
    <w:rsid w:val="736A5B38"/>
    <w:rsid w:val="736F081B"/>
    <w:rsid w:val="73904560"/>
    <w:rsid w:val="73AD4C83"/>
    <w:rsid w:val="73B73466"/>
    <w:rsid w:val="73D83805"/>
    <w:rsid w:val="740E7BC1"/>
    <w:rsid w:val="74185BD6"/>
    <w:rsid w:val="743F47BE"/>
    <w:rsid w:val="74517AC4"/>
    <w:rsid w:val="745D3101"/>
    <w:rsid w:val="7470727B"/>
    <w:rsid w:val="748B51E3"/>
    <w:rsid w:val="74CF6D2C"/>
    <w:rsid w:val="74D730FC"/>
    <w:rsid w:val="753F5398"/>
    <w:rsid w:val="753F66E5"/>
    <w:rsid w:val="7566059A"/>
    <w:rsid w:val="756F01CE"/>
    <w:rsid w:val="75775DE7"/>
    <w:rsid w:val="75941616"/>
    <w:rsid w:val="75985412"/>
    <w:rsid w:val="75B1030F"/>
    <w:rsid w:val="76034A86"/>
    <w:rsid w:val="76187D55"/>
    <w:rsid w:val="76661DF8"/>
    <w:rsid w:val="76755828"/>
    <w:rsid w:val="768253B3"/>
    <w:rsid w:val="768B3DF4"/>
    <w:rsid w:val="76D27F0E"/>
    <w:rsid w:val="76D533DF"/>
    <w:rsid w:val="76EA7B2B"/>
    <w:rsid w:val="76FD03F6"/>
    <w:rsid w:val="776E0056"/>
    <w:rsid w:val="77F02C86"/>
    <w:rsid w:val="78367DC6"/>
    <w:rsid w:val="786523C1"/>
    <w:rsid w:val="786A0094"/>
    <w:rsid w:val="78901FED"/>
    <w:rsid w:val="789A2964"/>
    <w:rsid w:val="78BC0F2F"/>
    <w:rsid w:val="79322D6B"/>
    <w:rsid w:val="798627F9"/>
    <w:rsid w:val="7999478C"/>
    <w:rsid w:val="799C1D30"/>
    <w:rsid w:val="799F0ADA"/>
    <w:rsid w:val="79A6673A"/>
    <w:rsid w:val="79F26791"/>
    <w:rsid w:val="7A385BF2"/>
    <w:rsid w:val="7A9754CD"/>
    <w:rsid w:val="7A9F19F8"/>
    <w:rsid w:val="7ADB7FD7"/>
    <w:rsid w:val="7B0D1822"/>
    <w:rsid w:val="7B171992"/>
    <w:rsid w:val="7B200A8F"/>
    <w:rsid w:val="7B7B1AAE"/>
    <w:rsid w:val="7BBD3DF5"/>
    <w:rsid w:val="7BFC7675"/>
    <w:rsid w:val="7C404D0A"/>
    <w:rsid w:val="7C572975"/>
    <w:rsid w:val="7CBD06BF"/>
    <w:rsid w:val="7CED762D"/>
    <w:rsid w:val="7CFC42B0"/>
    <w:rsid w:val="7DA27EAC"/>
    <w:rsid w:val="7DC73C81"/>
    <w:rsid w:val="7DEE6797"/>
    <w:rsid w:val="7DF928B6"/>
    <w:rsid w:val="7E005C69"/>
    <w:rsid w:val="7E2311BC"/>
    <w:rsid w:val="7E523DA7"/>
    <w:rsid w:val="7E7A47BD"/>
    <w:rsid w:val="7E9C44FC"/>
    <w:rsid w:val="7E9F5D6A"/>
    <w:rsid w:val="7EFA42AE"/>
    <w:rsid w:val="7F161963"/>
    <w:rsid w:val="7FAD5AD5"/>
    <w:rsid w:val="7FBA0681"/>
    <w:rsid w:val="7FE137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858" w:firstLineChars="200"/>
    </w:pPr>
    <w:rPr>
      <w:rFonts w:ascii="Times New Roman" w:hAnsi="Times New Roman" w:eastAsia="宋体" w:cs="Times New Roman"/>
      <w:kern w:val="2"/>
      <w:sz w:val="24"/>
      <w:szCs w:val="22"/>
      <w:lang w:val="en-US" w:eastAsia="zh-CN" w:bidi="ar-SA"/>
    </w:rPr>
  </w:style>
  <w:style w:type="paragraph" w:styleId="3">
    <w:name w:val="heading 1"/>
    <w:basedOn w:val="1"/>
    <w:next w:val="1"/>
    <w:link w:val="105"/>
    <w:qFormat/>
    <w:uiPriority w:val="0"/>
    <w:pPr>
      <w:keepNext/>
      <w:keepLines/>
      <w:numPr>
        <w:ilvl w:val="0"/>
        <w:numId w:val="1"/>
      </w:numPr>
      <w:spacing w:before="300" w:after="300"/>
      <w:ind w:left="0" w:firstLine="0" w:firstLineChars="0"/>
      <w:jc w:val="center"/>
      <w:outlineLvl w:val="0"/>
    </w:pPr>
    <w:rPr>
      <w:rFonts w:ascii="宋体" w:hAnsi="宋体"/>
      <w:b/>
      <w:bCs/>
      <w:spacing w:val="-20"/>
      <w:kern w:val="44"/>
      <w:sz w:val="32"/>
      <w:szCs w:val="32"/>
    </w:rPr>
  </w:style>
  <w:style w:type="paragraph" w:styleId="4">
    <w:name w:val="heading 2"/>
    <w:basedOn w:val="1"/>
    <w:next w:val="1"/>
    <w:link w:val="65"/>
    <w:qFormat/>
    <w:uiPriority w:val="0"/>
    <w:pPr>
      <w:keepNext/>
      <w:keepLines/>
      <w:numPr>
        <w:ilvl w:val="1"/>
        <w:numId w:val="1"/>
      </w:numPr>
      <w:ind w:left="0" w:firstLine="0" w:firstLineChars="0"/>
      <w:outlineLvl w:val="1"/>
    </w:pPr>
    <w:rPr>
      <w:rFonts w:ascii="宋体" w:hAnsi="宋体"/>
      <w:b/>
      <w:bCs/>
      <w:sz w:val="28"/>
      <w:szCs w:val="28"/>
    </w:rPr>
  </w:style>
  <w:style w:type="paragraph" w:styleId="5">
    <w:name w:val="heading 3"/>
    <w:basedOn w:val="1"/>
    <w:next w:val="1"/>
    <w:link w:val="73"/>
    <w:qFormat/>
    <w:uiPriority w:val="0"/>
    <w:pPr>
      <w:keepNext/>
      <w:keepLines/>
      <w:numPr>
        <w:ilvl w:val="2"/>
        <w:numId w:val="1"/>
      </w:numPr>
      <w:ind w:left="0" w:firstLine="658"/>
      <w:outlineLvl w:val="2"/>
    </w:pPr>
    <w:rPr>
      <w:rFonts w:ascii="宋体" w:hAnsi="宋体"/>
      <w:b/>
      <w:bCs/>
      <w:color w:val="000000"/>
      <w:kern w:val="0"/>
      <w:szCs w:val="28"/>
    </w:rPr>
  </w:style>
  <w:style w:type="paragraph" w:styleId="6">
    <w:name w:val="heading 4"/>
    <w:basedOn w:val="1"/>
    <w:next w:val="1"/>
    <w:link w:val="90"/>
    <w:qFormat/>
    <w:uiPriority w:val="0"/>
    <w:pPr>
      <w:keepNext/>
      <w:keepLines/>
      <w:spacing w:before="120" w:after="120"/>
      <w:ind w:left="918" w:hanging="708"/>
      <w:outlineLvl w:val="3"/>
    </w:pPr>
    <w:rPr>
      <w:rFonts w:ascii="Arial" w:hAnsi="Arial"/>
      <w:b/>
      <w:bCs/>
      <w:kern w:val="0"/>
      <w:sz w:val="28"/>
      <w:szCs w:val="28"/>
    </w:rPr>
  </w:style>
  <w:style w:type="paragraph" w:styleId="7">
    <w:name w:val="heading 5"/>
    <w:basedOn w:val="1"/>
    <w:next w:val="1"/>
    <w:link w:val="56"/>
    <w:qFormat/>
    <w:uiPriority w:val="0"/>
    <w:pPr>
      <w:tabs>
        <w:tab w:val="left" w:pos="1134"/>
      </w:tabs>
      <w:spacing w:before="280" w:after="290"/>
      <w:ind w:left="1560" w:hanging="992"/>
      <w:outlineLvl w:val="4"/>
    </w:pPr>
    <w:rPr>
      <w:b/>
      <w:bCs/>
      <w:kern w:val="0"/>
      <w:sz w:val="28"/>
      <w:szCs w:val="28"/>
    </w:rPr>
  </w:style>
  <w:style w:type="paragraph" w:styleId="8">
    <w:name w:val="heading 6"/>
    <w:basedOn w:val="1"/>
    <w:next w:val="1"/>
    <w:link w:val="104"/>
    <w:qFormat/>
    <w:uiPriority w:val="0"/>
    <w:pPr>
      <w:keepNext/>
      <w:keepLines/>
      <w:tabs>
        <w:tab w:val="left" w:pos="1702"/>
      </w:tabs>
      <w:spacing w:before="240" w:after="64" w:line="316" w:lineRule="auto"/>
      <w:ind w:left="1702" w:hanging="1134"/>
      <w:outlineLvl w:val="5"/>
    </w:pPr>
    <w:rPr>
      <w:rFonts w:ascii="Arial" w:hAnsi="Arial"/>
      <w:b/>
      <w:bCs/>
      <w:kern w:val="0"/>
      <w:sz w:val="28"/>
      <w:szCs w:val="18"/>
    </w:rPr>
  </w:style>
  <w:style w:type="paragraph" w:styleId="9">
    <w:name w:val="heading 7"/>
    <w:basedOn w:val="1"/>
    <w:next w:val="1"/>
    <w:link w:val="106"/>
    <w:qFormat/>
    <w:uiPriority w:val="0"/>
    <w:pPr>
      <w:keepNext/>
      <w:widowControl/>
      <w:tabs>
        <w:tab w:val="left" w:pos="3600"/>
      </w:tabs>
      <w:spacing w:after="120"/>
      <w:outlineLvl w:val="6"/>
    </w:pPr>
    <w:rPr>
      <w:rFonts w:ascii="Arial Narrow" w:hAnsi="Arial Narrow"/>
      <w:b/>
      <w:bCs/>
      <w:iCs/>
      <w:kern w:val="0"/>
      <w:sz w:val="20"/>
      <w:szCs w:val="24"/>
      <w:lang w:eastAsia="en-US"/>
    </w:rPr>
  </w:style>
  <w:style w:type="paragraph" w:styleId="10">
    <w:name w:val="heading 8"/>
    <w:basedOn w:val="1"/>
    <w:next w:val="1"/>
    <w:link w:val="72"/>
    <w:qFormat/>
    <w:uiPriority w:val="0"/>
    <w:pPr>
      <w:keepNext/>
      <w:keepLines/>
      <w:spacing w:before="240" w:after="64" w:line="316" w:lineRule="auto"/>
      <w:outlineLvl w:val="7"/>
    </w:pPr>
    <w:rPr>
      <w:rFonts w:ascii="Arial" w:hAnsi="Arial" w:eastAsia="黑体"/>
      <w:kern w:val="0"/>
      <w:szCs w:val="24"/>
    </w:rPr>
  </w:style>
  <w:style w:type="paragraph" w:styleId="11">
    <w:name w:val="heading 9"/>
    <w:basedOn w:val="1"/>
    <w:next w:val="1"/>
    <w:link w:val="69"/>
    <w:qFormat/>
    <w:uiPriority w:val="0"/>
    <w:pPr>
      <w:keepNext/>
      <w:keepLines/>
      <w:spacing w:before="240" w:after="64" w:line="316" w:lineRule="auto"/>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5"/>
    <w:qFormat/>
    <w:uiPriority w:val="0"/>
    <w:pPr>
      <w:spacing w:line="240" w:lineRule="auto"/>
    </w:pPr>
  </w:style>
  <w:style w:type="paragraph" w:styleId="12">
    <w:name w:val="toc 7"/>
    <w:basedOn w:val="1"/>
    <w:next w:val="1"/>
    <w:qFormat/>
    <w:uiPriority w:val="0"/>
    <w:pPr>
      <w:ind w:left="2520" w:leftChars="1200"/>
    </w:pPr>
    <w:rPr>
      <w:szCs w:val="24"/>
    </w:rPr>
  </w:style>
  <w:style w:type="paragraph" w:styleId="13">
    <w:name w:val="index 8"/>
    <w:basedOn w:val="1"/>
    <w:next w:val="1"/>
    <w:qFormat/>
    <w:uiPriority w:val="0"/>
    <w:pPr>
      <w:ind w:left="1400" w:leftChars="1400"/>
    </w:pPr>
    <w:rPr>
      <w:szCs w:val="20"/>
    </w:rPr>
  </w:style>
  <w:style w:type="paragraph" w:styleId="14">
    <w:name w:val="Normal Indent"/>
    <w:basedOn w:val="1"/>
    <w:qFormat/>
    <w:uiPriority w:val="0"/>
    <w:pPr>
      <w:spacing w:after="180" w:line="309" w:lineRule="auto"/>
      <w:ind w:firstLine="420"/>
    </w:pPr>
    <w:rPr>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54"/>
    <w:qFormat/>
    <w:uiPriority w:val="0"/>
    <w:pPr>
      <w:shd w:val="clear" w:color="auto" w:fill="000080"/>
    </w:pPr>
    <w:rPr>
      <w:kern w:val="0"/>
      <w:sz w:val="18"/>
      <w:szCs w:val="18"/>
    </w:rPr>
  </w:style>
  <w:style w:type="paragraph" w:styleId="17">
    <w:name w:val="annotation text"/>
    <w:basedOn w:val="1"/>
    <w:link w:val="86"/>
    <w:qFormat/>
    <w:uiPriority w:val="0"/>
    <w:rPr>
      <w:kern w:val="0"/>
      <w:sz w:val="18"/>
      <w:szCs w:val="18"/>
    </w:rPr>
  </w:style>
  <w:style w:type="paragraph" w:styleId="18">
    <w:name w:val="Body Text 3"/>
    <w:basedOn w:val="1"/>
    <w:link w:val="110"/>
    <w:qFormat/>
    <w:uiPriority w:val="0"/>
    <w:pPr>
      <w:jc w:val="center"/>
    </w:pPr>
    <w:rPr>
      <w:rFonts w:eastAsia="黑体"/>
      <w:sz w:val="44"/>
      <w:szCs w:val="24"/>
    </w:rPr>
  </w:style>
  <w:style w:type="paragraph" w:styleId="19">
    <w:name w:val="Body Text Indent"/>
    <w:basedOn w:val="1"/>
    <w:link w:val="66"/>
    <w:qFormat/>
    <w:uiPriority w:val="0"/>
    <w:pPr>
      <w:spacing w:after="120"/>
      <w:ind w:left="420" w:leftChars="200"/>
    </w:pPr>
    <w:rPr>
      <w:kern w:val="0"/>
      <w:sz w:val="20"/>
      <w:szCs w:val="24"/>
    </w:rPr>
  </w:style>
  <w:style w:type="paragraph" w:styleId="20">
    <w:name w:val="Block Text"/>
    <w:basedOn w:val="1"/>
    <w:qFormat/>
    <w:uiPriority w:val="0"/>
    <w:pPr>
      <w:ind w:left="-540" w:leftChars="-257" w:right="-334" w:rightChars="-159" w:firstLine="540" w:firstLineChars="180"/>
    </w:pPr>
    <w:rPr>
      <w:sz w:val="30"/>
      <w:szCs w:val="24"/>
    </w:rPr>
  </w:style>
  <w:style w:type="paragraph" w:styleId="21">
    <w:name w:val="toc 5"/>
    <w:basedOn w:val="1"/>
    <w:next w:val="1"/>
    <w:qFormat/>
    <w:uiPriority w:val="0"/>
    <w:pPr>
      <w:ind w:left="1680" w:leftChars="800"/>
    </w:pPr>
    <w:rPr>
      <w:sz w:val="18"/>
      <w:szCs w:val="18"/>
    </w:rPr>
  </w:style>
  <w:style w:type="paragraph" w:styleId="22">
    <w:name w:val="toc 3"/>
    <w:basedOn w:val="1"/>
    <w:next w:val="1"/>
    <w:qFormat/>
    <w:uiPriority w:val="0"/>
    <w:pPr>
      <w:tabs>
        <w:tab w:val="left" w:pos="709"/>
        <w:tab w:val="left" w:pos="993"/>
        <w:tab w:val="right" w:leader="dot" w:pos="8364"/>
      </w:tabs>
      <w:ind w:left="360"/>
    </w:pPr>
    <w:rPr>
      <w:rFonts w:eastAsia="楷体_GB2312"/>
      <w:iCs/>
      <w:sz w:val="20"/>
      <w:szCs w:val="20"/>
    </w:rPr>
  </w:style>
  <w:style w:type="paragraph" w:styleId="23">
    <w:name w:val="Plain Text"/>
    <w:basedOn w:val="1"/>
    <w:link w:val="108"/>
    <w:qFormat/>
    <w:uiPriority w:val="0"/>
    <w:rPr>
      <w:rFonts w:ascii="宋体" w:hAnsi="Courier New"/>
      <w:kern w:val="0"/>
      <w:sz w:val="20"/>
      <w:szCs w:val="18"/>
    </w:rPr>
  </w:style>
  <w:style w:type="paragraph" w:styleId="24">
    <w:name w:val="toc 8"/>
    <w:basedOn w:val="1"/>
    <w:next w:val="1"/>
    <w:qFormat/>
    <w:uiPriority w:val="0"/>
    <w:pPr>
      <w:ind w:left="2940" w:leftChars="1400"/>
    </w:pPr>
    <w:rPr>
      <w:szCs w:val="24"/>
    </w:rPr>
  </w:style>
  <w:style w:type="paragraph" w:styleId="25">
    <w:name w:val="Date"/>
    <w:basedOn w:val="1"/>
    <w:next w:val="1"/>
    <w:link w:val="94"/>
    <w:qFormat/>
    <w:uiPriority w:val="0"/>
    <w:pPr>
      <w:ind w:left="100" w:leftChars="2500"/>
    </w:pPr>
    <w:rPr>
      <w:kern w:val="0"/>
      <w:szCs w:val="24"/>
    </w:rPr>
  </w:style>
  <w:style w:type="paragraph" w:styleId="26">
    <w:name w:val="Body Text Indent 2"/>
    <w:basedOn w:val="1"/>
    <w:link w:val="107"/>
    <w:qFormat/>
    <w:uiPriority w:val="0"/>
    <w:pPr>
      <w:spacing w:after="120" w:line="480" w:lineRule="auto"/>
      <w:ind w:left="420" w:leftChars="200"/>
    </w:pPr>
  </w:style>
  <w:style w:type="paragraph" w:styleId="27">
    <w:name w:val="Balloon Text"/>
    <w:basedOn w:val="1"/>
    <w:link w:val="67"/>
    <w:qFormat/>
    <w:uiPriority w:val="0"/>
    <w:rPr>
      <w:kern w:val="0"/>
      <w:sz w:val="18"/>
      <w:szCs w:val="18"/>
    </w:rPr>
  </w:style>
  <w:style w:type="paragraph" w:styleId="28">
    <w:name w:val="footer"/>
    <w:basedOn w:val="1"/>
    <w:link w:val="112"/>
    <w:qFormat/>
    <w:uiPriority w:val="0"/>
    <w:pPr>
      <w:tabs>
        <w:tab w:val="center" w:pos="4153"/>
        <w:tab w:val="right" w:pos="8306"/>
      </w:tabs>
      <w:snapToGrid w:val="0"/>
    </w:pPr>
    <w:rPr>
      <w:kern w:val="0"/>
      <w:sz w:val="18"/>
      <w:szCs w:val="18"/>
    </w:rPr>
  </w:style>
  <w:style w:type="paragraph" w:styleId="29">
    <w:name w:val="header"/>
    <w:basedOn w:val="1"/>
    <w:link w:val="98"/>
    <w:qFormat/>
    <w:uiPriority w:val="0"/>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tabs>
        <w:tab w:val="left" w:pos="709"/>
        <w:tab w:val="right" w:leader="dot" w:pos="8364"/>
      </w:tabs>
      <w:spacing w:line="400" w:lineRule="exact"/>
      <w:ind w:firstLine="658"/>
    </w:pPr>
    <w:rPr>
      <w:rFonts w:ascii="华文中宋" w:hAnsi="华文中宋" w:eastAsia="华文中宋"/>
      <w:bCs/>
      <w:caps/>
      <w:sz w:val="21"/>
      <w:szCs w:val="20"/>
    </w:rPr>
  </w:style>
  <w:style w:type="paragraph" w:styleId="31">
    <w:name w:val="toc 4"/>
    <w:basedOn w:val="1"/>
    <w:next w:val="1"/>
    <w:qFormat/>
    <w:uiPriority w:val="0"/>
    <w:pPr>
      <w:ind w:left="1260" w:leftChars="600"/>
    </w:pPr>
    <w:rPr>
      <w:sz w:val="18"/>
      <w:szCs w:val="18"/>
    </w:rPr>
  </w:style>
  <w:style w:type="paragraph" w:styleId="32">
    <w:name w:val="Subtitle"/>
    <w:basedOn w:val="1"/>
    <w:next w:val="1"/>
    <w:link w:val="74"/>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semiHidden/>
    <w:qFormat/>
    <w:uiPriority w:val="0"/>
    <w:pPr>
      <w:snapToGrid w:val="0"/>
    </w:pPr>
    <w:rPr>
      <w:sz w:val="18"/>
      <w:szCs w:val="18"/>
    </w:rPr>
  </w:style>
  <w:style w:type="paragraph" w:styleId="34">
    <w:name w:val="toc 6"/>
    <w:basedOn w:val="1"/>
    <w:next w:val="1"/>
    <w:qFormat/>
    <w:uiPriority w:val="0"/>
    <w:pPr>
      <w:ind w:left="2100" w:leftChars="1000"/>
    </w:pPr>
    <w:rPr>
      <w:szCs w:val="24"/>
    </w:rPr>
  </w:style>
  <w:style w:type="paragraph" w:styleId="35">
    <w:name w:val="Body Text Indent 3"/>
    <w:basedOn w:val="1"/>
    <w:link w:val="89"/>
    <w:qFormat/>
    <w:uiPriority w:val="0"/>
    <w:pPr>
      <w:ind w:left="153" w:leftChars="85" w:firstLine="560"/>
    </w:pPr>
    <w:rPr>
      <w:rFonts w:ascii="宋体" w:hAnsi="宋体"/>
      <w:kern w:val="0"/>
      <w:sz w:val="28"/>
      <w:szCs w:val="28"/>
    </w:rPr>
  </w:style>
  <w:style w:type="paragraph" w:styleId="36">
    <w:name w:val="toc 2"/>
    <w:basedOn w:val="1"/>
    <w:next w:val="1"/>
    <w:qFormat/>
    <w:uiPriority w:val="39"/>
    <w:pPr>
      <w:tabs>
        <w:tab w:val="left" w:pos="620"/>
        <w:tab w:val="right" w:leader="dot" w:pos="8364"/>
      </w:tabs>
      <w:spacing w:line="300" w:lineRule="exact"/>
      <w:ind w:left="180" w:firstLine="658"/>
    </w:pPr>
    <w:rPr>
      <w:rFonts w:ascii="华文中宋" w:hAnsi="华文中宋" w:eastAsia="华文中宋"/>
      <w:smallCaps/>
      <w:sz w:val="21"/>
      <w:szCs w:val="20"/>
    </w:rPr>
  </w:style>
  <w:style w:type="paragraph" w:styleId="37">
    <w:name w:val="toc 9"/>
    <w:basedOn w:val="1"/>
    <w:next w:val="1"/>
    <w:qFormat/>
    <w:uiPriority w:val="0"/>
    <w:pPr>
      <w:ind w:left="3360" w:leftChars="1600"/>
    </w:pPr>
    <w:rPr>
      <w:szCs w:val="24"/>
    </w:rPr>
  </w:style>
  <w:style w:type="paragraph" w:styleId="38">
    <w:name w:val="Body Text 2"/>
    <w:basedOn w:val="1"/>
    <w:link w:val="103"/>
    <w:qFormat/>
    <w:uiPriority w:val="0"/>
    <w:pPr>
      <w:spacing w:after="120" w:line="480" w:lineRule="auto"/>
    </w:pPr>
    <w:rPr>
      <w:kern w:val="0"/>
      <w:sz w:val="18"/>
      <w:szCs w:val="18"/>
    </w:rPr>
  </w:style>
  <w:style w:type="paragraph" w:styleId="39">
    <w:name w:val="Normal (Web)"/>
    <w:basedOn w:val="1"/>
    <w:qFormat/>
    <w:uiPriority w:val="0"/>
    <w:pPr>
      <w:widowControl/>
      <w:spacing w:before="100" w:beforeAutospacing="1" w:after="100" w:afterAutospacing="1"/>
    </w:pPr>
    <w:rPr>
      <w:rFonts w:ascii="宋体" w:hAnsi="宋体"/>
      <w:color w:val="000000"/>
      <w:kern w:val="0"/>
      <w:szCs w:val="24"/>
    </w:rPr>
  </w:style>
  <w:style w:type="paragraph" w:styleId="40">
    <w:name w:val="annotation subject"/>
    <w:basedOn w:val="17"/>
    <w:next w:val="17"/>
    <w:semiHidden/>
    <w:qFormat/>
    <w:uiPriority w:val="0"/>
    <w:rPr>
      <w:rFonts w:ascii="Calibri" w:hAnsi="Calibri"/>
      <w:b/>
      <w:bCs/>
      <w:kern w:val="2"/>
      <w:sz w:val="21"/>
      <w:szCs w:val="22"/>
    </w:rPr>
  </w:style>
  <w:style w:type="paragraph" w:styleId="41">
    <w:name w:val="Body Text First Indent"/>
    <w:basedOn w:val="2"/>
    <w:link w:val="92"/>
    <w:qFormat/>
    <w:uiPriority w:val="0"/>
    <w:pPr>
      <w:ind w:firstLine="420" w:firstLineChars="100"/>
    </w:pPr>
    <w:rPr>
      <w:kern w:val="0"/>
      <w:sz w:val="18"/>
      <w:szCs w:val="18"/>
    </w:rPr>
  </w:style>
  <w:style w:type="paragraph" w:styleId="42">
    <w:name w:val="Body Text First Indent 2"/>
    <w:basedOn w:val="19"/>
    <w:unhideWhenUsed/>
    <w:qFormat/>
    <w:uiPriority w:val="99"/>
    <w:pPr>
      <w:ind w:firstLine="420" w:firstLineChars="200"/>
    </w:p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unhideWhenUsed/>
    <w:qFormat/>
    <w:uiPriority w:val="99"/>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character" w:styleId="51">
    <w:name w:val="footnote reference"/>
    <w:semiHidden/>
    <w:qFormat/>
    <w:uiPriority w:val="0"/>
    <w:rPr>
      <w:vertAlign w:val="superscript"/>
    </w:rPr>
  </w:style>
  <w:style w:type="paragraph" w:customStyle="1" w:styleId="52">
    <w:name w:val="标题 5（有编号）（绿盟科技）"/>
    <w:basedOn w:val="1"/>
    <w:next w:val="53"/>
    <w:qFormat/>
    <w:uiPriority w:val="0"/>
    <w:pPr>
      <w:keepNext/>
      <w:keepLines/>
      <w:numPr>
        <w:ilvl w:val="4"/>
        <w:numId w:val="2"/>
      </w:numPr>
      <w:spacing w:before="280" w:after="156" w:line="377" w:lineRule="auto"/>
      <w:outlineLvl w:val="4"/>
    </w:pPr>
    <w:rPr>
      <w:rFonts w:ascii="Arial" w:hAnsi="Arial" w:eastAsia="黑体"/>
      <w:b/>
      <w:kern w:val="0"/>
      <w:szCs w:val="28"/>
    </w:rPr>
  </w:style>
  <w:style w:type="paragraph" w:customStyle="1" w:styleId="53">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54">
    <w:name w:val="文档结构图 字符"/>
    <w:link w:val="16"/>
    <w:qFormat/>
    <w:uiPriority w:val="0"/>
    <w:rPr>
      <w:rFonts w:eastAsia="宋体"/>
      <w:sz w:val="18"/>
      <w:szCs w:val="18"/>
      <w:lang w:bidi="ar-SA"/>
    </w:rPr>
  </w:style>
  <w:style w:type="character" w:customStyle="1" w:styleId="55">
    <w:name w:val="Char Char8"/>
    <w:qFormat/>
    <w:uiPriority w:val="0"/>
    <w:rPr>
      <w:rFonts w:hint="eastAsia" w:ascii="宋体" w:hAnsi="宋体" w:eastAsia="宋体"/>
      <w:kern w:val="2"/>
      <w:sz w:val="28"/>
      <w:szCs w:val="28"/>
    </w:rPr>
  </w:style>
  <w:style w:type="character" w:customStyle="1" w:styleId="56">
    <w:name w:val="标题 5 字符"/>
    <w:link w:val="7"/>
    <w:qFormat/>
    <w:uiPriority w:val="0"/>
    <w:rPr>
      <w:rFonts w:ascii="Calibri" w:hAnsi="Calibri"/>
      <w:b/>
      <w:bCs/>
      <w:sz w:val="28"/>
      <w:szCs w:val="28"/>
    </w:rPr>
  </w:style>
  <w:style w:type="character" w:customStyle="1" w:styleId="57">
    <w:name w:val="Char Char5"/>
    <w:qFormat/>
    <w:uiPriority w:val="0"/>
    <w:rPr>
      <w:kern w:val="2"/>
      <w:sz w:val="21"/>
      <w:szCs w:val="24"/>
    </w:rPr>
  </w:style>
  <w:style w:type="character" w:customStyle="1" w:styleId="58">
    <w:name w:val="列出段落 Char Char"/>
    <w:qFormat/>
    <w:uiPriority w:val="0"/>
    <w:rPr>
      <w:rFonts w:hint="default" w:ascii="Calibri" w:hAnsi="Calibri" w:cs="Calibri"/>
      <w:kern w:val="2"/>
      <w:sz w:val="21"/>
      <w:szCs w:val="22"/>
    </w:rPr>
  </w:style>
  <w:style w:type="character" w:customStyle="1" w:styleId="59">
    <w:name w:val="正文文本 Char Char"/>
    <w:qFormat/>
    <w:uiPriority w:val="0"/>
    <w:rPr>
      <w:kern w:val="2"/>
      <w:sz w:val="21"/>
      <w:szCs w:val="24"/>
    </w:rPr>
  </w:style>
  <w:style w:type="character" w:customStyle="1" w:styleId="60">
    <w:name w:val="Char Char11"/>
    <w:qFormat/>
    <w:uiPriority w:val="0"/>
    <w:rPr>
      <w:rFonts w:hint="default" w:ascii="Arial Narrow" w:hAnsi="Arial Narrow"/>
      <w:b/>
      <w:bCs/>
      <w:iCs/>
      <w:szCs w:val="24"/>
      <w:lang w:eastAsia="en-US"/>
    </w:rPr>
  </w:style>
  <w:style w:type="character" w:customStyle="1" w:styleId="61">
    <w:name w:val="标书（正文） Char Char"/>
    <w:qFormat/>
    <w:uiPriority w:val="0"/>
    <w:rPr>
      <w:rFonts w:hint="eastAsia" w:ascii="宋体" w:hAnsi="宋体" w:eastAsia="宋体"/>
      <w:b/>
      <w:kern w:val="10"/>
      <w:sz w:val="21"/>
      <w:szCs w:val="21"/>
      <w:lang w:val="en-US" w:eastAsia="zh-CN" w:bidi="ar-SA"/>
    </w:rPr>
  </w:style>
  <w:style w:type="character" w:customStyle="1" w:styleId="62">
    <w:name w:val="line2"/>
    <w:basedOn w:val="45"/>
    <w:qFormat/>
    <w:uiPriority w:val="0"/>
  </w:style>
  <w:style w:type="character" w:customStyle="1" w:styleId="63">
    <w:name w:val="纯文本 Char"/>
    <w:qFormat/>
    <w:uiPriority w:val="0"/>
    <w:rPr>
      <w:rFonts w:ascii="宋体" w:hAnsi="Courier New" w:eastAsia="宋体" w:cs="Courier New"/>
      <w:szCs w:val="21"/>
    </w:rPr>
  </w:style>
  <w:style w:type="character" w:customStyle="1" w:styleId="64">
    <w:name w:val="Char Char10"/>
    <w:qFormat/>
    <w:uiPriority w:val="0"/>
    <w:rPr>
      <w:kern w:val="2"/>
      <w:sz w:val="24"/>
      <w:szCs w:val="24"/>
    </w:rPr>
  </w:style>
  <w:style w:type="character" w:customStyle="1" w:styleId="65">
    <w:name w:val="标题 2 字符"/>
    <w:link w:val="4"/>
    <w:qFormat/>
    <w:uiPriority w:val="0"/>
    <w:rPr>
      <w:rFonts w:ascii="宋体" w:hAnsi="宋体"/>
      <w:b/>
      <w:bCs/>
      <w:kern w:val="2"/>
      <w:sz w:val="28"/>
      <w:szCs w:val="28"/>
    </w:rPr>
  </w:style>
  <w:style w:type="character" w:customStyle="1" w:styleId="66">
    <w:name w:val="正文文本缩进 字符"/>
    <w:link w:val="19"/>
    <w:qFormat/>
    <w:uiPriority w:val="0"/>
    <w:rPr>
      <w:rFonts w:eastAsia="宋体"/>
      <w:szCs w:val="24"/>
      <w:lang w:bidi="ar-SA"/>
    </w:rPr>
  </w:style>
  <w:style w:type="character" w:customStyle="1" w:styleId="67">
    <w:name w:val="批注框文本 字符"/>
    <w:link w:val="27"/>
    <w:qFormat/>
    <w:uiPriority w:val="0"/>
    <w:rPr>
      <w:rFonts w:eastAsia="宋体"/>
      <w:sz w:val="18"/>
      <w:szCs w:val="18"/>
      <w:lang w:bidi="ar-SA"/>
    </w:rPr>
  </w:style>
  <w:style w:type="character" w:customStyle="1" w:styleId="68">
    <w:name w:val="MM Topic 4 Char Char"/>
    <w:qFormat/>
    <w:uiPriority w:val="0"/>
    <w:rPr>
      <w:rFonts w:hint="default" w:ascii="Arial" w:hAnsi="Arial" w:cs="Arial"/>
      <w:b/>
      <w:bCs/>
      <w:kern w:val="2"/>
      <w:sz w:val="28"/>
      <w:szCs w:val="28"/>
    </w:rPr>
  </w:style>
  <w:style w:type="character" w:customStyle="1" w:styleId="69">
    <w:name w:val="标题 9 字符"/>
    <w:link w:val="11"/>
    <w:qFormat/>
    <w:uiPriority w:val="0"/>
    <w:rPr>
      <w:rFonts w:ascii="Arial" w:hAnsi="Arial" w:eastAsia="黑体"/>
      <w:szCs w:val="21"/>
      <w:lang w:bidi="ar-SA"/>
    </w:rPr>
  </w:style>
  <w:style w:type="character" w:customStyle="1" w:styleId="70">
    <w:name w:val="标书正文:  0.74 厘米 Char Char"/>
    <w:qFormat/>
    <w:uiPriority w:val="0"/>
    <w:rPr>
      <w:kern w:val="2"/>
      <w:sz w:val="24"/>
    </w:rPr>
  </w:style>
  <w:style w:type="character" w:customStyle="1" w:styleId="71">
    <w:name w:val="标题 3 Char Char Char"/>
    <w:qFormat/>
    <w:uiPriority w:val="0"/>
    <w:rPr>
      <w:rFonts w:eastAsia="宋体"/>
      <w:b/>
      <w:kern w:val="2"/>
      <w:sz w:val="32"/>
      <w:lang w:val="en-US" w:eastAsia="zh-CN" w:bidi="ar-SA"/>
    </w:rPr>
  </w:style>
  <w:style w:type="character" w:customStyle="1" w:styleId="72">
    <w:name w:val="标题 8 字符"/>
    <w:link w:val="10"/>
    <w:qFormat/>
    <w:uiPriority w:val="0"/>
    <w:rPr>
      <w:rFonts w:ascii="Arial" w:hAnsi="Arial" w:eastAsia="黑体"/>
      <w:sz w:val="24"/>
      <w:szCs w:val="24"/>
      <w:lang w:bidi="ar-SA"/>
    </w:rPr>
  </w:style>
  <w:style w:type="character" w:customStyle="1" w:styleId="73">
    <w:name w:val="标题 3 字符"/>
    <w:link w:val="5"/>
    <w:qFormat/>
    <w:uiPriority w:val="0"/>
    <w:rPr>
      <w:rFonts w:ascii="宋体" w:hAnsi="宋体"/>
      <w:b/>
      <w:bCs/>
      <w:color w:val="000000"/>
      <w:sz w:val="24"/>
      <w:szCs w:val="28"/>
    </w:rPr>
  </w:style>
  <w:style w:type="character" w:customStyle="1" w:styleId="74">
    <w:name w:val="副标题 字符"/>
    <w:link w:val="32"/>
    <w:qFormat/>
    <w:uiPriority w:val="0"/>
    <w:rPr>
      <w:rFonts w:ascii="Cambria" w:hAnsi="Cambria"/>
      <w:b/>
      <w:bCs/>
      <w:kern w:val="28"/>
      <w:sz w:val="32"/>
      <w:szCs w:val="32"/>
    </w:rPr>
  </w:style>
  <w:style w:type="character" w:customStyle="1" w:styleId="75">
    <w:name w:val="（符号）邀请函中一、"/>
    <w:qFormat/>
    <w:uiPriority w:val="0"/>
    <w:rPr>
      <w:rFonts w:ascii="黑体" w:hAnsi="黑体" w:eastAsia="黑体"/>
      <w:b/>
      <w:bCs/>
      <w:sz w:val="24"/>
    </w:rPr>
  </w:style>
  <w:style w:type="character" w:customStyle="1" w:styleId="76">
    <w:name w:val="tt Char"/>
    <w:qFormat/>
    <w:uiPriority w:val="0"/>
    <w:rPr>
      <w:rFonts w:hint="default" w:ascii="Arial" w:hAnsi="Arial" w:eastAsia="黑体" w:cs="Arial"/>
      <w:kern w:val="2"/>
      <w:sz w:val="21"/>
      <w:szCs w:val="21"/>
    </w:rPr>
  </w:style>
  <w:style w:type="character" w:customStyle="1" w:styleId="77">
    <w:name w:val="Char Char9"/>
    <w:qFormat/>
    <w:uiPriority w:val="0"/>
    <w:rPr>
      <w:kern w:val="2"/>
      <w:sz w:val="18"/>
      <w:szCs w:val="18"/>
    </w:rPr>
  </w:style>
  <w:style w:type="character" w:customStyle="1" w:styleId="78">
    <w:name w:val="MM Topic 3 Char Char"/>
    <w:qFormat/>
    <w:uiPriority w:val="0"/>
    <w:rPr>
      <w:rFonts w:hint="eastAsia" w:ascii="宋体" w:hAnsi="宋体" w:eastAsia="宋体"/>
      <w:b/>
      <w:bCs/>
      <w:color w:val="000000"/>
      <w:kern w:val="2"/>
      <w:sz w:val="28"/>
      <w:szCs w:val="28"/>
    </w:rPr>
  </w:style>
  <w:style w:type="character" w:customStyle="1" w:styleId="79">
    <w:name w:val="样式 小四2 Char Char"/>
    <w:qFormat/>
    <w:uiPriority w:val="0"/>
    <w:rPr>
      <w:rFonts w:hint="eastAsia" w:ascii="宋体" w:hAnsi="宋体" w:eastAsia="宋体"/>
      <w:kern w:val="2"/>
      <w:sz w:val="24"/>
      <w:szCs w:val="24"/>
    </w:rPr>
  </w:style>
  <w:style w:type="character" w:customStyle="1" w:styleId="80">
    <w:name w:val="Char Char7"/>
    <w:qFormat/>
    <w:uiPriority w:val="0"/>
    <w:rPr>
      <w:kern w:val="2"/>
      <w:sz w:val="18"/>
      <w:szCs w:val="18"/>
    </w:rPr>
  </w:style>
  <w:style w:type="character" w:customStyle="1" w:styleId="81">
    <w:name w:val="Char Char3"/>
    <w:qFormat/>
    <w:uiPriority w:val="0"/>
    <w:rPr>
      <w:b/>
      <w:bCs/>
      <w:kern w:val="2"/>
      <w:sz w:val="18"/>
      <w:szCs w:val="18"/>
    </w:rPr>
  </w:style>
  <w:style w:type="character" w:customStyle="1" w:styleId="82">
    <w:name w:val="apple-style-span"/>
    <w:basedOn w:val="45"/>
    <w:qFormat/>
    <w:uiPriority w:val="0"/>
  </w:style>
  <w:style w:type="character" w:customStyle="1" w:styleId="83">
    <w:name w:val="Char Char4"/>
    <w:qFormat/>
    <w:uiPriority w:val="0"/>
    <w:rPr>
      <w:kern w:val="2"/>
      <w:sz w:val="18"/>
      <w:szCs w:val="18"/>
    </w:rPr>
  </w:style>
  <w:style w:type="character" w:customStyle="1" w:styleId="84">
    <w:name w:val="副标题 Char1"/>
    <w:qFormat/>
    <w:uiPriority w:val="11"/>
    <w:rPr>
      <w:rFonts w:ascii="Cambria" w:hAnsi="Cambria" w:cs="Times New Roman"/>
      <w:b/>
      <w:bCs/>
      <w:kern w:val="28"/>
      <w:sz w:val="32"/>
      <w:szCs w:val="32"/>
    </w:rPr>
  </w:style>
  <w:style w:type="character" w:customStyle="1" w:styleId="85">
    <w:name w:val="small"/>
    <w:basedOn w:val="45"/>
    <w:qFormat/>
    <w:uiPriority w:val="0"/>
  </w:style>
  <w:style w:type="character" w:customStyle="1" w:styleId="86">
    <w:name w:val="批注文字 字符"/>
    <w:link w:val="17"/>
    <w:qFormat/>
    <w:uiPriority w:val="0"/>
    <w:rPr>
      <w:rFonts w:eastAsia="宋体"/>
      <w:sz w:val="18"/>
      <w:szCs w:val="18"/>
      <w:lang w:bidi="ar-SA"/>
    </w:rPr>
  </w:style>
  <w:style w:type="character" w:customStyle="1" w:styleId="87">
    <w:name w:val="Legal Level 1.1.1. Char"/>
    <w:qFormat/>
    <w:uiPriority w:val="0"/>
    <w:rPr>
      <w:rFonts w:hint="default" w:ascii="Arial" w:hAnsi="Arial" w:eastAsia="黑体" w:cs="Arial"/>
      <w:kern w:val="2"/>
      <w:sz w:val="24"/>
      <w:szCs w:val="24"/>
    </w:rPr>
  </w:style>
  <w:style w:type="character" w:customStyle="1" w:styleId="88">
    <w:name w:val="正文文本 Char"/>
    <w:basedOn w:val="45"/>
    <w:qFormat/>
    <w:uiPriority w:val="0"/>
  </w:style>
  <w:style w:type="character" w:customStyle="1" w:styleId="89">
    <w:name w:val="正文文本缩进 3 字符"/>
    <w:link w:val="35"/>
    <w:qFormat/>
    <w:uiPriority w:val="0"/>
    <w:rPr>
      <w:rFonts w:ascii="宋体" w:hAnsi="宋体" w:eastAsia="宋体"/>
      <w:sz w:val="28"/>
      <w:szCs w:val="28"/>
      <w:lang w:bidi="ar-SA"/>
    </w:rPr>
  </w:style>
  <w:style w:type="character" w:customStyle="1" w:styleId="90">
    <w:name w:val="标题 4 字符"/>
    <w:link w:val="6"/>
    <w:qFormat/>
    <w:uiPriority w:val="0"/>
    <w:rPr>
      <w:rFonts w:ascii="Arial" w:hAnsi="Arial"/>
      <w:b/>
      <w:bCs/>
      <w:sz w:val="28"/>
      <w:szCs w:val="28"/>
    </w:rPr>
  </w:style>
  <w:style w:type="character" w:customStyle="1" w:styleId="91">
    <w:name w:val="文章正文 Char Char"/>
    <w:qFormat/>
    <w:uiPriority w:val="0"/>
    <w:rPr>
      <w:rFonts w:hint="eastAsia" w:ascii="宋体" w:hAnsi="宋体" w:eastAsia="宋体"/>
      <w:kern w:val="2"/>
      <w:sz w:val="24"/>
      <w:szCs w:val="24"/>
      <w:lang w:val="en-US" w:eastAsia="zh-CN" w:bidi="ar-SA"/>
    </w:rPr>
  </w:style>
  <w:style w:type="character" w:customStyle="1" w:styleId="92">
    <w:name w:val="正文首行缩进 字符"/>
    <w:link w:val="41"/>
    <w:qFormat/>
    <w:uiPriority w:val="0"/>
    <w:rPr>
      <w:rFonts w:eastAsia="宋体"/>
      <w:sz w:val="18"/>
      <w:szCs w:val="18"/>
      <w:lang w:bidi="ar-SA"/>
    </w:rPr>
  </w:style>
  <w:style w:type="character" w:customStyle="1" w:styleId="93">
    <w:name w:val="正文文本 Char1"/>
    <w:qFormat/>
    <w:uiPriority w:val="0"/>
    <w:rPr>
      <w:rFonts w:ascii="Times New Roman" w:hAnsi="Times New Roman" w:eastAsia="宋体" w:cs="Times New Roman"/>
      <w:kern w:val="0"/>
      <w:sz w:val="18"/>
      <w:szCs w:val="18"/>
    </w:rPr>
  </w:style>
  <w:style w:type="character" w:customStyle="1" w:styleId="94">
    <w:name w:val="日期 字符"/>
    <w:link w:val="25"/>
    <w:qFormat/>
    <w:uiPriority w:val="0"/>
    <w:rPr>
      <w:rFonts w:eastAsia="宋体"/>
      <w:sz w:val="24"/>
      <w:szCs w:val="24"/>
      <w:lang w:bidi="ar-SA"/>
    </w:rPr>
  </w:style>
  <w:style w:type="character" w:customStyle="1" w:styleId="95">
    <w:name w:val="正文文本 字符"/>
    <w:basedOn w:val="45"/>
    <w:link w:val="2"/>
    <w:qFormat/>
    <w:uiPriority w:val="0"/>
    <w:rPr>
      <w:rFonts w:eastAsia="宋体"/>
    </w:rPr>
  </w:style>
  <w:style w:type="character" w:customStyle="1" w:styleId="96">
    <w:name w:val="CD正文 Char Char"/>
    <w:qFormat/>
    <w:uiPriority w:val="0"/>
    <w:rPr>
      <w:rFonts w:hint="eastAsia" w:ascii="宋体" w:hAnsi="宋体" w:eastAsia="宋体"/>
      <w:kern w:val="2"/>
      <w:sz w:val="30"/>
      <w:szCs w:val="28"/>
      <w:lang w:val="en-US" w:eastAsia="zh-CN" w:bidi="ar-SA"/>
    </w:rPr>
  </w:style>
  <w:style w:type="character" w:customStyle="1" w:styleId="97">
    <w:name w:val="Char Char2"/>
    <w:qFormat/>
    <w:uiPriority w:val="0"/>
    <w:rPr>
      <w:kern w:val="2"/>
      <w:sz w:val="18"/>
      <w:szCs w:val="18"/>
    </w:rPr>
  </w:style>
  <w:style w:type="character" w:customStyle="1" w:styleId="98">
    <w:name w:val="页眉 字符"/>
    <w:link w:val="29"/>
    <w:qFormat/>
    <w:uiPriority w:val="0"/>
    <w:rPr>
      <w:rFonts w:ascii="Calibri" w:hAnsi="Calibri" w:eastAsia="宋体"/>
      <w:sz w:val="18"/>
      <w:szCs w:val="18"/>
      <w:lang w:bidi="ar-SA"/>
    </w:rPr>
  </w:style>
  <w:style w:type="character" w:customStyle="1" w:styleId="99">
    <w:name w:val="标题 1 Char1"/>
    <w:qFormat/>
    <w:uiPriority w:val="0"/>
    <w:rPr>
      <w:b/>
      <w:bCs/>
      <w:kern w:val="44"/>
      <w:sz w:val="44"/>
      <w:szCs w:val="44"/>
    </w:rPr>
  </w:style>
  <w:style w:type="character" w:customStyle="1" w:styleId="100">
    <w:name w:val="表正文 Char1"/>
    <w:qFormat/>
    <w:uiPriority w:val="0"/>
    <w:rPr>
      <w:rFonts w:hint="eastAsia" w:ascii="宋体" w:hAnsi="宋体" w:eastAsia="宋体"/>
      <w:kern w:val="2"/>
      <w:sz w:val="21"/>
      <w:lang w:val="en-US" w:eastAsia="zh-CN" w:bidi="ar-SA"/>
    </w:rPr>
  </w:style>
  <w:style w:type="character" w:customStyle="1" w:styleId="101">
    <w:name w:val="彩色列表 - 强调文字颜色 1 Char"/>
    <w:link w:val="102"/>
    <w:qFormat/>
    <w:uiPriority w:val="0"/>
    <w:rPr>
      <w:rFonts w:ascii="Calibri" w:hAnsi="Calibri"/>
      <w:kern w:val="2"/>
      <w:sz w:val="21"/>
      <w:szCs w:val="22"/>
    </w:rPr>
  </w:style>
  <w:style w:type="paragraph" w:customStyle="1" w:styleId="102">
    <w:name w:val="彩色列表 - 强调文字颜色 12"/>
    <w:basedOn w:val="1"/>
    <w:link w:val="101"/>
    <w:qFormat/>
    <w:uiPriority w:val="0"/>
    <w:pPr>
      <w:ind w:firstLine="420"/>
    </w:pPr>
  </w:style>
  <w:style w:type="character" w:customStyle="1" w:styleId="103">
    <w:name w:val="正文文本 2 字符"/>
    <w:link w:val="38"/>
    <w:qFormat/>
    <w:uiPriority w:val="0"/>
    <w:rPr>
      <w:rFonts w:eastAsia="宋体"/>
      <w:sz w:val="18"/>
      <w:szCs w:val="18"/>
      <w:lang w:bidi="ar-SA"/>
    </w:rPr>
  </w:style>
  <w:style w:type="character" w:customStyle="1" w:styleId="104">
    <w:name w:val="标题 6 字符"/>
    <w:link w:val="8"/>
    <w:qFormat/>
    <w:uiPriority w:val="0"/>
    <w:rPr>
      <w:rFonts w:ascii="Arial" w:hAnsi="Arial"/>
      <w:b/>
      <w:bCs/>
      <w:sz w:val="28"/>
      <w:szCs w:val="18"/>
    </w:rPr>
  </w:style>
  <w:style w:type="character" w:customStyle="1" w:styleId="105">
    <w:name w:val="标题 1 字符"/>
    <w:link w:val="3"/>
    <w:qFormat/>
    <w:uiPriority w:val="0"/>
    <w:rPr>
      <w:rFonts w:ascii="宋体" w:hAnsi="宋体"/>
      <w:b/>
      <w:bCs/>
      <w:spacing w:val="-20"/>
      <w:kern w:val="44"/>
      <w:sz w:val="32"/>
      <w:szCs w:val="32"/>
    </w:rPr>
  </w:style>
  <w:style w:type="character" w:customStyle="1" w:styleId="106">
    <w:name w:val="标题 7 字符"/>
    <w:link w:val="9"/>
    <w:qFormat/>
    <w:uiPriority w:val="0"/>
    <w:rPr>
      <w:rFonts w:ascii="Arial Narrow" w:hAnsi="Arial Narrow" w:eastAsia="宋体"/>
      <w:b/>
      <w:bCs/>
      <w:iCs/>
      <w:szCs w:val="24"/>
      <w:lang w:eastAsia="en-US" w:bidi="ar-SA"/>
    </w:rPr>
  </w:style>
  <w:style w:type="character" w:customStyle="1" w:styleId="107">
    <w:name w:val="正文文本缩进 2 字符"/>
    <w:basedOn w:val="45"/>
    <w:link w:val="26"/>
    <w:qFormat/>
    <w:uiPriority w:val="0"/>
  </w:style>
  <w:style w:type="character" w:customStyle="1" w:styleId="108">
    <w:name w:val="纯文本 字符"/>
    <w:link w:val="23"/>
    <w:qFormat/>
    <w:uiPriority w:val="0"/>
    <w:rPr>
      <w:rFonts w:ascii="宋体" w:hAnsi="Courier New" w:eastAsia="宋体"/>
      <w:szCs w:val="18"/>
      <w:lang w:bidi="ar-SA"/>
    </w:rPr>
  </w:style>
  <w:style w:type="character" w:customStyle="1" w:styleId="109">
    <w:name w:val="Char Char Char"/>
    <w:qFormat/>
    <w:uiPriority w:val="0"/>
    <w:rPr>
      <w:rFonts w:hint="eastAsia" w:ascii="宋体" w:hAnsi="宋体" w:eastAsia="宋体"/>
      <w:kern w:val="2"/>
      <w:sz w:val="18"/>
      <w:szCs w:val="18"/>
      <w:lang w:val="en-US" w:eastAsia="zh-CN" w:bidi="ar-SA"/>
    </w:rPr>
  </w:style>
  <w:style w:type="character" w:customStyle="1" w:styleId="110">
    <w:name w:val="正文文本 3 字符"/>
    <w:link w:val="18"/>
    <w:qFormat/>
    <w:uiPriority w:val="0"/>
    <w:rPr>
      <w:rFonts w:eastAsia="黑体"/>
      <w:kern w:val="2"/>
      <w:sz w:val="44"/>
      <w:szCs w:val="24"/>
      <w:lang w:val="en-US" w:eastAsia="zh-CN" w:bidi="ar-SA"/>
    </w:rPr>
  </w:style>
  <w:style w:type="character" w:customStyle="1" w:styleId="111">
    <w:name w:val="Char Char6"/>
    <w:qFormat/>
    <w:uiPriority w:val="0"/>
    <w:rPr>
      <w:kern w:val="2"/>
      <w:sz w:val="21"/>
      <w:szCs w:val="24"/>
    </w:rPr>
  </w:style>
  <w:style w:type="character" w:customStyle="1" w:styleId="112">
    <w:name w:val="页脚 字符"/>
    <w:link w:val="28"/>
    <w:qFormat/>
    <w:uiPriority w:val="0"/>
    <w:rPr>
      <w:rFonts w:ascii="Calibri" w:hAnsi="Calibri" w:eastAsia="宋体"/>
      <w:sz w:val="18"/>
      <w:szCs w:val="18"/>
      <w:lang w:bidi="ar-SA"/>
    </w:rPr>
  </w:style>
  <w:style w:type="paragraph" w:customStyle="1" w:styleId="113">
    <w:name w:val="样式 右侧:  1 字符1"/>
    <w:basedOn w:val="1"/>
    <w:qFormat/>
    <w:uiPriority w:val="0"/>
    <w:pPr>
      <w:ind w:left="240" w:leftChars="100" w:right="240" w:rightChars="100"/>
    </w:pPr>
    <w:rPr>
      <w:rFonts w:eastAsia="仿宋_GB2312" w:cs="宋体"/>
      <w:sz w:val="28"/>
      <w:szCs w:val="20"/>
    </w:rPr>
  </w:style>
  <w:style w:type="paragraph" w:customStyle="1" w:styleId="114">
    <w:name w:val="MM Title"/>
    <w:basedOn w:val="1"/>
    <w:qFormat/>
    <w:uiPriority w:val="0"/>
    <w:pPr>
      <w:spacing w:before="240" w:after="60"/>
      <w:jc w:val="center"/>
      <w:outlineLvl w:val="0"/>
    </w:pPr>
    <w:rPr>
      <w:rFonts w:ascii="Arial" w:hAnsi="Arial" w:cs="Arial"/>
      <w:b/>
      <w:bCs/>
      <w:sz w:val="32"/>
      <w:szCs w:val="32"/>
    </w:rPr>
  </w:style>
  <w:style w:type="paragraph" w:customStyle="1" w:styleId="115">
    <w:name w:val="项目符号：一级"/>
    <w:basedOn w:val="116"/>
    <w:next w:val="116"/>
    <w:qFormat/>
    <w:uiPriority w:val="0"/>
  </w:style>
  <w:style w:type="paragraph" w:customStyle="1" w:styleId="116">
    <w:name w:val="正文格式"/>
    <w:basedOn w:val="1"/>
    <w:qFormat/>
    <w:uiPriority w:val="0"/>
    <w:pPr>
      <w:widowControl/>
      <w:adjustRightInd w:val="0"/>
      <w:snapToGrid w:val="0"/>
      <w:spacing w:beforeLines="25"/>
      <w:ind w:firstLine="480"/>
    </w:pPr>
    <w:rPr>
      <w:rFonts w:ascii="宋体" w:hAnsi="宋体"/>
      <w:bCs/>
      <w:color w:val="000000"/>
      <w:kern w:val="0"/>
      <w:szCs w:val="24"/>
    </w:rPr>
  </w:style>
  <w:style w:type="paragraph" w:customStyle="1" w:styleId="117">
    <w:name w:val="默认段落字体 Para Char Char Char1 Char"/>
    <w:basedOn w:val="1"/>
    <w:next w:val="1"/>
    <w:qFormat/>
    <w:uiPriority w:val="0"/>
    <w:pPr>
      <w:spacing w:line="240" w:lineRule="atLeast"/>
      <w:ind w:left="420" w:firstLine="420"/>
    </w:pPr>
    <w:rPr>
      <w:kern w:val="0"/>
      <w:szCs w:val="21"/>
    </w:rPr>
  </w:style>
  <w:style w:type="paragraph" w:customStyle="1" w:styleId="118">
    <w:name w:val="gb_master正文"/>
    <w:basedOn w:val="1"/>
    <w:qFormat/>
    <w:uiPriority w:val="0"/>
    <w:pPr>
      <w:ind w:firstLine="200"/>
    </w:pPr>
    <w:rPr>
      <w:szCs w:val="24"/>
    </w:rPr>
  </w:style>
  <w:style w:type="paragraph" w:customStyle="1" w:styleId="119">
    <w:name w:val="p0"/>
    <w:basedOn w:val="1"/>
    <w:qFormat/>
    <w:uiPriority w:val="0"/>
    <w:pPr>
      <w:widowControl/>
      <w:spacing w:before="100" w:beforeAutospacing="1" w:after="100" w:afterAutospacing="1"/>
    </w:pPr>
    <w:rPr>
      <w:rFonts w:ascii="宋体" w:hAnsi="宋体" w:cs="宋体"/>
      <w:kern w:val="0"/>
      <w:szCs w:val="24"/>
    </w:rPr>
  </w:style>
  <w:style w:type="paragraph" w:customStyle="1" w:styleId="120">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121">
    <w:name w:val="Char2 Char Char Char"/>
    <w:basedOn w:val="1"/>
    <w:qFormat/>
    <w:uiPriority w:val="0"/>
    <w:rPr>
      <w:rFonts w:ascii="仿宋_GB2312"/>
      <w:b/>
      <w:sz w:val="30"/>
      <w:szCs w:val="32"/>
    </w:rPr>
  </w:style>
  <w:style w:type="paragraph" w:customStyle="1" w:styleId="122">
    <w:name w:val="样式 样式 样式 标题 2 + 宋体 五号 非加粗 黑色 + 段前: 6 磅 段后: 0 磅 行距: 单倍行距 + 段前: 12..."/>
    <w:basedOn w:val="1"/>
    <w:qFormat/>
    <w:uiPriority w:val="0"/>
    <w:pPr>
      <w:keepNext/>
      <w:keepLines/>
      <w:tabs>
        <w:tab w:val="left" w:pos="1124"/>
      </w:tabs>
      <w:adjustRightInd w:val="0"/>
      <w:spacing w:before="240"/>
      <w:ind w:left="1124" w:hanging="420"/>
      <w:textAlignment w:val="baseline"/>
      <w:outlineLvl w:val="1"/>
    </w:pPr>
    <w:rPr>
      <w:rFonts w:ascii="宋体" w:hAnsi="宋体" w:cs="宋体"/>
      <w:color w:val="000000"/>
      <w:kern w:val="0"/>
      <w:szCs w:val="20"/>
    </w:rPr>
  </w:style>
  <w:style w:type="paragraph" w:customStyle="1" w:styleId="12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Cs w:val="24"/>
    </w:rPr>
  </w:style>
  <w:style w:type="paragraph" w:customStyle="1" w:styleId="124">
    <w:name w:val="默认段落字体 Para Char"/>
    <w:basedOn w:val="1"/>
    <w:qFormat/>
    <w:uiPriority w:val="0"/>
    <w:rPr>
      <w:rFonts w:ascii="Tahoma" w:hAnsi="Tahoma"/>
      <w:szCs w:val="20"/>
    </w:rPr>
  </w:style>
  <w:style w:type="paragraph" w:customStyle="1" w:styleId="125">
    <w:name w:val="Char Char Char Char Char Char Char Char Char"/>
    <w:basedOn w:val="1"/>
    <w:qFormat/>
    <w:uiPriority w:val="0"/>
    <w:pPr>
      <w:widowControl/>
      <w:spacing w:after="160" w:line="240" w:lineRule="exact"/>
    </w:pPr>
    <w:rPr>
      <w:rFonts w:ascii="Verdana" w:hAnsi="Verdana" w:eastAsia="仿宋_GB2312"/>
      <w:kern w:val="0"/>
      <w:szCs w:val="20"/>
      <w:lang w:eastAsia="en-US"/>
    </w:rPr>
  </w:style>
  <w:style w:type="paragraph" w:customStyle="1" w:styleId="126">
    <w:name w:val="样式 行距: 1.5 倍行距 左  3.42 字符"/>
    <w:basedOn w:val="1"/>
    <w:qFormat/>
    <w:uiPriority w:val="0"/>
    <w:pPr>
      <w:ind w:left="200" w:leftChars="200" w:firstLine="200"/>
    </w:pPr>
    <w:rPr>
      <w:rFonts w:cs="宋体"/>
      <w:szCs w:val="20"/>
    </w:rPr>
  </w:style>
  <w:style w:type="paragraph" w:customStyle="1" w:styleId="127">
    <w:name w:val="样式 正文缩进 + (中文) 仿宋_GB2312 小四 Char"/>
    <w:basedOn w:val="14"/>
    <w:qFormat/>
    <w:uiPriority w:val="0"/>
    <w:pPr>
      <w:spacing w:after="0" w:line="360" w:lineRule="auto"/>
      <w:ind w:firstLine="480"/>
    </w:pPr>
    <w:rPr>
      <w:rFonts w:ascii="宋体" w:hAnsi="宋体"/>
      <w:szCs w:val="24"/>
    </w:rPr>
  </w:style>
  <w:style w:type="paragraph" w:customStyle="1" w:styleId="128">
    <w:name w:val="表格文字"/>
    <w:basedOn w:val="1"/>
    <w:qFormat/>
    <w:uiPriority w:val="0"/>
    <w:pPr>
      <w:spacing w:beforeLines="25"/>
    </w:pPr>
    <w:rPr>
      <w:rFonts w:ascii="Times New (W1)" w:hAnsi="Times New (W1)"/>
      <w:spacing w:val="10"/>
      <w:szCs w:val="24"/>
    </w:rPr>
  </w:style>
  <w:style w:type="paragraph" w:customStyle="1" w:styleId="129">
    <w:name w:val="CD正文"/>
    <w:basedOn w:val="130"/>
    <w:qFormat/>
    <w:uiPriority w:val="0"/>
  </w:style>
  <w:style w:type="paragraph" w:customStyle="1" w:styleId="130">
    <w:name w:val="文章正文"/>
    <w:basedOn w:val="1"/>
    <w:qFormat/>
    <w:uiPriority w:val="0"/>
    <w:pPr>
      <w:ind w:firstLine="420"/>
    </w:pPr>
    <w:rPr>
      <w:szCs w:val="24"/>
    </w:rPr>
  </w:style>
  <w:style w:type="paragraph" w:customStyle="1" w:styleId="131">
    <w:name w:val="标书正文:  0.74 厘米"/>
    <w:basedOn w:val="1"/>
    <w:qFormat/>
    <w:uiPriority w:val="0"/>
    <w:pPr>
      <w:snapToGrid w:val="0"/>
      <w:ind w:firstLine="420"/>
    </w:pPr>
    <w:rPr>
      <w:szCs w:val="18"/>
    </w:rPr>
  </w:style>
  <w:style w:type="paragraph" w:customStyle="1" w:styleId="132">
    <w:name w:val="默认段落字体 Para Char Char"/>
    <w:basedOn w:val="1"/>
    <w:qFormat/>
    <w:uiPriority w:val="0"/>
    <w:rPr>
      <w:szCs w:val="24"/>
    </w:rPr>
  </w:style>
  <w:style w:type="paragraph" w:customStyle="1" w:styleId="133">
    <w:name w:val="MM Topic 6"/>
    <w:basedOn w:val="8"/>
    <w:qFormat/>
    <w:uiPriority w:val="0"/>
    <w:pPr>
      <w:tabs>
        <w:tab w:val="left" w:pos="3260"/>
        <w:tab w:val="clear" w:pos="1702"/>
      </w:tabs>
      <w:ind w:left="0" w:firstLine="0"/>
    </w:pPr>
    <w:rPr>
      <w:rFonts w:eastAsia="黑体"/>
    </w:rPr>
  </w:style>
  <w:style w:type="paragraph" w:customStyle="1" w:styleId="134">
    <w:name w:val="Char1 Char Char Char"/>
    <w:basedOn w:val="1"/>
    <w:next w:val="1"/>
    <w:qFormat/>
    <w:uiPriority w:val="0"/>
    <w:pPr>
      <w:spacing w:line="240" w:lineRule="atLeast"/>
      <w:ind w:left="420" w:firstLine="420"/>
    </w:pPr>
    <w:rPr>
      <w:kern w:val="0"/>
      <w:szCs w:val="21"/>
    </w:rPr>
  </w:style>
  <w:style w:type="paragraph" w:customStyle="1" w:styleId="135">
    <w:name w:val="样式 首行缩进:  2 字符"/>
    <w:basedOn w:val="1"/>
    <w:qFormat/>
    <w:uiPriority w:val="0"/>
    <w:pPr>
      <w:spacing w:line="400" w:lineRule="exact"/>
      <w:ind w:firstLine="200"/>
    </w:pPr>
    <w:rPr>
      <w:rFonts w:cs="宋体"/>
      <w:szCs w:val="24"/>
    </w:rPr>
  </w:style>
  <w:style w:type="paragraph" w:customStyle="1" w:styleId="136">
    <w:name w:val="Char1"/>
    <w:basedOn w:val="1"/>
    <w:next w:val="1"/>
    <w:qFormat/>
    <w:uiPriority w:val="0"/>
    <w:pPr>
      <w:spacing w:line="240" w:lineRule="atLeast"/>
      <w:ind w:left="420" w:firstLine="420"/>
    </w:pPr>
    <w:rPr>
      <w:kern w:val="0"/>
      <w:szCs w:val="21"/>
    </w:rPr>
  </w:style>
  <w:style w:type="paragraph" w:customStyle="1" w:styleId="137">
    <w:name w:val="标题 5 + 首行缩进:  2 字符"/>
    <w:basedOn w:val="7"/>
    <w:next w:val="19"/>
    <w:qFormat/>
    <w:uiPriority w:val="0"/>
    <w:pPr>
      <w:tabs>
        <w:tab w:val="left" w:pos="992"/>
        <w:tab w:val="clear" w:pos="1134"/>
      </w:tabs>
      <w:snapToGrid w:val="0"/>
      <w:spacing w:beforeLines="50" w:afterLines="50"/>
      <w:ind w:left="3570" w:firstLine="482"/>
    </w:pPr>
    <w:rPr>
      <w:color w:val="000000"/>
      <w:szCs w:val="20"/>
    </w:rPr>
  </w:style>
  <w:style w:type="paragraph" w:customStyle="1" w:styleId="138">
    <w:name w:val="Char2 Char Char Char Char Char Char"/>
    <w:basedOn w:val="1"/>
    <w:qFormat/>
    <w:uiPriority w:val="0"/>
    <w:rPr>
      <w:rFonts w:ascii="仿宋_GB2312"/>
      <w:b/>
      <w:sz w:val="30"/>
      <w:szCs w:val="32"/>
    </w:rPr>
  </w:style>
  <w:style w:type="paragraph" w:customStyle="1" w:styleId="139">
    <w:name w:val="MM Topic 2"/>
    <w:basedOn w:val="4"/>
    <w:qFormat/>
    <w:uiPriority w:val="0"/>
    <w:pPr>
      <w:numPr>
        <w:numId w:val="0"/>
      </w:numPr>
      <w:tabs>
        <w:tab w:val="left" w:pos="992"/>
      </w:tabs>
    </w:pPr>
  </w:style>
  <w:style w:type="paragraph" w:customStyle="1" w:styleId="140">
    <w:name w:val="Style Style4 + First line:  2 ch Before:  0.5 line After:  0.5 li..."/>
    <w:basedOn w:val="1"/>
    <w:qFormat/>
    <w:uiPriority w:val="0"/>
    <w:pPr>
      <w:spacing w:beforeLines="50" w:line="276" w:lineRule="auto"/>
      <w:ind w:firstLine="480"/>
    </w:pPr>
    <w:rPr>
      <w:rFonts w:ascii="Arial" w:hAnsi="Arial"/>
      <w:szCs w:val="20"/>
    </w:rPr>
  </w:style>
  <w:style w:type="paragraph" w:customStyle="1" w:styleId="141">
    <w:name w:val="正文 首行缩进:  2 字符 Char Char"/>
    <w:basedOn w:val="1"/>
    <w:qFormat/>
    <w:uiPriority w:val="0"/>
    <w:pPr>
      <w:ind w:firstLine="480"/>
    </w:pPr>
    <w:rPr>
      <w:rFonts w:cs="宋体"/>
      <w:szCs w:val="20"/>
    </w:rPr>
  </w:style>
  <w:style w:type="paragraph" w:customStyle="1" w:styleId="142">
    <w:name w:val="MM Topic 8"/>
    <w:basedOn w:val="10"/>
    <w:qFormat/>
    <w:uiPriority w:val="0"/>
    <w:pPr>
      <w:tabs>
        <w:tab w:val="left" w:pos="4394"/>
      </w:tabs>
    </w:pPr>
  </w:style>
  <w:style w:type="paragraph" w:customStyle="1" w:styleId="143">
    <w:name w:val="Char1 Char Char Char Char Char Char"/>
    <w:basedOn w:val="1"/>
    <w:qFormat/>
    <w:uiPriority w:val="0"/>
    <w:rPr>
      <w:rFonts w:ascii="Tahoma" w:hAnsi="Tahoma"/>
      <w:szCs w:val="20"/>
    </w:rPr>
  </w:style>
  <w:style w:type="paragraph" w:customStyle="1" w:styleId="144">
    <w:name w:val="RFI Heading 3rd Level"/>
    <w:basedOn w:val="1"/>
    <w:qFormat/>
    <w:uiPriority w:val="0"/>
    <w:pPr>
      <w:widowControl/>
      <w:tabs>
        <w:tab w:val="left" w:pos="720"/>
      </w:tabs>
      <w:ind w:left="720" w:hanging="720"/>
    </w:pPr>
    <w:rPr>
      <w:rFonts w:ascii="Arial (W1)" w:hAnsi="Arial (W1)"/>
      <w:color w:val="000000"/>
      <w:kern w:val="0"/>
      <w:szCs w:val="24"/>
      <w:lang w:val="en-GB" w:eastAsia="en-US"/>
    </w:rPr>
  </w:style>
  <w:style w:type="paragraph" w:customStyle="1" w:styleId="145">
    <w:name w:val="样式 小四2"/>
    <w:basedOn w:val="1"/>
    <w:qFormat/>
    <w:uiPriority w:val="0"/>
    <w:rPr>
      <w:rFonts w:ascii="宋体" w:hAnsi="宋体"/>
      <w:szCs w:val="24"/>
    </w:rPr>
  </w:style>
  <w:style w:type="paragraph" w:customStyle="1" w:styleId="14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47">
    <w:name w:val="Char Char1"/>
    <w:basedOn w:val="1"/>
    <w:next w:val="1"/>
    <w:qFormat/>
    <w:uiPriority w:val="0"/>
    <w:pPr>
      <w:spacing w:line="240" w:lineRule="atLeast"/>
      <w:ind w:left="420" w:firstLine="420"/>
    </w:pPr>
    <w:rPr>
      <w:rFonts w:ascii="楷体_GB2312" w:hAnsi="宋体" w:eastAsia="楷体_GB2312"/>
      <w:bCs/>
      <w:color w:val="000000"/>
      <w:kern w:val="0"/>
      <w:sz w:val="28"/>
      <w:szCs w:val="28"/>
    </w:rPr>
  </w:style>
  <w:style w:type="paragraph" w:customStyle="1" w:styleId="148">
    <w:name w:val="1 Char"/>
    <w:basedOn w:val="1"/>
    <w:qFormat/>
    <w:uiPriority w:val="0"/>
    <w:pPr>
      <w:widowControl/>
      <w:spacing w:after="160" w:line="240" w:lineRule="exact"/>
    </w:pPr>
    <w:rPr>
      <w:rFonts w:ascii="Tahoma" w:hAnsi="Tahoma" w:eastAsia="Times New Roman"/>
      <w:kern w:val="0"/>
      <w:szCs w:val="24"/>
      <w:lang w:eastAsia="en-US"/>
    </w:rPr>
  </w:style>
  <w:style w:type="paragraph" w:customStyle="1" w:styleId="149">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50">
    <w:name w:val="文章正文 Char Char1"/>
    <w:basedOn w:val="1"/>
    <w:qFormat/>
    <w:uiPriority w:val="0"/>
    <w:pPr>
      <w:ind w:firstLine="420"/>
    </w:pPr>
    <w:rPr>
      <w:szCs w:val="24"/>
    </w:rPr>
  </w:style>
  <w:style w:type="paragraph" w:customStyle="1" w:styleId="151">
    <w:name w:val="标题2-1"/>
    <w:basedOn w:val="1"/>
    <w:qFormat/>
    <w:uiPriority w:val="0"/>
    <w:pPr>
      <w:tabs>
        <w:tab w:val="left" w:pos="0"/>
      </w:tabs>
      <w:autoSpaceDE w:val="0"/>
      <w:autoSpaceDN w:val="0"/>
      <w:adjustRightInd w:val="0"/>
      <w:spacing w:beforeLines="50"/>
      <w:outlineLvl w:val="1"/>
    </w:pPr>
    <w:rPr>
      <w:rFonts w:ascii="Arial" w:hAnsi="宋体" w:cs="Arial"/>
      <w:b/>
      <w:bCs/>
      <w:color w:val="292929"/>
      <w:kern w:val="0"/>
      <w:sz w:val="28"/>
      <w:szCs w:val="28"/>
    </w:rPr>
  </w:style>
  <w:style w:type="paragraph" w:customStyle="1" w:styleId="15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3">
    <w:name w:val="图"/>
    <w:basedOn w:val="1"/>
    <w:qFormat/>
    <w:uiPriority w:val="0"/>
    <w:pPr>
      <w:widowControl/>
      <w:adjustRightInd w:val="0"/>
      <w:snapToGrid w:val="0"/>
      <w:jc w:val="center"/>
    </w:pPr>
    <w:rPr>
      <w:rFonts w:ascii="宋体" w:hAnsi="宋体"/>
      <w:bCs/>
      <w:szCs w:val="24"/>
    </w:rPr>
  </w:style>
  <w:style w:type="paragraph" w:customStyle="1" w:styleId="154">
    <w:name w:val="Char1 Char Char Char Char Char Char1"/>
    <w:basedOn w:val="1"/>
    <w:qFormat/>
    <w:uiPriority w:val="0"/>
    <w:rPr>
      <w:rFonts w:ascii="Tahoma" w:hAnsi="Tahoma"/>
      <w:szCs w:val="20"/>
    </w:rPr>
  </w:style>
  <w:style w:type="paragraph" w:customStyle="1" w:styleId="155">
    <w:name w:val="zw1"/>
    <w:basedOn w:val="1"/>
    <w:qFormat/>
    <w:uiPriority w:val="0"/>
    <w:pPr>
      <w:widowControl/>
      <w:ind w:firstLine="480"/>
    </w:pPr>
    <w:rPr>
      <w:kern w:val="0"/>
      <w:szCs w:val="20"/>
    </w:rPr>
  </w:style>
  <w:style w:type="paragraph" w:customStyle="1" w:styleId="156">
    <w:name w:val="Char Char Char Char Char Char Char"/>
    <w:basedOn w:val="1"/>
    <w:qFormat/>
    <w:uiPriority w:val="0"/>
    <w:pPr>
      <w:widowControl/>
      <w:snapToGrid w:val="0"/>
      <w:spacing w:line="240" w:lineRule="exact"/>
    </w:pPr>
    <w:rPr>
      <w:rFonts w:ascii="Verdana" w:hAnsi="Verdana"/>
      <w:kern w:val="0"/>
      <w:sz w:val="20"/>
      <w:szCs w:val="20"/>
      <w:lang w:eastAsia="en-US"/>
    </w:rPr>
  </w:style>
  <w:style w:type="paragraph" w:customStyle="1" w:styleId="157">
    <w:name w:val="MM Topic 1"/>
    <w:basedOn w:val="3"/>
    <w:qFormat/>
    <w:uiPriority w:val="0"/>
    <w:pPr>
      <w:tabs>
        <w:tab w:val="left" w:pos="425"/>
      </w:tabs>
    </w:pPr>
    <w:rPr>
      <w:sz w:val="44"/>
    </w:rPr>
  </w:style>
  <w:style w:type="paragraph" w:customStyle="1" w:styleId="158">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pPr>
    <w:rPr>
      <w:rFonts w:ascii="Arial" w:hAnsi="Arial"/>
      <w:bCs w:val="0"/>
      <w:iCs/>
      <w:color w:val="000000"/>
    </w:rPr>
  </w:style>
  <w:style w:type="paragraph" w:customStyle="1" w:styleId="159">
    <w:name w:val="我的正文"/>
    <w:basedOn w:val="1"/>
    <w:qFormat/>
    <w:uiPriority w:val="0"/>
    <w:pPr>
      <w:ind w:firstLine="420"/>
    </w:pPr>
    <w:rPr>
      <w:rFonts w:ascii="宋体" w:hAnsi="宋体"/>
      <w:szCs w:val="24"/>
    </w:rPr>
  </w:style>
  <w:style w:type="paragraph" w:customStyle="1" w:styleId="160">
    <w:name w:val="MM Topic 7"/>
    <w:basedOn w:val="9"/>
    <w:qFormat/>
    <w:uiPriority w:val="0"/>
    <w:pPr>
      <w:keepLines/>
      <w:widowControl w:val="0"/>
      <w:tabs>
        <w:tab w:val="left" w:pos="3827"/>
        <w:tab w:val="clear" w:pos="3600"/>
      </w:tabs>
      <w:spacing w:before="240" w:after="64" w:line="316" w:lineRule="auto"/>
      <w:jc w:val="both"/>
    </w:pPr>
    <w:rPr>
      <w:rFonts w:ascii="Times New Roman" w:hAnsi="Times New Roman"/>
      <w:iCs w:val="0"/>
      <w:kern w:val="2"/>
      <w:sz w:val="24"/>
      <w:lang w:eastAsia="zh-CN"/>
    </w:rPr>
  </w:style>
  <w:style w:type="paragraph" w:customStyle="1" w:styleId="161">
    <w:name w:val="标书（正文）"/>
    <w:basedOn w:val="1"/>
    <w:qFormat/>
    <w:uiPriority w:val="0"/>
    <w:pPr>
      <w:ind w:firstLine="560"/>
    </w:pPr>
    <w:rPr>
      <w:rFonts w:ascii="宋体" w:hAnsi="宋体"/>
      <w:kern w:val="10"/>
      <w:sz w:val="28"/>
      <w:szCs w:val="28"/>
    </w:rPr>
  </w:style>
  <w:style w:type="paragraph" w:customStyle="1" w:styleId="162">
    <w:name w:val="样式 标题 3 + (西文) 仿宋_GB2312 (中文) 仿宋_GB2312 四号"/>
    <w:basedOn w:val="5"/>
    <w:qFormat/>
    <w:uiPriority w:val="0"/>
    <w:pPr>
      <w:numPr>
        <w:numId w:val="0"/>
      </w:numPr>
      <w:tabs>
        <w:tab w:val="left" w:pos="-1991"/>
      </w:tabs>
      <w:snapToGrid w:val="0"/>
      <w:spacing w:beforeLines="50" w:line="412" w:lineRule="auto"/>
      <w:ind w:right="180" w:rightChars="100"/>
    </w:pPr>
    <w:rPr>
      <w:rFonts w:ascii="仿宋_GB2312" w:hAnsi="仿宋_GB2312" w:eastAsia="仿宋_GB2312"/>
      <w:color w:val="auto"/>
    </w:rPr>
  </w:style>
  <w:style w:type="paragraph" w:customStyle="1" w:styleId="163">
    <w:name w:val="论文正文"/>
    <w:basedOn w:val="1"/>
    <w:qFormat/>
    <w:uiPriority w:val="0"/>
    <w:pPr>
      <w:ind w:firstLine="700" w:firstLineChars="250"/>
    </w:pPr>
    <w:rPr>
      <w:rFonts w:ascii="宋体" w:hAnsi="宋体"/>
      <w:bCs/>
      <w:sz w:val="28"/>
      <w:szCs w:val="28"/>
    </w:rPr>
  </w:style>
  <w:style w:type="paragraph" w:customStyle="1" w:styleId="164">
    <w:name w:val="样式1"/>
    <w:basedOn w:val="1"/>
    <w:qFormat/>
    <w:uiPriority w:val="0"/>
    <w:rPr>
      <w:rFonts w:eastAsia="隶书"/>
      <w:i/>
      <w:dstrike/>
      <w:sz w:val="28"/>
      <w:szCs w:val="18"/>
    </w:rPr>
  </w:style>
  <w:style w:type="paragraph" w:customStyle="1" w:styleId="165">
    <w:name w:val="表格"/>
    <w:basedOn w:val="1"/>
    <w:qFormat/>
    <w:uiPriority w:val="0"/>
    <w:pPr>
      <w:spacing w:line="400" w:lineRule="exact"/>
    </w:pPr>
    <w:rPr>
      <w:szCs w:val="24"/>
    </w:rPr>
  </w:style>
  <w:style w:type="paragraph" w:customStyle="1" w:styleId="166">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67">
    <w:name w:val="Char"/>
    <w:basedOn w:val="1"/>
    <w:next w:val="1"/>
    <w:qFormat/>
    <w:uiPriority w:val="0"/>
    <w:pPr>
      <w:spacing w:line="240" w:lineRule="atLeast"/>
      <w:ind w:left="420" w:firstLine="420"/>
    </w:pPr>
    <w:rPr>
      <w:kern w:val="0"/>
      <w:szCs w:val="21"/>
    </w:rPr>
  </w:style>
  <w:style w:type="paragraph" w:customStyle="1" w:styleId="168">
    <w:name w:val="Char Char Char Char Char Char Char Char Char Char Char Char Char"/>
    <w:basedOn w:val="16"/>
    <w:qFormat/>
    <w:uiPriority w:val="0"/>
    <w:rPr>
      <w:rFonts w:ascii="Tahoma" w:hAnsi="Tahoma"/>
      <w:sz w:val="24"/>
      <w:szCs w:val="24"/>
    </w:rPr>
  </w:style>
  <w:style w:type="paragraph" w:customStyle="1" w:styleId="169">
    <w:name w:val="MM Topic 3"/>
    <w:basedOn w:val="5"/>
    <w:qFormat/>
    <w:uiPriority w:val="0"/>
    <w:pPr>
      <w:numPr>
        <w:numId w:val="0"/>
      </w:numPr>
      <w:tabs>
        <w:tab w:val="left" w:pos="1418"/>
      </w:tabs>
    </w:pPr>
  </w:style>
  <w:style w:type="paragraph" w:customStyle="1" w:styleId="170">
    <w:name w:val="样式 仿宋_GB2312 小四 左侧:  0.63 厘米"/>
    <w:basedOn w:val="1"/>
    <w:qFormat/>
    <w:uiPriority w:val="0"/>
    <w:pPr>
      <w:spacing w:before="120" w:after="120"/>
      <w:ind w:left="357" w:firstLine="200"/>
    </w:pPr>
    <w:rPr>
      <w:rFonts w:ascii="仿宋_GB2312" w:hAnsi="仿宋_GB2312" w:eastAsia="仿宋_GB2312" w:cs="宋体"/>
      <w:szCs w:val="20"/>
    </w:rPr>
  </w:style>
  <w:style w:type="paragraph" w:customStyle="1" w:styleId="171">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Cs w:val="24"/>
    </w:rPr>
  </w:style>
  <w:style w:type="paragraph" w:customStyle="1" w:styleId="172">
    <w:name w:val="Char Char Char Char"/>
    <w:basedOn w:val="1"/>
    <w:qFormat/>
    <w:uiPriority w:val="0"/>
    <w:rPr>
      <w:rFonts w:ascii="Tahoma" w:hAnsi="Tahoma"/>
      <w:szCs w:val="20"/>
    </w:rPr>
  </w:style>
  <w:style w:type="paragraph" w:customStyle="1" w:styleId="173">
    <w:name w:val="Style8"/>
    <w:basedOn w:val="1"/>
    <w:qFormat/>
    <w:uiPriority w:val="0"/>
    <w:pPr>
      <w:tabs>
        <w:tab w:val="left" w:pos="1304"/>
      </w:tabs>
      <w:spacing w:beforeLines="50" w:line="276" w:lineRule="auto"/>
      <w:ind w:left="1304" w:hanging="397"/>
    </w:pPr>
    <w:rPr>
      <w:rFonts w:ascii="Arial" w:hAnsi="Arial"/>
      <w:szCs w:val="24"/>
    </w:rPr>
  </w:style>
  <w:style w:type="paragraph" w:customStyle="1" w:styleId="174">
    <w:name w:val="MM Topic 9"/>
    <w:basedOn w:val="11"/>
    <w:qFormat/>
    <w:uiPriority w:val="0"/>
    <w:pPr>
      <w:tabs>
        <w:tab w:val="left" w:pos="5102"/>
      </w:tabs>
    </w:pPr>
  </w:style>
  <w:style w:type="paragraph" w:customStyle="1" w:styleId="175">
    <w:name w:val="MM Topic 5"/>
    <w:basedOn w:val="7"/>
    <w:qFormat/>
    <w:uiPriority w:val="0"/>
    <w:pPr>
      <w:tabs>
        <w:tab w:val="left" w:pos="2551"/>
        <w:tab w:val="clear" w:pos="1134"/>
      </w:tabs>
      <w:ind w:left="0" w:firstLine="0"/>
    </w:pPr>
  </w:style>
  <w:style w:type="paragraph" w:customStyle="1" w:styleId="176">
    <w:name w:val="大纲正文"/>
    <w:basedOn w:val="1"/>
    <w:qFormat/>
    <w:uiPriority w:val="0"/>
    <w:pPr>
      <w:ind w:firstLine="480"/>
    </w:pPr>
    <w:rPr>
      <w:szCs w:val="20"/>
    </w:rPr>
  </w:style>
  <w:style w:type="paragraph" w:customStyle="1" w:styleId="177">
    <w:name w:val="MM Topic 4"/>
    <w:basedOn w:val="6"/>
    <w:qFormat/>
    <w:uiPriority w:val="0"/>
    <w:pPr>
      <w:tabs>
        <w:tab w:val="left" w:pos="1984"/>
      </w:tabs>
      <w:ind w:left="0" w:firstLine="0"/>
    </w:pPr>
  </w:style>
  <w:style w:type="paragraph" w:customStyle="1" w:styleId="17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9">
    <w:name w:val="样式 小四 首行缩进:  0.74 厘米"/>
    <w:basedOn w:val="1"/>
    <w:qFormat/>
    <w:uiPriority w:val="0"/>
    <w:pPr>
      <w:spacing w:before="100" w:beforeAutospacing="1" w:after="100" w:afterAutospacing="1" w:line="300" w:lineRule="auto"/>
      <w:ind w:firstLine="420" w:firstLineChars="175"/>
    </w:pPr>
    <w:rPr>
      <w:rFonts w:ascii="宋体" w:hAnsi="宋体"/>
      <w:szCs w:val="24"/>
    </w:rPr>
  </w:style>
  <w:style w:type="paragraph" w:customStyle="1" w:styleId="180">
    <w:name w:val="样式 标题 2H2第一章 标题 2Heading 2 HiddenHeading 2 CCBSheading 2h2..."/>
    <w:basedOn w:val="4"/>
    <w:qFormat/>
    <w:uiPriority w:val="0"/>
    <w:pPr>
      <w:tabs>
        <w:tab w:val="left" w:pos="-2493"/>
      </w:tabs>
    </w:pPr>
    <w:rPr>
      <w:szCs w:val="20"/>
    </w:rPr>
  </w:style>
  <w:style w:type="paragraph" w:customStyle="1" w:styleId="181">
    <w:name w:val="正文首行缩进两字符"/>
    <w:basedOn w:val="1"/>
    <w:qFormat/>
    <w:uiPriority w:val="0"/>
    <w:pPr>
      <w:ind w:firstLine="200"/>
    </w:pPr>
    <w:rPr>
      <w:szCs w:val="24"/>
    </w:rPr>
  </w:style>
  <w:style w:type="paragraph" w:customStyle="1" w:styleId="182">
    <w:name w:val="列出段落2"/>
    <w:basedOn w:val="1"/>
    <w:qFormat/>
    <w:uiPriority w:val="34"/>
    <w:pPr>
      <w:ind w:firstLine="420"/>
    </w:pPr>
  </w:style>
  <w:style w:type="paragraph" w:customStyle="1" w:styleId="183">
    <w:name w:val="列出段落1"/>
    <w:basedOn w:val="1"/>
    <w:qFormat/>
    <w:uiPriority w:val="0"/>
    <w:pPr>
      <w:ind w:firstLine="420"/>
    </w:pPr>
  </w:style>
  <w:style w:type="paragraph" w:customStyle="1" w:styleId="184">
    <w:name w:val="修订1"/>
    <w:hidden/>
    <w:qFormat/>
    <w:uiPriority w:val="0"/>
    <w:rPr>
      <w:rFonts w:ascii="Calibri" w:hAnsi="Calibri" w:eastAsia="宋体" w:cs="Times New Roman"/>
      <w:kern w:val="2"/>
      <w:sz w:val="21"/>
      <w:szCs w:val="22"/>
      <w:lang w:val="en-US" w:eastAsia="zh-CN" w:bidi="ar-SA"/>
    </w:rPr>
  </w:style>
  <w:style w:type="paragraph" w:customStyle="1" w:styleId="185">
    <w:name w:val="彩色列表 - 强调文字颜色 11"/>
    <w:basedOn w:val="1"/>
    <w:qFormat/>
    <w:uiPriority w:val="0"/>
    <w:pPr>
      <w:ind w:firstLine="420"/>
    </w:pPr>
  </w:style>
  <w:style w:type="paragraph" w:customStyle="1" w:styleId="186">
    <w:name w:val="List Paragraph1"/>
    <w:basedOn w:val="1"/>
    <w:qFormat/>
    <w:uiPriority w:val="0"/>
    <w:pPr>
      <w:ind w:firstLine="420"/>
    </w:pPr>
    <w:rPr>
      <w:szCs w:val="24"/>
    </w:rPr>
  </w:style>
  <w:style w:type="character" w:customStyle="1" w:styleId="187">
    <w:name w:val="font01"/>
    <w:basedOn w:val="45"/>
    <w:qFormat/>
    <w:uiPriority w:val="0"/>
    <w:rPr>
      <w:rFonts w:hint="eastAsia" w:ascii="宋体" w:hAnsi="宋体" w:eastAsia="宋体" w:cs="宋体"/>
      <w:color w:val="000000"/>
      <w:sz w:val="24"/>
      <w:szCs w:val="24"/>
      <w:u w:val="none"/>
    </w:rPr>
  </w:style>
  <w:style w:type="character" w:customStyle="1" w:styleId="188">
    <w:name w:val="font11"/>
    <w:basedOn w:val="45"/>
    <w:qFormat/>
    <w:uiPriority w:val="0"/>
    <w:rPr>
      <w:rFonts w:hint="eastAsia" w:ascii="宋体" w:hAnsi="宋体" w:eastAsia="宋体" w:cs="宋体"/>
      <w:color w:val="000000"/>
      <w:sz w:val="22"/>
      <w:szCs w:val="22"/>
      <w:u w:val="none"/>
    </w:rPr>
  </w:style>
  <w:style w:type="paragraph" w:customStyle="1" w:styleId="189">
    <w:name w:val="列出段落11"/>
    <w:basedOn w:val="1"/>
    <w:qFormat/>
    <w:uiPriority w:val="34"/>
    <w:pPr>
      <w:ind w:firstLine="420"/>
    </w:pPr>
  </w:style>
  <w:style w:type="paragraph" w:customStyle="1" w:styleId="190">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191">
    <w:name w:val="列出段落3"/>
    <w:basedOn w:val="1"/>
    <w:qFormat/>
    <w:uiPriority w:val="34"/>
    <w:pPr>
      <w:ind w:firstLine="420"/>
    </w:pPr>
  </w:style>
  <w:style w:type="table" w:customStyle="1" w:styleId="192">
    <w:name w:val="网格型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3">
    <w:name w:val="_Style 1"/>
    <w:basedOn w:val="1"/>
    <w:qFormat/>
    <w:uiPriority w:val="0"/>
    <w:pPr>
      <w:ind w:firstLine="420"/>
    </w:pPr>
  </w:style>
  <w:style w:type="paragraph" w:customStyle="1" w:styleId="194">
    <w:name w:val="样式2"/>
    <w:basedOn w:val="1"/>
    <w:qFormat/>
    <w:uiPriority w:val="0"/>
    <w:pPr>
      <w:ind w:firstLine="200"/>
    </w:pPr>
    <w:rPr>
      <w:rFonts w:eastAsia="仿宋_GB2312"/>
    </w:rPr>
  </w:style>
  <w:style w:type="paragraph" w:customStyle="1" w:styleId="195">
    <w:name w:val="Default"/>
    <w:qFormat/>
    <w:uiPriority w:val="0"/>
    <w:pPr>
      <w:widowControl w:val="0"/>
      <w:autoSpaceDE w:val="0"/>
      <w:autoSpaceDN w:val="0"/>
      <w:adjustRightInd w:val="0"/>
      <w:spacing w:after="160" w:line="259" w:lineRule="auto"/>
    </w:pPr>
    <w:rPr>
      <w:rFonts w:ascii="宋体" w:hAnsi="Calibri" w:eastAsia="宋体" w:cs="宋体"/>
      <w:color w:val="000000"/>
      <w:sz w:val="24"/>
      <w:szCs w:val="24"/>
      <w:lang w:val="en-US" w:eastAsia="zh-CN" w:bidi="ar-SA"/>
    </w:rPr>
  </w:style>
  <w:style w:type="paragraph" w:customStyle="1" w:styleId="196">
    <w:name w:val="Quote"/>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customStyle="1" w:styleId="197">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8">
    <w:name w:val="图表文（硬梁包）"/>
    <w:qFormat/>
    <w:uiPriority w:val="0"/>
    <w:pPr>
      <w:spacing w:line="240" w:lineRule="atLeast"/>
      <w:jc w:val="center"/>
    </w:pPr>
    <w:rPr>
      <w:rFonts w:ascii="宋体" w:hAnsi="宋体" w:eastAsia="宋体" w:cs="宋体"/>
      <w:w w:val="90"/>
      <w:kern w:val="2"/>
      <w:sz w:val="21"/>
      <w:szCs w:val="21"/>
      <w:lang w:val="en-US" w:eastAsia="zh-CN" w:bidi="ar-SA"/>
    </w:rPr>
  </w:style>
  <w:style w:type="paragraph" w:customStyle="1" w:styleId="199">
    <w:name w:val="列表段落11"/>
    <w:basedOn w:val="1"/>
    <w:qFormat/>
    <w:uiPriority w:val="99"/>
    <w:pPr>
      <w:ind w:left="720"/>
      <w:contextualSpacing/>
    </w:pPr>
    <w:rPr>
      <w:rFonts w:ascii="Calibri" w:hAnsi="Calibri" w:eastAsia="宋体" w:cs="Times New Roman"/>
      <w:szCs w:val="22"/>
    </w:rPr>
  </w:style>
  <w:style w:type="character" w:customStyle="1" w:styleId="200">
    <w:name w:val="font31"/>
    <w:basedOn w:val="45"/>
    <w:qFormat/>
    <w:uiPriority w:val="0"/>
    <w:rPr>
      <w:rFonts w:ascii="Tahoma" w:hAnsi="Tahoma" w:eastAsia="Tahoma" w:cs="Tahoma"/>
      <w:color w:val="000000"/>
      <w:sz w:val="24"/>
      <w:szCs w:val="24"/>
      <w:u w:val="none"/>
    </w:rPr>
  </w:style>
  <w:style w:type="character" w:customStyle="1" w:styleId="201">
    <w:name w:val="font21"/>
    <w:basedOn w:val="4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5041FF-EF2A-46E9-8ECE-EC2E20CFAC36}">
  <ds:schemaRefs/>
</ds:datastoreItem>
</file>

<file path=docProps/app.xml><?xml version="1.0" encoding="utf-8"?>
<Properties xmlns="http://schemas.openxmlformats.org/officeDocument/2006/extended-properties" xmlns:vt="http://schemas.openxmlformats.org/officeDocument/2006/docPropsVTypes">
  <Template>Normal</Template>
  <Pages>65</Pages>
  <Words>5363</Words>
  <Characters>30574</Characters>
  <Lines>254</Lines>
  <Paragraphs>71</Paragraphs>
  <TotalTime>32</TotalTime>
  <ScaleCrop>false</ScaleCrop>
  <LinksUpToDate>false</LinksUpToDate>
  <CharactersWithSpaces>35866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2016-12-15T08:05:00Z</dcterms:created>
  <dc:creator>hyf</dc:creator>
  <cp:lastModifiedBy>王先生</cp:lastModifiedBy>
  <cp:lastPrinted>2017-11-27T06:31:00Z</cp:lastPrinted>
  <dcterms:modified xsi:type="dcterms:W3CDTF">2021-06-07T06:09:03Z</dcterms:modified>
  <dc:title>招 标 文 件</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878430155A1A4798AA91C8F3EA0E53B8</vt:lpwstr>
  </property>
</Properties>
</file>