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 xml:space="preserve">中共成都市双流区委宣传部《流的金 流的情》新书发布活动采购项目 </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510122202100497</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中共成都市双流区委宣传部</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十一</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13967"/>
      <w:bookmarkStart w:id="1" w:name="_Toc16046"/>
      <w:bookmarkStart w:id="2" w:name="_Toc26317"/>
      <w:bookmarkStart w:id="3" w:name="_Toc8149"/>
      <w:bookmarkStart w:id="4" w:name="_Toc779"/>
      <w:bookmarkStart w:id="5" w:name="_Toc8202"/>
      <w:bookmarkStart w:id="6" w:name="_Toc32088"/>
      <w:bookmarkStart w:id="7" w:name="_Toc14670"/>
      <w:bookmarkStart w:id="8" w:name="_Toc9012"/>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bookmarkEnd w:id="7"/>
      <w:bookmarkEnd w:id="8"/>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9" w:name="_Toc5797"/>
      <w:bookmarkStart w:id="10" w:name="_Toc17493"/>
      <w:bookmarkStart w:id="11" w:name="_Toc8336"/>
      <w:bookmarkStart w:id="12" w:name="_Toc24259"/>
      <w:bookmarkStart w:id="13" w:name="_Toc26503"/>
      <w:bookmarkStart w:id="14" w:name="_Toc7667"/>
      <w:bookmarkStart w:id="15" w:name="_Toc839"/>
      <w:bookmarkStart w:id="16" w:name="_Toc7680"/>
      <w:bookmarkStart w:id="17" w:name="_Toc26689"/>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9"/>
      <w:bookmarkEnd w:id="10"/>
      <w:bookmarkEnd w:id="11"/>
      <w:bookmarkEnd w:id="12"/>
      <w:bookmarkEnd w:id="13"/>
      <w:bookmarkEnd w:id="14"/>
      <w:bookmarkEnd w:id="15"/>
      <w:bookmarkEnd w:id="16"/>
      <w:bookmarkEnd w:id="17"/>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18" w:name="_Toc16636"/>
      <w:bookmarkStart w:id="19" w:name="_Toc11470"/>
      <w:bookmarkStart w:id="20" w:name="_Toc6362"/>
      <w:bookmarkStart w:id="21" w:name="_Toc5414"/>
      <w:bookmarkStart w:id="22" w:name="_Toc13945"/>
      <w:bookmarkStart w:id="23" w:name="_Toc8421"/>
      <w:bookmarkStart w:id="24" w:name="_Toc28541"/>
      <w:bookmarkStart w:id="25" w:name="_Toc3992"/>
      <w:bookmarkStart w:id="26" w:name="_Toc25721"/>
      <w:r>
        <w:rPr>
          <w:rFonts w:hint="eastAsia" w:ascii="宋体" w:hAnsi="宋体" w:eastAsia="宋体" w:cs="宋体"/>
          <w:b/>
          <w:bCs w:val="0"/>
          <w:color w:val="auto"/>
          <w:sz w:val="32"/>
          <w:szCs w:val="32"/>
          <w:highlight w:val="none"/>
          <w:lang w:eastAsia="zh-CN"/>
        </w:rPr>
        <w:t>“蓉采贷”业务介绍</w:t>
      </w:r>
      <w:bookmarkEnd w:id="18"/>
      <w:bookmarkEnd w:id="19"/>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银行名称</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联系部门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中小企业部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中国建设银行成都第六支行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中国农业银行成都天府新区分行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浦发银行成都分行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中国民生银行成都分行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中国邮政储蓄银行成都分行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招商银行成都分行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广发银行成都分行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东大街支部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重庆银行成都分行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小微企业银行部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_Toc6014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_Toc6014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_Toc8542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_Toc8542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_Toc9971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_Toc9971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_Toc18562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_Toc18562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_Toc14621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_Toc14621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_Toc25316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_Toc25316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_Toc16503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_Toc16503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_Toc28147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_Toc28147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_Toc19985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_Toc19985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_Toc630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_Toc630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_Toc31678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_Toc31678 \h </w:instrText>
      </w:r>
      <w:r>
        <w:fldChar w:fldCharType="separate"/>
      </w:r>
      <w:r>
        <w:t>12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_Toc20080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_Toc20080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_Toc21743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_Toc21743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_Toc22304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_Toc22304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_Toc6960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ascii="宋体" w:hAnsi="宋体" w:eastAsia="宋体" w:cs="宋体"/>
          <w:szCs w:val="24"/>
          <w:highlight w:val="none"/>
        </w:rPr>
        <w:t>签订合同</w:t>
      </w:r>
      <w:r>
        <w:tab/>
      </w:r>
      <w:r>
        <w:fldChar w:fldCharType="begin"/>
      </w:r>
      <w:r>
        <w:instrText xml:space="preserve"> PAGEREF _Toc6960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_Toc3081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_Toc3081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_Toc27539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_Toc27539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_Toc15138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_Toc15138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_Toc13470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_Toc13470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_Toc14239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_Toc14239 \h </w:instrText>
      </w:r>
      <w:r>
        <w:fldChar w:fldCharType="separate"/>
      </w:r>
      <w:r>
        <w:t>24</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_Toc10352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_Toc10352 \h </w:instrText>
      </w:r>
      <w:r>
        <w:fldChar w:fldCharType="separate"/>
      </w:r>
      <w:r>
        <w:t>25</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_Toc20468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_Toc20468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_Toc30003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_Toc30003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_Toc21761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_Toc21761 \h </w:instrText>
      </w:r>
      <w:r>
        <w:fldChar w:fldCharType="separate"/>
      </w:r>
      <w:r>
        <w:t>39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_Toc7716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_Toc7716 \h </w:instrText>
      </w:r>
      <w:r>
        <w:fldChar w:fldCharType="separate"/>
      </w:r>
      <w:r>
        <w:t>46</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_Toc17287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_Toc17287 \h </w:instrText>
      </w:r>
      <w:r>
        <w:fldChar w:fldCharType="separate"/>
      </w:r>
      <w:r>
        <w:t>47</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27" w:name="_Toc6014"/>
      <w:r>
        <w:rPr>
          <w:rFonts w:hint="eastAsia"/>
          <w:color w:val="auto"/>
          <w:highlight w:val="none"/>
        </w:rPr>
        <w:t>竞争性磋商邀请</w:t>
      </w:r>
      <w:bookmarkEnd w:id="27"/>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中共成都市双流区委宣传部</w:t>
      </w:r>
      <w:r>
        <w:rPr>
          <w:rFonts w:hint="eastAsia" w:ascii="宋体" w:hAnsi="宋体"/>
          <w:color w:val="auto"/>
          <w:highlight w:val="none"/>
        </w:rPr>
        <w:t>的委托，拟对</w:t>
      </w:r>
      <w:r>
        <w:rPr>
          <w:rFonts w:hint="eastAsia" w:ascii="宋体" w:hAnsi="宋体"/>
          <w:b/>
          <w:color w:val="auto"/>
          <w:highlight w:val="none"/>
          <w:u w:val="single"/>
          <w:lang w:eastAsia="zh-CN"/>
        </w:rPr>
        <w:t xml:space="preserve">中共成都市双流区委宣传部《流的金 流的情》新书发布活动采购项目 </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510122202100497</w:t>
      </w:r>
      <w:r>
        <w:rPr>
          <w:rFonts w:hint="eastAsia" w:ascii="宋体" w:hAnsi="宋体"/>
          <w:b/>
          <w:color w:val="auto"/>
          <w:highlight w:val="none"/>
        </w:rPr>
        <w:t>。</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中共成都市双流区委宣传部《流的金 流的情》新书发布活动采购项目</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C0899（其它商务服务）</w:t>
      </w:r>
      <w:r>
        <w:rPr>
          <w:rFonts w:hint="eastAsia" w:ascii="宋体" w:hAnsi="宋体"/>
          <w:color w:val="auto"/>
          <w:highlight w:val="none"/>
        </w:rPr>
        <w:t>；预算金额：</w:t>
      </w:r>
      <w:r>
        <w:rPr>
          <w:rFonts w:hint="eastAsia" w:ascii="宋体" w:hAnsi="宋体"/>
          <w:color w:val="auto"/>
          <w:highlight w:val="none"/>
          <w:lang w:val="en-US" w:eastAsia="zh-CN"/>
        </w:rPr>
        <w:t>63万元；最高限价：58万元。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6"/>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69"/>
        <w:keepNext w:val="0"/>
        <w:keepLines w:val="0"/>
        <w:pageBreakBefore w:val="0"/>
        <w:numPr>
          <w:ilvl w:val="0"/>
          <w:numId w:val="0"/>
        </w:numPr>
        <w:tabs>
          <w:tab w:val="left" w:pos="1260"/>
        </w:tabs>
        <w:kinsoku/>
        <w:wordWrap/>
        <w:overflowPunct/>
        <w:topLinePunct w:val="0"/>
        <w:bidi w:val="0"/>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一</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具备《中华人民共和国政府采购法》第二十二条规定的条件：</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具有依法缴纳税收和社会保障资金的良好记录；</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p>
    <w:p>
      <w:pPr>
        <w:keepNext w:val="0"/>
        <w:keepLines w:val="0"/>
        <w:pageBreakBefore w:val="0"/>
        <w:numPr>
          <w:ilvl w:val="0"/>
          <w:numId w:val="7"/>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法律、行政法规规定的其他条件。</w:t>
      </w:r>
    </w:p>
    <w:p>
      <w:pPr>
        <w:pStyle w:val="169"/>
        <w:keepNext w:val="0"/>
        <w:keepLines w:val="0"/>
        <w:pageBreakBefore w:val="0"/>
        <w:numPr>
          <w:ilvl w:val="0"/>
          <w:numId w:val="0"/>
        </w:numPr>
        <w:tabs>
          <w:tab w:val="left" w:pos="1260"/>
        </w:tabs>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本项目专门面向中小企业采购；（供应商为监狱企业、残疾人福利性单位的视同小型、微型企业）</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接受联合体</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w:t>
      </w:r>
    </w:p>
    <w:p>
      <w:pPr>
        <w:keepNext w:val="0"/>
        <w:keepLines w:val="0"/>
        <w:pageBreakBefore w:val="0"/>
        <w:numPr>
          <w:ilvl w:val="0"/>
          <w:numId w:val="6"/>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08</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12</w:t>
      </w:r>
      <w:r>
        <w:rPr>
          <w:rFonts w:hint="eastAsia" w:ascii="宋体" w:hAnsi="宋体"/>
          <w:color w:val="auto"/>
          <w:highlight w:val="none"/>
        </w:rPr>
        <w:t>日（北京时间，法定公休日、法定节假日除外，每日09：00时至17：00时）。</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hint="eastAsia" w:ascii="宋体" w:hAnsi="宋体"/>
          <w:b/>
          <w:color w:val="auto"/>
          <w:highlight w:val="none"/>
        </w:rPr>
      </w:pPr>
      <w:r>
        <w:rPr>
          <w:rFonts w:hint="eastAsia" w:ascii="宋体" w:hAnsi="宋体"/>
          <w:b/>
          <w:color w:val="auto"/>
          <w:highlight w:val="none"/>
          <w:lang w:val="en-US" w:eastAsia="zh-CN"/>
        </w:rPr>
        <w:t>磋商文件获取方式：</w:t>
      </w:r>
      <w:r>
        <w:rPr>
          <w:rFonts w:hint="eastAsia" w:ascii="宋体" w:hAnsi="宋体"/>
          <w:b/>
          <w:color w:val="auto"/>
          <w:highlight w:val="none"/>
        </w:rPr>
        <w:t>供应商从“政府采购云平台”获取磋商文件（网址：https://www.zcygov.cn）。登录政府采购云平台—项目采购—获取磋商文件—申请获取磋商文件。</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hint="eastAsia" w:ascii="宋体" w:hAnsi="宋体"/>
          <w:b/>
          <w:color w:val="auto"/>
          <w:highlight w:val="none"/>
        </w:rPr>
      </w:pPr>
      <w:r>
        <w:rPr>
          <w:rFonts w:hint="eastAsia" w:ascii="宋体" w:hAnsi="宋体"/>
          <w:b/>
          <w:color w:val="auto"/>
          <w:highlight w:val="none"/>
        </w:rPr>
        <w:t>提示：（1）本项目磋商文件免费获取。（2）供应商只有在“政府采购云平台”完成获取磋商文件申请并下载磋商文件后才视作依法参与本项目。如未在“政府采购云平台”内完成相关流程，引起的投标无效责任自负。</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ascii="宋体" w:hAnsi="宋体"/>
          <w:color w:val="auto"/>
          <w:highlight w:val="none"/>
        </w:rPr>
      </w:pPr>
      <w:r>
        <w:rPr>
          <w:rFonts w:hint="eastAsia" w:ascii="宋体" w:hAnsi="宋体"/>
          <w:b/>
          <w:color w:val="auto"/>
          <w:highlight w:val="none"/>
          <w:lang w:val="en-US" w:eastAsia="zh-CN"/>
        </w:rPr>
        <w:t>七、</w:t>
      </w:r>
      <w:r>
        <w:rPr>
          <w:rFonts w:hint="eastAsia" w:ascii="宋体" w:hAnsi="宋体"/>
          <w:b/>
          <w:color w:val="auto"/>
          <w:highlight w:val="none"/>
          <w:lang w:val="zh-CN"/>
        </w:rPr>
        <w:t>响应文件递交截止时间：202</w:t>
      </w:r>
      <w:r>
        <w:rPr>
          <w:rFonts w:hint="eastAsia" w:ascii="宋体" w:hAnsi="宋体"/>
          <w:b/>
          <w:color w:val="auto"/>
          <w:highlight w:val="none"/>
          <w:lang w:val="en-US" w:eastAsia="zh-CN"/>
        </w:rPr>
        <w:t>1</w:t>
      </w:r>
      <w:r>
        <w:rPr>
          <w:rFonts w:hint="eastAsia" w:ascii="宋体" w:hAnsi="宋体"/>
          <w:b/>
          <w:color w:val="auto"/>
          <w:highlight w:val="none"/>
          <w:lang w:val="zh-CN"/>
        </w:rPr>
        <w:t>年</w:t>
      </w:r>
      <w:r>
        <w:rPr>
          <w:rFonts w:hint="eastAsia" w:ascii="宋体" w:hAnsi="宋体"/>
          <w:b/>
          <w:color w:val="auto"/>
          <w:highlight w:val="none"/>
          <w:lang w:val="en-US" w:eastAsia="zh-CN"/>
        </w:rPr>
        <w:t>11</w:t>
      </w:r>
      <w:r>
        <w:rPr>
          <w:rFonts w:hint="eastAsia" w:ascii="宋体" w:hAnsi="宋体"/>
          <w:b/>
          <w:color w:val="auto"/>
          <w:highlight w:val="none"/>
          <w:lang w:val="zh-CN"/>
        </w:rPr>
        <w:t>月</w:t>
      </w:r>
      <w:r>
        <w:rPr>
          <w:rFonts w:hint="eastAsia" w:ascii="宋体" w:hAnsi="宋体"/>
          <w:b/>
          <w:color w:val="auto"/>
          <w:highlight w:val="none"/>
          <w:lang w:val="en-US" w:eastAsia="zh-CN"/>
        </w:rPr>
        <w:t>18</w:t>
      </w:r>
      <w:r>
        <w:rPr>
          <w:rFonts w:hint="eastAsia" w:ascii="宋体" w:hAnsi="宋体"/>
          <w:b/>
          <w:color w:val="auto"/>
          <w:highlight w:val="none"/>
          <w:lang w:val="zh-CN"/>
        </w:rPr>
        <w:t>日10:30(北京时间)</w:t>
      </w:r>
      <w:r>
        <w:rPr>
          <w:rFonts w:hint="eastAsia" w:ascii="宋体" w:hAnsi="宋体" w:cs="宋体"/>
          <w:b/>
          <w:bCs/>
          <w:color w:val="auto"/>
          <w:highlight w:val="none"/>
          <w:lang w:val="zh-CN"/>
        </w:rPr>
        <w:t>。</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0"/>
        </w:numPr>
        <w:kinsoku/>
        <w:wordWrap/>
        <w:overflowPunct/>
        <w:topLinePunct w:val="0"/>
        <w:bidi w:val="0"/>
        <w:snapToGrid/>
        <w:spacing w:line="420" w:lineRule="exact"/>
        <w:ind w:leftChars="200"/>
        <w:textAlignment w:val="auto"/>
        <w:rPr>
          <w:rFonts w:ascii="宋体" w:hAnsi="宋体"/>
          <w:color w:val="auto"/>
          <w:highlight w:val="none"/>
        </w:rPr>
      </w:pPr>
      <w:r>
        <w:rPr>
          <w:rFonts w:hint="eastAsia" w:ascii="宋体" w:hAnsi="宋体"/>
          <w:b/>
          <w:color w:val="auto"/>
          <w:highlight w:val="none"/>
          <w:lang w:val="en-US" w:eastAsia="zh-CN"/>
        </w:rPr>
        <w:t>八、</w:t>
      </w: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olor w:val="auto"/>
          <w:highlight w:val="none"/>
          <w:lang w:val="en-US" w:eastAsia="zh-CN"/>
        </w:rPr>
        <w:t>成都市</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0"/>
        </w:numPr>
        <w:kinsoku/>
        <w:wordWrap/>
        <w:overflowPunct/>
        <w:topLinePunct w:val="0"/>
        <w:bidi w:val="0"/>
        <w:snapToGrid/>
        <w:spacing w:line="420" w:lineRule="exact"/>
        <w:ind w:leftChars="200"/>
        <w:textAlignment w:val="auto"/>
        <w:rPr>
          <w:rFonts w:ascii="宋体" w:hAnsi="宋体"/>
          <w:b/>
          <w:color w:val="auto"/>
          <w:highlight w:val="none"/>
        </w:rPr>
      </w:pPr>
      <w:r>
        <w:rPr>
          <w:rFonts w:hint="eastAsia" w:ascii="宋体" w:hAnsi="宋体"/>
          <w:b/>
          <w:color w:val="auto"/>
          <w:highlight w:val="none"/>
          <w:lang w:val="en-US" w:eastAsia="zh-CN"/>
        </w:rPr>
        <w:t>九、</w:t>
      </w:r>
      <w:r>
        <w:rPr>
          <w:rFonts w:hint="eastAsia" w:ascii="宋体" w:hAnsi="宋体"/>
          <w:b/>
          <w:color w:val="auto"/>
          <w:highlight w:val="none"/>
        </w:rPr>
        <w:t>磋商地点：</w:t>
      </w:r>
      <w:r>
        <w:rPr>
          <w:rFonts w:hint="eastAsia" w:ascii="宋体" w:hAnsi="宋体" w:cs="宋体"/>
          <w:color w:val="auto"/>
          <w:highlight w:val="none"/>
          <w:lang w:val="en-US" w:eastAsia="zh-CN"/>
        </w:rPr>
        <w:t>成都市</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0"/>
        </w:numPr>
        <w:kinsoku/>
        <w:wordWrap/>
        <w:overflowPunct/>
        <w:topLinePunct w:val="0"/>
        <w:bidi w:val="0"/>
        <w:snapToGrid/>
        <w:spacing w:line="420" w:lineRule="exact"/>
        <w:ind w:leftChars="200"/>
        <w:textAlignment w:val="auto"/>
        <w:rPr>
          <w:rFonts w:ascii="宋体" w:hAnsi="宋体"/>
          <w:b/>
          <w:color w:val="auto"/>
          <w:highlight w:val="none"/>
        </w:rPr>
      </w:pPr>
      <w:r>
        <w:rPr>
          <w:rFonts w:hint="eastAsia" w:ascii="宋体" w:hAnsi="宋体"/>
          <w:b/>
          <w:color w:val="auto"/>
          <w:highlight w:val="none"/>
          <w:lang w:val="en-US" w:eastAsia="zh-CN"/>
        </w:rPr>
        <w:t>十、</w:t>
      </w:r>
      <w:r>
        <w:rPr>
          <w:rFonts w:hint="eastAsia" w:ascii="宋体" w:hAnsi="宋体"/>
          <w:b/>
          <w:color w:val="auto"/>
          <w:highlight w:val="none"/>
        </w:rPr>
        <w:t>联系人及联系电话</w:t>
      </w:r>
    </w:p>
    <w:p>
      <w:pPr>
        <w:keepNext w:val="0"/>
        <w:keepLines w:val="0"/>
        <w:pageBreakBefore w:val="0"/>
        <w:widowControl w:val="0"/>
        <w:kinsoku/>
        <w:wordWrap/>
        <w:overflowPunct/>
        <w:topLinePunct w:val="0"/>
        <w:bidi w:val="0"/>
        <w:snapToGrid/>
        <w:spacing w:line="360" w:lineRule="auto"/>
        <w:ind w:left="480" w:leftChars="200"/>
        <w:jc w:val="both"/>
        <w:textAlignment w:val="auto"/>
        <w:rPr>
          <w:color w:val="auto"/>
          <w:kern w:val="2"/>
          <w:highlight w:val="none"/>
        </w:rPr>
      </w:pPr>
      <w:bookmarkStart w:id="28" w:name="_Toc391885334"/>
      <w:bookmarkStart w:id="29" w:name="_Toc381263230"/>
      <w:bookmarkStart w:id="30" w:name="_Toc287623638"/>
      <w:r>
        <w:rPr>
          <w:color w:val="auto"/>
          <w:kern w:val="2"/>
          <w:highlight w:val="none"/>
        </w:rPr>
        <w:t>采 购 人：</w:t>
      </w:r>
      <w:r>
        <w:rPr>
          <w:rFonts w:hint="eastAsia"/>
          <w:color w:val="auto"/>
          <w:highlight w:val="none"/>
          <w:lang w:eastAsia="zh-CN"/>
        </w:rPr>
        <w:t>中共成都市双流区委宣传部；</w:t>
      </w:r>
    </w:p>
    <w:p>
      <w:pPr>
        <w:pStyle w:val="16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b w:val="0"/>
          <w:bCs/>
          <w:color w:val="auto"/>
          <w:sz w:val="24"/>
          <w:szCs w:val="24"/>
          <w:highlight w:val="yellow"/>
          <w:lang w:eastAsia="zh-CN"/>
        </w:rPr>
      </w:pPr>
      <w:r>
        <w:rPr>
          <w:rFonts w:hint="eastAsia" w:ascii="宋体" w:hAnsi="宋体"/>
          <w:b w:val="0"/>
          <w:bCs/>
          <w:color w:val="auto"/>
          <w:sz w:val="24"/>
          <w:szCs w:val="24"/>
          <w:highlight w:val="none"/>
          <w:lang w:eastAsia="zh-CN"/>
        </w:rPr>
        <w:t>联</w:t>
      </w:r>
      <w:r>
        <w:rPr>
          <w:rFonts w:hint="eastAsia" w:ascii="宋体" w:hAnsi="宋体"/>
          <w:b w:val="0"/>
          <w:bCs/>
          <w:color w:val="auto"/>
          <w:sz w:val="24"/>
          <w:szCs w:val="24"/>
          <w:highlight w:val="none"/>
          <w:lang w:val="en-US" w:eastAsia="zh-CN"/>
        </w:rPr>
        <w:t xml:space="preserve"> </w:t>
      </w:r>
      <w:r>
        <w:rPr>
          <w:rFonts w:hint="eastAsia" w:ascii="宋体" w:hAnsi="宋体"/>
          <w:b w:val="0"/>
          <w:bCs/>
          <w:color w:val="auto"/>
          <w:sz w:val="24"/>
          <w:szCs w:val="24"/>
          <w:highlight w:val="none"/>
          <w:lang w:eastAsia="zh-CN"/>
        </w:rPr>
        <w:t>系</w:t>
      </w:r>
      <w:r>
        <w:rPr>
          <w:rFonts w:hint="eastAsia" w:ascii="宋体" w:hAnsi="宋体"/>
          <w:b w:val="0"/>
          <w:bCs/>
          <w:color w:val="auto"/>
          <w:sz w:val="24"/>
          <w:szCs w:val="24"/>
          <w:highlight w:val="none"/>
          <w:lang w:val="en-US" w:eastAsia="zh-CN"/>
        </w:rPr>
        <w:t xml:space="preserve"> </w:t>
      </w:r>
      <w:r>
        <w:rPr>
          <w:rFonts w:hint="eastAsia" w:ascii="宋体" w:hAnsi="宋体"/>
          <w:b w:val="0"/>
          <w:bCs/>
          <w:color w:val="auto"/>
          <w:sz w:val="24"/>
          <w:szCs w:val="24"/>
          <w:highlight w:val="none"/>
          <w:lang w:eastAsia="zh-CN"/>
        </w:rPr>
        <w:t>人：</w:t>
      </w:r>
      <w:r>
        <w:rPr>
          <w:rFonts w:hint="eastAsia" w:ascii="宋体" w:hAnsi="宋体"/>
          <w:b w:val="0"/>
          <w:bCs/>
          <w:color w:val="auto"/>
          <w:sz w:val="24"/>
          <w:szCs w:val="24"/>
          <w:highlight w:val="none"/>
          <w:lang w:val="en-US" w:eastAsia="zh-CN"/>
        </w:rPr>
        <w:t>何</w:t>
      </w:r>
      <w:r>
        <w:rPr>
          <w:rFonts w:hint="eastAsia" w:ascii="宋体" w:hAnsi="宋体" w:cs="宋体"/>
          <w:bCs/>
          <w:color w:val="auto"/>
          <w:kern w:val="0"/>
          <w:sz w:val="24"/>
          <w:szCs w:val="24"/>
          <w:highlight w:val="none"/>
          <w:lang w:val="en-US" w:eastAsia="zh-CN" w:bidi="ar-SA"/>
        </w:rPr>
        <w:t>老师；</w:t>
      </w:r>
    </w:p>
    <w:p>
      <w:pPr>
        <w:pStyle w:val="16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auto"/>
          <w:kern w:val="0"/>
          <w:sz w:val="24"/>
          <w:szCs w:val="24"/>
          <w:highlight w:val="yellow"/>
          <w:lang w:val="en-US" w:eastAsia="zh-CN" w:bidi="ar-SA"/>
        </w:rPr>
      </w:pPr>
      <w:r>
        <w:rPr>
          <w:rFonts w:hint="eastAsia" w:ascii="Times New Roman" w:hAnsi="Times New Roman" w:eastAsia="宋体" w:cs="Times New Roman"/>
          <w:color w:val="auto"/>
          <w:kern w:val="0"/>
          <w:sz w:val="24"/>
          <w:szCs w:val="24"/>
          <w:highlight w:val="none"/>
          <w:lang w:val="en-US" w:eastAsia="zh-CN" w:bidi="ar-SA"/>
        </w:rPr>
        <w:t>联系电话：</w:t>
      </w:r>
      <w:r>
        <w:rPr>
          <w:rFonts w:hint="eastAsia" w:ascii="宋体" w:hAnsi="宋体" w:eastAsia="宋体" w:cs="宋体"/>
          <w:color w:val="auto"/>
          <w:kern w:val="0"/>
          <w:sz w:val="24"/>
          <w:szCs w:val="24"/>
          <w:highlight w:val="none"/>
          <w:lang w:val="en-US" w:eastAsia="zh-CN" w:bidi="ar-SA"/>
        </w:rPr>
        <w:t>028-85</w:t>
      </w:r>
      <w:r>
        <w:rPr>
          <w:rFonts w:hint="eastAsia" w:ascii="宋体" w:hAnsi="宋体" w:cs="宋体"/>
          <w:color w:val="auto"/>
          <w:kern w:val="0"/>
          <w:sz w:val="24"/>
          <w:szCs w:val="24"/>
          <w:highlight w:val="none"/>
          <w:lang w:val="en-US" w:eastAsia="zh-CN" w:bidi="ar-SA"/>
        </w:rPr>
        <w:t>831263；</w:t>
      </w:r>
    </w:p>
    <w:p>
      <w:pPr>
        <w:keepNext w:val="0"/>
        <w:keepLines w:val="0"/>
        <w:pageBreakBefore w:val="0"/>
        <w:widowControl w:val="0"/>
        <w:kinsoku/>
        <w:wordWrap/>
        <w:overflowPunct/>
        <w:topLinePunct w:val="0"/>
        <w:bidi w:val="0"/>
        <w:snapToGrid/>
        <w:spacing w:line="360" w:lineRule="auto"/>
        <w:ind w:left="480" w:leftChars="200"/>
        <w:jc w:val="both"/>
        <w:textAlignment w:val="auto"/>
        <w:rPr>
          <w:rFonts w:hint="default"/>
          <w:color w:val="auto"/>
          <w:kern w:val="2"/>
          <w:highlight w:val="none"/>
          <w:lang w:val="en-US" w:eastAsia="zh-CN"/>
        </w:rPr>
      </w:pPr>
      <w:r>
        <w:rPr>
          <w:rFonts w:hint="eastAsia"/>
          <w:color w:val="auto"/>
          <w:kern w:val="2"/>
          <w:highlight w:val="none"/>
          <w:lang w:eastAsia="zh-CN"/>
        </w:rPr>
        <w:t>通讯地址：成都市双流区</w:t>
      </w:r>
      <w:r>
        <w:rPr>
          <w:rFonts w:hint="eastAsia"/>
          <w:color w:val="auto"/>
          <w:kern w:val="2"/>
          <w:highlight w:val="none"/>
          <w:lang w:val="en-US" w:eastAsia="zh-CN"/>
        </w:rPr>
        <w:t>顺城街1号；</w:t>
      </w:r>
    </w:p>
    <w:p>
      <w:pPr>
        <w:pStyle w:val="20"/>
        <w:keepNext w:val="0"/>
        <w:keepLines w:val="0"/>
        <w:pageBreakBefore w:val="0"/>
        <w:kinsoku/>
        <w:wordWrap/>
        <w:overflowPunct/>
        <w:topLinePunct w:val="0"/>
        <w:bidi w:val="0"/>
        <w:snapToGrid/>
        <w:spacing w:line="360" w:lineRule="auto"/>
        <w:ind w:firstLine="480" w:firstLineChars="200"/>
        <w:jc w:val="left"/>
        <w:textAlignment w:val="auto"/>
        <w:rPr>
          <w:rFonts w:hint="eastAsia" w:hAnsi="宋体" w:eastAsia="宋体" w:cs="宋体"/>
          <w:bCs/>
          <w:color w:val="auto"/>
          <w:sz w:val="24"/>
          <w:highlight w:val="none"/>
          <w:lang w:eastAsia="zh-CN"/>
        </w:rPr>
      </w:pPr>
      <w:r>
        <w:rPr>
          <w:rFonts w:hint="eastAsia" w:hAnsi="宋体" w:cs="宋体"/>
          <w:bCs/>
          <w:color w:val="auto"/>
          <w:sz w:val="24"/>
          <w:highlight w:val="none"/>
        </w:rPr>
        <w:t xml:space="preserve">采购代理机构：四川世科工程咨询有限公司 </w:t>
      </w:r>
      <w:r>
        <w:rPr>
          <w:rFonts w:hint="eastAsia" w:hAnsi="宋体" w:cs="宋体"/>
          <w:bCs/>
          <w:color w:val="auto"/>
          <w:sz w:val="24"/>
          <w:highlight w:val="none"/>
          <w:lang w:eastAsia="zh-CN"/>
        </w:rPr>
        <w:t>；</w:t>
      </w:r>
    </w:p>
    <w:p>
      <w:pPr>
        <w:pStyle w:val="20"/>
        <w:keepNext w:val="0"/>
        <w:keepLines w:val="0"/>
        <w:pageBreakBefore w:val="0"/>
        <w:kinsoku/>
        <w:wordWrap/>
        <w:overflowPunct/>
        <w:topLinePunct w:val="0"/>
        <w:bidi w:val="0"/>
        <w:snapToGrid/>
        <w:spacing w:line="360" w:lineRule="auto"/>
        <w:ind w:firstLine="480" w:firstLineChars="200"/>
        <w:jc w:val="left"/>
        <w:textAlignment w:val="auto"/>
        <w:rPr>
          <w:rFonts w:hint="eastAsia" w:hAnsi="宋体" w:eastAsia="宋体"/>
          <w:bCs/>
          <w:color w:val="auto"/>
          <w:sz w:val="24"/>
          <w:highlight w:val="none"/>
          <w:lang w:eastAsia="zh-CN"/>
        </w:rPr>
      </w:pPr>
      <w:r>
        <w:rPr>
          <w:rFonts w:hint="eastAsia" w:hAnsi="宋体" w:cs="宋体"/>
          <w:bCs/>
          <w:color w:val="auto"/>
          <w:sz w:val="24"/>
          <w:highlight w:val="none"/>
        </w:rPr>
        <w:t xml:space="preserve">地 </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址：</w:t>
      </w:r>
      <w:r>
        <w:rPr>
          <w:rFonts w:hint="eastAsia" w:hAnsi="宋体" w:cs="宋体"/>
          <w:bCs/>
          <w:color w:val="auto"/>
          <w:sz w:val="24"/>
          <w:highlight w:val="none"/>
          <w:lang w:val="en-US" w:eastAsia="zh-CN"/>
        </w:rPr>
        <w:t>成都市</w:t>
      </w:r>
      <w:r>
        <w:rPr>
          <w:rFonts w:hint="eastAsia" w:hAnsi="宋体"/>
          <w:bCs/>
          <w:color w:val="auto"/>
          <w:sz w:val="24"/>
          <w:highlight w:val="none"/>
        </w:rPr>
        <w:t>高新区天府三街288号大有智慧广场迈普大厦10楼1010室</w:t>
      </w:r>
      <w:r>
        <w:rPr>
          <w:rFonts w:hint="eastAsia" w:hAnsi="宋体"/>
          <w:bCs/>
          <w:color w:val="auto"/>
          <w:sz w:val="24"/>
          <w:highlight w:val="none"/>
          <w:lang w:eastAsia="zh-CN"/>
        </w:rPr>
        <w:t>；</w:t>
      </w:r>
    </w:p>
    <w:p>
      <w:pPr>
        <w:pStyle w:val="20"/>
        <w:keepNext w:val="0"/>
        <w:keepLines w:val="0"/>
        <w:pageBreakBefore w:val="0"/>
        <w:kinsoku/>
        <w:wordWrap/>
        <w:overflowPunct/>
        <w:topLinePunct w:val="0"/>
        <w:bidi w:val="0"/>
        <w:snapToGrid/>
        <w:spacing w:line="360" w:lineRule="auto"/>
        <w:ind w:firstLine="480" w:firstLineChars="200"/>
        <w:jc w:val="left"/>
        <w:textAlignment w:val="auto"/>
        <w:rPr>
          <w:rFonts w:hint="eastAsia" w:hAnsi="宋体" w:eastAsia="宋体" w:cs="宋体"/>
          <w:bCs/>
          <w:color w:val="auto"/>
          <w:sz w:val="24"/>
          <w:highlight w:val="none"/>
          <w:lang w:eastAsia="zh-CN"/>
        </w:rPr>
      </w:pPr>
      <w:r>
        <w:rPr>
          <w:rFonts w:hint="eastAsia" w:hAnsi="宋体" w:cs="宋体"/>
          <w:bCs/>
          <w:color w:val="auto"/>
          <w:sz w:val="24"/>
          <w:highlight w:val="none"/>
        </w:rPr>
        <w:t>联 系 人：</w:t>
      </w:r>
      <w:r>
        <w:rPr>
          <w:rFonts w:hint="eastAsia" w:hAnsi="宋体" w:cs="宋体"/>
          <w:bCs/>
          <w:color w:val="auto"/>
          <w:sz w:val="24"/>
          <w:highlight w:val="none"/>
          <w:lang w:val="en-US" w:eastAsia="zh-CN"/>
        </w:rPr>
        <w:t>吴</w:t>
      </w:r>
      <w:r>
        <w:rPr>
          <w:rFonts w:hint="eastAsia" w:hAnsi="宋体" w:cs="宋体"/>
          <w:bCs/>
          <w:color w:val="auto"/>
          <w:sz w:val="24"/>
          <w:highlight w:val="none"/>
        </w:rPr>
        <w:t>老师</w:t>
      </w:r>
      <w:r>
        <w:rPr>
          <w:rFonts w:hint="eastAsia" w:hAnsi="宋体" w:cs="宋体"/>
          <w:bCs/>
          <w:color w:val="auto"/>
          <w:sz w:val="24"/>
          <w:highlight w:val="none"/>
          <w:lang w:eastAsia="zh-CN"/>
        </w:rPr>
        <w:t>；</w:t>
      </w:r>
    </w:p>
    <w:p>
      <w:pPr>
        <w:pStyle w:val="20"/>
        <w:keepNext w:val="0"/>
        <w:keepLines w:val="0"/>
        <w:pageBreakBefore w:val="0"/>
        <w:kinsoku/>
        <w:wordWrap/>
        <w:overflowPunct/>
        <w:topLinePunct w:val="0"/>
        <w:bidi w:val="0"/>
        <w:snapToGrid/>
        <w:spacing w:line="360" w:lineRule="auto"/>
        <w:ind w:firstLine="480" w:firstLineChars="200"/>
        <w:jc w:val="left"/>
        <w:textAlignment w:val="auto"/>
        <w:rPr>
          <w:rFonts w:hint="eastAsia" w:hAnsi="宋体" w:eastAsia="宋体" w:cs="宋体"/>
          <w:bCs/>
          <w:color w:val="auto"/>
          <w:sz w:val="24"/>
          <w:highlight w:val="none"/>
          <w:lang w:eastAsia="zh-CN"/>
        </w:rPr>
      </w:pPr>
      <w:r>
        <w:rPr>
          <w:rFonts w:hint="eastAsia" w:hAnsi="宋体" w:cs="宋体"/>
          <w:bCs/>
          <w:color w:val="auto"/>
          <w:sz w:val="24"/>
          <w:highlight w:val="none"/>
        </w:rPr>
        <w:t xml:space="preserve">联系电话：028-61032618 </w:t>
      </w:r>
      <w:r>
        <w:rPr>
          <w:rFonts w:hint="eastAsia" w:hAnsi="宋体" w:cs="宋体"/>
          <w:bCs/>
          <w:color w:val="auto"/>
          <w:sz w:val="24"/>
          <w:highlight w:val="none"/>
          <w:lang w:eastAsia="zh-CN"/>
        </w:rPr>
        <w:t>；</w:t>
      </w:r>
    </w:p>
    <w:p>
      <w:pPr>
        <w:pStyle w:val="20"/>
        <w:keepNext w:val="0"/>
        <w:keepLines w:val="0"/>
        <w:pageBreakBefore w:val="0"/>
        <w:kinsoku/>
        <w:wordWrap/>
        <w:overflowPunct/>
        <w:topLinePunct w:val="0"/>
        <w:bidi w:val="0"/>
        <w:snapToGrid/>
        <w:spacing w:line="360" w:lineRule="auto"/>
        <w:ind w:firstLine="480" w:firstLineChars="200"/>
        <w:jc w:val="left"/>
        <w:textAlignment w:val="auto"/>
        <w:rPr>
          <w:rFonts w:hint="eastAsia" w:hAnsi="宋体" w:eastAsia="宋体" w:cs="宋体"/>
          <w:bCs/>
          <w:color w:val="auto"/>
          <w:sz w:val="24"/>
          <w:highlight w:val="none"/>
          <w:lang w:eastAsia="zh-CN"/>
        </w:rPr>
      </w:pPr>
      <w:r>
        <w:rPr>
          <w:rFonts w:hint="eastAsia" w:hAnsi="宋体" w:cs="宋体"/>
          <w:bCs/>
          <w:color w:val="auto"/>
          <w:sz w:val="24"/>
          <w:highlight w:val="none"/>
        </w:rPr>
        <w:t>传</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 xml:space="preserve"> 真：028-61032618</w:t>
      </w:r>
      <w:r>
        <w:rPr>
          <w:rFonts w:hint="eastAsia" w:hAnsi="宋体" w:cs="宋体"/>
          <w:bCs/>
          <w:color w:val="auto"/>
          <w:sz w:val="24"/>
          <w:highlight w:val="none"/>
          <w:lang w:eastAsia="zh-CN"/>
        </w:rPr>
        <w:t>；</w:t>
      </w:r>
    </w:p>
    <w:p>
      <w:pPr>
        <w:pStyle w:val="20"/>
        <w:spacing w:line="360" w:lineRule="auto"/>
        <w:ind w:firstLine="480" w:firstLineChars="200"/>
        <w:jc w:val="left"/>
        <w:rPr>
          <w:rFonts w:hint="eastAsia" w:hAnsi="宋体" w:eastAsia="宋体" w:cs="宋体"/>
          <w:bCs/>
          <w:color w:val="auto"/>
          <w:sz w:val="24"/>
          <w:highlight w:val="none"/>
          <w:lang w:eastAsia="zh-CN"/>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31" w:name="_Toc8542"/>
      <w:r>
        <w:rPr>
          <w:rFonts w:hint="eastAsia"/>
          <w:color w:val="auto"/>
          <w:highlight w:val="none"/>
        </w:rPr>
        <w:t>磋商供应商须知</w:t>
      </w:r>
      <w:bookmarkEnd w:id="28"/>
      <w:bookmarkEnd w:id="31"/>
    </w:p>
    <w:p>
      <w:pPr>
        <w:pStyle w:val="4"/>
        <w:ind w:left="480" w:leftChars="0" w:firstLineChars="0"/>
        <w:rPr>
          <w:color w:val="auto"/>
          <w:highlight w:val="none"/>
        </w:rPr>
      </w:pPr>
      <w:bookmarkStart w:id="32" w:name="_Toc9971"/>
      <w:r>
        <w:rPr>
          <w:rFonts w:hint="eastAsia"/>
          <w:color w:val="auto"/>
          <w:highlight w:val="none"/>
        </w:rPr>
        <w:t>磋商供应商须知附表</w:t>
      </w:r>
      <w:bookmarkEnd w:id="32"/>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65"/>
        <w:gridCol w:w="160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106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序号</w:t>
            </w:r>
          </w:p>
        </w:tc>
        <w:tc>
          <w:tcPr>
            <w:tcW w:w="160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9"/>
              </w:numPr>
              <w:spacing w:line="360" w:lineRule="exact"/>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为</w:t>
            </w:r>
            <w:r>
              <w:rPr>
                <w:rFonts w:hint="eastAsia" w:hAnsi="宋体" w:cs="宋体"/>
                <w:color w:val="auto"/>
                <w:sz w:val="24"/>
                <w:highlight w:val="none"/>
              </w:rPr>
              <w:t>：</w:t>
            </w:r>
            <w:r>
              <w:rPr>
                <w:rFonts w:hint="eastAsia" w:hAnsi="宋体" w:cs="宋体"/>
                <w:color w:val="auto"/>
                <w:sz w:val="24"/>
                <w:highlight w:val="none"/>
                <w:lang w:val="en-US" w:eastAsia="zh-CN"/>
              </w:rPr>
              <w:t>63万元</w:t>
            </w:r>
            <w:r>
              <w:rPr>
                <w:rFonts w:hint="eastAsia" w:hAnsi="宋体" w:cs="宋体"/>
                <w:color w:val="auto"/>
                <w:sz w:val="24"/>
                <w:highlight w:val="none"/>
              </w:rPr>
              <w:t>，</w:t>
            </w:r>
            <w:r>
              <w:rPr>
                <w:rFonts w:hint="eastAsia" w:hAnsi="宋体" w:cs="宋体"/>
                <w:color w:val="auto"/>
                <w:sz w:val="24"/>
                <w:highlight w:val="none"/>
                <w:lang w:val="en-US" w:eastAsia="zh-CN"/>
              </w:rPr>
              <w:t>报价</w:t>
            </w:r>
            <w:r>
              <w:rPr>
                <w:rFonts w:hint="eastAsia" w:hAnsi="宋体" w:cs="宋体"/>
                <w:color w:val="auto"/>
                <w:sz w:val="24"/>
                <w:highlight w:val="none"/>
              </w:rPr>
              <w:t>超过采购预算为</w:t>
            </w:r>
            <w:r>
              <w:rPr>
                <w:rFonts w:hint="eastAsia" w:ascii="宋体" w:hAnsi="宋体" w:eastAsia="宋体" w:cs="宋体"/>
                <w:color w:val="auto"/>
                <w:sz w:val="24"/>
                <w:highlight w:val="none"/>
                <w:lang w:val="en-US" w:eastAsia="zh-CN"/>
              </w:rPr>
              <w:t>无效响应文件</w:t>
            </w:r>
            <w:r>
              <w:rPr>
                <w:rFonts w:hint="eastAsia"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9"/>
              </w:numPr>
              <w:spacing w:line="360" w:lineRule="exact"/>
              <w:jc w:val="center"/>
              <w:rPr>
                <w:rFonts w:ascii="宋体" w:hAnsi="宋体" w:cs="宋体"/>
                <w:color w:val="auto"/>
                <w:highlight w:val="none"/>
              </w:rPr>
            </w:pPr>
          </w:p>
        </w:tc>
        <w:tc>
          <w:tcPr>
            <w:tcW w:w="1605" w:type="dxa"/>
            <w:vAlign w:val="center"/>
          </w:tcPr>
          <w:p>
            <w:pPr>
              <w:spacing w:line="36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最高限价</w:t>
            </w:r>
            <w:r>
              <w:rPr>
                <w:rFonts w:hint="eastAsia" w:hAnsi="宋体" w:cs="宋体"/>
                <w:color w:val="auto"/>
                <w:highlight w:val="none"/>
              </w:rPr>
              <w:t>（实质性要求）</w:t>
            </w:r>
          </w:p>
        </w:tc>
        <w:tc>
          <w:tcPr>
            <w:tcW w:w="7063" w:type="dxa"/>
            <w:vAlign w:val="center"/>
          </w:tcPr>
          <w:p>
            <w:pPr>
              <w:numPr>
                <w:ilvl w:val="0"/>
                <w:numId w:val="0"/>
              </w:numPr>
              <w:spacing w:line="360" w:lineRule="auto"/>
              <w:rPr>
                <w:rFonts w:hint="eastAsia" w:hAnsi="宋体" w:cs="宋体"/>
                <w:color w:val="auto"/>
                <w:sz w:val="24"/>
                <w:highlight w:val="none"/>
              </w:rPr>
            </w:pPr>
            <w:r>
              <w:rPr>
                <w:rFonts w:hint="eastAsia" w:ascii="宋体" w:hAnsi="宋体" w:cs="宋体"/>
                <w:b w:val="0"/>
                <w:bCs w:val="0"/>
                <w:color w:val="auto"/>
                <w:kern w:val="2"/>
                <w:sz w:val="24"/>
                <w:szCs w:val="24"/>
                <w:lang w:val="en-US" w:eastAsia="zh-CN" w:bidi="ar-SA"/>
              </w:rPr>
              <w:t>本项目最高限价为：58万元</w:t>
            </w:r>
            <w:r>
              <w:rPr>
                <w:rFonts w:hint="eastAsia" w:hAnsi="宋体" w:cs="宋体"/>
                <w:b w:val="0"/>
                <w:bCs w:val="0"/>
                <w:color w:val="auto"/>
                <w:kern w:val="2"/>
                <w:sz w:val="24"/>
                <w:szCs w:val="24"/>
                <w:lang w:val="en-US" w:eastAsia="zh-CN" w:bidi="ar-SA"/>
              </w:rPr>
              <w:t>，报价</w:t>
            </w:r>
            <w:r>
              <w:rPr>
                <w:rFonts w:hint="eastAsia" w:ascii="宋体" w:hAnsi="宋体" w:eastAsia="宋体" w:cs="宋体"/>
                <w:color w:val="auto"/>
                <w:sz w:val="24"/>
                <w:highlight w:val="none"/>
                <w:lang w:val="en-US" w:eastAsia="zh-CN"/>
              </w:rPr>
              <w:t>超过最高限价的为无效响应文件。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9"/>
              </w:numPr>
              <w:spacing w:line="360" w:lineRule="exact"/>
              <w:jc w:val="center"/>
              <w:rPr>
                <w:rFonts w:ascii="宋体" w:hAnsi="宋体" w:cs="宋体"/>
                <w:color w:val="auto"/>
                <w:highlight w:val="none"/>
              </w:rPr>
            </w:pPr>
          </w:p>
        </w:tc>
        <w:tc>
          <w:tcPr>
            <w:tcW w:w="160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3"/>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3"/>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pStyle w:val="123"/>
              <w:spacing w:line="380" w:lineRule="exact"/>
              <w:jc w:val="center"/>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val="en-US" w:eastAsia="zh-CN"/>
              </w:rPr>
              <w:t>吴</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val="en-US" w:eastAsia="zh-CN"/>
              </w:rPr>
              <w:t>吴</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07"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tcPr>
          <w:p>
            <w:pPr>
              <w:pStyle w:val="123"/>
              <w:spacing w:line="380" w:lineRule="exact"/>
              <w:jc w:val="center"/>
              <w:rPr>
                <w:color w:val="auto"/>
                <w:kern w:val="2"/>
                <w:highlight w:val="none"/>
              </w:rPr>
            </w:pPr>
          </w:p>
          <w:p>
            <w:pPr>
              <w:pStyle w:val="123"/>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0"/>
              </w:numPr>
              <w:spacing w:line="360" w:lineRule="auto"/>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0"/>
              </w:numPr>
              <w:spacing w:line="360" w:lineRule="auto"/>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吴</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60" w:lineRule="auto"/>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pStyle w:val="123"/>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成都市双流区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rPr>
              <w:t>028-85804726</w:t>
            </w:r>
            <w:r>
              <w:rPr>
                <w:rFonts w:hint="eastAsia" w:ascii="宋体" w:hAnsi="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代理服务费按</w:t>
            </w:r>
            <w:r>
              <w:rPr>
                <w:rFonts w:hint="eastAsia" w:ascii="宋体" w:hAnsi="宋体" w:cs="宋体"/>
                <w:color w:val="auto"/>
                <w:highlight w:val="none"/>
                <w:lang w:val="en-US" w:eastAsia="zh-CN"/>
              </w:rPr>
              <w:t>照</w:t>
            </w:r>
            <w:r>
              <w:rPr>
                <w:rFonts w:hint="eastAsia" w:ascii="宋体" w:hAnsi="宋体" w:cs="宋体"/>
                <w:color w:val="auto"/>
                <w:highlight w:val="none"/>
                <w:lang w:val="zh-CN"/>
              </w:rPr>
              <w:t>成本加合理利润原则</w:t>
            </w:r>
            <w:r>
              <w:rPr>
                <w:rFonts w:hint="eastAsia" w:ascii="宋体" w:hAnsi="宋体" w:cs="宋体"/>
                <w:color w:val="auto"/>
                <w:highlight w:val="none"/>
                <w:lang w:val="en-US" w:eastAsia="zh-CN"/>
              </w:rPr>
              <w:t>收取10000元</w:t>
            </w:r>
            <w:r>
              <w:rPr>
                <w:rFonts w:hint="eastAsia" w:ascii="宋体" w:hAnsi="宋体" w:cs="宋体"/>
                <w:color w:val="auto"/>
                <w:highlight w:val="none"/>
                <w:lang w:val="zh-CN"/>
              </w:rPr>
              <w:t>，由成交供应商领取成交通知书前支付。可采取现金支付或银行转账。银行转账相关信息如下：</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w:t>
            </w:r>
            <w:r>
              <w:rPr>
                <w:rFonts w:hint="eastAsia" w:ascii="宋体" w:hAnsi="宋体" w:cs="宋体"/>
                <w:color w:val="auto"/>
                <w:highlight w:val="none"/>
                <w:lang w:val="en-US" w:eastAsia="zh-CN"/>
              </w:rPr>
              <w:t>账</w:t>
            </w:r>
            <w:r>
              <w:rPr>
                <w:rFonts w:hint="eastAsia" w:ascii="宋体" w:hAnsi="宋体" w:cs="宋体"/>
                <w:color w:val="auto"/>
                <w:highlight w:val="none"/>
                <w:lang w:val="zh-CN"/>
              </w:rPr>
              <w:t>号：5100 1527 9080 5152 8329</w:t>
            </w:r>
          </w:p>
          <w:p>
            <w:pPr>
              <w:spacing w:line="360" w:lineRule="auto"/>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510122202100497</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1065" w:type="dxa"/>
            <w:vAlign w:val="center"/>
          </w:tcPr>
          <w:p>
            <w:pPr>
              <w:numPr>
                <w:ilvl w:val="0"/>
                <w:numId w:val="9"/>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outlineLvl w:val="5"/>
              <w:rPr>
                <w:rFonts w:ascii="宋体" w:hAnsi="宋体" w:cs="宋体"/>
                <w:color w:val="auto"/>
                <w:highlight w:val="none"/>
                <w:lang w:val="zh-CN"/>
              </w:rPr>
            </w:pPr>
            <w:r>
              <w:rPr>
                <w:rFonts w:hint="eastAsia" w:ascii="宋体" w:hAnsi="宋体" w:eastAsia="宋体" w:cs="宋体"/>
                <w:sz w:val="24"/>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r>
              <w:rPr>
                <w:rFonts w:hint="eastAsia" w:ascii="宋体" w:hAnsi="宋体" w:eastAsia="宋体" w:cs="宋体"/>
                <w:szCs w:val="32"/>
              </w:rPr>
              <w:t>双流区银行机构名单如下：1.成都银行双流支行2.中国建设银行双流分行3.交通银行双流分行4.中国农业银行双流支行5.成都农商银行双流支行6.中国银行双流分行7.上海银行成都双流支行8.浙商银行成都双流支行9.中国工商银行成都双流支行10.中国邮政储蓄银行成都双流支行。</w:t>
            </w:r>
          </w:p>
        </w:tc>
      </w:tr>
    </w:tbl>
    <w:p>
      <w:pPr>
        <w:pStyle w:val="4"/>
        <w:ind w:left="480" w:leftChars="0" w:firstLineChars="0"/>
        <w:rPr>
          <w:color w:val="auto"/>
          <w:sz w:val="24"/>
          <w:szCs w:val="24"/>
          <w:highlight w:val="none"/>
        </w:rPr>
      </w:pPr>
      <w:bookmarkStart w:id="33" w:name="_Toc18562"/>
      <w:r>
        <w:rPr>
          <w:rFonts w:hint="eastAsia"/>
          <w:color w:val="auto"/>
          <w:sz w:val="24"/>
          <w:szCs w:val="24"/>
          <w:highlight w:val="none"/>
        </w:rPr>
        <w:t>适用范围</w:t>
      </w:r>
      <w:bookmarkEnd w:id="29"/>
      <w:bookmarkEnd w:id="30"/>
      <w:bookmarkEnd w:id="33"/>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ind w:left="480" w:leftChars="0" w:firstLineChars="0"/>
        <w:rPr>
          <w:color w:val="auto"/>
          <w:sz w:val="24"/>
          <w:szCs w:val="24"/>
          <w:highlight w:val="none"/>
        </w:rPr>
      </w:pPr>
      <w:bookmarkStart w:id="34" w:name="_Toc287623639"/>
      <w:bookmarkStart w:id="35" w:name="_Toc14621"/>
      <w:r>
        <w:rPr>
          <w:rFonts w:hint="eastAsia"/>
          <w:color w:val="auto"/>
          <w:sz w:val="24"/>
          <w:szCs w:val="24"/>
          <w:highlight w:val="none"/>
        </w:rPr>
        <w:t>定义</w:t>
      </w:r>
      <w:bookmarkEnd w:id="34"/>
      <w:bookmarkEnd w:id="35"/>
    </w:p>
    <w:p>
      <w:pPr>
        <w:numPr>
          <w:ilvl w:val="0"/>
          <w:numId w:val="11"/>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中共成都市双流区委宣传部</w:t>
      </w:r>
      <w:r>
        <w:rPr>
          <w:rFonts w:hint="eastAsia" w:ascii="宋体" w:hAnsi="宋体" w:cs="宋体"/>
          <w:color w:val="auto"/>
          <w:highlight w:val="none"/>
        </w:rPr>
        <w:t>。</w:t>
      </w:r>
    </w:p>
    <w:p>
      <w:pPr>
        <w:numPr>
          <w:ilvl w:val="0"/>
          <w:numId w:val="11"/>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1"/>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1"/>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4"/>
        <w:ind w:left="480" w:leftChars="0" w:firstLineChars="0"/>
        <w:rPr>
          <w:color w:val="auto"/>
          <w:sz w:val="24"/>
          <w:szCs w:val="24"/>
          <w:highlight w:val="none"/>
        </w:rPr>
      </w:pPr>
      <w:bookmarkStart w:id="36" w:name="_Toc25316"/>
      <w:r>
        <w:rPr>
          <w:rFonts w:hint="eastAsia"/>
          <w:color w:val="auto"/>
          <w:sz w:val="24"/>
          <w:szCs w:val="24"/>
          <w:highlight w:val="none"/>
        </w:rPr>
        <w:t>合格供应商的条件（实质性要求）</w:t>
      </w:r>
      <w:bookmarkEnd w:id="36"/>
    </w:p>
    <w:p>
      <w:pPr>
        <w:numPr>
          <w:ilvl w:val="0"/>
          <w:numId w:val="12"/>
        </w:numPr>
        <w:spacing w:line="360" w:lineRule="auto"/>
        <w:ind w:firstLine="480" w:firstLineChars="200"/>
        <w:rPr>
          <w:rFonts w:ascii="宋体" w:hAnsi="宋体" w:cs="宋体"/>
          <w:color w:val="auto"/>
          <w:sz w:val="24"/>
          <w:szCs w:val="24"/>
          <w:highlight w:val="none"/>
        </w:rPr>
      </w:pPr>
      <w:bookmarkStart w:id="37" w:name="_Toc320698717"/>
      <w:r>
        <w:rPr>
          <w:rFonts w:hint="eastAsia" w:ascii="宋体" w:hAnsi="宋体" w:cs="宋体"/>
          <w:color w:val="auto"/>
          <w:sz w:val="24"/>
          <w:szCs w:val="24"/>
          <w:highlight w:val="none"/>
        </w:rPr>
        <w:t>本竞争性磋商文件规定的供应商资格条件；</w:t>
      </w:r>
    </w:p>
    <w:p>
      <w:pPr>
        <w:numPr>
          <w:ilvl w:val="0"/>
          <w:numId w:val="12"/>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w:t>
      </w:r>
      <w:r>
        <w:rPr>
          <w:rFonts w:hint="eastAsia" w:ascii="宋体" w:hAnsi="宋体" w:cs="宋体"/>
          <w:color w:val="auto"/>
          <w:sz w:val="24"/>
          <w:szCs w:val="24"/>
          <w:highlight w:val="none"/>
          <w:lang w:val="en-US" w:eastAsia="zh-CN"/>
        </w:rPr>
        <w:t>获取</w:t>
      </w:r>
      <w:r>
        <w:rPr>
          <w:rFonts w:hint="eastAsia" w:ascii="宋体" w:hAnsi="宋体" w:cs="宋体"/>
          <w:color w:val="auto"/>
          <w:sz w:val="24"/>
          <w:szCs w:val="24"/>
          <w:highlight w:val="none"/>
        </w:rPr>
        <w:t>了竞争性磋商文件并登记备案；</w:t>
      </w:r>
    </w:p>
    <w:p>
      <w:pPr>
        <w:numPr>
          <w:ilvl w:val="0"/>
          <w:numId w:val="12"/>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2"/>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ind w:left="480" w:leftChars="0" w:firstLineChars="0"/>
        <w:rPr>
          <w:color w:val="auto"/>
          <w:sz w:val="24"/>
          <w:szCs w:val="24"/>
          <w:highlight w:val="none"/>
        </w:rPr>
      </w:pPr>
      <w:bookmarkStart w:id="38" w:name="_Toc16503"/>
      <w:r>
        <w:rPr>
          <w:rFonts w:hint="eastAsia"/>
          <w:color w:val="auto"/>
          <w:sz w:val="24"/>
          <w:szCs w:val="24"/>
          <w:highlight w:val="none"/>
        </w:rPr>
        <w:t>拒绝参加本次采购活动的供应商</w:t>
      </w:r>
      <w:bookmarkEnd w:id="38"/>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w:t>
      </w:r>
      <w:r>
        <w:rPr>
          <w:rFonts w:hint="eastAsia" w:ascii="宋体" w:hAnsi="宋体" w:cs="宋体"/>
          <w:b/>
          <w:bCs/>
        </w:rPr>
        <w:t>等渠道查询供应商在响应文件递交截止之日前的信用记录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37"/>
    <w:p>
      <w:pPr>
        <w:pStyle w:val="4"/>
        <w:ind w:left="480" w:leftChars="0" w:firstLineChars="0"/>
        <w:rPr>
          <w:color w:val="auto"/>
          <w:highlight w:val="none"/>
        </w:rPr>
      </w:pPr>
      <w:bookmarkStart w:id="39" w:name="_Toc28147"/>
      <w:bookmarkStart w:id="40" w:name="_Toc287623640"/>
      <w:r>
        <w:rPr>
          <w:rFonts w:hint="eastAsia"/>
          <w:color w:val="auto"/>
          <w:highlight w:val="none"/>
        </w:rPr>
        <w:t>充分、公平竞争保障措施（实质性要求）</w:t>
      </w:r>
      <w:bookmarkEnd w:id="39"/>
    </w:p>
    <w:p>
      <w:pPr>
        <w:numPr>
          <w:ilvl w:val="0"/>
          <w:numId w:val="1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3"/>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3"/>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w:t>
      </w:r>
      <w:r>
        <w:rPr>
          <w:rFonts w:hint="eastAsia" w:ascii="宋体" w:hAnsi="宋体" w:cs="宋体"/>
          <w:color w:val="auto"/>
          <w:highlight w:val="none"/>
          <w:lang w:val="en-US" w:eastAsia="zh-CN"/>
        </w:rPr>
        <w:t xml:space="preserve"> </w:t>
      </w:r>
      <w:r>
        <w:rPr>
          <w:rFonts w:hint="eastAsia" w:ascii="宋体" w:hAnsi="宋体" w:cs="宋体"/>
          <w:color w:val="auto"/>
          <w:highlight w:val="none"/>
        </w:rPr>
        <w:t>为无效处理。</w:t>
      </w:r>
    </w:p>
    <w:p>
      <w:pPr>
        <w:pStyle w:val="4"/>
        <w:ind w:left="480" w:leftChars="0" w:firstLineChars="0"/>
        <w:rPr>
          <w:color w:val="auto"/>
          <w:highlight w:val="none"/>
        </w:rPr>
      </w:pPr>
      <w:bookmarkStart w:id="41" w:name="_Toc19985"/>
      <w:r>
        <w:rPr>
          <w:rFonts w:hint="eastAsia"/>
          <w:color w:val="auto"/>
          <w:highlight w:val="none"/>
        </w:rPr>
        <w:t>竞争性磋商采购费用</w:t>
      </w:r>
      <w:bookmarkEnd w:id="40"/>
      <w:bookmarkEnd w:id="41"/>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ind w:left="480" w:leftChars="0" w:firstLineChars="0"/>
        <w:rPr>
          <w:color w:val="auto"/>
          <w:highlight w:val="none"/>
        </w:rPr>
      </w:pPr>
      <w:bookmarkStart w:id="42" w:name="_Toc320698720"/>
      <w:bookmarkStart w:id="43" w:name="_Toc630"/>
      <w:r>
        <w:rPr>
          <w:rFonts w:hint="eastAsia"/>
          <w:color w:val="auto"/>
          <w:highlight w:val="none"/>
        </w:rPr>
        <w:t>响应文件</w:t>
      </w:r>
      <w:bookmarkEnd w:id="42"/>
      <w:bookmarkEnd w:id="43"/>
    </w:p>
    <w:p>
      <w:pPr>
        <w:pStyle w:val="5"/>
        <w:ind w:left="160" w:leftChars="0" w:firstLine="482" w:firstLineChars="0"/>
        <w:rPr>
          <w:rFonts w:cs="宋体"/>
          <w:color w:val="auto"/>
          <w:szCs w:val="24"/>
          <w:highlight w:val="none"/>
        </w:rPr>
      </w:pPr>
      <w:bookmarkStart w:id="44" w:name="_Toc320698721"/>
      <w:r>
        <w:rPr>
          <w:rFonts w:hint="eastAsia" w:cs="宋体"/>
          <w:color w:val="auto"/>
          <w:szCs w:val="24"/>
          <w:highlight w:val="none"/>
        </w:rPr>
        <w:t>响应文件的语言</w:t>
      </w:r>
      <w:bookmarkEnd w:id="44"/>
      <w:r>
        <w:rPr>
          <w:rFonts w:hint="eastAsia" w:cs="宋体"/>
          <w:color w:val="auto"/>
          <w:szCs w:val="24"/>
          <w:highlight w:val="none"/>
        </w:rPr>
        <w:t>、计量单位</w:t>
      </w:r>
      <w:r>
        <w:rPr>
          <w:rFonts w:hint="eastAsia"/>
          <w:color w:val="auto"/>
          <w:highlight w:val="none"/>
        </w:rPr>
        <w:t>（实质性要求）</w:t>
      </w:r>
    </w:p>
    <w:p>
      <w:pPr>
        <w:widowControl w:val="0"/>
        <w:numPr>
          <w:ilvl w:val="0"/>
          <w:numId w:val="1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left="160" w:leftChars="0" w:firstLine="482" w:firstLineChars="0"/>
        <w:rPr>
          <w:rFonts w:cs="宋体"/>
          <w:color w:val="auto"/>
          <w:szCs w:val="24"/>
          <w:highlight w:val="none"/>
        </w:rPr>
      </w:pPr>
      <w:bookmarkStart w:id="45" w:name="_Toc320698722"/>
      <w:r>
        <w:rPr>
          <w:rFonts w:hint="eastAsia" w:cs="宋体"/>
          <w:color w:val="auto"/>
          <w:szCs w:val="24"/>
          <w:highlight w:val="none"/>
        </w:rPr>
        <w:t>报价货币</w:t>
      </w:r>
      <w:bookmarkEnd w:id="45"/>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46"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left="16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left="160" w:leftChars="0" w:firstLine="482" w:firstLineChars="0"/>
        <w:rPr>
          <w:rFonts w:cs="宋体"/>
          <w:color w:val="auto"/>
          <w:szCs w:val="24"/>
          <w:highlight w:val="none"/>
        </w:rPr>
      </w:pPr>
      <w:r>
        <w:rPr>
          <w:rFonts w:hint="eastAsia" w:cs="宋体"/>
          <w:color w:val="auto"/>
          <w:szCs w:val="24"/>
          <w:highlight w:val="none"/>
        </w:rPr>
        <w:t>联合体</w:t>
      </w:r>
      <w:bookmarkEnd w:id="46"/>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left="160" w:leftChars="0" w:firstLine="482" w:firstLineChars="0"/>
        <w:rPr>
          <w:rFonts w:cs="宋体"/>
          <w:color w:val="auto"/>
          <w:szCs w:val="24"/>
          <w:highlight w:val="none"/>
        </w:rPr>
      </w:pPr>
      <w:bookmarkStart w:id="47" w:name="_Toc320698724"/>
      <w:r>
        <w:rPr>
          <w:rFonts w:hint="eastAsia" w:cs="宋体"/>
          <w:color w:val="auto"/>
          <w:szCs w:val="24"/>
          <w:highlight w:val="none"/>
        </w:rPr>
        <w:t>响应文件的组成</w:t>
      </w:r>
      <w:bookmarkEnd w:id="47"/>
      <w:bookmarkStart w:id="48"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48"/>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9"/>
        <w:numPr>
          <w:ilvl w:val="0"/>
          <w:numId w:val="1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9"/>
        <w:numPr>
          <w:ilvl w:val="0"/>
          <w:numId w:val="16"/>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49" w:name="_Toc320698726"/>
      <w:r>
        <w:rPr>
          <w:rFonts w:hint="eastAsia" w:cs="宋体"/>
          <w:color w:val="auto"/>
          <w:szCs w:val="24"/>
          <w:highlight w:val="none"/>
        </w:rPr>
        <w:t>技术、服务性响应文件</w:t>
      </w:r>
      <w:bookmarkEnd w:id="49"/>
    </w:p>
    <w:p>
      <w:pPr>
        <w:pStyle w:val="2"/>
        <w:numPr>
          <w:ilvl w:val="0"/>
          <w:numId w:val="17"/>
        </w:numPr>
        <w:tabs>
          <w:tab w:val="left" w:pos="1134"/>
        </w:tabs>
        <w:spacing w:after="0" w:line="360" w:lineRule="auto"/>
        <w:ind w:firstLine="480" w:firstLineChars="200"/>
        <w:rPr>
          <w:rFonts w:ascii="宋体" w:hAnsi="宋体" w:cs="宋体"/>
          <w:bCs/>
          <w:color w:val="auto"/>
          <w:highlight w:val="none"/>
        </w:rPr>
      </w:pPr>
      <w:bookmarkStart w:id="50"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s="宋体"/>
          <w:color w:val="auto"/>
          <w:highlight w:val="none"/>
          <w:lang w:val="en-US" w:eastAsia="zh-CN"/>
        </w:rPr>
        <w:t>技术</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
        <w:numPr>
          <w:ilvl w:val="0"/>
          <w:numId w:val="1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1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19"/>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19"/>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19"/>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19"/>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19"/>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7"/>
        <w:numPr>
          <w:ilvl w:val="0"/>
          <w:numId w:val="20"/>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7"/>
        <w:numPr>
          <w:ilvl w:val="0"/>
          <w:numId w:val="20"/>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7"/>
        <w:numPr>
          <w:ilvl w:val="0"/>
          <w:numId w:val="20"/>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7"/>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3"/>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50"/>
    <w:p>
      <w:pPr>
        <w:pStyle w:val="5"/>
        <w:ind w:left="160" w:leftChars="0" w:firstLine="482" w:firstLineChars="0"/>
        <w:rPr>
          <w:rFonts w:cs="宋体"/>
          <w:color w:val="auto"/>
          <w:szCs w:val="24"/>
          <w:highlight w:val="none"/>
        </w:rPr>
      </w:pPr>
      <w:bookmarkStart w:id="51" w:name="_Toc320698728"/>
      <w:r>
        <w:rPr>
          <w:rFonts w:hint="eastAsia" w:cs="宋体"/>
          <w:color w:val="auto"/>
          <w:szCs w:val="24"/>
          <w:highlight w:val="none"/>
        </w:rPr>
        <w:t>响应文件有效期</w:t>
      </w:r>
      <w:bookmarkEnd w:id="51"/>
      <w:r>
        <w:rPr>
          <w:rFonts w:hint="eastAsia" w:cs="宋体"/>
          <w:color w:val="auto"/>
          <w:szCs w:val="24"/>
          <w:highlight w:val="none"/>
        </w:rPr>
        <w:t>（实质性要求）</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left="160" w:leftChars="0" w:firstLine="482" w:firstLineChars="0"/>
        <w:rPr>
          <w:rFonts w:cs="宋体"/>
          <w:color w:val="auto"/>
          <w:szCs w:val="24"/>
          <w:highlight w:val="none"/>
        </w:rPr>
      </w:pPr>
      <w:bookmarkStart w:id="52" w:name="_Toc320698729"/>
      <w:r>
        <w:rPr>
          <w:rFonts w:hint="eastAsia" w:cs="宋体"/>
          <w:color w:val="auto"/>
          <w:szCs w:val="24"/>
          <w:highlight w:val="none"/>
        </w:rPr>
        <w:t>响应文件编制、签署</w:t>
      </w:r>
      <w:bookmarkEnd w:id="52"/>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left="160" w:leftChars="0" w:firstLine="482" w:firstLineChars="0"/>
        <w:rPr>
          <w:rFonts w:cs="宋体"/>
          <w:color w:val="auto"/>
          <w:szCs w:val="24"/>
          <w:highlight w:val="none"/>
        </w:rPr>
      </w:pPr>
      <w:bookmarkStart w:id="53" w:name="_Toc320698730"/>
      <w:r>
        <w:rPr>
          <w:rFonts w:hint="eastAsia" w:cs="宋体"/>
          <w:color w:val="auto"/>
          <w:szCs w:val="24"/>
          <w:highlight w:val="none"/>
        </w:rPr>
        <w:t>响应文件的包装、密封和标注</w:t>
      </w:r>
      <w:bookmarkEnd w:id="53"/>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4"/>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4"/>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4"/>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left="160" w:leftChars="0" w:firstLine="482" w:firstLineChars="0"/>
        <w:rPr>
          <w:rFonts w:cs="宋体"/>
          <w:color w:val="auto"/>
          <w:szCs w:val="24"/>
          <w:highlight w:val="none"/>
        </w:rPr>
      </w:pPr>
      <w:bookmarkStart w:id="54" w:name="_Toc320698731"/>
      <w:r>
        <w:rPr>
          <w:rFonts w:hint="eastAsia" w:cs="宋体"/>
          <w:color w:val="auto"/>
          <w:szCs w:val="24"/>
          <w:highlight w:val="none"/>
        </w:rPr>
        <w:t>响应文件的递交</w:t>
      </w:r>
      <w:bookmarkEnd w:id="54"/>
    </w:p>
    <w:p>
      <w:pPr>
        <w:widowControl w:val="0"/>
        <w:numPr>
          <w:ilvl w:val="0"/>
          <w:numId w:val="2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left="160" w:leftChars="0" w:firstLine="482" w:firstLineChars="0"/>
        <w:rPr>
          <w:rFonts w:cs="宋体"/>
          <w:color w:val="auto"/>
          <w:szCs w:val="24"/>
          <w:highlight w:val="none"/>
        </w:rPr>
      </w:pPr>
      <w:bookmarkStart w:id="55" w:name="_Toc446487098"/>
      <w:r>
        <w:rPr>
          <w:rFonts w:hint="eastAsia" w:cs="宋体"/>
          <w:color w:val="auto"/>
          <w:szCs w:val="24"/>
          <w:highlight w:val="none"/>
        </w:rPr>
        <w:t>响应文件的补充、修改和撤回</w:t>
      </w:r>
      <w:bookmarkEnd w:id="55"/>
    </w:p>
    <w:p>
      <w:pPr>
        <w:widowControl w:val="0"/>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ind w:left="480" w:leftChars="0" w:firstLineChars="0"/>
        <w:rPr>
          <w:color w:val="auto"/>
          <w:highlight w:val="none"/>
        </w:rPr>
      </w:pPr>
      <w:bookmarkStart w:id="56" w:name="_Toc287623645"/>
      <w:bookmarkStart w:id="57" w:name="_Toc31678"/>
      <w:r>
        <w:rPr>
          <w:rFonts w:hint="eastAsia"/>
          <w:color w:val="auto"/>
          <w:highlight w:val="none"/>
        </w:rPr>
        <w:t>竞争性磋商程序</w:t>
      </w:r>
      <w:bookmarkEnd w:id="56"/>
      <w:bookmarkEnd w:id="57"/>
    </w:p>
    <w:p>
      <w:pPr>
        <w:pStyle w:val="5"/>
        <w:ind w:left="160" w:leftChars="0" w:firstLine="482" w:firstLineChars="0"/>
        <w:rPr>
          <w:rFonts w:cs="宋体"/>
          <w:color w:val="auto"/>
          <w:szCs w:val="24"/>
          <w:highlight w:val="none"/>
        </w:rPr>
      </w:pPr>
      <w:bookmarkStart w:id="58" w:name="_Toc320698735"/>
      <w:r>
        <w:rPr>
          <w:rFonts w:hint="eastAsia" w:cs="宋体"/>
          <w:color w:val="auto"/>
          <w:szCs w:val="24"/>
          <w:highlight w:val="none"/>
        </w:rPr>
        <w:t>供应商报名</w:t>
      </w:r>
      <w:bookmarkEnd w:id="58"/>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5"/>
        <w:ind w:left="160" w:leftChars="0" w:firstLine="482" w:firstLineChars="0"/>
        <w:rPr>
          <w:rFonts w:cs="宋体"/>
          <w:color w:val="auto"/>
          <w:szCs w:val="24"/>
          <w:highlight w:val="none"/>
        </w:rPr>
      </w:pPr>
      <w:bookmarkStart w:id="59" w:name="_Toc320698736"/>
      <w:r>
        <w:rPr>
          <w:rFonts w:hint="eastAsia" w:cs="宋体"/>
          <w:color w:val="auto"/>
          <w:szCs w:val="24"/>
          <w:highlight w:val="none"/>
        </w:rPr>
        <w:t>接收响应文件</w:t>
      </w:r>
      <w:bookmarkEnd w:id="59"/>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left="160" w:leftChars="0" w:firstLine="482" w:firstLineChars="0"/>
        <w:rPr>
          <w:rFonts w:cs="宋体"/>
          <w:color w:val="auto"/>
          <w:szCs w:val="24"/>
          <w:highlight w:val="none"/>
        </w:rPr>
      </w:pPr>
      <w:bookmarkStart w:id="60" w:name="_Toc287623646"/>
      <w:r>
        <w:rPr>
          <w:rFonts w:hint="eastAsia" w:cs="宋体"/>
          <w:color w:val="auto"/>
          <w:szCs w:val="24"/>
          <w:highlight w:val="none"/>
        </w:rPr>
        <w:t>开标</w:t>
      </w:r>
    </w:p>
    <w:p>
      <w:pPr>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left="160" w:leftChars="0" w:firstLine="482" w:firstLineChars="0"/>
        <w:rPr>
          <w:rFonts w:cs="宋体"/>
          <w:color w:val="auto"/>
          <w:szCs w:val="24"/>
          <w:highlight w:val="none"/>
        </w:rPr>
      </w:pPr>
      <w:r>
        <w:rPr>
          <w:rFonts w:hint="eastAsia" w:cs="宋体"/>
          <w:color w:val="auto"/>
          <w:szCs w:val="24"/>
          <w:highlight w:val="none"/>
        </w:rPr>
        <w:t>成立磋商小组</w:t>
      </w:r>
      <w:bookmarkEnd w:id="60"/>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left="16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hint="eastAsia" w:ascii="宋体" w:hAnsi="宋体"/>
                <w:color w:val="auto"/>
                <w:highlight w:val="none"/>
              </w:rPr>
            </w:pPr>
          </w:p>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未被列入经营异常名录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未被列入失信被执行人、重大税收违法案件当事人名单、政府采购严重违法失信行为记录名单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任意时段的缴纳社保的银行电子回单或社保部门出具的社保缴纳证明材料复印件或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任意时段的缴纳税收的银行电子回单或税务部门出具的纳税证明或完税证明的复印件或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15、本项目专门面向中小企业采购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left="160" w:leftChars="0" w:firstLine="482" w:firstLineChars="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28"/>
        </w:numPr>
        <w:tabs>
          <w:tab w:val="left" w:pos="426"/>
          <w:tab w:val="left" w:pos="567"/>
        </w:tabs>
        <w:outlineLvl w:val="2"/>
        <w:rPr>
          <w:b w:val="0"/>
          <w:color w:val="auto"/>
          <w:sz w:val="24"/>
          <w:szCs w:val="24"/>
          <w:highlight w:val="none"/>
        </w:rPr>
      </w:pPr>
      <w:bookmarkStart w:id="61" w:name="_Toc234"/>
      <w:bookmarkStart w:id="62" w:name="_Toc28211"/>
      <w:bookmarkStart w:id="63" w:name="_Toc16430"/>
      <w:bookmarkStart w:id="64" w:name="_Toc30871"/>
      <w:bookmarkStart w:id="65" w:name="_Toc19824"/>
      <w:bookmarkStart w:id="66" w:name="_Toc5957"/>
      <w:bookmarkStart w:id="67" w:name="_Toc28961"/>
      <w:bookmarkStart w:id="68" w:name="_Toc13463"/>
      <w:bookmarkStart w:id="69" w:name="_Toc18863"/>
      <w:bookmarkStart w:id="70" w:name="_Toc1823"/>
      <w:bookmarkStart w:id="71" w:name="_Toc28704"/>
      <w:bookmarkStart w:id="72" w:name="_Toc12921"/>
      <w:bookmarkStart w:id="73" w:name="_Toc26653"/>
      <w:bookmarkStart w:id="74" w:name="_Toc25820"/>
      <w:bookmarkStart w:id="75" w:name="_Toc8445"/>
      <w:bookmarkStart w:id="76" w:name="_Toc24086"/>
      <w:bookmarkStart w:id="77" w:name="_Toc6686"/>
      <w:bookmarkStart w:id="78" w:name="_Toc24322"/>
      <w:bookmarkStart w:id="79" w:name="_Toc21637"/>
      <w:bookmarkStart w:id="80" w:name="_Toc12948"/>
      <w:bookmarkStart w:id="81" w:name="_Toc30664"/>
      <w:bookmarkStart w:id="82" w:name="_Toc18778"/>
      <w:bookmarkStart w:id="83" w:name="_Toc177"/>
      <w:bookmarkStart w:id="84" w:name="_Toc5653"/>
      <w:bookmarkStart w:id="85" w:name="_Toc7480"/>
      <w:bookmarkStart w:id="86" w:name="_Toc20686"/>
      <w:bookmarkStart w:id="87" w:name="_Toc23472"/>
      <w:bookmarkStart w:id="88" w:name="_Toc9096"/>
      <w:bookmarkStart w:id="89" w:name="_Toc11240"/>
      <w:bookmarkStart w:id="90" w:name="_Toc1186"/>
      <w:bookmarkStart w:id="91" w:name="_Toc43566521"/>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5"/>
        <w:keepNext w:val="0"/>
        <w:keepLines w:val="0"/>
        <w:numPr>
          <w:ilvl w:val="0"/>
          <w:numId w:val="28"/>
        </w:numPr>
        <w:tabs>
          <w:tab w:val="left" w:pos="426"/>
          <w:tab w:val="left" w:pos="567"/>
        </w:tabs>
        <w:outlineLvl w:val="2"/>
        <w:rPr>
          <w:b w:val="0"/>
          <w:color w:val="auto"/>
          <w:sz w:val="24"/>
          <w:szCs w:val="24"/>
          <w:highlight w:val="none"/>
        </w:rPr>
      </w:pPr>
      <w:bookmarkStart w:id="92" w:name="_Toc16300"/>
      <w:bookmarkStart w:id="93" w:name="_Toc10664"/>
      <w:bookmarkStart w:id="94" w:name="_Toc19239"/>
      <w:bookmarkStart w:id="95" w:name="_Toc43566522"/>
      <w:bookmarkStart w:id="96" w:name="_Toc22424"/>
      <w:bookmarkStart w:id="97" w:name="_Toc13414"/>
      <w:bookmarkStart w:id="98" w:name="_Toc28551"/>
      <w:bookmarkStart w:id="99" w:name="_Toc24798"/>
      <w:bookmarkStart w:id="100" w:name="_Toc28752"/>
      <w:bookmarkStart w:id="101" w:name="_Toc29643"/>
      <w:bookmarkStart w:id="102" w:name="_Toc17010"/>
      <w:bookmarkStart w:id="103" w:name="_Toc3073"/>
      <w:bookmarkStart w:id="104" w:name="_Toc5725"/>
      <w:bookmarkStart w:id="105" w:name="_Toc7651"/>
      <w:bookmarkStart w:id="106" w:name="_Toc11203"/>
      <w:bookmarkStart w:id="107" w:name="_Toc18309"/>
      <w:bookmarkStart w:id="108" w:name="_Toc16346"/>
      <w:bookmarkStart w:id="109" w:name="_Toc7100"/>
      <w:bookmarkStart w:id="110" w:name="_Toc26144"/>
      <w:bookmarkStart w:id="111" w:name="_Toc13670"/>
      <w:bookmarkStart w:id="112" w:name="_Toc12027"/>
      <w:bookmarkStart w:id="113" w:name="_Toc21274"/>
      <w:bookmarkStart w:id="114" w:name="_Toc16950"/>
      <w:bookmarkStart w:id="115" w:name="_Toc14644"/>
      <w:bookmarkStart w:id="116" w:name="_Toc5759"/>
      <w:bookmarkStart w:id="117" w:name="_Toc5547"/>
      <w:bookmarkStart w:id="118" w:name="_Toc14958"/>
      <w:bookmarkStart w:id="119" w:name="_Toc19501"/>
      <w:bookmarkStart w:id="120" w:name="_Toc20275"/>
      <w:bookmarkStart w:id="121" w:name="_Toc8363"/>
      <w:bookmarkStart w:id="122" w:name="_Toc1058"/>
      <w:r>
        <w:rPr>
          <w:rFonts w:hint="eastAsia"/>
          <w:b w:val="0"/>
          <w:color w:val="auto"/>
          <w:sz w:val="24"/>
          <w:szCs w:val="24"/>
          <w:highlight w:val="none"/>
        </w:rPr>
        <w:t>每轮磋商开始前，磋商小组应根据磋商文件的规定，并结合各供应商的响应文件拟定磋商内容。</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5"/>
        <w:keepNext w:val="0"/>
        <w:keepLines w:val="0"/>
        <w:numPr>
          <w:ilvl w:val="0"/>
          <w:numId w:val="28"/>
        </w:numPr>
        <w:tabs>
          <w:tab w:val="left" w:pos="426"/>
          <w:tab w:val="left" w:pos="567"/>
        </w:tabs>
        <w:outlineLvl w:val="2"/>
        <w:rPr>
          <w:b w:val="0"/>
          <w:color w:val="auto"/>
          <w:sz w:val="24"/>
          <w:szCs w:val="24"/>
          <w:highlight w:val="none"/>
        </w:rPr>
      </w:pPr>
      <w:bookmarkStart w:id="123" w:name="_Toc24429"/>
      <w:bookmarkStart w:id="124" w:name="_Toc3093"/>
      <w:bookmarkStart w:id="125" w:name="_Toc30727"/>
      <w:bookmarkStart w:id="126" w:name="_Toc7955"/>
      <w:bookmarkStart w:id="127" w:name="_Toc12563"/>
      <w:bookmarkStart w:id="128" w:name="_Toc15259"/>
      <w:bookmarkStart w:id="129" w:name="_Toc22981"/>
      <w:bookmarkStart w:id="130" w:name="_Toc1515"/>
      <w:bookmarkStart w:id="131" w:name="_Toc17631"/>
      <w:bookmarkStart w:id="132" w:name="_Toc43566523"/>
      <w:bookmarkStart w:id="133" w:name="_Toc1260"/>
      <w:bookmarkStart w:id="134" w:name="_Toc31513"/>
      <w:bookmarkStart w:id="135" w:name="_Toc26003"/>
      <w:bookmarkStart w:id="136" w:name="_Toc31379"/>
      <w:bookmarkStart w:id="137" w:name="_Toc8711"/>
      <w:bookmarkStart w:id="138" w:name="_Toc28031"/>
      <w:bookmarkStart w:id="139" w:name="_Toc32131"/>
      <w:bookmarkStart w:id="140" w:name="_Toc29139"/>
      <w:bookmarkStart w:id="141" w:name="_Toc14027"/>
      <w:bookmarkStart w:id="142" w:name="_Toc1822"/>
      <w:bookmarkStart w:id="143" w:name="_Toc2076"/>
      <w:bookmarkStart w:id="144" w:name="_Toc12103"/>
      <w:bookmarkStart w:id="145" w:name="_Toc5655"/>
      <w:bookmarkStart w:id="146" w:name="_Toc9387"/>
      <w:bookmarkStart w:id="147" w:name="_Toc7002"/>
      <w:bookmarkStart w:id="148" w:name="_Toc12444"/>
      <w:bookmarkStart w:id="149" w:name="_Toc11261"/>
      <w:bookmarkStart w:id="150" w:name="_Toc3129"/>
      <w:bookmarkStart w:id="151" w:name="_Toc14318"/>
      <w:bookmarkStart w:id="152" w:name="_Toc3854"/>
      <w:bookmarkStart w:id="153" w:name="_Toc18130"/>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5"/>
        <w:keepNext w:val="0"/>
        <w:keepLines w:val="0"/>
        <w:numPr>
          <w:ilvl w:val="0"/>
          <w:numId w:val="28"/>
        </w:numPr>
        <w:tabs>
          <w:tab w:val="left" w:pos="426"/>
          <w:tab w:val="left" w:pos="567"/>
        </w:tabs>
        <w:outlineLvl w:val="2"/>
        <w:rPr>
          <w:b w:val="0"/>
          <w:color w:val="auto"/>
          <w:sz w:val="24"/>
          <w:szCs w:val="24"/>
          <w:highlight w:val="none"/>
        </w:rPr>
      </w:pPr>
      <w:bookmarkStart w:id="154" w:name="_Toc17886"/>
      <w:bookmarkStart w:id="155" w:name="_Toc43566524"/>
      <w:bookmarkStart w:id="156" w:name="_Toc26943"/>
      <w:bookmarkStart w:id="157" w:name="_Toc15411"/>
      <w:bookmarkStart w:id="158" w:name="_Toc15891"/>
      <w:bookmarkStart w:id="159" w:name="_Toc20165"/>
      <w:bookmarkStart w:id="160" w:name="_Toc1947"/>
      <w:bookmarkStart w:id="161" w:name="_Toc20322"/>
      <w:bookmarkStart w:id="162" w:name="_Toc20981"/>
      <w:bookmarkStart w:id="163" w:name="_Toc30395"/>
      <w:bookmarkStart w:id="164" w:name="_Toc25538"/>
      <w:bookmarkStart w:id="165" w:name="_Toc24161"/>
      <w:bookmarkStart w:id="166" w:name="_Toc12026"/>
      <w:bookmarkStart w:id="167" w:name="_Toc15692"/>
      <w:bookmarkStart w:id="168" w:name="_Toc19446"/>
      <w:bookmarkStart w:id="169" w:name="_Toc20339"/>
      <w:bookmarkStart w:id="170" w:name="_Toc15406"/>
      <w:bookmarkStart w:id="171" w:name="_Toc30040"/>
      <w:bookmarkStart w:id="172" w:name="_Toc23230"/>
      <w:bookmarkStart w:id="173" w:name="_Toc12380"/>
      <w:bookmarkStart w:id="174" w:name="_Toc2802"/>
      <w:bookmarkStart w:id="175" w:name="_Toc217"/>
      <w:bookmarkStart w:id="176" w:name="_Toc23880"/>
      <w:bookmarkStart w:id="177" w:name="_Toc22086"/>
      <w:bookmarkStart w:id="178" w:name="_Toc5170"/>
      <w:bookmarkStart w:id="179" w:name="_Toc23592"/>
      <w:bookmarkStart w:id="180" w:name="_Toc14624"/>
      <w:bookmarkStart w:id="181" w:name="_Toc23382"/>
      <w:bookmarkStart w:id="182" w:name="_Toc18133"/>
      <w:bookmarkStart w:id="183" w:name="_Toc5480"/>
      <w:bookmarkStart w:id="184" w:name="_Toc9861"/>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5"/>
        <w:keepNext w:val="0"/>
        <w:keepLines w:val="0"/>
        <w:numPr>
          <w:ilvl w:val="0"/>
          <w:numId w:val="28"/>
        </w:numPr>
        <w:tabs>
          <w:tab w:val="left" w:pos="426"/>
          <w:tab w:val="left" w:pos="567"/>
        </w:tabs>
        <w:outlineLvl w:val="2"/>
        <w:rPr>
          <w:b w:val="0"/>
          <w:color w:val="auto"/>
          <w:sz w:val="24"/>
          <w:szCs w:val="24"/>
          <w:highlight w:val="none"/>
        </w:rPr>
      </w:pPr>
      <w:bookmarkStart w:id="185" w:name="_Toc20410"/>
      <w:bookmarkStart w:id="186" w:name="_Toc29518"/>
      <w:bookmarkStart w:id="187" w:name="_Toc15795"/>
      <w:bookmarkStart w:id="188" w:name="_Toc18974"/>
      <w:bookmarkStart w:id="189" w:name="_Toc16727"/>
      <w:bookmarkStart w:id="190" w:name="_Toc26817"/>
      <w:bookmarkStart w:id="191" w:name="_Toc5435"/>
      <w:bookmarkStart w:id="192" w:name="_Toc25226"/>
      <w:bookmarkStart w:id="193" w:name="_Toc7401"/>
      <w:bookmarkStart w:id="194" w:name="_Toc11224"/>
      <w:bookmarkStart w:id="195" w:name="_Toc31776"/>
      <w:bookmarkStart w:id="196" w:name="_Toc43566525"/>
      <w:bookmarkStart w:id="197" w:name="_Toc25838"/>
      <w:bookmarkStart w:id="198" w:name="_Toc7936"/>
      <w:bookmarkStart w:id="199" w:name="_Toc19144"/>
      <w:bookmarkStart w:id="200" w:name="_Toc7148"/>
      <w:bookmarkStart w:id="201" w:name="_Toc15620"/>
      <w:bookmarkStart w:id="202" w:name="_Toc7430"/>
      <w:bookmarkStart w:id="203" w:name="_Toc13764"/>
      <w:bookmarkStart w:id="204" w:name="_Toc18506"/>
      <w:bookmarkStart w:id="205" w:name="_Toc23403"/>
      <w:bookmarkStart w:id="206" w:name="_Toc6250"/>
      <w:bookmarkStart w:id="207" w:name="_Toc29632"/>
      <w:bookmarkStart w:id="208" w:name="_Toc31030"/>
      <w:bookmarkStart w:id="209" w:name="_Toc17566"/>
      <w:bookmarkStart w:id="210" w:name="_Toc19631"/>
      <w:bookmarkStart w:id="211" w:name="_Toc22606"/>
      <w:bookmarkStart w:id="212" w:name="_Toc12219"/>
      <w:bookmarkStart w:id="213" w:name="_Toc18549"/>
      <w:bookmarkStart w:id="214" w:name="_Toc22337"/>
      <w:bookmarkStart w:id="215" w:name="_Toc2784"/>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5"/>
        <w:keepNext w:val="0"/>
        <w:keepLines w:val="0"/>
        <w:numPr>
          <w:ilvl w:val="0"/>
          <w:numId w:val="28"/>
        </w:numPr>
        <w:tabs>
          <w:tab w:val="left" w:pos="426"/>
          <w:tab w:val="left" w:pos="567"/>
        </w:tabs>
        <w:outlineLvl w:val="2"/>
        <w:rPr>
          <w:b w:val="0"/>
          <w:color w:val="auto"/>
          <w:sz w:val="24"/>
          <w:szCs w:val="24"/>
          <w:highlight w:val="none"/>
        </w:rPr>
      </w:pPr>
      <w:bookmarkStart w:id="216" w:name="_Toc4343"/>
      <w:bookmarkStart w:id="217" w:name="_Toc1180"/>
      <w:bookmarkStart w:id="218" w:name="_Toc685"/>
      <w:bookmarkStart w:id="219" w:name="_Toc43566526"/>
      <w:bookmarkStart w:id="220" w:name="_Toc14008"/>
      <w:bookmarkStart w:id="221" w:name="_Toc3023"/>
      <w:bookmarkStart w:id="222" w:name="_Toc30181"/>
      <w:bookmarkStart w:id="223" w:name="_Toc25847"/>
      <w:bookmarkStart w:id="224" w:name="_Toc11494"/>
      <w:bookmarkStart w:id="225" w:name="_Toc6692"/>
      <w:bookmarkStart w:id="226" w:name="_Toc5575"/>
      <w:bookmarkStart w:id="227" w:name="_Toc6346"/>
      <w:bookmarkStart w:id="228" w:name="_Toc14295"/>
      <w:bookmarkStart w:id="229" w:name="_Toc18387"/>
      <w:bookmarkStart w:id="230" w:name="_Toc26127"/>
      <w:bookmarkStart w:id="231" w:name="_Toc13223"/>
      <w:bookmarkStart w:id="232" w:name="_Toc15180"/>
      <w:bookmarkStart w:id="233" w:name="_Toc4895"/>
      <w:bookmarkStart w:id="234" w:name="_Toc7797"/>
      <w:bookmarkStart w:id="235" w:name="_Toc7926"/>
      <w:bookmarkStart w:id="236" w:name="_Toc12081"/>
      <w:bookmarkStart w:id="237" w:name="_Toc9008"/>
      <w:bookmarkStart w:id="238" w:name="_Toc32216"/>
      <w:bookmarkStart w:id="239" w:name="_Toc27402"/>
      <w:bookmarkStart w:id="240" w:name="_Toc4052"/>
      <w:bookmarkStart w:id="241" w:name="_Toc28606"/>
      <w:bookmarkStart w:id="242" w:name="_Toc4947"/>
      <w:bookmarkStart w:id="243" w:name="_Toc11758"/>
      <w:bookmarkStart w:id="244" w:name="_Toc10100"/>
      <w:bookmarkStart w:id="245" w:name="_Toc961"/>
      <w:bookmarkStart w:id="246" w:name="_Toc22757"/>
      <w:r>
        <w:rPr>
          <w:rFonts w:hint="eastAsia"/>
          <w:b w:val="0"/>
          <w:color w:val="auto"/>
          <w:sz w:val="24"/>
          <w:szCs w:val="24"/>
          <w:highlight w:val="none"/>
        </w:rPr>
        <w:t>磋商过程中，磋商的任何一方不得透露与磋商有关的其他供应商的技术资料、价格和其他信息。</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5"/>
        <w:keepNext w:val="0"/>
        <w:keepLines w:val="0"/>
        <w:numPr>
          <w:ilvl w:val="0"/>
          <w:numId w:val="28"/>
        </w:numPr>
        <w:tabs>
          <w:tab w:val="left" w:pos="426"/>
          <w:tab w:val="left" w:pos="567"/>
        </w:tabs>
        <w:outlineLvl w:val="2"/>
        <w:rPr>
          <w:b w:val="0"/>
          <w:color w:val="auto"/>
          <w:sz w:val="24"/>
          <w:szCs w:val="24"/>
          <w:highlight w:val="none"/>
        </w:rPr>
      </w:pPr>
      <w:bookmarkStart w:id="247" w:name="_Toc9766"/>
      <w:bookmarkStart w:id="248" w:name="_Toc18334"/>
      <w:bookmarkStart w:id="249" w:name="_Toc31972"/>
      <w:bookmarkStart w:id="250" w:name="_Toc30367"/>
      <w:bookmarkStart w:id="251" w:name="_Toc10212"/>
      <w:bookmarkStart w:id="252" w:name="_Toc23573"/>
      <w:bookmarkStart w:id="253" w:name="_Toc4331"/>
      <w:bookmarkStart w:id="254" w:name="_Toc15744"/>
      <w:bookmarkStart w:id="255" w:name="_Toc25172"/>
      <w:bookmarkStart w:id="256" w:name="_Toc19525"/>
      <w:bookmarkStart w:id="257" w:name="_Toc6585"/>
      <w:bookmarkStart w:id="258" w:name="_Toc8490"/>
      <w:bookmarkStart w:id="259" w:name="_Toc16194"/>
      <w:bookmarkStart w:id="260" w:name="_Toc5251"/>
      <w:bookmarkStart w:id="261" w:name="_Toc43566527"/>
      <w:bookmarkStart w:id="262" w:name="_Toc31442"/>
      <w:bookmarkStart w:id="263" w:name="_Toc20292"/>
      <w:bookmarkStart w:id="264" w:name="_Toc30011"/>
      <w:bookmarkStart w:id="265" w:name="_Toc22105"/>
      <w:bookmarkStart w:id="266" w:name="_Toc7697"/>
      <w:bookmarkStart w:id="267" w:name="_Toc30506"/>
      <w:bookmarkStart w:id="268" w:name="_Toc4159"/>
      <w:bookmarkStart w:id="269" w:name="_Toc20680"/>
      <w:bookmarkStart w:id="270" w:name="_Toc9842"/>
      <w:bookmarkStart w:id="271" w:name="_Toc3164"/>
      <w:bookmarkStart w:id="272" w:name="_Toc30938"/>
      <w:bookmarkStart w:id="273" w:name="_Toc9431"/>
      <w:bookmarkStart w:id="274" w:name="_Toc1340"/>
      <w:bookmarkStart w:id="275" w:name="_Toc3944"/>
      <w:bookmarkStart w:id="276" w:name="_Toc26261"/>
      <w:bookmarkStart w:id="277" w:name="_Toc466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numPr>
          <w:ilvl w:val="0"/>
          <w:numId w:val="28"/>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left="16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left="16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四、经磋商小组评审，最后报价符合竞争性磋商文件要求的供应商不足三家的(符合《财政部关于政府采购竞争性磋商采购方式管理暂行办法有关问题的补充通知》财库【2015】124号文要求的除外)。</w:t>
      </w:r>
    </w:p>
    <w:p>
      <w:pPr>
        <w:pStyle w:val="5"/>
        <w:ind w:left="16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29"/>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p>
      <w:pPr>
        <w:rPr>
          <w:rFonts w:ascii="宋体" w:hAnsi="宋体" w:cs="宋体"/>
          <w:b/>
          <w:color w:val="auto"/>
          <w:highlight w:val="none"/>
        </w:rPr>
      </w:pPr>
      <w:r>
        <w:rPr>
          <w:rFonts w:hint="eastAsia" w:ascii="宋体" w:hAnsi="宋体" w:cs="宋体"/>
          <w:b/>
          <w:color w:val="auto"/>
          <w:highlight w:val="none"/>
        </w:rPr>
        <w:br w:type="page"/>
      </w:r>
    </w:p>
    <w:p>
      <w:pPr>
        <w:pStyle w:val="2"/>
      </w:pPr>
    </w:p>
    <w:tbl>
      <w:tblPr>
        <w:tblStyle w:val="44"/>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561"/>
        <w:gridCol w:w="4401"/>
        <w:gridCol w:w="127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577" w:type="dxa"/>
            <w:vAlign w:val="center"/>
          </w:tcPr>
          <w:p>
            <w:pPr>
              <w:spacing w:line="400" w:lineRule="exact"/>
              <w:ind w:firstLine="28"/>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119" w:type="dxa"/>
            <w:vAlign w:val="center"/>
          </w:tcPr>
          <w:p>
            <w:pPr>
              <w:spacing w:line="400" w:lineRule="exact"/>
              <w:ind w:firstLine="28"/>
              <w:jc w:val="center"/>
              <w:rPr>
                <w:rFonts w:hint="eastAsia" w:ascii="宋体" w:hAnsi="宋体" w:eastAsia="宋体" w:cs="宋体"/>
                <w:b/>
                <w:bCs/>
                <w:sz w:val="24"/>
                <w:szCs w:val="24"/>
              </w:rPr>
            </w:pPr>
            <w:r>
              <w:rPr>
                <w:rFonts w:hint="eastAsia" w:ascii="宋体" w:hAnsi="宋体" w:eastAsia="宋体" w:cs="宋体"/>
                <w:b/>
                <w:bCs/>
                <w:sz w:val="24"/>
                <w:szCs w:val="24"/>
              </w:rPr>
              <w:t>评分因素</w:t>
            </w:r>
          </w:p>
          <w:p>
            <w:pPr>
              <w:spacing w:line="400" w:lineRule="exact"/>
              <w:ind w:firstLine="28"/>
              <w:jc w:val="center"/>
              <w:rPr>
                <w:rFonts w:hint="eastAsia" w:ascii="宋体" w:hAnsi="宋体" w:eastAsia="宋体" w:cs="宋体"/>
                <w:b/>
                <w:bCs/>
                <w:sz w:val="24"/>
                <w:szCs w:val="24"/>
              </w:rPr>
            </w:pPr>
            <w:r>
              <w:rPr>
                <w:rFonts w:hint="eastAsia" w:ascii="宋体" w:hAnsi="宋体" w:eastAsia="宋体" w:cs="宋体"/>
                <w:b/>
                <w:bCs/>
                <w:sz w:val="24"/>
                <w:szCs w:val="24"/>
              </w:rPr>
              <w:t>及权重</w:t>
            </w:r>
          </w:p>
        </w:tc>
        <w:tc>
          <w:tcPr>
            <w:tcW w:w="561" w:type="dxa"/>
            <w:vAlign w:val="center"/>
          </w:tcPr>
          <w:p>
            <w:pPr>
              <w:spacing w:line="400" w:lineRule="exact"/>
              <w:ind w:firstLine="28"/>
              <w:jc w:val="center"/>
              <w:rPr>
                <w:rFonts w:hint="eastAsia" w:ascii="宋体" w:hAnsi="宋体" w:eastAsia="宋体" w:cs="宋体"/>
                <w:b/>
                <w:bCs/>
                <w:sz w:val="24"/>
                <w:szCs w:val="24"/>
              </w:rPr>
            </w:pPr>
            <w:r>
              <w:rPr>
                <w:rFonts w:hint="eastAsia" w:ascii="宋体" w:hAnsi="宋体" w:eastAsia="宋体" w:cs="宋体"/>
                <w:b/>
                <w:bCs/>
                <w:sz w:val="24"/>
                <w:szCs w:val="24"/>
              </w:rPr>
              <w:t>分值</w:t>
            </w:r>
          </w:p>
        </w:tc>
        <w:tc>
          <w:tcPr>
            <w:tcW w:w="4401" w:type="dxa"/>
            <w:vAlign w:val="center"/>
          </w:tcPr>
          <w:p>
            <w:pPr>
              <w:spacing w:line="400" w:lineRule="exact"/>
              <w:ind w:firstLine="28"/>
              <w:jc w:val="center"/>
              <w:rPr>
                <w:rFonts w:hint="eastAsia" w:ascii="宋体" w:hAnsi="宋体" w:eastAsia="宋体" w:cs="宋体"/>
                <w:b/>
                <w:bCs/>
                <w:sz w:val="24"/>
                <w:szCs w:val="24"/>
              </w:rPr>
            </w:pPr>
            <w:r>
              <w:rPr>
                <w:rFonts w:hint="eastAsia" w:ascii="宋体" w:hAnsi="宋体" w:eastAsia="宋体" w:cs="宋体"/>
                <w:b/>
                <w:bCs/>
                <w:sz w:val="24"/>
                <w:szCs w:val="24"/>
              </w:rPr>
              <w:t>评分标准</w:t>
            </w:r>
          </w:p>
        </w:tc>
        <w:tc>
          <w:tcPr>
            <w:tcW w:w="1277" w:type="dxa"/>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c>
          <w:tcPr>
            <w:tcW w:w="1277" w:type="dxa"/>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hint="eastAsia" w:ascii="宋体" w:hAnsi="宋体" w:eastAsia="宋体" w:cs="宋体"/>
                <w:sz w:val="24"/>
                <w:szCs w:val="24"/>
              </w:rPr>
            </w:pPr>
            <w:r>
              <w:rPr>
                <w:rFonts w:hint="eastAsia" w:ascii="宋体" w:hAnsi="宋体" w:eastAsia="宋体" w:cs="宋体"/>
                <w:sz w:val="24"/>
                <w:szCs w:val="24"/>
              </w:rPr>
              <w:t>1</w:t>
            </w:r>
          </w:p>
        </w:tc>
        <w:tc>
          <w:tcPr>
            <w:tcW w:w="1119" w:type="dxa"/>
            <w:vAlign w:val="center"/>
          </w:tcPr>
          <w:p>
            <w:pPr>
              <w:rPr>
                <w:rFonts w:hint="eastAsia" w:ascii="宋体" w:hAnsi="宋体" w:eastAsia="宋体" w:cs="宋体"/>
                <w:sz w:val="24"/>
                <w:szCs w:val="24"/>
              </w:rPr>
            </w:pPr>
            <w:r>
              <w:rPr>
                <w:rFonts w:hint="eastAsia" w:ascii="宋体" w:hAnsi="宋体" w:eastAsia="宋体" w:cs="宋体"/>
                <w:sz w:val="24"/>
                <w:szCs w:val="24"/>
              </w:rPr>
              <w:t>报价</w:t>
            </w:r>
            <w:r>
              <w:rPr>
                <w:rFonts w:hint="eastAsia" w:ascii="宋体" w:hAnsi="宋体" w:cs="宋体"/>
                <w:sz w:val="24"/>
                <w:szCs w:val="24"/>
                <w:lang w:val="en-US" w:eastAsia="zh-CN"/>
              </w:rPr>
              <w:t>15</w:t>
            </w:r>
            <w:r>
              <w:rPr>
                <w:rFonts w:hint="eastAsia" w:ascii="宋体" w:hAnsi="宋体" w:eastAsia="宋体" w:cs="宋体"/>
                <w:sz w:val="24"/>
                <w:szCs w:val="24"/>
              </w:rPr>
              <w:t>%</w:t>
            </w:r>
          </w:p>
          <w:p>
            <w:pPr>
              <w:rPr>
                <w:rFonts w:hint="eastAsia" w:ascii="宋体" w:hAnsi="宋体" w:eastAsia="宋体" w:cs="宋体"/>
                <w:sz w:val="24"/>
                <w:szCs w:val="24"/>
              </w:rPr>
            </w:pPr>
          </w:p>
        </w:tc>
        <w:tc>
          <w:tcPr>
            <w:tcW w:w="561" w:type="dxa"/>
            <w:vAlign w:val="center"/>
          </w:tcPr>
          <w:p>
            <w:pPr>
              <w:rPr>
                <w:rFonts w:hint="eastAsia" w:ascii="宋体" w:hAnsi="宋体" w:eastAsia="宋体" w:cs="宋体"/>
                <w:sz w:val="24"/>
                <w:szCs w:val="24"/>
              </w:rPr>
            </w:pPr>
            <w:r>
              <w:rPr>
                <w:rFonts w:hint="eastAsia" w:ascii="宋体" w:hAnsi="宋体" w:cs="宋体"/>
                <w:sz w:val="24"/>
                <w:szCs w:val="24"/>
                <w:lang w:val="en-US" w:eastAsia="zh-CN"/>
              </w:rPr>
              <w:t>15</w:t>
            </w:r>
            <w:r>
              <w:rPr>
                <w:rFonts w:hint="eastAsia" w:ascii="宋体" w:hAnsi="宋体" w:eastAsia="宋体" w:cs="宋体"/>
                <w:sz w:val="24"/>
                <w:szCs w:val="24"/>
              </w:rPr>
              <w:t>分</w:t>
            </w:r>
          </w:p>
        </w:tc>
        <w:tc>
          <w:tcPr>
            <w:tcW w:w="4401" w:type="dxa"/>
            <w:vAlign w:val="center"/>
          </w:tcPr>
          <w:p>
            <w:pPr>
              <w:numPr>
                <w:ilvl w:val="0"/>
                <w:numId w:val="30"/>
              </w:numPr>
              <w:rPr>
                <w:rFonts w:hint="eastAsia" w:ascii="宋体" w:hAnsi="宋体" w:eastAsia="宋体" w:cs="宋体"/>
                <w:sz w:val="24"/>
                <w:szCs w:val="24"/>
              </w:rPr>
            </w:pPr>
            <w:r>
              <w:rPr>
                <w:rFonts w:hint="eastAsia" w:ascii="宋体" w:hAnsi="宋体" w:eastAsia="宋体" w:cs="宋体"/>
                <w:sz w:val="24"/>
                <w:szCs w:val="24"/>
              </w:rPr>
              <w:t xml:space="preserve">满足磋商文件要求且最后报价最低的供应 商的价格为磋商基准价， 其价格分为满分。其 他供应商的价格分统一按照下列公式计算：磋商报价得分= （磋商基准价/最后磋商报价） ×价格权值×100。                       </w:t>
            </w:r>
          </w:p>
          <w:p>
            <w:pPr>
              <w:numPr>
                <w:ilvl w:val="0"/>
                <w:numId w:val="30"/>
              </w:numPr>
              <w:rPr>
                <w:rFonts w:hint="eastAsia" w:ascii="宋体" w:hAnsi="宋体" w:eastAsia="宋体" w:cs="宋体"/>
                <w:sz w:val="24"/>
                <w:szCs w:val="24"/>
              </w:rPr>
            </w:pPr>
            <w:r>
              <w:rPr>
                <w:rFonts w:hint="eastAsia" w:ascii="宋体" w:hAnsi="宋体" w:eastAsia="宋体" w:cs="宋体"/>
                <w:sz w:val="24"/>
                <w:szCs w:val="24"/>
              </w:rPr>
              <w:t>评分的取值按四舍五入法， 保留小数点后两 位。</w:t>
            </w:r>
          </w:p>
          <w:p>
            <w:pPr>
              <w:rPr>
                <w:rFonts w:hint="eastAsia" w:ascii="宋体" w:hAnsi="宋体" w:eastAsia="宋体" w:cs="宋体"/>
                <w:sz w:val="24"/>
                <w:szCs w:val="24"/>
              </w:rPr>
            </w:pP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19" w:type="dxa"/>
            <w:vAlign w:val="center"/>
          </w:tcPr>
          <w:p>
            <w:pPr>
              <w:rPr>
                <w:rFonts w:hint="eastAsia" w:ascii="宋体" w:hAnsi="宋体" w:eastAsia="宋体" w:cs="宋体"/>
                <w:sz w:val="24"/>
                <w:szCs w:val="24"/>
              </w:rPr>
            </w:pPr>
            <w:r>
              <w:rPr>
                <w:rFonts w:hint="eastAsia" w:ascii="宋体" w:hAnsi="宋体" w:eastAsia="宋体" w:cs="宋体"/>
                <w:sz w:val="24"/>
                <w:szCs w:val="24"/>
              </w:rPr>
              <w:t>项目实施方案</w:t>
            </w:r>
            <w:r>
              <w:rPr>
                <w:rFonts w:hint="eastAsia" w:ascii="宋体" w:hAnsi="宋体" w:cs="宋体"/>
                <w:sz w:val="24"/>
                <w:szCs w:val="24"/>
                <w:lang w:val="en-US" w:eastAsia="zh-CN"/>
              </w:rPr>
              <w:t>52</w:t>
            </w:r>
            <w:r>
              <w:rPr>
                <w:rFonts w:hint="eastAsia" w:ascii="宋体" w:hAnsi="宋体" w:eastAsia="宋体" w:cs="宋体"/>
                <w:sz w:val="24"/>
                <w:szCs w:val="24"/>
              </w:rPr>
              <w:t>%</w:t>
            </w:r>
          </w:p>
        </w:tc>
        <w:tc>
          <w:tcPr>
            <w:tcW w:w="561" w:type="dxa"/>
            <w:vAlign w:val="center"/>
          </w:tcPr>
          <w:p>
            <w:pPr>
              <w:rPr>
                <w:rFonts w:hint="eastAsia" w:ascii="宋体" w:hAnsi="宋体" w:eastAsia="宋体" w:cs="宋体"/>
                <w:sz w:val="24"/>
                <w:szCs w:val="24"/>
              </w:rPr>
            </w:pPr>
            <w:r>
              <w:rPr>
                <w:rFonts w:hint="eastAsia" w:ascii="宋体" w:hAnsi="宋体" w:cs="宋体"/>
                <w:sz w:val="24"/>
                <w:szCs w:val="24"/>
                <w:lang w:val="en-US" w:eastAsia="zh-CN"/>
              </w:rPr>
              <w:t>52</w:t>
            </w:r>
            <w:r>
              <w:rPr>
                <w:rFonts w:hint="eastAsia" w:ascii="宋体" w:hAnsi="宋体" w:eastAsia="宋体" w:cs="宋体"/>
                <w:sz w:val="24"/>
                <w:szCs w:val="24"/>
              </w:rPr>
              <w:t>分</w:t>
            </w:r>
          </w:p>
        </w:tc>
        <w:tc>
          <w:tcPr>
            <w:tcW w:w="4401" w:type="dxa"/>
            <w:vAlign w:val="center"/>
          </w:tcPr>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rPr>
              <w:t>响应单位</w:t>
            </w:r>
            <w:r>
              <w:rPr>
                <w:rFonts w:hint="eastAsia" w:ascii="宋体" w:hAnsi="宋体" w:eastAsia="宋体" w:cs="宋体"/>
                <w:sz w:val="24"/>
                <w:szCs w:val="24"/>
              </w:rPr>
              <w:t>根据本项目特点，提供宣传方案【至少包含①</w:t>
            </w:r>
            <w:r>
              <w:rPr>
                <w:rFonts w:hint="eastAsia" w:ascii="宋体" w:hAnsi="宋体" w:cs="宋体"/>
                <w:sz w:val="24"/>
                <w:szCs w:val="24"/>
                <w:lang w:val="en-US" w:eastAsia="zh-CN"/>
              </w:rPr>
              <w:t>活动</w:t>
            </w:r>
            <w:r>
              <w:rPr>
                <w:rFonts w:hint="eastAsia" w:ascii="宋体" w:hAnsi="宋体" w:eastAsia="宋体" w:cs="宋体"/>
                <w:sz w:val="24"/>
                <w:szCs w:val="24"/>
              </w:rPr>
              <w:t>策划</w:t>
            </w:r>
            <w:r>
              <w:rPr>
                <w:rFonts w:hint="eastAsia" w:ascii="宋体" w:hAnsi="宋体" w:cs="宋体"/>
                <w:sz w:val="24"/>
                <w:szCs w:val="24"/>
                <w:lang w:eastAsia="zh-CN"/>
              </w:rPr>
              <w:t>；</w:t>
            </w:r>
            <w:r>
              <w:rPr>
                <w:rFonts w:hint="eastAsia" w:ascii="宋体" w:hAnsi="宋体" w:eastAsia="宋体" w:cs="宋体"/>
                <w:sz w:val="24"/>
                <w:szCs w:val="24"/>
              </w:rPr>
              <w:t>②</w:t>
            </w:r>
            <w:r>
              <w:rPr>
                <w:rFonts w:hint="eastAsia" w:ascii="宋体" w:hAnsi="宋体" w:eastAsia="宋体" w:cs="宋体"/>
                <w:sz w:val="24"/>
                <w:szCs w:val="24"/>
                <w:lang w:val="en-US" w:eastAsia="zh-CN"/>
              </w:rPr>
              <w:t>展馆内容</w:t>
            </w:r>
            <w:r>
              <w:rPr>
                <w:rFonts w:hint="eastAsia" w:ascii="宋体" w:hAnsi="宋体" w:eastAsia="宋体" w:cs="宋体"/>
                <w:sz w:val="24"/>
                <w:szCs w:val="24"/>
              </w:rPr>
              <w:t>内容设计</w:t>
            </w:r>
            <w:r>
              <w:rPr>
                <w:rFonts w:hint="eastAsia" w:ascii="宋体" w:hAnsi="宋体" w:cs="宋体"/>
                <w:sz w:val="24"/>
                <w:szCs w:val="24"/>
                <w:lang w:eastAsia="zh-CN"/>
              </w:rPr>
              <w:t>；</w:t>
            </w:r>
            <w:r>
              <w:rPr>
                <w:rFonts w:hint="eastAsia" w:ascii="宋体" w:hAnsi="宋体" w:eastAsia="宋体" w:cs="宋体"/>
                <w:sz w:val="24"/>
                <w:szCs w:val="24"/>
                <w:lang w:val="en-US" w:eastAsia="zh-CN"/>
              </w:rPr>
              <w:t>③</w:t>
            </w:r>
            <w:r>
              <w:rPr>
                <w:rFonts w:hint="eastAsia" w:ascii="宋体" w:hAnsi="宋体" w:eastAsia="宋体" w:cs="宋体"/>
                <w:sz w:val="24"/>
                <w:szCs w:val="24"/>
              </w:rPr>
              <w:t>会议现场氛围营造措施与方案</w:t>
            </w:r>
            <w:r>
              <w:rPr>
                <w:rFonts w:hint="eastAsia" w:ascii="宋体" w:hAnsi="宋体" w:cs="宋体"/>
                <w:sz w:val="24"/>
                <w:szCs w:val="24"/>
                <w:lang w:eastAsia="zh-CN"/>
              </w:rPr>
              <w:t>；</w:t>
            </w:r>
            <w:r>
              <w:rPr>
                <w:rFonts w:hint="eastAsia" w:ascii="宋体" w:hAnsi="宋体" w:eastAsia="宋体" w:cs="宋体"/>
                <w:sz w:val="24"/>
                <w:szCs w:val="24"/>
                <w:lang w:val="en-US" w:eastAsia="zh-CN"/>
              </w:rPr>
              <w:t>④</w:t>
            </w:r>
            <w:r>
              <w:rPr>
                <w:rFonts w:hint="eastAsia" w:ascii="宋体" w:hAnsi="宋体" w:cs="宋体"/>
                <w:sz w:val="24"/>
                <w:szCs w:val="24"/>
                <w:lang w:val="en-US" w:eastAsia="zh-CN"/>
              </w:rPr>
              <w:t>宣传</w:t>
            </w:r>
            <w:r>
              <w:rPr>
                <w:rFonts w:hint="eastAsia" w:ascii="宋体" w:hAnsi="宋体" w:eastAsia="宋体" w:cs="宋体"/>
                <w:sz w:val="24"/>
                <w:szCs w:val="24"/>
              </w:rPr>
              <w:t>推广预案及效果预测</w:t>
            </w:r>
            <w:r>
              <w:rPr>
                <w:rFonts w:hint="eastAsia" w:ascii="宋体" w:hAnsi="宋体" w:cs="宋体"/>
                <w:sz w:val="24"/>
                <w:szCs w:val="24"/>
                <w:lang w:eastAsia="zh-CN"/>
              </w:rPr>
              <w:t>；</w:t>
            </w:r>
            <w:r>
              <w:rPr>
                <w:rFonts w:hint="eastAsia" w:ascii="宋体" w:hAnsi="宋体" w:eastAsia="宋体" w:cs="宋体"/>
                <w:sz w:val="24"/>
                <w:szCs w:val="24"/>
                <w:lang w:val="en-US" w:eastAsia="zh-CN"/>
              </w:rPr>
              <w:t>⑤</w:t>
            </w:r>
            <w:r>
              <w:rPr>
                <w:rFonts w:hint="eastAsia" w:ascii="宋体" w:hAnsi="宋体" w:eastAsia="宋体" w:cs="宋体"/>
                <w:sz w:val="24"/>
                <w:szCs w:val="24"/>
              </w:rPr>
              <w:t>本项目履约期限要求的工作进度安排</w:t>
            </w:r>
            <w:r>
              <w:rPr>
                <w:rFonts w:hint="eastAsia" w:ascii="宋体" w:hAnsi="宋体" w:cs="宋体"/>
                <w:sz w:val="24"/>
                <w:szCs w:val="24"/>
                <w:lang w:eastAsia="zh-CN"/>
              </w:rPr>
              <w:t>；</w:t>
            </w:r>
            <w:r>
              <w:rPr>
                <w:rFonts w:hint="eastAsia" w:ascii="宋体" w:hAnsi="宋体" w:eastAsia="宋体" w:cs="宋体"/>
                <w:sz w:val="24"/>
                <w:szCs w:val="24"/>
                <w:lang w:val="en-US" w:eastAsia="zh-CN"/>
              </w:rPr>
              <w:t>⑥</w:t>
            </w:r>
            <w:r>
              <w:rPr>
                <w:rFonts w:hint="eastAsia" w:ascii="宋体" w:hAnsi="宋体" w:eastAsia="宋体" w:cs="宋体"/>
                <w:sz w:val="24"/>
                <w:szCs w:val="24"/>
              </w:rPr>
              <w:t>服务团队权责划分、考核管控制度及项目实施质量管理</w:t>
            </w:r>
            <w:r>
              <w:rPr>
                <w:rFonts w:hint="eastAsia" w:ascii="宋体" w:hAnsi="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上述内容</w:t>
            </w:r>
            <w:r>
              <w:rPr>
                <w:rFonts w:hint="eastAsia" w:ascii="宋体" w:hAnsi="宋体" w:eastAsia="宋体" w:cs="宋体"/>
                <w:sz w:val="24"/>
                <w:szCs w:val="24"/>
              </w:rPr>
              <w:t>每具有一项</w:t>
            </w:r>
            <w:r>
              <w:rPr>
                <w:rFonts w:hint="eastAsia" w:ascii="宋体" w:hAnsi="宋体" w:eastAsia="宋体" w:cs="宋体"/>
                <w:sz w:val="24"/>
                <w:szCs w:val="24"/>
                <w:lang w:val="en-US" w:eastAsia="zh-CN"/>
              </w:rPr>
              <w:t>且完善无缺陷的</w:t>
            </w:r>
            <w:r>
              <w:rPr>
                <w:rFonts w:hint="eastAsia" w:ascii="宋体" w:hAnsi="宋体" w:eastAsia="宋体" w:cs="宋体"/>
                <w:sz w:val="24"/>
                <w:szCs w:val="24"/>
              </w:rPr>
              <w:t>得</w:t>
            </w:r>
            <w:r>
              <w:rPr>
                <w:rFonts w:hint="eastAsia" w:ascii="宋体" w:hAnsi="宋体" w:cs="宋体"/>
                <w:sz w:val="24"/>
                <w:szCs w:val="24"/>
                <w:lang w:val="en-US" w:eastAsia="zh-CN"/>
              </w:rPr>
              <w:t>8</w:t>
            </w:r>
            <w:r>
              <w:rPr>
                <w:rFonts w:hint="eastAsia" w:ascii="宋体" w:hAnsi="宋体" w:eastAsia="宋体" w:cs="宋体"/>
                <w:sz w:val="24"/>
                <w:szCs w:val="24"/>
              </w:rPr>
              <w:t>分，最多得</w:t>
            </w:r>
            <w:r>
              <w:rPr>
                <w:rFonts w:hint="eastAsia" w:ascii="宋体" w:hAnsi="宋体" w:cs="宋体"/>
                <w:sz w:val="24"/>
                <w:szCs w:val="24"/>
                <w:lang w:val="en-US" w:eastAsia="zh-CN"/>
              </w:rPr>
              <w:t>48</w:t>
            </w:r>
            <w:r>
              <w:rPr>
                <w:rFonts w:hint="eastAsia" w:ascii="宋体" w:hAnsi="宋体" w:eastAsia="宋体" w:cs="宋体"/>
                <w:sz w:val="24"/>
                <w:szCs w:val="24"/>
              </w:rPr>
              <w:t>分。方案中存在缺陷或不足，每有一处扣</w:t>
            </w:r>
            <w:r>
              <w:rPr>
                <w:rFonts w:hint="eastAsia" w:ascii="宋体" w:hAnsi="宋体" w:cs="宋体"/>
                <w:sz w:val="24"/>
                <w:szCs w:val="24"/>
                <w:lang w:val="en-US" w:eastAsia="zh-CN"/>
              </w:rPr>
              <w:t>4</w:t>
            </w:r>
            <w:r>
              <w:rPr>
                <w:rFonts w:hint="eastAsia" w:ascii="宋体" w:hAnsi="宋体" w:eastAsia="宋体" w:cs="宋体"/>
                <w:sz w:val="24"/>
                <w:szCs w:val="24"/>
              </w:rPr>
              <w:t>分，扣完为止。</w:t>
            </w: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此外，</w:t>
            </w:r>
            <w:r>
              <w:rPr>
                <w:rFonts w:hint="default" w:ascii="宋体" w:hAnsi="宋体" w:eastAsia="宋体" w:cs="宋体"/>
                <w:sz w:val="24"/>
                <w:szCs w:val="24"/>
              </w:rPr>
              <w:t>响应单位</w:t>
            </w:r>
            <w:r>
              <w:rPr>
                <w:rFonts w:hint="eastAsia" w:ascii="宋体" w:hAnsi="宋体" w:eastAsia="宋体" w:cs="宋体"/>
                <w:sz w:val="24"/>
                <w:szCs w:val="24"/>
              </w:rPr>
              <w:t>针对本项还能提供其它契合采购人实际需要且被磋商小组认可的其它合理化建议的，一条加</w:t>
            </w:r>
            <w:r>
              <w:rPr>
                <w:rFonts w:hint="eastAsia" w:ascii="宋体" w:hAnsi="宋体" w:cs="宋体"/>
                <w:sz w:val="24"/>
                <w:szCs w:val="24"/>
                <w:lang w:val="en-US" w:eastAsia="zh-CN"/>
              </w:rPr>
              <w:t>2</w:t>
            </w:r>
            <w:r>
              <w:rPr>
                <w:rFonts w:hint="eastAsia" w:ascii="宋体" w:hAnsi="宋体" w:eastAsia="宋体" w:cs="宋体"/>
                <w:sz w:val="24"/>
                <w:szCs w:val="24"/>
              </w:rPr>
              <w:t>分，最多加</w:t>
            </w:r>
            <w:r>
              <w:rPr>
                <w:rFonts w:hint="eastAsia" w:ascii="宋体" w:hAnsi="宋体" w:cs="宋体"/>
                <w:sz w:val="24"/>
                <w:szCs w:val="24"/>
                <w:lang w:val="en-US" w:eastAsia="zh-CN"/>
              </w:rPr>
              <w:t>4</w:t>
            </w:r>
            <w:r>
              <w:rPr>
                <w:rFonts w:hint="eastAsia" w:ascii="宋体" w:hAnsi="宋体" w:eastAsia="宋体" w:cs="宋体"/>
                <w:sz w:val="24"/>
                <w:szCs w:val="24"/>
              </w:rPr>
              <w:t>分。</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注：缺陷或不足是指：存在不适用项目实际情况的情形、凭空编造、方案中内容前后不一致、前后逻辑错误、涉及的规范及标准错误、地点区域错误、内容缺失、不符合项目实际情况等</w:t>
            </w:r>
            <w:r>
              <w:rPr>
                <w:rFonts w:hint="eastAsia" w:ascii="宋体" w:hAnsi="宋体" w:eastAsia="宋体" w:cs="宋体"/>
                <w:sz w:val="24"/>
                <w:szCs w:val="24"/>
                <w:lang w:eastAsia="zh-CN"/>
              </w:rPr>
              <w:t>。</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119" w:type="dxa"/>
            <w:vAlign w:val="center"/>
          </w:tcPr>
          <w:p>
            <w:pPr>
              <w:rPr>
                <w:rFonts w:hint="eastAsia" w:ascii="宋体" w:hAnsi="宋体" w:eastAsia="宋体" w:cs="宋体"/>
                <w:sz w:val="24"/>
                <w:szCs w:val="24"/>
              </w:rPr>
            </w:pPr>
            <w:r>
              <w:rPr>
                <w:rFonts w:hint="eastAsia" w:ascii="宋体" w:hAnsi="宋体" w:cs="宋体"/>
                <w:sz w:val="24"/>
                <w:szCs w:val="24"/>
                <w:lang w:val="en-US" w:eastAsia="zh-CN"/>
              </w:rPr>
              <w:t>服务保障措施12</w:t>
            </w:r>
            <w:r>
              <w:rPr>
                <w:rFonts w:hint="eastAsia" w:ascii="宋体" w:hAnsi="宋体" w:eastAsia="宋体" w:cs="宋体"/>
                <w:sz w:val="24"/>
                <w:szCs w:val="24"/>
              </w:rPr>
              <w:t>%</w:t>
            </w:r>
          </w:p>
        </w:tc>
        <w:tc>
          <w:tcPr>
            <w:tcW w:w="561" w:type="dxa"/>
            <w:vAlign w:val="center"/>
          </w:tcPr>
          <w:p>
            <w:pPr>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分</w:t>
            </w:r>
          </w:p>
        </w:tc>
        <w:tc>
          <w:tcPr>
            <w:tcW w:w="4401" w:type="dxa"/>
            <w:vAlign w:val="center"/>
          </w:tcPr>
          <w:p>
            <w:pPr>
              <w:numPr>
                <w:ilvl w:val="0"/>
                <w:numId w:val="0"/>
              </w:numPr>
              <w:rPr>
                <w:rFonts w:hint="eastAsia" w:ascii="宋体" w:hAnsi="宋体" w:eastAsia="宋体" w:cs="宋体"/>
                <w:sz w:val="24"/>
                <w:szCs w:val="24"/>
              </w:rPr>
            </w:pPr>
            <w:r>
              <w:rPr>
                <w:rFonts w:hint="eastAsia" w:ascii="宋体" w:hAnsi="宋体" w:eastAsia="宋体" w:cs="宋体"/>
                <w:sz w:val="24"/>
                <w:szCs w:val="24"/>
              </w:rPr>
              <w:t>供应商需根据项目实际需求及所制定服务方 案编制服务保障方案， 方案需包括： ①服务保障范围； ②服务方案的执行； ③现场工作的协调方案</w:t>
            </w:r>
            <w:r>
              <w:rPr>
                <w:rFonts w:hint="eastAsia" w:ascii="宋体" w:hAnsi="宋体" w:cs="宋体"/>
                <w:sz w:val="24"/>
                <w:szCs w:val="24"/>
                <w:lang w:eastAsia="zh-CN"/>
              </w:rPr>
              <w:t>。</w:t>
            </w:r>
            <w:r>
              <w:rPr>
                <w:rFonts w:hint="eastAsia" w:ascii="宋体" w:hAnsi="宋体" w:eastAsia="宋体" w:cs="宋体"/>
                <w:sz w:val="24"/>
                <w:szCs w:val="24"/>
                <w:lang w:val="en-US" w:eastAsia="zh-CN"/>
              </w:rPr>
              <w:t>上述内容</w:t>
            </w:r>
            <w:r>
              <w:rPr>
                <w:rFonts w:hint="eastAsia" w:ascii="宋体" w:hAnsi="宋体" w:eastAsia="宋体" w:cs="宋体"/>
                <w:sz w:val="24"/>
                <w:szCs w:val="24"/>
              </w:rPr>
              <w:t>每具有一项</w:t>
            </w:r>
            <w:r>
              <w:rPr>
                <w:rFonts w:hint="eastAsia" w:ascii="宋体" w:hAnsi="宋体" w:eastAsia="宋体" w:cs="宋体"/>
                <w:sz w:val="24"/>
                <w:szCs w:val="24"/>
                <w:lang w:val="en-US" w:eastAsia="zh-CN"/>
              </w:rPr>
              <w:t>且完善无缺陷的</w:t>
            </w:r>
            <w:r>
              <w:rPr>
                <w:rFonts w:hint="eastAsia" w:ascii="宋体" w:hAnsi="宋体" w:eastAsia="宋体" w:cs="宋体"/>
                <w:sz w:val="24"/>
                <w:szCs w:val="24"/>
              </w:rPr>
              <w:t>得</w:t>
            </w:r>
            <w:r>
              <w:rPr>
                <w:rFonts w:hint="eastAsia" w:ascii="宋体" w:hAnsi="宋体" w:eastAsia="宋体" w:cs="宋体"/>
                <w:sz w:val="24"/>
                <w:szCs w:val="24"/>
                <w:lang w:val="en-US" w:eastAsia="zh-CN"/>
              </w:rPr>
              <w:t>4</w:t>
            </w:r>
            <w:r>
              <w:rPr>
                <w:rFonts w:hint="eastAsia" w:ascii="宋体" w:hAnsi="宋体" w:eastAsia="宋体" w:cs="宋体"/>
                <w:sz w:val="24"/>
                <w:szCs w:val="24"/>
              </w:rPr>
              <w:t>分，最多得</w:t>
            </w:r>
            <w:r>
              <w:rPr>
                <w:rFonts w:hint="eastAsia" w:ascii="宋体" w:hAnsi="宋体" w:cs="宋体"/>
                <w:sz w:val="24"/>
                <w:szCs w:val="24"/>
                <w:lang w:val="en-US" w:eastAsia="zh-CN"/>
              </w:rPr>
              <w:t>12</w:t>
            </w:r>
            <w:r>
              <w:rPr>
                <w:rFonts w:hint="eastAsia" w:ascii="宋体" w:hAnsi="宋体" w:eastAsia="宋体" w:cs="宋体"/>
                <w:sz w:val="24"/>
                <w:szCs w:val="24"/>
              </w:rPr>
              <w:t>分。方案中存在缺陷或不足每有一处扣</w:t>
            </w:r>
            <w:r>
              <w:rPr>
                <w:rFonts w:hint="eastAsia" w:ascii="宋体" w:hAnsi="宋体" w:cs="宋体"/>
                <w:sz w:val="24"/>
                <w:szCs w:val="24"/>
                <w:lang w:val="en-US" w:eastAsia="zh-CN"/>
              </w:rPr>
              <w:t>2</w:t>
            </w:r>
            <w:r>
              <w:rPr>
                <w:rFonts w:hint="eastAsia" w:ascii="宋体" w:hAnsi="宋体" w:eastAsia="宋体" w:cs="宋体"/>
                <w:sz w:val="24"/>
                <w:szCs w:val="24"/>
              </w:rPr>
              <w:t>分，扣完为止。</w:t>
            </w:r>
          </w:p>
          <w:p>
            <w:pPr>
              <w:rPr>
                <w:rFonts w:hint="eastAsia" w:ascii="宋体" w:hAnsi="宋体" w:eastAsia="宋体" w:cs="宋体"/>
                <w:sz w:val="24"/>
                <w:szCs w:val="24"/>
                <w:lang w:eastAsia="zh-CN"/>
              </w:rPr>
            </w:pPr>
            <w:r>
              <w:rPr>
                <w:rFonts w:hint="eastAsia" w:ascii="宋体" w:hAnsi="宋体" w:cs="宋体"/>
                <w:sz w:val="24"/>
                <w:szCs w:val="24"/>
                <w:lang w:val="en-US" w:eastAsia="zh-CN"/>
              </w:rPr>
              <w:t>注：</w:t>
            </w:r>
            <w:r>
              <w:rPr>
                <w:rFonts w:hint="eastAsia" w:ascii="宋体" w:hAnsi="宋体" w:eastAsia="宋体" w:cs="宋体"/>
                <w:sz w:val="24"/>
                <w:szCs w:val="24"/>
              </w:rPr>
              <w:t>缺陷或不足是指：存在不适用项目实际情况的情形、凭空编造、方案中内容前后不一致、前后逻辑错误、涉及的规范及标准错误、地点区域错误、内容缺失、不符合项目实际情况等</w:t>
            </w:r>
            <w:r>
              <w:rPr>
                <w:rFonts w:hint="eastAsia" w:ascii="宋体" w:hAnsi="宋体" w:cs="宋体"/>
                <w:sz w:val="24"/>
                <w:szCs w:val="24"/>
                <w:lang w:eastAsia="zh-CN"/>
              </w:rPr>
              <w:t>。</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spacing w:line="400" w:lineRule="exact"/>
              <w:ind w:firstLine="28"/>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119" w:type="dxa"/>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应急方案12%</w:t>
            </w:r>
          </w:p>
        </w:tc>
        <w:tc>
          <w:tcPr>
            <w:tcW w:w="561" w:type="dxa"/>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12分</w:t>
            </w:r>
            <w:bookmarkStart w:id="378" w:name="_GoBack"/>
            <w:bookmarkEnd w:id="378"/>
          </w:p>
        </w:tc>
        <w:tc>
          <w:tcPr>
            <w:tcW w:w="4401" w:type="dxa"/>
            <w:vAlign w:val="center"/>
          </w:tcPr>
          <w:p>
            <w:pPr>
              <w:rPr>
                <w:rFonts w:hint="eastAsia" w:ascii="宋体" w:hAnsi="宋体" w:cs="宋体"/>
                <w:sz w:val="24"/>
                <w:szCs w:val="24"/>
                <w:lang w:eastAsia="zh-CN"/>
              </w:rPr>
            </w:pPr>
            <w:r>
              <w:rPr>
                <w:rFonts w:hint="eastAsia" w:ascii="宋体" w:hAnsi="宋体" w:eastAsia="宋体" w:cs="宋体"/>
                <w:sz w:val="24"/>
                <w:szCs w:val="24"/>
              </w:rPr>
              <w:t xml:space="preserve">供应商需针对项目需求编制应急保障措施， 内 容需包含： ①突发情况应急措施； ②安全事故 处理措施； ③符合疫情防控要求的安全提示及 安全用品的提供（口罩、消毒液等） </w:t>
            </w:r>
            <w:r>
              <w:rPr>
                <w:rFonts w:hint="eastAsia" w:ascii="宋体" w:hAnsi="宋体" w:cs="宋体"/>
                <w:sz w:val="24"/>
                <w:szCs w:val="24"/>
                <w:lang w:eastAsia="zh-CN"/>
              </w:rPr>
              <w:t>。</w:t>
            </w:r>
            <w:r>
              <w:rPr>
                <w:rFonts w:hint="eastAsia" w:ascii="宋体" w:hAnsi="宋体" w:eastAsia="宋体" w:cs="宋体"/>
                <w:sz w:val="24"/>
                <w:szCs w:val="24"/>
                <w:lang w:val="en-US" w:eastAsia="zh-CN"/>
              </w:rPr>
              <w:t>上述内容</w:t>
            </w:r>
            <w:r>
              <w:rPr>
                <w:rFonts w:hint="eastAsia" w:ascii="宋体" w:hAnsi="宋体" w:eastAsia="宋体" w:cs="宋体"/>
                <w:sz w:val="24"/>
                <w:szCs w:val="24"/>
              </w:rPr>
              <w:t>每具有一项</w:t>
            </w:r>
            <w:r>
              <w:rPr>
                <w:rFonts w:hint="eastAsia" w:ascii="宋体" w:hAnsi="宋体" w:eastAsia="宋体" w:cs="宋体"/>
                <w:sz w:val="24"/>
                <w:szCs w:val="24"/>
                <w:lang w:val="en-US" w:eastAsia="zh-CN"/>
              </w:rPr>
              <w:t>且完善无缺陷的</w:t>
            </w:r>
            <w:r>
              <w:rPr>
                <w:rFonts w:hint="eastAsia" w:ascii="宋体" w:hAnsi="宋体" w:eastAsia="宋体" w:cs="宋体"/>
                <w:sz w:val="24"/>
                <w:szCs w:val="24"/>
              </w:rPr>
              <w:t>得</w:t>
            </w:r>
            <w:r>
              <w:rPr>
                <w:rFonts w:hint="eastAsia" w:ascii="宋体" w:hAnsi="宋体" w:eastAsia="宋体" w:cs="宋体"/>
                <w:sz w:val="24"/>
                <w:szCs w:val="24"/>
                <w:lang w:val="en-US" w:eastAsia="zh-CN"/>
              </w:rPr>
              <w:t>4</w:t>
            </w:r>
            <w:r>
              <w:rPr>
                <w:rFonts w:hint="eastAsia" w:ascii="宋体" w:hAnsi="宋体" w:eastAsia="宋体" w:cs="宋体"/>
                <w:sz w:val="24"/>
                <w:szCs w:val="24"/>
              </w:rPr>
              <w:t>分，最多得</w:t>
            </w:r>
            <w:r>
              <w:rPr>
                <w:rFonts w:hint="eastAsia" w:ascii="宋体" w:hAnsi="宋体" w:cs="宋体"/>
                <w:sz w:val="24"/>
                <w:szCs w:val="24"/>
                <w:lang w:val="en-US" w:eastAsia="zh-CN"/>
              </w:rPr>
              <w:t>12</w:t>
            </w:r>
            <w:r>
              <w:rPr>
                <w:rFonts w:hint="eastAsia" w:ascii="宋体" w:hAnsi="宋体" w:eastAsia="宋体" w:cs="宋体"/>
                <w:sz w:val="24"/>
                <w:szCs w:val="24"/>
              </w:rPr>
              <w:t>分。方案中存在缺陷或不足</w:t>
            </w:r>
            <w:r>
              <w:rPr>
                <w:rFonts w:hint="eastAsia" w:ascii="宋体" w:hAnsi="宋体" w:eastAsia="宋体" w:cs="宋体"/>
                <w:sz w:val="24"/>
                <w:szCs w:val="24"/>
                <w:lang w:val="en-US" w:eastAsia="zh-CN"/>
              </w:rPr>
              <w:t>每</w:t>
            </w:r>
            <w:r>
              <w:rPr>
                <w:rFonts w:hint="eastAsia" w:ascii="宋体" w:hAnsi="宋体" w:eastAsia="宋体" w:cs="宋体"/>
                <w:sz w:val="24"/>
                <w:szCs w:val="24"/>
              </w:rPr>
              <w:t>有一处扣</w:t>
            </w:r>
            <w:r>
              <w:rPr>
                <w:rFonts w:hint="eastAsia" w:ascii="宋体" w:hAnsi="宋体" w:cs="宋体"/>
                <w:sz w:val="24"/>
                <w:szCs w:val="24"/>
                <w:lang w:val="en-US" w:eastAsia="zh-CN"/>
              </w:rPr>
              <w:t>2</w:t>
            </w:r>
            <w:r>
              <w:rPr>
                <w:rFonts w:hint="eastAsia" w:ascii="宋体" w:hAnsi="宋体" w:eastAsia="宋体" w:cs="宋体"/>
                <w:sz w:val="24"/>
                <w:szCs w:val="24"/>
              </w:rPr>
              <w:t>分，扣完为止。</w:t>
            </w:r>
          </w:p>
          <w:p>
            <w:pPr>
              <w:rPr>
                <w:rFonts w:hint="eastAsia" w:ascii="宋体" w:hAnsi="宋体" w:eastAsia="宋体" w:cs="宋体"/>
                <w:sz w:val="24"/>
                <w:szCs w:val="24"/>
                <w:lang w:eastAsia="zh-CN"/>
              </w:rPr>
            </w:pPr>
            <w:r>
              <w:rPr>
                <w:rFonts w:hint="eastAsia" w:ascii="宋体" w:hAnsi="宋体" w:cs="宋体"/>
                <w:sz w:val="24"/>
                <w:szCs w:val="24"/>
                <w:lang w:val="en-US" w:eastAsia="zh-CN"/>
              </w:rPr>
              <w:t>注：</w:t>
            </w:r>
            <w:r>
              <w:rPr>
                <w:rFonts w:hint="eastAsia" w:ascii="宋体" w:hAnsi="宋体" w:eastAsia="宋体" w:cs="宋体"/>
                <w:sz w:val="24"/>
                <w:szCs w:val="24"/>
              </w:rPr>
              <w:t>缺陷或不足是指：存在不适用项目实际情况的情形、凭空编造、方案中内容前后不一致、前后逻辑错误、涉及的规范及标准错误、地点区域错误、内容缺失、不符合项目实际情况等</w:t>
            </w:r>
            <w:r>
              <w:rPr>
                <w:rFonts w:hint="eastAsia" w:ascii="宋体" w:hAnsi="宋体" w:cs="宋体"/>
                <w:sz w:val="24"/>
                <w:szCs w:val="24"/>
                <w:lang w:eastAsia="zh-CN"/>
              </w:rPr>
              <w:t>。</w:t>
            </w:r>
          </w:p>
        </w:tc>
        <w:tc>
          <w:tcPr>
            <w:tcW w:w="1277" w:type="dxa"/>
            <w:vAlign w:val="center"/>
          </w:tcPr>
          <w:p>
            <w:pPr>
              <w:jc w:val="center"/>
              <w:rPr>
                <w:rFonts w:hint="eastAsia" w:ascii="宋体" w:hAnsi="宋体" w:eastAsia="宋体" w:cs="宋体"/>
                <w:sz w:val="24"/>
                <w:szCs w:val="24"/>
              </w:rPr>
            </w:pP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trPr>
        <w:tc>
          <w:tcPr>
            <w:tcW w:w="577" w:type="dxa"/>
            <w:vAlign w:val="center"/>
          </w:tcPr>
          <w:p>
            <w:pPr>
              <w:spacing w:line="400" w:lineRule="exact"/>
              <w:ind w:firstLine="28"/>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1119" w:type="dxa"/>
            <w:vAlign w:val="center"/>
          </w:tcPr>
          <w:p>
            <w:pPr>
              <w:rPr>
                <w:rFonts w:hint="eastAsia" w:ascii="宋体" w:hAnsi="宋体" w:eastAsia="宋体" w:cs="宋体"/>
                <w:sz w:val="24"/>
                <w:szCs w:val="24"/>
              </w:rPr>
            </w:pPr>
            <w:r>
              <w:rPr>
                <w:rFonts w:hint="eastAsia" w:ascii="宋体" w:hAnsi="宋体" w:eastAsia="宋体" w:cs="宋体"/>
                <w:sz w:val="24"/>
                <w:szCs w:val="24"/>
              </w:rPr>
              <w:t>业绩</w:t>
            </w:r>
            <w:r>
              <w:rPr>
                <w:rFonts w:hint="eastAsia" w:ascii="宋体" w:hAnsi="宋体" w:cs="宋体"/>
                <w:sz w:val="24"/>
                <w:szCs w:val="24"/>
                <w:lang w:val="en-US" w:eastAsia="zh-CN"/>
              </w:rPr>
              <w:t>9</w:t>
            </w:r>
            <w:r>
              <w:rPr>
                <w:rFonts w:hint="eastAsia" w:ascii="宋体" w:hAnsi="宋体" w:eastAsia="宋体" w:cs="宋体"/>
                <w:sz w:val="24"/>
                <w:szCs w:val="24"/>
              </w:rPr>
              <w:t>%</w:t>
            </w:r>
          </w:p>
        </w:tc>
        <w:tc>
          <w:tcPr>
            <w:tcW w:w="561" w:type="dxa"/>
            <w:vAlign w:val="center"/>
          </w:tcPr>
          <w:p>
            <w:pPr>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分</w:t>
            </w:r>
          </w:p>
        </w:tc>
        <w:tc>
          <w:tcPr>
            <w:tcW w:w="4401" w:type="dxa"/>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评审小组</w:t>
            </w:r>
            <w:r>
              <w:rPr>
                <w:rFonts w:hint="eastAsia" w:ascii="宋体" w:hAnsi="宋体" w:eastAsia="宋体" w:cs="宋体"/>
                <w:sz w:val="24"/>
                <w:szCs w:val="24"/>
              </w:rPr>
              <w:t>根据</w:t>
            </w:r>
            <w:r>
              <w:rPr>
                <w:rFonts w:hint="eastAsia" w:ascii="宋体" w:hAnsi="宋体" w:cs="宋体"/>
                <w:sz w:val="24"/>
                <w:szCs w:val="24"/>
                <w:lang w:val="en-US" w:eastAsia="zh-CN"/>
              </w:rPr>
              <w:t>供应商</w:t>
            </w:r>
            <w:r>
              <w:rPr>
                <w:rFonts w:hint="eastAsia" w:ascii="宋体" w:hAnsi="宋体" w:eastAsia="宋体" w:cs="宋体"/>
                <w:sz w:val="24"/>
                <w:szCs w:val="24"/>
              </w:rPr>
              <w:t>类似业绩（2018年-至递交响应文件截止日）进行评定，每提供一个业绩得</w:t>
            </w:r>
            <w:r>
              <w:rPr>
                <w:rFonts w:hint="eastAsia" w:ascii="宋体" w:hAnsi="宋体" w:cs="宋体"/>
                <w:sz w:val="24"/>
                <w:szCs w:val="24"/>
                <w:lang w:val="en-US" w:eastAsia="zh-CN"/>
              </w:rPr>
              <w:t>3</w:t>
            </w:r>
            <w:r>
              <w:rPr>
                <w:rFonts w:hint="eastAsia" w:ascii="宋体" w:hAnsi="宋体" w:eastAsia="宋体" w:cs="宋体"/>
                <w:sz w:val="24"/>
                <w:szCs w:val="24"/>
              </w:rPr>
              <w:t>分，最多得</w:t>
            </w:r>
            <w:r>
              <w:rPr>
                <w:rFonts w:hint="eastAsia" w:ascii="宋体" w:hAnsi="宋体" w:cs="宋体"/>
                <w:sz w:val="24"/>
                <w:szCs w:val="24"/>
                <w:lang w:val="en-US" w:eastAsia="zh-CN"/>
              </w:rPr>
              <w:t>9</w:t>
            </w:r>
            <w:r>
              <w:rPr>
                <w:rFonts w:hint="eastAsia" w:ascii="宋体" w:hAnsi="宋体" w:eastAsia="宋体" w:cs="宋体"/>
                <w:sz w:val="24"/>
                <w:szCs w:val="24"/>
              </w:rPr>
              <w:t>分。</w:t>
            </w:r>
          </w:p>
        </w:tc>
        <w:tc>
          <w:tcPr>
            <w:tcW w:w="127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rPr>
              <w:t>提供合同复印件</w:t>
            </w:r>
            <w:r>
              <w:rPr>
                <w:rFonts w:hint="eastAsia" w:ascii="宋体" w:hAnsi="宋体" w:eastAsia="宋体" w:cs="宋体"/>
                <w:sz w:val="24"/>
                <w:szCs w:val="24"/>
                <w:lang w:val="en-US" w:eastAsia="zh-CN"/>
              </w:rPr>
              <w:t>加盖公章</w:t>
            </w:r>
          </w:p>
        </w:tc>
        <w:tc>
          <w:tcPr>
            <w:tcW w:w="12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共同评分因素</w:t>
            </w:r>
          </w:p>
        </w:tc>
      </w:tr>
    </w:tbl>
    <w:p>
      <w:pPr>
        <w:pStyle w:val="2"/>
        <w:spacing w:line="360" w:lineRule="auto"/>
        <w:rPr>
          <w:rFonts w:hint="eastAsia" w:asciiTheme="minorEastAsia" w:hAnsiTheme="minorEastAsia" w:eastAsiaTheme="minorEastAsia" w:cstheme="minorEastAsia"/>
          <w:sz w:val="24"/>
          <w:szCs w:val="24"/>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left="16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2015】124号文要求的除外)，并编写评审报告。评审得分相同的，按照最后报价由低到高的顺序推荐。评审得分且最后报价相同的，按照技术指标优劣顺序推荐。</w:t>
      </w:r>
    </w:p>
    <w:p>
      <w:pPr>
        <w:pStyle w:val="4"/>
        <w:ind w:left="480" w:leftChars="0" w:firstLineChars="0"/>
        <w:rPr>
          <w:color w:val="auto"/>
          <w:highlight w:val="none"/>
        </w:rPr>
      </w:pPr>
      <w:bookmarkStart w:id="278" w:name="_Toc20080"/>
      <w:bookmarkStart w:id="279" w:name="_Toc287623648"/>
      <w:r>
        <w:rPr>
          <w:rFonts w:hint="eastAsia"/>
          <w:color w:val="auto"/>
          <w:highlight w:val="none"/>
        </w:rPr>
        <w:t>确定成交供应商</w:t>
      </w:r>
      <w:bookmarkEnd w:id="278"/>
      <w:bookmarkEnd w:id="279"/>
    </w:p>
    <w:p>
      <w:pPr>
        <w:pStyle w:val="5"/>
        <w:ind w:left="16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ind w:left="16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1"/>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80" w:name="_Toc287623649"/>
      <w:r>
        <w:rPr>
          <w:rFonts w:hint="eastAsia" w:ascii="宋体" w:hAnsi="宋体" w:cs="宋体"/>
          <w:color w:val="auto"/>
          <w:highlight w:val="none"/>
        </w:rPr>
        <w:t>成交候选供应商存在违法、违纪行为的；</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ind w:left="480" w:leftChars="0" w:firstLineChars="0"/>
        <w:rPr>
          <w:color w:val="auto"/>
          <w:highlight w:val="none"/>
        </w:rPr>
      </w:pPr>
      <w:bookmarkStart w:id="281" w:name="_Toc21743"/>
      <w:r>
        <w:rPr>
          <w:rFonts w:hint="eastAsia"/>
          <w:color w:val="auto"/>
          <w:highlight w:val="none"/>
        </w:rPr>
        <w:t>成交</w:t>
      </w:r>
      <w:bookmarkEnd w:id="280"/>
      <w:r>
        <w:rPr>
          <w:rFonts w:hint="eastAsia"/>
          <w:color w:val="auto"/>
          <w:highlight w:val="none"/>
        </w:rPr>
        <w:t>结果</w:t>
      </w:r>
      <w:bookmarkEnd w:id="281"/>
    </w:p>
    <w:p>
      <w:pPr>
        <w:widowControl w:val="0"/>
        <w:numPr>
          <w:ilvl w:val="0"/>
          <w:numId w:val="33"/>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ind w:left="480" w:leftChars="0" w:firstLineChars="0"/>
        <w:rPr>
          <w:color w:val="auto"/>
          <w:highlight w:val="none"/>
        </w:rPr>
      </w:pPr>
      <w:bookmarkStart w:id="282" w:name="_Toc405886181"/>
      <w:bookmarkStart w:id="283" w:name="_Toc22304"/>
      <w:r>
        <w:rPr>
          <w:rFonts w:hint="eastAsia"/>
          <w:color w:val="auto"/>
          <w:highlight w:val="none"/>
        </w:rPr>
        <w:t>询问、质疑</w:t>
      </w:r>
      <w:bookmarkEnd w:id="282"/>
      <w:r>
        <w:rPr>
          <w:rFonts w:hint="eastAsia"/>
          <w:color w:val="auto"/>
          <w:highlight w:val="none"/>
        </w:rPr>
        <w:t>和投诉</w:t>
      </w:r>
      <w:bookmarkEnd w:id="283"/>
    </w:p>
    <w:p>
      <w:pPr>
        <w:pStyle w:val="27"/>
        <w:pageBreakBefore w:val="0"/>
        <w:numPr>
          <w:ilvl w:val="0"/>
          <w:numId w:val="34"/>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7"/>
        <w:pageBreakBefore w:val="0"/>
        <w:numPr>
          <w:ilvl w:val="0"/>
          <w:numId w:val="34"/>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7"/>
        <w:pageBreakBefore w:val="0"/>
        <w:numPr>
          <w:ilvl w:val="0"/>
          <w:numId w:val="34"/>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7"/>
        <w:keepNext w:val="0"/>
        <w:keepLines w:val="0"/>
        <w:pageBreakBefore w:val="0"/>
        <w:numPr>
          <w:ilvl w:val="0"/>
          <w:numId w:val="34"/>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4"/>
        <w:pageBreakBefore w:val="0"/>
        <w:kinsoku/>
        <w:wordWrap/>
        <w:overflowPunct/>
        <w:topLinePunct w:val="0"/>
        <w:autoSpaceDE/>
        <w:autoSpaceDN/>
        <w:bidi w:val="0"/>
        <w:adjustRightInd/>
        <w:snapToGrid/>
        <w:spacing w:line="360" w:lineRule="auto"/>
        <w:ind w:left="480" w:leftChars="0" w:firstLineChars="0"/>
        <w:textAlignment w:val="auto"/>
        <w:rPr>
          <w:rFonts w:hint="eastAsia" w:ascii="宋体" w:hAnsi="宋体" w:eastAsia="宋体" w:cs="宋体"/>
          <w:color w:val="auto"/>
          <w:sz w:val="24"/>
          <w:szCs w:val="24"/>
          <w:highlight w:val="none"/>
        </w:rPr>
      </w:pPr>
      <w:bookmarkStart w:id="284" w:name="_Toc287623650"/>
      <w:bookmarkStart w:id="285" w:name="_Toc6960"/>
      <w:r>
        <w:rPr>
          <w:rFonts w:hint="eastAsia" w:ascii="宋体" w:hAnsi="宋体" w:eastAsia="宋体" w:cs="宋体"/>
          <w:color w:val="auto"/>
          <w:sz w:val="24"/>
          <w:szCs w:val="24"/>
          <w:highlight w:val="none"/>
        </w:rPr>
        <w:t>签订合同</w:t>
      </w:r>
      <w:bookmarkEnd w:id="284"/>
      <w:bookmarkEnd w:id="285"/>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w:t>
      </w:r>
      <w:r>
        <w:rPr>
          <w:rFonts w:hint="eastAsia" w:ascii="宋体" w:hAnsi="宋体" w:cs="宋体"/>
          <w:color w:val="auto"/>
          <w:highlight w:val="none"/>
          <w:lang w:val="en-US" w:eastAsia="zh-CN"/>
        </w:rPr>
        <w:t>吴</w:t>
      </w:r>
      <w:r>
        <w:rPr>
          <w:rFonts w:hint="eastAsia" w:ascii="宋体" w:hAnsi="宋体" w:cs="宋体"/>
          <w:color w:val="auto"/>
          <w:highlight w:val="none"/>
        </w:rPr>
        <w:t>老师，联系电话：028-61032618。</w:t>
      </w:r>
    </w:p>
    <w:p>
      <w:pPr>
        <w:numPr>
          <w:ilvl w:val="0"/>
          <w:numId w:val="35"/>
        </w:numPr>
        <w:tabs>
          <w:tab w:val="left" w:pos="1134"/>
        </w:tabs>
        <w:snapToGrid w:val="0"/>
        <w:spacing w:line="360" w:lineRule="auto"/>
        <w:ind w:firstLine="480" w:firstLineChars="200"/>
        <w:rPr>
          <w:rFonts w:ascii="宋体" w:hAnsi="宋体" w:cs="宋体"/>
          <w:color w:val="auto"/>
          <w:highlight w:val="none"/>
        </w:rPr>
      </w:pPr>
      <w:bookmarkStart w:id="286"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86"/>
    <w:p>
      <w:pPr>
        <w:pStyle w:val="4"/>
        <w:ind w:left="480" w:leftChars="0" w:firstLineChars="0"/>
        <w:rPr>
          <w:color w:val="auto"/>
          <w:highlight w:val="none"/>
        </w:rPr>
      </w:pPr>
      <w:bookmarkStart w:id="287" w:name="_Toc3081"/>
      <w:bookmarkStart w:id="288" w:name="_Toc217446070"/>
      <w:r>
        <w:rPr>
          <w:rFonts w:hint="eastAsia"/>
          <w:color w:val="auto"/>
          <w:highlight w:val="none"/>
        </w:rPr>
        <w:t>采购人增加合同的权利</w:t>
      </w:r>
      <w:bookmarkEnd w:id="28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ind w:left="480" w:leftChars="0" w:firstLineChars="0"/>
        <w:rPr>
          <w:color w:val="auto"/>
          <w:highlight w:val="none"/>
        </w:rPr>
      </w:pPr>
      <w:bookmarkStart w:id="289" w:name="_Toc27539"/>
      <w:r>
        <w:rPr>
          <w:rFonts w:hint="eastAsia"/>
          <w:color w:val="auto"/>
          <w:highlight w:val="none"/>
        </w:rPr>
        <w:t>履行合同</w:t>
      </w:r>
      <w:bookmarkEnd w:id="289"/>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88"/>
    <w:p>
      <w:pPr>
        <w:pStyle w:val="4"/>
        <w:ind w:left="480" w:leftChars="0" w:firstLineChars="0"/>
        <w:rPr>
          <w:color w:val="auto"/>
          <w:highlight w:val="none"/>
        </w:rPr>
      </w:pPr>
      <w:bookmarkStart w:id="290" w:name="_Toc15138"/>
      <w:r>
        <w:rPr>
          <w:rFonts w:hint="eastAsia"/>
          <w:color w:val="auto"/>
          <w:highlight w:val="none"/>
        </w:rPr>
        <w:t>竞争性磋商工作纪律及要求</w:t>
      </w:r>
      <w:bookmarkEnd w:id="290"/>
    </w:p>
    <w:p>
      <w:pPr>
        <w:pStyle w:val="5"/>
        <w:ind w:left="160" w:leftChars="0" w:firstLine="482" w:firstLineChars="0"/>
        <w:rPr>
          <w:rFonts w:cs="宋体"/>
          <w:color w:val="auto"/>
          <w:szCs w:val="24"/>
          <w:highlight w:val="none"/>
        </w:rPr>
      </w:pPr>
      <w:bookmarkStart w:id="291" w:name="_Toc421781446"/>
      <w:bookmarkStart w:id="292" w:name="_Toc320698748"/>
      <w:r>
        <w:rPr>
          <w:rFonts w:hint="eastAsia" w:cs="宋体"/>
          <w:color w:val="auto"/>
          <w:szCs w:val="24"/>
          <w:highlight w:val="none"/>
        </w:rPr>
        <w:t>采购人工作职责</w:t>
      </w:r>
      <w:bookmarkEnd w:id="29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92"/>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160" w:leftChars="0" w:firstLine="482" w:firstLineChars="0"/>
        <w:rPr>
          <w:rFonts w:cs="宋体"/>
          <w:color w:val="auto"/>
          <w:szCs w:val="24"/>
          <w:highlight w:val="none"/>
        </w:rPr>
      </w:pPr>
      <w:bookmarkStart w:id="293" w:name="_Toc421781447"/>
      <w:bookmarkStart w:id="294" w:name="_Toc320698749"/>
      <w:r>
        <w:rPr>
          <w:rFonts w:hint="eastAsia" w:cs="宋体"/>
          <w:color w:val="auto"/>
          <w:szCs w:val="24"/>
          <w:highlight w:val="none"/>
        </w:rPr>
        <w:t>采购执行机构工作职责</w:t>
      </w:r>
      <w:bookmarkEnd w:id="293"/>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94"/>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160" w:leftChars="0" w:firstLine="482" w:firstLineChars="0"/>
        <w:rPr>
          <w:rFonts w:cs="宋体"/>
          <w:color w:val="auto"/>
          <w:szCs w:val="24"/>
          <w:highlight w:val="none"/>
        </w:rPr>
      </w:pPr>
      <w:bookmarkStart w:id="295" w:name="_Toc421781448"/>
      <w:bookmarkStart w:id="296" w:name="_Toc320698750"/>
      <w:r>
        <w:rPr>
          <w:rFonts w:hint="eastAsia" w:cs="宋体"/>
          <w:color w:val="auto"/>
          <w:szCs w:val="24"/>
          <w:highlight w:val="none"/>
        </w:rPr>
        <w:t>磋商小组工作职责</w:t>
      </w:r>
      <w:bookmarkEnd w:id="29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96"/>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left="160" w:leftChars="0" w:firstLine="482" w:firstLineChars="0"/>
        <w:rPr>
          <w:rFonts w:cs="宋体"/>
          <w:color w:val="auto"/>
          <w:szCs w:val="24"/>
          <w:highlight w:val="none"/>
        </w:rPr>
      </w:pPr>
      <w:bookmarkStart w:id="297" w:name="_Toc421781449"/>
      <w:bookmarkStart w:id="298" w:name="_Toc320698751"/>
      <w:r>
        <w:rPr>
          <w:rFonts w:hint="eastAsia" w:cs="宋体"/>
          <w:color w:val="auto"/>
          <w:szCs w:val="24"/>
          <w:highlight w:val="none"/>
        </w:rPr>
        <w:t>供应商职责</w:t>
      </w:r>
      <w:bookmarkEnd w:id="297"/>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98"/>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ind w:left="480" w:leftChars="0" w:firstLineChars="0"/>
        <w:rPr>
          <w:color w:val="auto"/>
          <w:highlight w:val="none"/>
        </w:rPr>
      </w:pPr>
      <w:bookmarkStart w:id="299" w:name="_Toc13470"/>
      <w:r>
        <w:rPr>
          <w:rFonts w:hint="eastAsia"/>
          <w:color w:val="auto"/>
          <w:highlight w:val="none"/>
        </w:rPr>
        <w:t>回避</w:t>
      </w:r>
      <w:bookmarkEnd w:id="299"/>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ind w:left="480" w:leftChars="0" w:firstLineChars="0"/>
        <w:rPr>
          <w:color w:val="auto"/>
          <w:highlight w:val="none"/>
        </w:rPr>
      </w:pPr>
      <w:bookmarkStart w:id="300" w:name="_Toc14239"/>
      <w:r>
        <w:rPr>
          <w:rFonts w:hint="eastAsia"/>
          <w:color w:val="auto"/>
          <w:highlight w:val="none"/>
        </w:rPr>
        <w:t>其他</w:t>
      </w:r>
      <w:bookmarkEnd w:id="300"/>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1"/>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301" w:name="_Toc10352"/>
      <w:r>
        <w:rPr>
          <w:rFonts w:hint="eastAsia"/>
          <w:color w:val="auto"/>
          <w:highlight w:val="none"/>
        </w:rPr>
        <w:t>项目技术、服务及其他要求</w:t>
      </w:r>
      <w:bookmarkEnd w:id="301"/>
    </w:p>
    <w:p>
      <w:pPr>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一、项目概述</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（一）会议主题</w:t>
      </w:r>
    </w:p>
    <w:p>
      <w:pPr>
        <w:spacing w:line="360" w:lineRule="auto"/>
        <w:ind w:leftChars="0"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《流的金 流的情》新书发布活动</w:t>
      </w:r>
      <w:r>
        <w:rPr>
          <w:rFonts w:hint="eastAsia" w:asciiTheme="majorEastAsia" w:hAnsiTheme="majorEastAsia" w:eastAsiaTheme="majorEastAsia" w:cstheme="majorEastAsia"/>
          <w:sz w:val="24"/>
          <w:lang w:eastAsia="zh-CN"/>
        </w:rPr>
        <w:t>。</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（二）主要内容</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成都市双流区首本纪实文学《流的金 流的情》新书发布会，会期半天，预计180分钟，拟包括演讲、赠书仪式、发布仪式、节选朗诵、分享会、征集仪式等内容。</w:t>
      </w:r>
    </w:p>
    <w:p>
      <w:pPr>
        <w:spacing w:line="360" w:lineRule="auto"/>
        <w:ind w:leftChars="0"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二、服务要求</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（一）发布会策划服务</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为本次发布会进行创意策划，策划方案须围绕双流开创中国首个“航空经济之都”为主题，营造双流的文学氛围，带动双流的文学创作热情，宣传双流的空港机遇。</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（二）会场执行与服务</w:t>
      </w:r>
    </w:p>
    <w:p>
      <w:pPr>
        <w:spacing w:line="360" w:lineRule="auto"/>
        <w:ind w:leftChars="0"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根据会议举办地点</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en-US" w:eastAsia="zh-CN"/>
        </w:rPr>
        <w:t>会议举办地点由采购人负责提供，不属于本次服务项目的服务标的</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rPr>
        <w:t>的具体情况，对会场进行规划与布置</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lang w:val="en-US" w:eastAsia="zh-CN"/>
        </w:rPr>
        <w:t>会场应按照参会人数不低于100人进行布置</w:t>
      </w:r>
      <w:r>
        <w:rPr>
          <w:rFonts w:hint="eastAsia" w:asciiTheme="majorEastAsia" w:hAnsiTheme="majorEastAsia" w:eastAsiaTheme="majorEastAsia" w:cstheme="majorEastAsia"/>
          <w:color w:val="auto"/>
          <w:sz w:val="24"/>
          <w:lang w:eastAsia="zh-CN"/>
        </w:rPr>
        <w:t>）</w:t>
      </w:r>
      <w:r>
        <w:rPr>
          <w:rFonts w:hint="eastAsia" w:asciiTheme="majorEastAsia" w:hAnsiTheme="majorEastAsia" w:eastAsiaTheme="majorEastAsia" w:cstheme="majorEastAsia"/>
          <w:color w:val="auto"/>
          <w:sz w:val="24"/>
        </w:rPr>
        <w:t>，提供会议所需的屏幕、音响、舞台等设备，进行会场的氛围营造，提供会场服务，并做好会务现场执行和协调工作。</w:t>
      </w:r>
    </w:p>
    <w:p>
      <w:pPr>
        <w:pStyle w:val="191"/>
        <w:numPr>
          <w:ilvl w:val="0"/>
          <w:numId w:val="0"/>
        </w:numPr>
        <w:spacing w:line="360" w:lineRule="auto"/>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1、</w:t>
      </w:r>
      <w:r>
        <w:rPr>
          <w:rFonts w:asciiTheme="majorEastAsia" w:hAnsiTheme="majorEastAsia" w:eastAsiaTheme="majorEastAsia" w:cstheme="majorEastAsia"/>
          <w:color w:val="auto"/>
          <w:sz w:val="24"/>
        </w:rPr>
        <w:t>会场规划布置：包括会场整体布局设计；会场区域内设置签到台；会场舞台区搭建、观众区及嘉宾区的布置。</w:t>
      </w:r>
    </w:p>
    <w:p>
      <w:pPr>
        <w:pStyle w:val="191"/>
        <w:numPr>
          <w:ilvl w:val="0"/>
          <w:numId w:val="0"/>
        </w:numPr>
        <w:spacing w:line="360" w:lineRule="auto"/>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2、</w:t>
      </w:r>
      <w:r>
        <w:rPr>
          <w:rFonts w:asciiTheme="majorEastAsia" w:hAnsiTheme="majorEastAsia" w:eastAsiaTheme="majorEastAsia" w:cstheme="majorEastAsia"/>
          <w:color w:val="auto"/>
          <w:sz w:val="24"/>
        </w:rPr>
        <w:t>会场设备： LED 屏、音响、灯光及其他设备的搭设（含设备现场操作及技术支持人员）， 保证开幕式期间灯光、音响及多媒体的正常使用</w:t>
      </w:r>
      <w:r>
        <w:rPr>
          <w:rFonts w:hint="eastAsia" w:asciiTheme="majorEastAsia" w:hAnsiTheme="majorEastAsia" w:eastAsiaTheme="majorEastAsia" w:cstheme="majorEastAsia"/>
          <w:color w:val="auto"/>
          <w:sz w:val="24"/>
        </w:rPr>
        <w:t>。</w:t>
      </w:r>
    </w:p>
    <w:p>
      <w:pPr>
        <w:pStyle w:val="191"/>
        <w:numPr>
          <w:ilvl w:val="0"/>
          <w:numId w:val="0"/>
        </w:numPr>
        <w:spacing w:line="360" w:lineRule="auto"/>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3、</w:t>
      </w:r>
      <w:r>
        <w:rPr>
          <w:rFonts w:asciiTheme="majorEastAsia" w:hAnsiTheme="majorEastAsia" w:eastAsiaTheme="majorEastAsia" w:cstheme="majorEastAsia"/>
          <w:color w:val="auto"/>
          <w:sz w:val="24"/>
        </w:rPr>
        <w:t>氛围营造：公共区域布置包括但不限于：所涉及的会场大厅走廊签到台（背景板、签到 桌椅、签到席卡等）、会场入口及大厅、扶梯口、走廊及大会整体指示系统</w:t>
      </w:r>
      <w:r>
        <w:rPr>
          <w:rFonts w:hint="eastAsia" w:asciiTheme="majorEastAsia" w:hAnsiTheme="majorEastAsia" w:eastAsiaTheme="majorEastAsia" w:cstheme="majorEastAsia"/>
          <w:color w:val="auto"/>
          <w:sz w:val="24"/>
        </w:rPr>
        <w:t>。</w:t>
      </w:r>
    </w:p>
    <w:p>
      <w:pPr>
        <w:pStyle w:val="191"/>
        <w:numPr>
          <w:ilvl w:val="0"/>
          <w:numId w:val="0"/>
        </w:numPr>
        <w:spacing w:line="360" w:lineRule="auto"/>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4、</w:t>
      </w:r>
      <w:r>
        <w:rPr>
          <w:rFonts w:asciiTheme="majorEastAsia" w:hAnsiTheme="majorEastAsia" w:eastAsiaTheme="majorEastAsia" w:cstheme="majorEastAsia"/>
          <w:color w:val="auto"/>
          <w:sz w:val="24"/>
        </w:rPr>
        <w:t>会场服务：负责配备礼仪人员；拥有专业摄影设备，做好会务现场执行协调等工作。</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（三）宣传需求</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1、供应商应确保本次活动至少在一家四川省级新媒体平台搭建一个宣传专题，应包括至少</w:t>
      </w:r>
      <w:r>
        <w:rPr>
          <w:rFonts w:hint="eastAsia" w:asciiTheme="majorEastAsia" w:hAnsiTheme="majorEastAsia" w:eastAsiaTheme="majorEastAsia" w:cstheme="majorEastAsia"/>
          <w:sz w:val="24"/>
          <w:lang w:val="en-US" w:eastAsia="zh-CN"/>
        </w:rPr>
        <w:t>5</w:t>
      </w:r>
      <w:r>
        <w:rPr>
          <w:rFonts w:hint="eastAsia" w:asciiTheme="majorEastAsia" w:hAnsiTheme="majorEastAsia" w:eastAsiaTheme="majorEastAsia" w:cstheme="majorEastAsia"/>
          <w:sz w:val="24"/>
        </w:rPr>
        <w:t>条新媒体稿件，对本次活动进行深度宣传。（省级媒体包括但不限于四川日报、四川电视台、封面新闻、华西都市报、四川新闻网等）</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2、供应商应确保本次活动至少在一家四川省级新媒体平台进行1场高清直播。（省级媒体包括但不限于四川日报、四川电视台、封面新闻、华西都市报、四川新闻网等）</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3、供应商应确保本次活动至少在一家四川省级纸质媒体平台进行</w:t>
      </w:r>
      <w:r>
        <w:rPr>
          <w:rFonts w:hint="eastAsia" w:asciiTheme="majorEastAsia" w:hAnsiTheme="majorEastAsia" w:eastAsiaTheme="majorEastAsia" w:cstheme="majorEastAsia"/>
          <w:sz w:val="24"/>
          <w:lang w:val="en-US" w:eastAsia="zh-CN"/>
        </w:rPr>
        <w:t>半版</w:t>
      </w:r>
      <w:r>
        <w:rPr>
          <w:rFonts w:hint="eastAsia" w:asciiTheme="majorEastAsia" w:hAnsiTheme="majorEastAsia" w:eastAsiaTheme="majorEastAsia" w:cstheme="majorEastAsia"/>
          <w:sz w:val="24"/>
        </w:rPr>
        <w:t>深度报道。（省级媒体包括但不限于四川日报、华西都市报等）</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（四）其他</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1、供应商需具有执行项目所必须的专业技术、设备设施、人员组织、经营管理，具备相应级别规模的会议操作、执行经验。</w:t>
      </w:r>
    </w:p>
    <w:p>
      <w:pPr>
        <w:spacing w:line="360" w:lineRule="auto"/>
        <w:ind w:leftChars="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2、人员配备</w:t>
      </w:r>
      <w:r>
        <w:rPr>
          <w:rFonts w:hint="eastAsia" w:asciiTheme="majorEastAsia" w:hAnsiTheme="majorEastAsia" w:eastAsiaTheme="majorEastAsia" w:cstheme="majorEastAsia"/>
          <w:sz w:val="24"/>
          <w:lang w:val="en-US" w:eastAsia="zh-CN"/>
        </w:rPr>
        <w:t>按照以下</w:t>
      </w:r>
      <w:r>
        <w:rPr>
          <w:rFonts w:hint="eastAsia" w:asciiTheme="majorEastAsia" w:hAnsiTheme="majorEastAsia" w:eastAsiaTheme="majorEastAsia" w:cstheme="majorEastAsia"/>
          <w:sz w:val="24"/>
        </w:rPr>
        <w:t>原则</w:t>
      </w:r>
      <w:r>
        <w:rPr>
          <w:rFonts w:hint="eastAsia" w:asciiTheme="majorEastAsia" w:hAnsiTheme="majorEastAsia" w:eastAsiaTheme="majorEastAsia" w:cstheme="majorEastAsia"/>
          <w:sz w:val="24"/>
          <w:lang w:val="en-US" w:eastAsia="zh-CN"/>
        </w:rPr>
        <w:t>进行配备</w:t>
      </w:r>
      <w:r>
        <w:rPr>
          <w:rFonts w:hint="eastAsia" w:asciiTheme="majorEastAsia" w:hAnsiTheme="majorEastAsia" w:eastAsiaTheme="majorEastAsia" w:cstheme="majorEastAsia"/>
          <w:sz w:val="24"/>
        </w:rPr>
        <w:t>：</w:t>
      </w:r>
    </w:p>
    <w:p>
      <w:pPr>
        <w:spacing w:line="360" w:lineRule="auto"/>
        <w:ind w:left="420" w:leftChars="0" w:firstLine="0" w:firstLineChars="0"/>
        <w:rPr>
          <w:rFonts w:asciiTheme="majorEastAsia" w:hAnsiTheme="majorEastAsia" w:eastAsiaTheme="majorEastAsia" w:cstheme="majorEastAsia"/>
          <w:sz w:val="24"/>
        </w:rPr>
      </w:pPr>
      <w:r>
        <w:rPr>
          <w:rFonts w:asciiTheme="majorEastAsia" w:hAnsiTheme="majorEastAsia" w:eastAsiaTheme="majorEastAsia" w:cstheme="majorEastAsia"/>
          <w:sz w:val="24"/>
        </w:rPr>
        <w:t xml:space="preserve">（1）项目负责人（1 人）：具有活动策划经验，应随时在现场进行监督管理。 </w:t>
      </w:r>
    </w:p>
    <w:p>
      <w:pPr>
        <w:spacing w:line="360" w:lineRule="auto"/>
        <w:ind w:left="420" w:leftChars="0" w:firstLine="0" w:firstLineChars="0"/>
        <w:rPr>
          <w:rFonts w:hint="eastAsia" w:asciiTheme="majorEastAsia" w:hAnsiTheme="majorEastAsia" w:eastAsiaTheme="majorEastAsia" w:cstheme="majorEastAsia"/>
          <w:sz w:val="24"/>
        </w:rPr>
      </w:pPr>
      <w:r>
        <w:rPr>
          <w:rFonts w:asciiTheme="majorEastAsia" w:hAnsiTheme="majorEastAsia" w:eastAsiaTheme="majorEastAsia" w:cstheme="majorEastAsia"/>
          <w:sz w:val="24"/>
        </w:rPr>
        <w:t>（2）其他人员：</w:t>
      </w:r>
      <w:r>
        <w:rPr>
          <w:rFonts w:hint="eastAsia" w:asciiTheme="majorEastAsia" w:hAnsiTheme="majorEastAsia" w:eastAsiaTheme="majorEastAsia" w:cstheme="majorEastAsia"/>
          <w:sz w:val="24"/>
        </w:rPr>
        <w:t>策划组（不少于2人）、</w:t>
      </w:r>
      <w:r>
        <w:rPr>
          <w:rFonts w:asciiTheme="majorEastAsia" w:hAnsiTheme="majorEastAsia" w:eastAsiaTheme="majorEastAsia" w:cstheme="majorEastAsia"/>
          <w:sz w:val="24"/>
        </w:rPr>
        <w:t>舞台组(不少于 2 人）、摄影组（不少于 1 人）、接待组（不少于 4 人）、应急小组（不少于 2 人）</w:t>
      </w:r>
      <w:r>
        <w:rPr>
          <w:rFonts w:hint="eastAsia" w:asciiTheme="majorEastAsia" w:hAnsiTheme="majorEastAsia" w:eastAsiaTheme="majorEastAsia" w:cstheme="majorEastAsia"/>
          <w:sz w:val="24"/>
        </w:rPr>
        <w:t>、宣传组（不少于2人）。</w:t>
      </w:r>
    </w:p>
    <w:p>
      <w:pPr>
        <w:pStyle w:val="2"/>
        <w:spacing w:line="360" w:lineRule="auto"/>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注：</w:t>
      </w:r>
      <w:r>
        <w:rPr>
          <w:rFonts w:hint="eastAsia" w:asciiTheme="majorEastAsia" w:hAnsiTheme="majorEastAsia" w:eastAsiaTheme="majorEastAsia" w:cstheme="majorEastAsia"/>
          <w:color w:val="auto"/>
          <w:sz w:val="24"/>
        </w:rPr>
        <w:t>以满足本项目工作需要，保障本项目质量为目标，实行科学合理配备，在实施过程中，对于人员配备数量不能满足工作需要的，供应商必须及时增加人员配备数量。</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三、商务条款</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完成</w:t>
      </w:r>
      <w:r>
        <w:rPr>
          <w:rFonts w:hint="eastAsia" w:asciiTheme="majorEastAsia" w:hAnsiTheme="majorEastAsia" w:eastAsiaTheme="majorEastAsia" w:cstheme="majorEastAsia"/>
          <w:sz w:val="24"/>
        </w:rPr>
        <w:t xml:space="preserve">期限：合同签订后 </w:t>
      </w:r>
      <w:r>
        <w:rPr>
          <w:rFonts w:hint="eastAsia" w:asciiTheme="majorEastAsia" w:hAnsiTheme="majorEastAsia" w:eastAsiaTheme="majorEastAsia" w:cstheme="majorEastAsia"/>
          <w:sz w:val="24"/>
          <w:lang w:val="en-US" w:eastAsia="zh-CN"/>
        </w:rPr>
        <w:t>30日内</w:t>
      </w:r>
      <w:r>
        <w:rPr>
          <w:rFonts w:hint="eastAsia" w:asciiTheme="majorEastAsia" w:hAnsiTheme="majorEastAsia" w:eastAsiaTheme="majorEastAsia" w:cstheme="majorEastAsia"/>
          <w:sz w:val="24"/>
        </w:rPr>
        <w:t xml:space="preserve">；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2、服务地点：采购人指定地点； </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3、付款方式：合同签订后，采购人收到成交供应商出具的有效发票10个工作日内支付合同金额的</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 xml:space="preserve">%首付款；会议结束后15个工作日内，支付合同剩余金额的 </w:t>
      </w:r>
      <w:r>
        <w:rPr>
          <w:rFonts w:hint="eastAsia" w:asciiTheme="majorEastAsia" w:hAnsiTheme="majorEastAsia" w:eastAsiaTheme="majorEastAsia" w:cstheme="majorEastAsia"/>
          <w:sz w:val="24"/>
          <w:lang w:val="en-US" w:eastAsia="zh-CN"/>
        </w:rPr>
        <w:t>70</w:t>
      </w:r>
      <w:r>
        <w:rPr>
          <w:rFonts w:hint="eastAsia" w:asciiTheme="majorEastAsia" w:hAnsiTheme="majorEastAsia" w:eastAsiaTheme="majorEastAsia" w:cstheme="majorEastAsia"/>
          <w:sz w:val="24"/>
        </w:rPr>
        <w:t xml:space="preserve">%。 </w:t>
      </w:r>
    </w:p>
    <w:p>
      <w:pPr>
        <w:spacing w:line="360" w:lineRule="auto"/>
        <w:ind w:firstLine="480" w:firstLineChars="200"/>
        <w:rPr>
          <w:rFonts w:hint="eastAsia"/>
          <w:lang w:val="en-US" w:eastAsia="zh-CN"/>
        </w:rPr>
      </w:pPr>
      <w:r>
        <w:rPr>
          <w:rFonts w:hint="eastAsia" w:asciiTheme="majorEastAsia" w:hAnsiTheme="majorEastAsia" w:eastAsiaTheme="majorEastAsia" w:cstheme="majorEastAsia"/>
          <w:sz w:val="24"/>
        </w:rPr>
        <w:t>4、验收标准：按照《财政部关于进一步加强政府采购需求和履约验收管理的指导意见》（财库[2016]205号）执行。</w:t>
      </w:r>
    </w:p>
    <w:p>
      <w:pPr>
        <w:pStyle w:val="2"/>
        <w:spacing w:line="360" w:lineRule="auto"/>
        <w:ind w:right="418" w:firstLine="482" w:firstLineChars="200"/>
        <w:jc w:val="both"/>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5</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color w:val="auto"/>
          <w:kern w:val="0"/>
          <w:sz w:val="24"/>
          <w:szCs w:val="24"/>
          <w:highlight w:val="none"/>
        </w:rPr>
        <w:t>★</w:t>
      </w:r>
      <w:r>
        <w:rPr>
          <w:rFonts w:hint="eastAsia" w:ascii="宋体" w:hAnsi="宋体" w:eastAsia="宋体" w:cs="宋体"/>
          <w:b/>
          <w:bCs/>
          <w:color w:val="auto"/>
          <w:kern w:val="2"/>
          <w:sz w:val="24"/>
          <w:szCs w:val="24"/>
          <w:lang w:val="en-US" w:eastAsia="zh-CN" w:bidi="ar-SA"/>
        </w:rPr>
        <w:t>最高限价：</w:t>
      </w:r>
    </w:p>
    <w:p>
      <w:pPr>
        <w:pageBreakBefore w:val="0"/>
        <w:tabs>
          <w:tab w:val="left" w:pos="0"/>
          <w:tab w:val="left" w:pos="585"/>
        </w:tabs>
        <w:kinsoku/>
        <w:wordWrap/>
        <w:overflowPunct/>
        <w:topLinePunct w:val="0"/>
        <w:autoSpaceDE/>
        <w:autoSpaceDN/>
        <w:bidi w:val="0"/>
        <w:adjustRightInd/>
        <w:snapToGrid/>
        <w:spacing w:line="360" w:lineRule="auto"/>
        <w:ind w:right="0" w:rightChars="0" w:firstLine="482" w:firstLineChars="20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kern w:val="0"/>
          <w:sz w:val="24"/>
          <w:szCs w:val="24"/>
          <w:highlight w:val="none"/>
        </w:rPr>
        <w:t>★本项目</w:t>
      </w:r>
      <w:r>
        <w:rPr>
          <w:rFonts w:hint="eastAsia" w:ascii="宋体" w:hAnsi="宋体" w:eastAsia="宋体" w:cs="宋体"/>
          <w:b/>
          <w:color w:val="auto"/>
          <w:kern w:val="0"/>
          <w:sz w:val="24"/>
          <w:szCs w:val="24"/>
          <w:highlight w:val="none"/>
          <w:lang w:val="en-US" w:eastAsia="zh-CN"/>
        </w:rPr>
        <w:t>最高限价</w:t>
      </w:r>
      <w:r>
        <w:rPr>
          <w:rFonts w:hint="eastAsia" w:ascii="宋体" w:hAnsi="宋体" w:cs="宋体"/>
          <w:b/>
          <w:color w:val="auto"/>
          <w:kern w:val="0"/>
          <w:sz w:val="24"/>
          <w:szCs w:val="24"/>
          <w:highlight w:val="none"/>
          <w:lang w:val="en-US" w:eastAsia="zh-CN"/>
        </w:rPr>
        <w:t>58万元。</w:t>
      </w:r>
      <w:r>
        <w:rPr>
          <w:rFonts w:hint="eastAsia" w:ascii="宋体" w:hAnsi="宋体" w:eastAsia="宋体" w:cs="宋体"/>
          <w:b/>
          <w:color w:val="auto"/>
          <w:sz w:val="24"/>
          <w:szCs w:val="24"/>
          <w:highlight w:val="none"/>
          <w:lang w:val="en-US" w:eastAsia="zh-CN"/>
        </w:rPr>
        <w:t xml:space="preserve">供应商报价超过最高限价的，则其响应文件按无效响应文件处理。 </w:t>
      </w:r>
    </w:p>
    <w:p>
      <w:pPr>
        <w:pStyle w:val="2"/>
        <w:spacing w:line="360" w:lineRule="auto"/>
        <w:ind w:firstLine="482" w:firstLineChars="200"/>
        <w:rPr>
          <w:rFonts w:hint="eastAsia" w:ascii="宋体" w:hAnsi="宋体" w:cs="宋体"/>
          <w:b/>
          <w:color w:val="auto"/>
          <w:highlight w:val="none"/>
        </w:rPr>
      </w:pPr>
    </w:p>
    <w:p>
      <w:pPr>
        <w:pStyle w:val="2"/>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注：本章及合同条款均属于磋商内容，在磋商过程中均可变更（含实质性变更）。</w:t>
      </w:r>
    </w:p>
    <w:p>
      <w:pPr>
        <w:pStyle w:val="2"/>
        <w:spacing w:line="360" w:lineRule="auto"/>
        <w:ind w:firstLine="964" w:firstLineChars="400"/>
        <w:rPr>
          <w:rFonts w:ascii="宋体" w:hAnsi="宋体" w:cs="宋体"/>
          <w:b/>
          <w:color w:val="auto"/>
          <w:highlight w:val="none"/>
        </w:rPr>
      </w:pPr>
      <w:r>
        <w:rPr>
          <w:rFonts w:hint="eastAsia" w:ascii="宋体" w:hAnsi="宋体" w:cs="宋体"/>
          <w:b/>
          <w:color w:val="auto"/>
          <w:highlight w:val="none"/>
        </w:rPr>
        <w:t>本章加★条款为采购项目实质性要求，不允许有负偏离。</w:t>
      </w:r>
    </w:p>
    <w:p>
      <w:pPr>
        <w:pStyle w:val="2"/>
        <w:spacing w:line="360" w:lineRule="auto"/>
        <w:ind w:firstLine="964" w:firstLineChars="400"/>
        <w:rPr>
          <w:color w:val="auto"/>
          <w:highlight w:val="none"/>
        </w:rPr>
        <w:sectPr>
          <w:pgSz w:w="11906" w:h="16838"/>
          <w:pgMar w:top="1440" w:right="1274" w:bottom="1440"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b/>
          <w:color w:val="auto"/>
          <w:highlight w:val="none"/>
        </w:rPr>
        <w:t>本章所列内容（含加★的）均可在磋商过程中进行响应。</w:t>
      </w:r>
    </w:p>
    <w:p>
      <w:pPr>
        <w:pStyle w:val="3"/>
        <w:rPr>
          <w:rFonts w:hint="eastAsia"/>
          <w:color w:val="auto"/>
          <w:highlight w:val="none"/>
        </w:rPr>
      </w:pPr>
      <w:bookmarkStart w:id="302" w:name="_Toc238581781"/>
      <w:bookmarkStart w:id="303" w:name="_Toc20468"/>
      <w:r>
        <w:rPr>
          <w:rFonts w:hint="eastAsia"/>
          <w:color w:val="auto"/>
          <w:highlight w:val="none"/>
        </w:rPr>
        <w:t>响应</w:t>
      </w:r>
      <w:bookmarkEnd w:id="302"/>
      <w:r>
        <w:rPr>
          <w:rFonts w:hint="eastAsia"/>
          <w:color w:val="auto"/>
          <w:highlight w:val="none"/>
        </w:rPr>
        <w:t>文件格式</w:t>
      </w:r>
      <w:bookmarkEnd w:id="303"/>
    </w:p>
    <w:p>
      <w:pPr>
        <w:pStyle w:val="4"/>
        <w:ind w:left="480" w:leftChars="0" w:firstLineChars="0"/>
        <w:rPr>
          <w:color w:val="auto"/>
          <w:highlight w:val="none"/>
        </w:rPr>
      </w:pPr>
      <w:bookmarkStart w:id="304" w:name="_Toc30003"/>
      <w:r>
        <w:rPr>
          <w:rFonts w:hint="eastAsia"/>
          <w:color w:val="auto"/>
          <w:highlight w:val="none"/>
        </w:rPr>
        <w:t>资格性响应文件格式</w:t>
      </w:r>
      <w:bookmarkEnd w:id="304"/>
    </w:p>
    <w:p>
      <w:pPr>
        <w:pStyle w:val="5"/>
        <w:ind w:left="160" w:leftChars="0" w:firstLine="482" w:firstLineChars="0"/>
        <w:rPr>
          <w:color w:val="auto"/>
          <w:highlight w:val="none"/>
        </w:rPr>
      </w:pPr>
      <w:bookmarkStart w:id="305" w:name="_Toc320698761"/>
      <w:r>
        <w:rPr>
          <w:rFonts w:hint="eastAsia"/>
          <w:color w:val="auto"/>
          <w:highlight w:val="none"/>
        </w:rPr>
        <w:t>资格性响应件密封包装最外层格式</w:t>
      </w:r>
      <w:bookmarkEnd w:id="305"/>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中共成都市双流区委宣传部《流的金 流的情》新书发布活动采购项目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510122202100497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left="160" w:leftChars="0" w:firstLine="482" w:firstLineChars="0"/>
        <w:rPr>
          <w:color w:val="auto"/>
          <w:highlight w:val="none"/>
        </w:rPr>
      </w:pPr>
      <w:bookmarkStart w:id="306" w:name="_Toc320698762"/>
      <w:r>
        <w:rPr>
          <w:rFonts w:hint="eastAsia"/>
          <w:color w:val="auto"/>
          <w:highlight w:val="none"/>
        </w:rPr>
        <w:t>资格性响应文件封面格式</w:t>
      </w:r>
      <w:bookmarkEnd w:id="306"/>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中共成都市双流区委宣传部《流的金 流的情》新书发布活动采购项目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510122202100497</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签字、盖章应符合竞争性磋商文件要求。（实质性要求）</w:t>
      </w:r>
    </w:p>
    <w:p>
      <w:pPr>
        <w:numPr>
          <w:ilvl w:val="0"/>
          <w:numId w:val="42"/>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left="16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07" w:name="_Toc238581782"/>
      <w:bookmarkStart w:id="308" w:name="_Toc119203988"/>
      <w:bookmarkStart w:id="309" w:name="_Toc146903609"/>
      <w:bookmarkStart w:id="310" w:name="_Toc119295087"/>
      <w:bookmarkStart w:id="311" w:name="_Toc52184753"/>
      <w:bookmarkStart w:id="312" w:name="_Toc119296788"/>
      <w:r>
        <w:rPr>
          <w:rFonts w:hint="eastAsia" w:ascii="宋体" w:hAnsi="宋体"/>
          <w:color w:val="auto"/>
          <w:highlight w:val="none"/>
        </w:rPr>
        <w:t>致：</w:t>
      </w:r>
      <w:bookmarkEnd w:id="307"/>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13"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 xml:space="preserve">中共成都市双流区委宣传部《流的金 流的情》新书发布活动采购项目 </w:t>
      </w:r>
      <w:r>
        <w:rPr>
          <w:rFonts w:hint="eastAsia" w:ascii="宋体" w:hAnsi="宋体"/>
          <w:b/>
          <w:color w:val="auto"/>
          <w:sz w:val="24"/>
          <w:highlight w:val="none"/>
        </w:rPr>
        <w:t>（项目编号：</w:t>
      </w:r>
      <w:r>
        <w:rPr>
          <w:rFonts w:hint="eastAsia" w:ascii="宋体" w:hAnsi="宋体"/>
          <w:b/>
          <w:color w:val="auto"/>
          <w:sz w:val="24"/>
          <w:highlight w:val="none"/>
          <w:lang w:eastAsia="zh-CN"/>
        </w:rPr>
        <w:t>510122202100497</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3"/>
        </w:numPr>
        <w:spacing w:line="360" w:lineRule="auto"/>
        <w:ind w:left="0" w:firstLine="480" w:firstLineChars="200"/>
        <w:rPr>
          <w:rFonts w:ascii="宋体" w:hAnsi="宋体"/>
          <w:color w:val="auto"/>
          <w:highlight w:val="none"/>
        </w:rPr>
      </w:pPr>
      <w:bookmarkStart w:id="314" w:name="_Toc238581784"/>
      <w:r>
        <w:rPr>
          <w:rFonts w:hint="eastAsia" w:ascii="宋体" w:hAnsi="宋体"/>
          <w:color w:val="auto"/>
          <w:highlight w:val="none"/>
        </w:rPr>
        <w:t>供应商名称及概况：</w:t>
      </w:r>
      <w:bookmarkEnd w:id="314"/>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44"/>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44"/>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3"/>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08"/>
    <w:bookmarkEnd w:id="309"/>
    <w:bookmarkEnd w:id="310"/>
    <w:bookmarkEnd w:id="311"/>
    <w:bookmarkEnd w:id="312"/>
    <w:bookmarkEnd w:id="313"/>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left="160" w:leftChars="0" w:firstLine="482" w:firstLineChars="0"/>
        <w:rPr>
          <w:color w:val="auto"/>
          <w:highlight w:val="none"/>
        </w:rPr>
      </w:pPr>
      <w:bookmarkStart w:id="315" w:name="_Toc320698765"/>
      <w:r>
        <w:rPr>
          <w:rFonts w:hint="eastAsia"/>
          <w:color w:val="auto"/>
          <w:highlight w:val="none"/>
        </w:rPr>
        <w:t>具有独立承担民事责任的能力</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left="16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16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left="16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left="16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45"/>
        </w:numPr>
        <w:spacing w:after="0" w:line="360" w:lineRule="auto"/>
        <w:ind w:left="-240" w:leftChars="0" w:firstLine="480" w:firstLineChars="0"/>
        <w:rPr>
          <w:color w:val="auto"/>
          <w:highlight w:val="none"/>
        </w:rPr>
      </w:pPr>
      <w:r>
        <w:rPr>
          <w:rFonts w:hint="eastAsia"/>
          <w:color w:val="auto"/>
          <w:highlight w:val="none"/>
        </w:rPr>
        <w:t>我公司具有履行合同所必须的设备和专业技术能力。</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keepNext w:val="0"/>
        <w:keepLines w:val="0"/>
        <w:pageBreakBefore w:val="0"/>
        <w:widowControl w:val="0"/>
        <w:numPr>
          <w:ilvl w:val="0"/>
          <w:numId w:val="45"/>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未被列入经营异常名录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45"/>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未被列入失信被执行人、重大税收违法案件当事人名单、政府采购严重违法失信行为记录名单</w:t>
      </w:r>
      <w:r>
        <w:rPr>
          <w:rFonts w:hint="eastAsia" w:ascii="宋体" w:hAnsi="宋体" w:eastAsia="宋体" w:cs="Times New Roman"/>
          <w:color w:val="auto"/>
          <w:szCs w:val="24"/>
          <w:highlight w:val="none"/>
          <w:lang w:eastAsia="zh-CN"/>
        </w:rPr>
        <w:t>。</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r>
        <w:rPr>
          <w:rFonts w:hint="eastAsia" w:ascii="宋体" w:hAnsi="宋体" w:eastAsia="宋体" w:cs="宋体"/>
          <w:color w:val="auto"/>
          <w:sz w:val="24"/>
          <w:highlight w:val="none"/>
          <w:lang w:eastAsia="zh-CN"/>
        </w:rPr>
        <w:t>。</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45"/>
        </w:numPr>
        <w:spacing w:line="360" w:lineRule="auto"/>
        <w:ind w:left="-240" w:leftChars="0" w:firstLine="480" w:firstLineChars="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45"/>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《四川省公共资源交易领域严重失信联合惩戒实施办法》（川发改信用规〔2019〕405号）、《关于对政府采购领域严重违法失信主体开展联合惩戒的合作备案录》（发改财金〔2018〕1614号）</w:t>
      </w:r>
      <w:r>
        <w:rPr>
          <w:rFonts w:hint="eastAsia" w:ascii="宋体" w:hAnsi="宋体"/>
          <w:color w:val="auto"/>
          <w:highlight w:val="none"/>
        </w:rPr>
        <w:t>规定的失信行为，将在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45"/>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45"/>
        </w:numPr>
        <w:spacing w:line="360" w:lineRule="auto"/>
        <w:ind w:left="-240" w:leftChars="0" w:firstLine="480" w:firstLineChars="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45"/>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45"/>
        </w:numPr>
        <w:spacing w:line="360" w:lineRule="auto"/>
        <w:ind w:left="-240" w:leftChars="0" w:firstLine="480" w:firstLineChars="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45"/>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45"/>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rPr>
          <w:rFonts w:hint="eastAsia"/>
        </w:rPr>
        <w:sectPr>
          <w:pgSz w:w="11906" w:h="16838"/>
          <w:pgMar w:top="1440" w:right="1274" w:bottom="1440" w:left="1418" w:header="851" w:footer="992" w:gutter="0"/>
          <w:cols w:space="720" w:num="1"/>
          <w:docGrid w:type="lines" w:linePitch="312" w:charSpace="0"/>
        </w:sectPr>
      </w:pPr>
    </w:p>
    <w:p>
      <w:pPr>
        <w:pStyle w:val="5"/>
        <w:ind w:left="160" w:leftChars="0" w:firstLine="482" w:firstLineChars="0"/>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（单位名称）的</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right"/>
        <w:textAlignment w:val="auto"/>
        <w:rPr>
          <w:rFonts w:hint="eastAsia" w:ascii="宋体" w:hAnsi="宋体" w:eastAsia="宋体" w:cs="宋体"/>
          <w:i w:val="0"/>
          <w:iCs w:val="0"/>
          <w:color w:val="000000"/>
          <w:kern w:val="0"/>
          <w:sz w:val="24"/>
          <w:szCs w:val="24"/>
          <w:highlight w:val="none"/>
          <w:lang w:val="en-US" w:eastAsia="zh-CN" w:bidi="ar"/>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u w:val="none"/>
          <w:lang w:val="en-US" w:eastAsia="zh-CN" w:bidi="ar"/>
        </w:rPr>
        <w:t>本项目采购标的对应的中小企业划分标准所属行业为</w:t>
      </w:r>
      <w:r>
        <w:rPr>
          <w:rFonts w:hint="eastAsia" w:ascii="宋体" w:hAnsi="宋体" w:cs="宋体"/>
          <w:b/>
          <w:bCs/>
          <w:color w:val="000000"/>
          <w:kern w:val="0"/>
          <w:sz w:val="24"/>
          <w:szCs w:val="24"/>
          <w:highlight w:val="none"/>
          <w:u w:val="single"/>
          <w:lang w:val="en-US" w:eastAsia="zh-CN" w:bidi="ar"/>
        </w:rPr>
        <w:t>租赁和商务服务业</w:t>
      </w:r>
      <w:r>
        <w:rPr>
          <w:rFonts w:hint="eastAsia" w:ascii="宋体" w:hAnsi="宋体" w:eastAsia="宋体" w:cs="宋体"/>
          <w:b/>
          <w:bCs/>
          <w:color w:val="000000"/>
          <w:kern w:val="0"/>
          <w:sz w:val="24"/>
          <w:szCs w:val="24"/>
          <w:highlight w:val="none"/>
          <w:lang w:val="en-US" w:eastAsia="zh-CN" w:bidi="ar"/>
        </w:rPr>
        <w:t>。</w:t>
      </w:r>
    </w:p>
    <w:p>
      <w:pPr>
        <w:pStyle w:val="5"/>
        <w:ind w:left="16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left="16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（供应商名称）</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5"/>
        <w:ind w:left="160" w:leftChars="0" w:firstLine="482" w:firstLineChars="0"/>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 xml:space="preserve">中共成都市双流区委宣传部《流的金 流的情》新书发布活动采购项目 </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510122202100497</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4"/>
        <w:ind w:left="480" w:leftChars="0" w:firstLineChars="0"/>
        <w:rPr>
          <w:color w:val="auto"/>
          <w:highlight w:val="none"/>
        </w:rPr>
      </w:pPr>
      <w:bookmarkStart w:id="316" w:name="_Toc21761"/>
      <w:bookmarkStart w:id="317" w:name="_Toc448403805"/>
      <w:r>
        <w:rPr>
          <w:rFonts w:hint="eastAsia"/>
          <w:color w:val="auto"/>
          <w:highlight w:val="none"/>
        </w:rPr>
        <w:t>技术、服务性响应文件格式</w:t>
      </w:r>
      <w:bookmarkEnd w:id="316"/>
      <w:bookmarkEnd w:id="317"/>
    </w:p>
    <w:p>
      <w:pPr>
        <w:pStyle w:val="5"/>
        <w:ind w:left="16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中共成都市双流区委宣传部《流的金 流的情》新书发布活动采购项目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510122202100497</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left="16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 xml:space="preserve">中共成都市双流区委宣传部《流的金 流的情》新书发布活动采购项目 </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510122202100497</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w:t>
      </w:r>
      <w:r>
        <w:rPr>
          <w:rFonts w:hint="eastAsia" w:ascii="宋体" w:hAnsi="宋体"/>
          <w:b/>
          <w:color w:val="auto"/>
          <w:highlight w:val="none"/>
          <w:lang w:val="en-US" w:eastAsia="zh-CN"/>
        </w:rPr>
        <w:t>达</w:t>
      </w:r>
      <w:r>
        <w:rPr>
          <w:rFonts w:hint="eastAsia" w:ascii="宋体" w:hAnsi="宋体"/>
          <w:b/>
          <w:color w:val="auto"/>
          <w:highlight w:val="none"/>
        </w:rPr>
        <w:t>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left="16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 xml:space="preserve">中共成都市双流区委宣传部《流的金 流的情》新书发布活动采购项目 </w:t>
      </w:r>
      <w:r>
        <w:rPr>
          <w:rFonts w:hint="eastAsia" w:ascii="宋体" w:hAnsi="宋体" w:cs="宋体"/>
          <w:color w:val="auto"/>
          <w:highlight w:val="none"/>
        </w:rPr>
        <w:t>（项目编号：</w:t>
      </w:r>
      <w:r>
        <w:rPr>
          <w:rFonts w:hint="eastAsia" w:ascii="宋体" w:hAnsi="宋体"/>
          <w:b/>
          <w:color w:val="auto"/>
          <w:highlight w:val="none"/>
          <w:u w:val="single"/>
          <w:lang w:eastAsia="zh-CN"/>
        </w:rPr>
        <w:t>510122202100497</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 xml:space="preserve">中共成都市双流区委宣传部《流的金 流的情》新书发布活动采购项目 </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0"/>
        <w:numPr>
          <w:ilvl w:val="1"/>
          <w:numId w:val="46"/>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15"/>
    <w:p>
      <w:pPr>
        <w:pStyle w:val="5"/>
        <w:ind w:left="160" w:leftChars="0" w:firstLine="482" w:firstLineChars="0"/>
        <w:rPr>
          <w:color w:val="auto"/>
          <w:highlight w:val="none"/>
        </w:rPr>
      </w:pPr>
      <w:bookmarkStart w:id="318" w:name="_Toc320698766"/>
      <w:r>
        <w:rPr>
          <w:rFonts w:hint="eastAsia"/>
          <w:color w:val="auto"/>
          <w:highlight w:val="none"/>
        </w:rPr>
        <w:t>商务、</w:t>
      </w: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中共成都市双流区委宣传部《流的金 流的情》新书发布活动采购项目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510122202100497</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w:t>
      </w:r>
      <w:r>
        <w:rPr>
          <w:rFonts w:hint="eastAsia" w:ascii="宋体" w:hAnsi="宋体"/>
          <w:color w:val="auto"/>
          <w:highlight w:val="none"/>
          <w:lang w:val="en-US" w:eastAsia="zh-CN"/>
        </w:rPr>
        <w:t>技术</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18"/>
    <w:p>
      <w:pPr>
        <w:pStyle w:val="5"/>
        <w:ind w:left="160" w:leftChars="0" w:firstLine="482" w:firstLineChars="0"/>
        <w:rPr>
          <w:color w:val="auto"/>
          <w:highlight w:val="none"/>
        </w:rPr>
      </w:pPr>
      <w:bookmarkStart w:id="319" w:name="_Toc360696963"/>
      <w:bookmarkStart w:id="320" w:name="_Toc205604899"/>
      <w:bookmarkStart w:id="321" w:name="_Toc236285891"/>
      <w:bookmarkStart w:id="322" w:name="_Toc238273564"/>
      <w:r>
        <w:rPr>
          <w:rFonts w:hint="eastAsia" w:cs="宋体"/>
          <w:sz w:val="24"/>
          <w:szCs w:val="24"/>
          <w:highlight w:val="none"/>
          <w:lang w:val="en-US" w:eastAsia="zh-CN"/>
        </w:rPr>
        <w:t>服务</w:t>
      </w:r>
      <w:r>
        <w:rPr>
          <w:rFonts w:hint="eastAsia" w:ascii="宋体" w:hAnsi="宋体" w:eastAsia="宋体" w:cs="宋体"/>
          <w:sz w:val="24"/>
          <w:szCs w:val="24"/>
          <w:highlight w:val="none"/>
        </w:rPr>
        <w:t>方案</w:t>
      </w:r>
      <w:r>
        <w:rPr>
          <w:rFonts w:hint="eastAsia" w:cs="宋体"/>
          <w:sz w:val="24"/>
          <w:szCs w:val="24"/>
          <w:highlight w:val="none"/>
          <w:lang w:val="en-US" w:eastAsia="zh-CN"/>
        </w:rPr>
        <w:t>等</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中共成都市双流区委宣传部《流的金 流的情》新书发布活动采购项目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510122202100497</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firstLine="480" w:firstLineChars="200"/>
        <w:jc w:val="left"/>
        <w:rPr>
          <w:rFonts w:ascii="宋体" w:hAnsi="宋体"/>
          <w:color w:val="auto"/>
          <w:sz w:val="24"/>
          <w:szCs w:val="24"/>
          <w:highlight w:val="none"/>
        </w:rPr>
      </w:pPr>
    </w:p>
    <w:p>
      <w:pPr>
        <w:pStyle w:val="67"/>
        <w:ind w:firstLine="480" w:firstLineChars="200"/>
        <w:jc w:val="left"/>
        <w:rPr>
          <w:rFonts w:ascii="宋体" w:hAnsi="宋体"/>
          <w:color w:val="auto"/>
          <w:sz w:val="24"/>
          <w:szCs w:val="24"/>
          <w:highlight w:val="none"/>
        </w:rPr>
      </w:pPr>
    </w:p>
    <w:p>
      <w:pPr>
        <w:rPr>
          <w:rFonts w:ascii="宋体" w:hAnsi="宋体"/>
          <w:color w:val="auto"/>
          <w:sz w:val="24"/>
          <w:szCs w:val="24"/>
          <w:highlight w:val="none"/>
        </w:rPr>
      </w:pPr>
      <w:r>
        <w:rPr>
          <w:rFonts w:ascii="宋体" w:hAnsi="宋体"/>
          <w:color w:val="auto"/>
          <w:sz w:val="24"/>
          <w:szCs w:val="24"/>
          <w:highlight w:val="none"/>
        </w:rPr>
        <w:br w:type="page"/>
      </w:r>
    </w:p>
    <w:p>
      <w:pPr>
        <w:pStyle w:val="5"/>
        <w:ind w:left="160" w:leftChars="0" w:firstLine="482" w:firstLineChars="0"/>
        <w:rPr>
          <w:color w:val="auto"/>
          <w:highlight w:val="none"/>
        </w:rPr>
      </w:pPr>
      <w:r>
        <w:rPr>
          <w:rFonts w:hint="eastAsia"/>
          <w:color w:val="auto"/>
          <w:highlight w:val="none"/>
        </w:rPr>
        <w:t>报价表</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 xml:space="preserve">中共成都市双流区委宣传部《流的金 流的情》新书发布活动采购项目 </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510122202100497</w:t>
      </w:r>
    </w:p>
    <w:tbl>
      <w:tblPr>
        <w:tblStyle w:val="44"/>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40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04"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409" w:type="dxa"/>
            <w:vAlign w:val="center"/>
          </w:tcPr>
          <w:p>
            <w:pPr>
              <w:spacing w:line="240" w:lineRule="auto"/>
              <w:ind w:firstLine="0" w:firstLineChars="0"/>
              <w:jc w:val="center"/>
              <w:rPr>
                <w:rFonts w:hint="default" w:ascii="宋体" w:hAnsi="宋体" w:cs="宋体"/>
                <w:b/>
                <w:szCs w:val="24"/>
                <w:highlight w:val="none"/>
                <w:lang w:val="en-US" w:eastAsia="zh-CN"/>
              </w:rPr>
            </w:pPr>
            <w:r>
              <w:rPr>
                <w:rFonts w:hint="eastAsia" w:ascii="宋体" w:hAnsi="宋体" w:cs="宋体"/>
                <w:b/>
                <w:szCs w:val="24"/>
                <w:highlight w:val="none"/>
                <w:lang w:val="en-US" w:eastAsia="zh-CN"/>
              </w:rPr>
              <w:t>项目名称</w:t>
            </w:r>
          </w:p>
        </w:tc>
        <w:tc>
          <w:tcPr>
            <w:tcW w:w="1866" w:type="dxa"/>
            <w:vAlign w:val="center"/>
          </w:tcPr>
          <w:p>
            <w:pPr>
              <w:spacing w:line="240" w:lineRule="auto"/>
              <w:ind w:firstLine="0" w:firstLineChars="0"/>
              <w:jc w:val="center"/>
              <w:rPr>
                <w:rFonts w:hint="eastAsia" w:ascii="宋体" w:hAnsi="宋体" w:cs="宋体"/>
                <w:b/>
                <w:szCs w:val="24"/>
                <w:highlight w:val="none"/>
                <w:lang w:val="en-US" w:eastAsia="zh-CN"/>
              </w:rPr>
            </w:pPr>
            <w:r>
              <w:rPr>
                <w:rFonts w:hint="eastAsia" w:ascii="宋体" w:hAnsi="宋体" w:cs="宋体"/>
                <w:b/>
                <w:szCs w:val="24"/>
                <w:highlight w:val="no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04" w:type="dxa"/>
            <w:vAlign w:val="center"/>
          </w:tcPr>
          <w:p>
            <w:pPr>
              <w:spacing w:line="240" w:lineRule="auto"/>
              <w:ind w:firstLine="0" w:firstLineChars="0"/>
              <w:jc w:val="center"/>
              <w:rPr>
                <w:rFonts w:hint="eastAsia" w:ascii="宋体" w:hAnsi="宋体" w:cs="宋体"/>
                <w:b w:val="0"/>
                <w:bCs/>
                <w:szCs w:val="24"/>
                <w:highlight w:val="none"/>
              </w:rPr>
            </w:pPr>
          </w:p>
          <w:p>
            <w:pPr>
              <w:spacing w:line="240" w:lineRule="auto"/>
              <w:ind w:firstLine="0" w:firstLineChars="0"/>
              <w:jc w:val="center"/>
              <w:rPr>
                <w:rFonts w:ascii="宋体" w:hAnsi="宋体" w:cs="宋体"/>
                <w:b w:val="0"/>
                <w:bCs/>
                <w:szCs w:val="24"/>
                <w:highlight w:val="none"/>
              </w:rPr>
            </w:pPr>
            <w:r>
              <w:rPr>
                <w:rFonts w:hint="eastAsia" w:ascii="宋体" w:hAnsi="宋体" w:cs="宋体"/>
                <w:b w:val="0"/>
                <w:bCs/>
                <w:szCs w:val="24"/>
                <w:highlight w:val="none"/>
              </w:rPr>
              <w:t>1</w:t>
            </w:r>
          </w:p>
          <w:p>
            <w:pPr>
              <w:spacing w:line="240" w:lineRule="auto"/>
              <w:ind w:firstLine="0" w:firstLineChars="0"/>
              <w:jc w:val="center"/>
              <w:rPr>
                <w:rFonts w:ascii="宋体" w:hAnsi="宋体" w:cs="宋体"/>
                <w:b/>
                <w:szCs w:val="24"/>
                <w:highlight w:val="none"/>
              </w:rPr>
            </w:pPr>
          </w:p>
        </w:tc>
        <w:tc>
          <w:tcPr>
            <w:tcW w:w="540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ascii="宋体" w:hAnsi="宋体" w:cs="宋体"/>
                <w:kern w:val="0"/>
                <w:szCs w:val="24"/>
                <w:highlight w:val="none"/>
                <w:u w:val="none"/>
              </w:rPr>
            </w:pPr>
            <w:r>
              <w:rPr>
                <w:rFonts w:hint="eastAsia" w:ascii="宋体" w:hAnsi="宋体"/>
                <w:b w:val="0"/>
                <w:bCs/>
                <w:color w:val="auto"/>
                <w:highlight w:val="none"/>
                <w:u w:val="none"/>
                <w:lang w:eastAsia="zh-CN"/>
              </w:rPr>
              <w:t>中共成都市双流区委宣传部《流的金 流的情》新书发布活动采购项目</w:t>
            </w:r>
          </w:p>
        </w:tc>
        <w:tc>
          <w:tcPr>
            <w:tcW w:w="1866" w:type="dxa"/>
            <w:vAlign w:val="center"/>
          </w:tcPr>
          <w:p>
            <w:pPr>
              <w:widowControl/>
              <w:spacing w:line="240" w:lineRule="auto"/>
              <w:ind w:firstLine="0" w:firstLineChars="0"/>
              <w:jc w:val="center"/>
              <w:textAlignment w:val="center"/>
              <w:rPr>
                <w:rFonts w:hint="default" w:ascii="宋体" w:hAnsi="宋体" w:eastAsia="宋体" w:cs="宋体"/>
                <w:snapToGrid w:val="0"/>
                <w:highlight w:val="none"/>
                <w:u w:val="single"/>
                <w:lang w:val="en-US" w:eastAsia="zh-CN"/>
              </w:rPr>
            </w:pP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7"/>
        <w:ind w:left="0" w:leftChars="0" w:firstLine="0" w:firstLineChars="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7"/>
        <w:spacing w:line="360" w:lineRule="auto"/>
        <w:rPr>
          <w:rFonts w:ascii="宋体" w:hAnsi="宋体"/>
          <w:color w:val="auto"/>
          <w:highlight w:val="none"/>
        </w:rPr>
      </w:pPr>
    </w:p>
    <w:p>
      <w:pPr>
        <w:pStyle w:val="203"/>
        <w:numPr>
          <w:ilvl w:val="0"/>
          <w:numId w:val="0"/>
        </w:numPr>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lang w:val="en-US" w:eastAsia="zh-CN"/>
        </w:rPr>
        <w:t>注：供应商</w:t>
      </w:r>
      <w:r>
        <w:rPr>
          <w:rFonts w:hint="eastAsia" w:ascii="宋体" w:hAnsi="宋体" w:eastAsia="宋体" w:cs="宋体"/>
          <w:b/>
          <w:bCs/>
          <w:sz w:val="24"/>
          <w:szCs w:val="24"/>
          <w:lang w:eastAsia="zh-CN"/>
        </w:rPr>
        <w:t>报价包含：人员</w:t>
      </w:r>
      <w:r>
        <w:rPr>
          <w:rFonts w:hint="eastAsia" w:ascii="宋体" w:hAnsi="宋体" w:cs="宋体"/>
          <w:b/>
          <w:bCs/>
          <w:sz w:val="24"/>
          <w:szCs w:val="24"/>
        </w:rPr>
        <w:t>工资、</w:t>
      </w:r>
      <w:r>
        <w:rPr>
          <w:rFonts w:hint="eastAsia" w:ascii="宋体" w:hAnsi="宋体" w:cs="宋体"/>
          <w:b/>
          <w:bCs/>
          <w:sz w:val="24"/>
          <w:szCs w:val="24"/>
          <w:lang w:val="en-US" w:eastAsia="zh-CN"/>
        </w:rPr>
        <w:t>设备使用费</w:t>
      </w:r>
      <w:r>
        <w:rPr>
          <w:rFonts w:hint="eastAsia" w:ascii="宋体" w:hAnsi="宋体" w:cs="宋体"/>
          <w:b/>
          <w:bCs/>
          <w:sz w:val="24"/>
          <w:szCs w:val="24"/>
        </w:rPr>
        <w:t>、</w:t>
      </w:r>
      <w:r>
        <w:rPr>
          <w:rFonts w:hint="eastAsia" w:ascii="宋体" w:hAnsi="宋体" w:cs="宋体"/>
          <w:b/>
          <w:bCs/>
          <w:sz w:val="24"/>
          <w:szCs w:val="24"/>
          <w:lang w:val="en-US" w:eastAsia="zh-CN"/>
        </w:rPr>
        <w:t>宣传推广费</w:t>
      </w:r>
      <w:r>
        <w:rPr>
          <w:rFonts w:hint="eastAsia" w:ascii="宋体" w:hAnsi="宋体" w:cs="宋体"/>
          <w:b/>
          <w:bCs/>
          <w:sz w:val="24"/>
          <w:szCs w:val="24"/>
        </w:rPr>
        <w:t>、</w:t>
      </w:r>
      <w:r>
        <w:rPr>
          <w:rFonts w:hint="eastAsia" w:ascii="宋体" w:hAnsi="宋体" w:eastAsia="宋体" w:cs="宋体"/>
          <w:b/>
          <w:bCs/>
          <w:sz w:val="24"/>
          <w:szCs w:val="24"/>
          <w:lang w:eastAsia="zh-CN"/>
        </w:rPr>
        <w:t>管理费、利润、税金等一切费用。</w:t>
      </w:r>
    </w:p>
    <w:p>
      <w:pPr>
        <w:pStyle w:val="67"/>
        <w:ind w:firstLine="482" w:firstLineChars="200"/>
        <w:jc w:val="left"/>
        <w:rPr>
          <w:rFonts w:hint="eastAsia" w:ascii="宋体" w:hAnsi="宋体" w:eastAsia="宋体" w:cs="Times New Roman"/>
          <w:b/>
          <w:bCs/>
          <w:color w:val="auto"/>
          <w:sz w:val="24"/>
          <w:szCs w:val="24"/>
          <w:highlight w:val="none"/>
          <w:lang w:val="en-US" w:eastAsia="zh-CN" w:bidi="ar-SA"/>
        </w:rPr>
      </w:pPr>
    </w:p>
    <w:p>
      <w:pPr>
        <w:pageBreakBefore w:val="0"/>
        <w:kinsoku/>
        <w:wordWrap/>
        <w:overflowPunct/>
        <w:topLinePunct w:val="0"/>
        <w:autoSpaceDE/>
        <w:autoSpaceDN/>
        <w:bidi w:val="0"/>
        <w:adjustRightInd/>
        <w:snapToGrid/>
        <w:spacing w:line="360" w:lineRule="auto"/>
        <w:ind w:firstLine="480" w:firstLineChars="200"/>
        <w:textAlignment w:val="auto"/>
        <w:rPr>
          <w:rFonts w:hint="default" w:eastAsia="宋体"/>
          <w:highlight w:val="none"/>
          <w:lang w:val="en-US" w:eastAsia="zh-CN"/>
        </w:rPr>
      </w:pPr>
    </w:p>
    <w:p>
      <w:pPr>
        <w:pStyle w:val="2"/>
        <w:rPr>
          <w:color w:val="auto"/>
          <w:highlight w:val="none"/>
        </w:rPr>
      </w:pPr>
    </w:p>
    <w:p>
      <w:pPr>
        <w:pStyle w:val="67"/>
        <w:ind w:firstLine="480" w:firstLineChars="200"/>
        <w:jc w:val="left"/>
        <w:rPr>
          <w:color w:val="auto"/>
          <w:sz w:val="24"/>
          <w:szCs w:val="24"/>
          <w:highlight w:val="none"/>
        </w:rPr>
      </w:pPr>
    </w:p>
    <w:p>
      <w:pPr>
        <w:pStyle w:val="67"/>
        <w:ind w:firstLine="480" w:firstLineChars="200"/>
        <w:jc w:val="left"/>
        <w:rPr>
          <w:color w:val="auto"/>
          <w:sz w:val="24"/>
          <w:szCs w:val="24"/>
          <w:highlight w:val="none"/>
        </w:rPr>
      </w:pPr>
    </w:p>
    <w:p>
      <w:pPr>
        <w:rPr>
          <w:color w:val="auto"/>
          <w:sz w:val="24"/>
          <w:szCs w:val="24"/>
          <w:highlight w:val="none"/>
        </w:rPr>
      </w:pPr>
      <w:r>
        <w:rPr>
          <w:color w:val="auto"/>
          <w:sz w:val="24"/>
          <w:szCs w:val="24"/>
          <w:highlight w:val="none"/>
        </w:rPr>
        <w:br w:type="page"/>
      </w:r>
    </w:p>
    <w:p>
      <w:pPr>
        <w:pStyle w:val="67"/>
        <w:ind w:left="0" w:leftChars="0" w:firstLine="0" w:firstLineChars="0"/>
        <w:jc w:val="left"/>
        <w:rPr>
          <w:color w:val="auto"/>
          <w:sz w:val="24"/>
          <w:szCs w:val="24"/>
          <w:highlight w:val="none"/>
        </w:rPr>
      </w:pPr>
    </w:p>
    <w:p>
      <w:pPr>
        <w:pStyle w:val="5"/>
        <w:ind w:left="160" w:leftChars="0" w:firstLine="482" w:firstLineChars="0"/>
        <w:rPr>
          <w:color w:val="auto"/>
          <w:highlight w:val="none"/>
        </w:rPr>
      </w:pPr>
      <w:bookmarkStart w:id="323" w:name="_Toc451340457"/>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 xml:space="preserve">中共成都市双流区委宣传部《流的金 流的情》新书发布活动采购项目 </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510122202100497</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20" w:firstLineChars="50"/>
              <w:jc w:val="center"/>
              <w:rPr>
                <w:rFonts w:ascii="宋体" w:hAnsi="宋体" w:cs="宋体"/>
                <w:color w:val="auto"/>
                <w:sz w:val="24"/>
                <w:szCs w:val="24"/>
                <w:highlight w:val="none"/>
              </w:rPr>
            </w:pPr>
            <w:r>
              <w:rPr>
                <w:rFonts w:hint="eastAsia" w:ascii="宋体" w:hAnsi="宋体" w:cs="宋体"/>
                <w:color w:val="auto"/>
                <w:sz w:val="24"/>
                <w:szCs w:val="24"/>
                <w:highlight w:val="none"/>
              </w:rPr>
              <w:t>年份</w:t>
            </w:r>
          </w:p>
        </w:tc>
        <w:tc>
          <w:tcPr>
            <w:tcW w:w="1533" w:type="dxa"/>
            <w:vAlign w:val="center"/>
          </w:tcPr>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用户名称</w:t>
            </w:r>
          </w:p>
        </w:tc>
        <w:tc>
          <w:tcPr>
            <w:tcW w:w="1975" w:type="dxa"/>
            <w:vAlign w:val="center"/>
          </w:tcPr>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1724" w:type="dxa"/>
            <w:vAlign w:val="center"/>
          </w:tcPr>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完成时间</w:t>
            </w:r>
          </w:p>
        </w:tc>
        <w:tc>
          <w:tcPr>
            <w:tcW w:w="1435" w:type="dxa"/>
            <w:vAlign w:val="center"/>
          </w:tcPr>
          <w:p>
            <w:pPr>
              <w:spacing w:line="520" w:lineRule="exact"/>
              <w:ind w:firstLine="120" w:firstLineChars="50"/>
              <w:jc w:val="center"/>
              <w:rPr>
                <w:rFonts w:ascii="宋体" w:hAnsi="宋体" w:cs="宋体"/>
                <w:color w:val="auto"/>
                <w:sz w:val="24"/>
                <w:szCs w:val="24"/>
                <w:highlight w:val="none"/>
              </w:rPr>
            </w:pPr>
            <w:r>
              <w:rPr>
                <w:rFonts w:hint="eastAsia" w:ascii="宋体" w:hAnsi="宋体" w:cs="宋体"/>
                <w:color w:val="auto"/>
                <w:sz w:val="24"/>
                <w:szCs w:val="24"/>
                <w:highlight w:val="none"/>
              </w:rPr>
              <w:t>合同金额</w:t>
            </w:r>
          </w:p>
        </w:tc>
        <w:tc>
          <w:tcPr>
            <w:tcW w:w="2313" w:type="dxa"/>
            <w:tcBorders>
              <w:left w:val="single" w:color="auto" w:sz="4" w:space="0"/>
            </w:tcBorders>
            <w:vAlign w:val="center"/>
          </w:tcPr>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19"/>
    <w:bookmarkEnd w:id="323"/>
    <w:p>
      <w:pPr>
        <w:pStyle w:val="5"/>
        <w:ind w:left="16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ind w:left="480" w:leftChars="0" w:firstLineChars="0"/>
        <w:rPr>
          <w:color w:val="auto"/>
          <w:highlight w:val="none"/>
        </w:rPr>
      </w:pPr>
      <w:bookmarkStart w:id="324" w:name="_Toc7716"/>
      <w:r>
        <w:rPr>
          <w:rFonts w:hint="eastAsia"/>
          <w:color w:val="auto"/>
          <w:highlight w:val="none"/>
        </w:rPr>
        <w:t>最后报价（格式）</w:t>
      </w:r>
      <w:bookmarkEnd w:id="324"/>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 xml:space="preserve">中共成都市双流区委宣传部《流的金 流的情》新书发布活动采购项目 </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510122202100497</w:t>
      </w:r>
    </w:p>
    <w:tbl>
      <w:tblPr>
        <w:tblStyle w:val="44"/>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289"/>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04" w:type="dxa"/>
            <w:vAlign w:val="center"/>
          </w:tcPr>
          <w:p>
            <w:pPr>
              <w:spacing w:line="240" w:lineRule="auto"/>
              <w:ind w:firstLine="0" w:firstLineChars="0"/>
              <w:jc w:val="center"/>
              <w:rPr>
                <w:rFonts w:ascii="宋体" w:hAnsi="宋体" w:cs="宋体"/>
                <w:b/>
                <w:szCs w:val="24"/>
                <w:highlight w:val="none"/>
              </w:rPr>
            </w:pPr>
            <w:r>
              <w:rPr>
                <w:rFonts w:hint="eastAsia" w:ascii="宋体" w:hAnsi="宋体" w:cs="宋体"/>
                <w:b/>
                <w:szCs w:val="24"/>
                <w:highlight w:val="none"/>
              </w:rPr>
              <w:t>序号</w:t>
            </w:r>
          </w:p>
        </w:tc>
        <w:tc>
          <w:tcPr>
            <w:tcW w:w="5289" w:type="dxa"/>
            <w:vAlign w:val="center"/>
          </w:tcPr>
          <w:p>
            <w:pPr>
              <w:spacing w:line="240" w:lineRule="auto"/>
              <w:ind w:firstLine="0" w:firstLineChars="0"/>
              <w:jc w:val="center"/>
              <w:rPr>
                <w:rFonts w:hint="default" w:ascii="宋体" w:hAnsi="宋体" w:cs="宋体"/>
                <w:b/>
                <w:szCs w:val="24"/>
                <w:highlight w:val="none"/>
                <w:lang w:val="en-US" w:eastAsia="zh-CN"/>
              </w:rPr>
            </w:pPr>
            <w:r>
              <w:rPr>
                <w:rFonts w:hint="eastAsia" w:ascii="宋体" w:hAnsi="宋体" w:cs="宋体"/>
                <w:b/>
                <w:szCs w:val="24"/>
                <w:highlight w:val="none"/>
                <w:lang w:val="en-US" w:eastAsia="zh-CN"/>
              </w:rPr>
              <w:t>项目名称</w:t>
            </w:r>
          </w:p>
        </w:tc>
        <w:tc>
          <w:tcPr>
            <w:tcW w:w="2220" w:type="dxa"/>
            <w:vAlign w:val="center"/>
          </w:tcPr>
          <w:p>
            <w:pPr>
              <w:spacing w:line="240" w:lineRule="auto"/>
              <w:ind w:firstLine="0" w:firstLineChars="0"/>
              <w:jc w:val="center"/>
              <w:rPr>
                <w:rFonts w:hint="eastAsia" w:ascii="宋体" w:hAnsi="宋体" w:cs="宋体"/>
                <w:b/>
                <w:szCs w:val="24"/>
                <w:highlight w:val="none"/>
                <w:lang w:val="en-US" w:eastAsia="zh-CN"/>
              </w:rPr>
            </w:pPr>
            <w:r>
              <w:rPr>
                <w:rFonts w:hint="eastAsia" w:ascii="宋体" w:hAnsi="宋体" w:cs="宋体"/>
                <w:b/>
                <w:szCs w:val="24"/>
                <w:highlight w:val="none"/>
                <w:lang w:val="en-US" w:eastAsia="zh-CN"/>
              </w:rPr>
              <w:t>最后报价（元）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04" w:type="dxa"/>
            <w:vAlign w:val="center"/>
          </w:tcPr>
          <w:p>
            <w:pPr>
              <w:spacing w:line="240" w:lineRule="auto"/>
              <w:ind w:firstLine="0" w:firstLineChars="0"/>
              <w:jc w:val="center"/>
              <w:rPr>
                <w:rFonts w:hint="eastAsia" w:ascii="宋体" w:hAnsi="宋体" w:cs="宋体"/>
                <w:b w:val="0"/>
                <w:bCs/>
                <w:szCs w:val="24"/>
                <w:highlight w:val="none"/>
              </w:rPr>
            </w:pPr>
          </w:p>
          <w:p>
            <w:pPr>
              <w:spacing w:line="240" w:lineRule="auto"/>
              <w:ind w:firstLine="0" w:firstLineChars="0"/>
              <w:jc w:val="center"/>
              <w:rPr>
                <w:rFonts w:ascii="宋体" w:hAnsi="宋体" w:cs="宋体"/>
                <w:b w:val="0"/>
                <w:bCs/>
                <w:szCs w:val="24"/>
                <w:highlight w:val="none"/>
              </w:rPr>
            </w:pPr>
            <w:r>
              <w:rPr>
                <w:rFonts w:hint="eastAsia" w:ascii="宋体" w:hAnsi="宋体" w:cs="宋体"/>
                <w:b w:val="0"/>
                <w:bCs/>
                <w:szCs w:val="24"/>
                <w:highlight w:val="none"/>
              </w:rPr>
              <w:t>1</w:t>
            </w:r>
          </w:p>
          <w:p>
            <w:pPr>
              <w:spacing w:line="240" w:lineRule="auto"/>
              <w:ind w:firstLine="0" w:firstLineChars="0"/>
              <w:jc w:val="center"/>
              <w:rPr>
                <w:rFonts w:ascii="宋体" w:hAnsi="宋体" w:cs="宋体"/>
                <w:b/>
                <w:szCs w:val="24"/>
                <w:highlight w:val="none"/>
              </w:rPr>
            </w:pPr>
          </w:p>
        </w:tc>
        <w:tc>
          <w:tcPr>
            <w:tcW w:w="528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center"/>
              <w:rPr>
                <w:rFonts w:ascii="宋体" w:hAnsi="宋体" w:cs="宋体"/>
                <w:kern w:val="0"/>
                <w:szCs w:val="24"/>
                <w:highlight w:val="none"/>
                <w:u w:val="none"/>
              </w:rPr>
            </w:pPr>
            <w:r>
              <w:rPr>
                <w:rFonts w:hint="eastAsia" w:ascii="宋体" w:hAnsi="宋体"/>
                <w:b w:val="0"/>
                <w:bCs/>
                <w:color w:val="auto"/>
                <w:highlight w:val="none"/>
                <w:u w:val="none"/>
                <w:lang w:eastAsia="zh-CN"/>
              </w:rPr>
              <w:t xml:space="preserve">中共成都市双流区委宣传部《流的金 流的情》新书发布活动采购项目 </w:t>
            </w:r>
          </w:p>
        </w:tc>
        <w:tc>
          <w:tcPr>
            <w:tcW w:w="2220" w:type="dxa"/>
            <w:vAlign w:val="center"/>
          </w:tcPr>
          <w:p>
            <w:pPr>
              <w:widowControl/>
              <w:spacing w:line="240" w:lineRule="auto"/>
              <w:ind w:firstLine="0" w:firstLineChars="0"/>
              <w:jc w:val="center"/>
              <w:textAlignment w:val="center"/>
              <w:rPr>
                <w:rFonts w:hint="default" w:ascii="宋体" w:hAnsi="宋体" w:eastAsia="宋体" w:cs="宋体"/>
                <w:snapToGrid w:val="0"/>
                <w:highlight w:val="none"/>
                <w:u w:val="single"/>
                <w:lang w:val="en-US" w:eastAsia="zh-CN"/>
              </w:rPr>
            </w:pPr>
          </w:p>
        </w:tc>
      </w:tr>
    </w:tbl>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pStyle w:val="2"/>
        <w:rPr>
          <w:rFonts w:hint="eastAsia"/>
          <w:highlight w:val="none"/>
          <w:lang w:eastAsia="zh-CN"/>
        </w:rPr>
      </w:pPr>
    </w:p>
    <w:p>
      <w:pPr>
        <w:pStyle w:val="2"/>
        <w:rPr>
          <w:color w:val="auto"/>
          <w:highlight w:val="none"/>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p>
    <w:p>
      <w:pPr>
        <w:pStyle w:val="2"/>
        <w:spacing w:after="0"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7"/>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203"/>
        <w:numPr>
          <w:ilvl w:val="0"/>
          <w:numId w:val="0"/>
        </w:numPr>
        <w:spacing w:line="360" w:lineRule="auto"/>
        <w:ind w:firstLine="482" w:firstLineChars="200"/>
        <w:rPr>
          <w:rFonts w:hint="eastAsia" w:ascii="宋体" w:hAnsi="宋体" w:cs="宋体"/>
          <w:b/>
          <w:color w:val="auto"/>
          <w:sz w:val="24"/>
          <w:szCs w:val="24"/>
          <w:highlight w:val="none"/>
        </w:rPr>
      </w:pPr>
      <w:r>
        <w:rPr>
          <w:rFonts w:hint="eastAsia" w:ascii="宋体" w:hAnsi="宋体" w:cs="宋体"/>
          <w:b/>
          <w:bCs/>
          <w:sz w:val="24"/>
          <w:szCs w:val="24"/>
          <w:lang w:val="en-US" w:eastAsia="zh-CN"/>
        </w:rPr>
        <w:t>1、供应商</w:t>
      </w:r>
      <w:r>
        <w:rPr>
          <w:rFonts w:hint="eastAsia" w:ascii="宋体" w:hAnsi="宋体" w:eastAsia="宋体" w:cs="宋体"/>
          <w:b/>
          <w:bCs/>
          <w:sz w:val="24"/>
          <w:szCs w:val="24"/>
          <w:lang w:eastAsia="zh-CN"/>
        </w:rPr>
        <w:t>报价包含：人员</w:t>
      </w:r>
      <w:r>
        <w:rPr>
          <w:rFonts w:hint="eastAsia" w:ascii="宋体" w:hAnsi="宋体" w:cs="宋体"/>
          <w:b/>
          <w:bCs/>
          <w:sz w:val="24"/>
          <w:szCs w:val="24"/>
        </w:rPr>
        <w:t>工资、</w:t>
      </w:r>
      <w:r>
        <w:rPr>
          <w:rFonts w:hint="eastAsia" w:ascii="宋体" w:hAnsi="宋体" w:cs="宋体"/>
          <w:b/>
          <w:bCs/>
          <w:sz w:val="24"/>
          <w:szCs w:val="24"/>
          <w:lang w:val="en-US" w:eastAsia="zh-CN"/>
        </w:rPr>
        <w:t>设备使用费</w:t>
      </w:r>
      <w:r>
        <w:rPr>
          <w:rFonts w:hint="eastAsia" w:ascii="宋体" w:hAnsi="宋体" w:cs="宋体"/>
          <w:b/>
          <w:bCs/>
          <w:sz w:val="24"/>
          <w:szCs w:val="24"/>
        </w:rPr>
        <w:t>、</w:t>
      </w:r>
      <w:r>
        <w:rPr>
          <w:rFonts w:hint="eastAsia" w:ascii="宋体" w:hAnsi="宋体" w:cs="宋体"/>
          <w:b/>
          <w:bCs/>
          <w:sz w:val="24"/>
          <w:szCs w:val="24"/>
          <w:lang w:val="en-US" w:eastAsia="zh-CN"/>
        </w:rPr>
        <w:t>宣传推广费</w:t>
      </w:r>
      <w:r>
        <w:rPr>
          <w:rFonts w:hint="eastAsia" w:ascii="宋体" w:hAnsi="宋体" w:cs="宋体"/>
          <w:b/>
          <w:bCs/>
          <w:sz w:val="24"/>
          <w:szCs w:val="24"/>
        </w:rPr>
        <w:t>、</w:t>
      </w:r>
      <w:r>
        <w:rPr>
          <w:rFonts w:hint="eastAsia" w:ascii="宋体" w:hAnsi="宋体" w:eastAsia="宋体" w:cs="宋体"/>
          <w:b/>
          <w:bCs/>
          <w:sz w:val="24"/>
          <w:szCs w:val="24"/>
          <w:lang w:eastAsia="zh-CN"/>
        </w:rPr>
        <w:t>管理费、利润、税金等一切费用。</w:t>
      </w:r>
    </w:p>
    <w:p>
      <w:pPr>
        <w:pStyle w:val="67"/>
        <w:numPr>
          <w:ilvl w:val="0"/>
          <w:numId w:val="0"/>
        </w:numPr>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7"/>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25" w:name="_Toc17287"/>
      <w:r>
        <w:rPr>
          <w:rFonts w:hint="eastAsia"/>
          <w:color w:val="auto"/>
          <w:highlight w:val="none"/>
        </w:rPr>
        <w:t>合同主要条款</w:t>
      </w:r>
      <w:bookmarkEnd w:id="325"/>
    </w:p>
    <w:bookmarkEnd w:id="320"/>
    <w:bookmarkEnd w:id="321"/>
    <w:bookmarkEnd w:id="322"/>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47"/>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47"/>
        </w:numPr>
        <w:spacing w:line="360" w:lineRule="auto"/>
        <w:ind w:left="0" w:firstLine="482" w:firstLineChars="200"/>
        <w:rPr>
          <w:rFonts w:ascii="宋体" w:hAnsi="宋体" w:cs="宋体"/>
          <w:b/>
          <w:color w:val="auto"/>
          <w:highlight w:val="none"/>
        </w:rPr>
      </w:pPr>
      <w:bookmarkStart w:id="326" w:name="_Toc251768862"/>
      <w:bookmarkStart w:id="327" w:name="_Toc241833903"/>
      <w:bookmarkStart w:id="328" w:name="_Toc239568418"/>
      <w:bookmarkStart w:id="329" w:name="_Toc212019594"/>
      <w:bookmarkStart w:id="330" w:name="_Toc239233914"/>
      <w:bookmarkStart w:id="331" w:name="_Toc225670751"/>
      <w:bookmarkStart w:id="332" w:name="_Toc211911348"/>
      <w:bookmarkStart w:id="333" w:name="_Toc185395249"/>
      <w:bookmarkStart w:id="334" w:name="_Toc232492928"/>
      <w:bookmarkStart w:id="335" w:name="_Toc282696226"/>
      <w:bookmarkStart w:id="336" w:name="_Toc238984975"/>
      <w:bookmarkStart w:id="337" w:name="_Toc286993786"/>
      <w:bookmarkStart w:id="338" w:name="_Toc211854449"/>
      <w:bookmarkStart w:id="339" w:name="_Toc225654644"/>
      <w:bookmarkStart w:id="340" w:name="_Toc237145406"/>
      <w:bookmarkStart w:id="341" w:name="_Toc247334841"/>
      <w:bookmarkStart w:id="342" w:name="_Toc225244852"/>
      <w:bookmarkStart w:id="343" w:name="_Toc283019214"/>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48"/>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48"/>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Pr>
        <w:numPr>
          <w:ilvl w:val="0"/>
          <w:numId w:val="47"/>
        </w:numPr>
        <w:spacing w:line="360" w:lineRule="auto"/>
        <w:ind w:left="0" w:firstLine="482" w:firstLineChars="200"/>
        <w:rPr>
          <w:rFonts w:ascii="宋体" w:hAnsi="宋体" w:cs="宋体"/>
          <w:b/>
          <w:color w:val="auto"/>
          <w:highlight w:val="none"/>
        </w:rPr>
      </w:pPr>
      <w:bookmarkStart w:id="344" w:name="_Toc225670756"/>
      <w:bookmarkStart w:id="345" w:name="_Toc239568423"/>
      <w:bookmarkStart w:id="346" w:name="_Toc239233919"/>
      <w:bookmarkStart w:id="347" w:name="_Toc225654649"/>
      <w:bookmarkStart w:id="348" w:name="_Toc251768867"/>
      <w:bookmarkStart w:id="349" w:name="_Toc247334846"/>
      <w:bookmarkStart w:id="350" w:name="_Toc238984980"/>
      <w:bookmarkStart w:id="351" w:name="_Toc237145411"/>
      <w:bookmarkStart w:id="352" w:name="_Toc185395254"/>
      <w:bookmarkStart w:id="353" w:name="_Toc286993792"/>
      <w:bookmarkStart w:id="354" w:name="_Toc211911353"/>
      <w:bookmarkStart w:id="355" w:name="_Toc225244857"/>
      <w:bookmarkStart w:id="356" w:name="_Toc241833908"/>
      <w:bookmarkStart w:id="357" w:name="_Toc232492933"/>
      <w:bookmarkStart w:id="358" w:name="_Toc211854454"/>
      <w:bookmarkStart w:id="359" w:name="_Toc212019599"/>
      <w:r>
        <w:rPr>
          <w:rFonts w:hint="eastAsia" w:ascii="宋体" w:hAnsi="宋体" w:cs="宋体"/>
          <w:b/>
          <w:color w:val="auto"/>
          <w:highlight w:val="none"/>
        </w:rPr>
        <w:t>解决合同纠纷的方式</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47"/>
        </w:numPr>
        <w:spacing w:line="360" w:lineRule="auto"/>
        <w:ind w:left="0" w:firstLine="482" w:firstLineChars="200"/>
        <w:rPr>
          <w:rFonts w:ascii="宋体" w:hAnsi="宋体" w:cs="宋体"/>
          <w:b/>
          <w:color w:val="auto"/>
          <w:highlight w:val="none"/>
        </w:rPr>
      </w:pPr>
      <w:bookmarkStart w:id="360" w:name="_Toc238984981"/>
      <w:bookmarkStart w:id="361" w:name="_Toc282696231"/>
      <w:bookmarkStart w:id="362" w:name="_Toc185395255"/>
      <w:bookmarkStart w:id="363" w:name="_Toc286993793"/>
      <w:bookmarkStart w:id="364" w:name="_Toc239233920"/>
      <w:bookmarkStart w:id="365" w:name="_Toc225654650"/>
      <w:bookmarkStart w:id="366" w:name="_Toc239568424"/>
      <w:bookmarkStart w:id="367" w:name="_Toc251768868"/>
      <w:bookmarkStart w:id="368" w:name="_Toc241833909"/>
      <w:bookmarkStart w:id="369" w:name="_Toc212019600"/>
      <w:bookmarkStart w:id="370" w:name="_Toc211854455"/>
      <w:bookmarkStart w:id="371" w:name="_Toc232492934"/>
      <w:bookmarkStart w:id="372" w:name="_Toc237145412"/>
      <w:bookmarkStart w:id="373" w:name="_Toc211911354"/>
      <w:bookmarkStart w:id="374" w:name="_Toc247334847"/>
      <w:bookmarkStart w:id="375" w:name="_Toc225244858"/>
      <w:bookmarkStart w:id="376" w:name="_Toc283019219"/>
      <w:bookmarkStart w:id="377" w:name="_Toc225670757"/>
      <w:r>
        <w:rPr>
          <w:rFonts w:hint="eastAsia" w:ascii="宋体" w:hAnsi="宋体" w:cs="宋体"/>
          <w:b/>
          <w:color w:val="auto"/>
          <w:highlight w:val="none"/>
        </w:rPr>
        <w:t>合同</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Fonts w:hint="eastAsia" w:ascii="宋体" w:hAnsi="宋体" w:cs="宋体"/>
          <w:b/>
          <w:color w:val="auto"/>
          <w:highlight w:val="none"/>
        </w:rPr>
        <w:t>生效及其他</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5"/>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47"/>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6"/>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6"/>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1">
    <w:nsid w:val="FD396574"/>
    <w:multiLevelType w:val="singleLevel"/>
    <w:tmpl w:val="FD396574"/>
    <w:lvl w:ilvl="0" w:tentative="0">
      <w:start w:val="1"/>
      <w:numFmt w:val="chineseCounting"/>
      <w:suff w:val="nothing"/>
      <w:lvlText w:val="%1、"/>
      <w:lvlJc w:val="left"/>
      <w:pPr>
        <w:ind w:left="0" w:firstLine="420"/>
      </w:pPr>
      <w:rPr>
        <w:rFonts w:hint="eastAsia"/>
      </w:rPr>
    </w:lvl>
  </w:abstractNum>
  <w:abstractNum w:abstractNumId="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133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101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3">
    <w:nsid w:val="0A92227D"/>
    <w:multiLevelType w:val="multilevel"/>
    <w:tmpl w:val="0A92227D"/>
    <w:lvl w:ilvl="0" w:tentative="0">
      <w:start w:val="1"/>
      <w:numFmt w:val="bullet"/>
      <w:pStyle w:val="107"/>
      <w:lvlText w:val=""/>
      <w:lvlJc w:val="left"/>
      <w:pPr>
        <w:ind w:left="900" w:hanging="420"/>
      </w:pPr>
      <w:rPr>
        <w:rFonts w:hint="default" w:ascii="Wingdings" w:hAnsi="Wingdings"/>
      </w:rPr>
    </w:lvl>
    <w:lvl w:ilvl="1" w:tentative="0">
      <w:start w:val="1"/>
      <w:numFmt w:val="bullet"/>
      <w:pStyle w:val="10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5">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1"/>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8">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9">
    <w:nsid w:val="2864A89D"/>
    <w:multiLevelType w:val="singleLevel"/>
    <w:tmpl w:val="2864A89D"/>
    <w:lvl w:ilvl="0" w:tentative="0">
      <w:start w:val="1"/>
      <w:numFmt w:val="decimal"/>
      <w:suff w:val="nothing"/>
      <w:lvlText w:val="%1．"/>
      <w:lvlJc w:val="left"/>
      <w:pPr>
        <w:ind w:left="0" w:firstLine="400"/>
      </w:pPr>
      <w:rPr>
        <w:rFonts w:hint="default"/>
      </w:rPr>
    </w:lvl>
  </w:abstractNum>
  <w:abstractNum w:abstractNumId="10">
    <w:nsid w:val="2911A2BE"/>
    <w:multiLevelType w:val="singleLevel"/>
    <w:tmpl w:val="2911A2BE"/>
    <w:lvl w:ilvl="0" w:tentative="0">
      <w:start w:val="1"/>
      <w:numFmt w:val="decimal"/>
      <w:lvlText w:val="%1."/>
      <w:lvlJc w:val="left"/>
      <w:pPr>
        <w:tabs>
          <w:tab w:val="left" w:pos="312"/>
        </w:tabs>
      </w:pPr>
    </w:lvl>
  </w:abstractNum>
  <w:abstractNum w:abstractNumId="1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2">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C1F9B9"/>
    <w:multiLevelType w:val="singleLevel"/>
    <w:tmpl w:val="45C1F9B9"/>
    <w:lvl w:ilvl="0" w:tentative="0">
      <w:start w:val="1"/>
      <w:numFmt w:val="decimal"/>
      <w:suff w:val="nothing"/>
      <w:lvlText w:val="%1．"/>
      <w:lvlJc w:val="left"/>
      <w:pPr>
        <w:ind w:left="0" w:firstLine="400"/>
      </w:pPr>
      <w:rPr>
        <w:rFonts w:hint="default"/>
      </w:rPr>
    </w:lvl>
  </w:abstractNum>
  <w:abstractNum w:abstractNumId="15">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6">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17">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8">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19">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0">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1">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2">
    <w:nsid w:val="58F5EE34"/>
    <w:multiLevelType w:val="singleLevel"/>
    <w:tmpl w:val="58F5EE34"/>
    <w:lvl w:ilvl="0" w:tentative="0">
      <w:start w:val="3"/>
      <w:numFmt w:val="chineseCounting"/>
      <w:suff w:val="nothing"/>
      <w:lvlText w:val="%1、"/>
      <w:lvlJc w:val="left"/>
    </w:lvl>
  </w:abstractNum>
  <w:abstractNum w:abstractNumId="23">
    <w:nsid w:val="59DEF6EB"/>
    <w:multiLevelType w:val="singleLevel"/>
    <w:tmpl w:val="59DEF6EB"/>
    <w:lvl w:ilvl="0" w:tentative="0">
      <w:start w:val="1"/>
      <w:numFmt w:val="chineseCounting"/>
      <w:suff w:val="nothing"/>
      <w:lvlText w:val="%1、"/>
      <w:lvlJc w:val="left"/>
      <w:pPr>
        <w:ind w:left="-240"/>
      </w:pPr>
    </w:lvl>
  </w:abstractNum>
  <w:abstractNum w:abstractNumId="24">
    <w:nsid w:val="5A1BBB23"/>
    <w:multiLevelType w:val="singleLevel"/>
    <w:tmpl w:val="5A1BBB23"/>
    <w:lvl w:ilvl="0" w:tentative="0">
      <w:start w:val="1"/>
      <w:numFmt w:val="chineseCounting"/>
      <w:suff w:val="nothing"/>
      <w:lvlText w:val="（%1）"/>
      <w:lvlJc w:val="left"/>
    </w:lvl>
  </w:abstractNum>
  <w:abstractNum w:abstractNumId="25">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26">
    <w:nsid w:val="5A1BCF5D"/>
    <w:multiLevelType w:val="singleLevel"/>
    <w:tmpl w:val="5A1BCF5D"/>
    <w:lvl w:ilvl="0" w:tentative="0">
      <w:start w:val="1"/>
      <w:numFmt w:val="decimal"/>
      <w:suff w:val="nothing"/>
      <w:lvlText w:val="%1、"/>
      <w:lvlJc w:val="left"/>
    </w:lvl>
  </w:abstractNum>
  <w:abstractNum w:abstractNumId="27">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28">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29">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0">
    <w:nsid w:val="5A1FB537"/>
    <w:multiLevelType w:val="singleLevel"/>
    <w:tmpl w:val="5A1FB537"/>
    <w:lvl w:ilvl="0" w:tentative="0">
      <w:start w:val="1"/>
      <w:numFmt w:val="decimal"/>
      <w:suff w:val="nothing"/>
      <w:lvlText w:val="%1、"/>
      <w:lvlJc w:val="left"/>
    </w:lvl>
  </w:abstractNum>
  <w:abstractNum w:abstractNumId="31">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2">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3">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4">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5">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36">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37">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38">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39">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0">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1">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2">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3">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4">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45">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46">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2"/>
  </w:num>
  <w:num w:numId="2">
    <w:abstractNumId w:val="17"/>
  </w:num>
  <w:num w:numId="3">
    <w:abstractNumId w:val="5"/>
  </w:num>
  <w:num w:numId="4">
    <w:abstractNumId w:val="7"/>
  </w:num>
  <w:num w:numId="5">
    <w:abstractNumId w:val="3"/>
  </w:num>
  <w:num w:numId="6">
    <w:abstractNumId w:val="8"/>
  </w:num>
  <w:num w:numId="7">
    <w:abstractNumId w:val="14"/>
  </w:num>
  <w:num w:numId="8">
    <w:abstractNumId w:val="9"/>
  </w:num>
  <w:num w:numId="9">
    <w:abstractNumId w:val="16"/>
  </w:num>
  <w:num w:numId="10">
    <w:abstractNumId w:val="24"/>
  </w:num>
  <w:num w:numId="11">
    <w:abstractNumId w:val="18"/>
  </w:num>
  <w:num w:numId="12">
    <w:abstractNumId w:val="19"/>
  </w:num>
  <w:num w:numId="13">
    <w:abstractNumId w:val="20"/>
  </w:num>
  <w:num w:numId="14">
    <w:abstractNumId w:val="27"/>
  </w:num>
  <w:num w:numId="15">
    <w:abstractNumId w:val="21"/>
  </w:num>
  <w:num w:numId="16">
    <w:abstractNumId w:val="37"/>
  </w:num>
  <w:num w:numId="17">
    <w:abstractNumId w:val="38"/>
  </w:num>
  <w:num w:numId="18">
    <w:abstractNumId w:val="36"/>
  </w:num>
  <w:num w:numId="19">
    <w:abstractNumId w:val="47"/>
  </w:num>
  <w:num w:numId="20">
    <w:abstractNumId w:val="15"/>
  </w:num>
  <w:num w:numId="21">
    <w:abstractNumId w:val="43"/>
  </w:num>
  <w:num w:numId="22">
    <w:abstractNumId w:val="25"/>
  </w:num>
  <w:num w:numId="23">
    <w:abstractNumId w:val="28"/>
  </w:num>
  <w:num w:numId="24">
    <w:abstractNumId w:val="26"/>
  </w:num>
  <w:num w:numId="25">
    <w:abstractNumId w:val="40"/>
  </w:num>
  <w:num w:numId="26">
    <w:abstractNumId w:val="41"/>
  </w:num>
  <w:num w:numId="27">
    <w:abstractNumId w:val="42"/>
  </w:num>
  <w:num w:numId="28">
    <w:abstractNumId w:val="0"/>
  </w:num>
  <w:num w:numId="29">
    <w:abstractNumId w:val="22"/>
  </w:num>
  <w:num w:numId="30">
    <w:abstractNumId w:val="10"/>
  </w:num>
  <w:num w:numId="31">
    <w:abstractNumId w:val="29"/>
  </w:num>
  <w:num w:numId="32">
    <w:abstractNumId w:val="4"/>
  </w:num>
  <w:num w:numId="33">
    <w:abstractNumId w:val="30"/>
  </w:num>
  <w:num w:numId="34">
    <w:abstractNumId w:val="44"/>
  </w:num>
  <w:num w:numId="35">
    <w:abstractNumId w:val="31"/>
  </w:num>
  <w:num w:numId="36">
    <w:abstractNumId w:val="39"/>
  </w:num>
  <w:num w:numId="37">
    <w:abstractNumId w:val="32"/>
  </w:num>
  <w:num w:numId="38">
    <w:abstractNumId w:val="33"/>
  </w:num>
  <w:num w:numId="39">
    <w:abstractNumId w:val="34"/>
  </w:num>
  <w:num w:numId="40">
    <w:abstractNumId w:val="35"/>
  </w:num>
  <w:num w:numId="41">
    <w:abstractNumId w:val="45"/>
  </w:num>
  <w:num w:numId="42">
    <w:abstractNumId w:val="1"/>
  </w:num>
  <w:num w:numId="43">
    <w:abstractNumId w:val="12"/>
  </w:num>
  <w:num w:numId="44">
    <w:abstractNumId w:val="46"/>
  </w:num>
  <w:num w:numId="45">
    <w:abstractNumId w:val="23"/>
  </w:num>
  <w:num w:numId="46">
    <w:abstractNumId w:val="13"/>
  </w:num>
  <w:num w:numId="47">
    <w:abstractNumId w:val="1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26368"/>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172D98"/>
    <w:rsid w:val="01253502"/>
    <w:rsid w:val="013A34D2"/>
    <w:rsid w:val="017C4C4A"/>
    <w:rsid w:val="018445B1"/>
    <w:rsid w:val="019845E5"/>
    <w:rsid w:val="01B0348D"/>
    <w:rsid w:val="01C1532E"/>
    <w:rsid w:val="01DC7096"/>
    <w:rsid w:val="01E2682C"/>
    <w:rsid w:val="020716AE"/>
    <w:rsid w:val="02507A52"/>
    <w:rsid w:val="02596255"/>
    <w:rsid w:val="025E45AD"/>
    <w:rsid w:val="02632E79"/>
    <w:rsid w:val="028242D4"/>
    <w:rsid w:val="02B9172A"/>
    <w:rsid w:val="02DD68E2"/>
    <w:rsid w:val="02E9497F"/>
    <w:rsid w:val="02EA13E6"/>
    <w:rsid w:val="030C0571"/>
    <w:rsid w:val="03164D3E"/>
    <w:rsid w:val="03451B7A"/>
    <w:rsid w:val="03511D53"/>
    <w:rsid w:val="03766AE1"/>
    <w:rsid w:val="03A240C0"/>
    <w:rsid w:val="03E812EC"/>
    <w:rsid w:val="04346E96"/>
    <w:rsid w:val="043F1946"/>
    <w:rsid w:val="045B7DE7"/>
    <w:rsid w:val="049A4A23"/>
    <w:rsid w:val="04CB1844"/>
    <w:rsid w:val="04D70CB5"/>
    <w:rsid w:val="04EA6A74"/>
    <w:rsid w:val="050D16BA"/>
    <w:rsid w:val="052A5A75"/>
    <w:rsid w:val="054A171F"/>
    <w:rsid w:val="055C340A"/>
    <w:rsid w:val="05625D31"/>
    <w:rsid w:val="058013F8"/>
    <w:rsid w:val="058B3782"/>
    <w:rsid w:val="0591421E"/>
    <w:rsid w:val="059A1517"/>
    <w:rsid w:val="05E71667"/>
    <w:rsid w:val="06273AC5"/>
    <w:rsid w:val="06701CF1"/>
    <w:rsid w:val="068E2877"/>
    <w:rsid w:val="06C40031"/>
    <w:rsid w:val="06C55BEF"/>
    <w:rsid w:val="06CF3C7F"/>
    <w:rsid w:val="06E21332"/>
    <w:rsid w:val="07156F47"/>
    <w:rsid w:val="07310670"/>
    <w:rsid w:val="07487F64"/>
    <w:rsid w:val="074F1D72"/>
    <w:rsid w:val="07607573"/>
    <w:rsid w:val="07641B88"/>
    <w:rsid w:val="079C6C34"/>
    <w:rsid w:val="07C17285"/>
    <w:rsid w:val="07E464D4"/>
    <w:rsid w:val="07EB65E3"/>
    <w:rsid w:val="07F124E0"/>
    <w:rsid w:val="07FE3A66"/>
    <w:rsid w:val="082F71E8"/>
    <w:rsid w:val="084D34A3"/>
    <w:rsid w:val="08624F55"/>
    <w:rsid w:val="087D32AA"/>
    <w:rsid w:val="08947E10"/>
    <w:rsid w:val="089E3657"/>
    <w:rsid w:val="08AB3374"/>
    <w:rsid w:val="08B0644D"/>
    <w:rsid w:val="08BC2D67"/>
    <w:rsid w:val="08C14A52"/>
    <w:rsid w:val="08C35B2B"/>
    <w:rsid w:val="08C952FC"/>
    <w:rsid w:val="08DD3EDA"/>
    <w:rsid w:val="08E73674"/>
    <w:rsid w:val="08E80A7C"/>
    <w:rsid w:val="08FD1694"/>
    <w:rsid w:val="08FF7646"/>
    <w:rsid w:val="09195F9B"/>
    <w:rsid w:val="0938692D"/>
    <w:rsid w:val="09423CB2"/>
    <w:rsid w:val="09551105"/>
    <w:rsid w:val="0957477C"/>
    <w:rsid w:val="09732BAA"/>
    <w:rsid w:val="099148D8"/>
    <w:rsid w:val="09957E1A"/>
    <w:rsid w:val="099B7A84"/>
    <w:rsid w:val="09AB0222"/>
    <w:rsid w:val="09AD23BE"/>
    <w:rsid w:val="09B124FA"/>
    <w:rsid w:val="09CD7056"/>
    <w:rsid w:val="09D83573"/>
    <w:rsid w:val="09EC0C7C"/>
    <w:rsid w:val="0A14574B"/>
    <w:rsid w:val="0A39670A"/>
    <w:rsid w:val="0A744052"/>
    <w:rsid w:val="0A8254DA"/>
    <w:rsid w:val="0A9C41F4"/>
    <w:rsid w:val="0AA862B1"/>
    <w:rsid w:val="0AAF104A"/>
    <w:rsid w:val="0AAF3E31"/>
    <w:rsid w:val="0ADE6EA2"/>
    <w:rsid w:val="0AED7139"/>
    <w:rsid w:val="0B151573"/>
    <w:rsid w:val="0B4A0AB1"/>
    <w:rsid w:val="0B6E3207"/>
    <w:rsid w:val="0B73301E"/>
    <w:rsid w:val="0BAC0F2F"/>
    <w:rsid w:val="0BE52129"/>
    <w:rsid w:val="0C106DAE"/>
    <w:rsid w:val="0C1959E9"/>
    <w:rsid w:val="0C220AE9"/>
    <w:rsid w:val="0C316499"/>
    <w:rsid w:val="0C643F71"/>
    <w:rsid w:val="0C7F7977"/>
    <w:rsid w:val="0CA75583"/>
    <w:rsid w:val="0CA777FB"/>
    <w:rsid w:val="0CB25156"/>
    <w:rsid w:val="0CC90ECA"/>
    <w:rsid w:val="0CE90F72"/>
    <w:rsid w:val="0CF95E06"/>
    <w:rsid w:val="0CF970C7"/>
    <w:rsid w:val="0D772A74"/>
    <w:rsid w:val="0D7D3D59"/>
    <w:rsid w:val="0D827683"/>
    <w:rsid w:val="0D8619FC"/>
    <w:rsid w:val="0D915916"/>
    <w:rsid w:val="0DD724F6"/>
    <w:rsid w:val="0DE05730"/>
    <w:rsid w:val="0DED2DE4"/>
    <w:rsid w:val="0DFB07CE"/>
    <w:rsid w:val="0E0148DC"/>
    <w:rsid w:val="0E0A3926"/>
    <w:rsid w:val="0E1C168C"/>
    <w:rsid w:val="0E1C6CD1"/>
    <w:rsid w:val="0E2F361C"/>
    <w:rsid w:val="0E3C5788"/>
    <w:rsid w:val="0E8A0397"/>
    <w:rsid w:val="0EA20E7A"/>
    <w:rsid w:val="0EA9317F"/>
    <w:rsid w:val="0EAF3D7B"/>
    <w:rsid w:val="0EB04E92"/>
    <w:rsid w:val="0ECB0ECB"/>
    <w:rsid w:val="0ED80953"/>
    <w:rsid w:val="0EE47081"/>
    <w:rsid w:val="0EE923AC"/>
    <w:rsid w:val="0EF46447"/>
    <w:rsid w:val="0EFF300A"/>
    <w:rsid w:val="0F181FC8"/>
    <w:rsid w:val="0F333702"/>
    <w:rsid w:val="0F401705"/>
    <w:rsid w:val="0F4E4E37"/>
    <w:rsid w:val="0F6D0D24"/>
    <w:rsid w:val="0F806FED"/>
    <w:rsid w:val="0F8D0BE8"/>
    <w:rsid w:val="0F900FC5"/>
    <w:rsid w:val="0FA91797"/>
    <w:rsid w:val="0FB33A4E"/>
    <w:rsid w:val="10126394"/>
    <w:rsid w:val="10197D6F"/>
    <w:rsid w:val="104C2A9E"/>
    <w:rsid w:val="107B4D2F"/>
    <w:rsid w:val="107F311D"/>
    <w:rsid w:val="10C01DF3"/>
    <w:rsid w:val="10C04DC5"/>
    <w:rsid w:val="10EC24FA"/>
    <w:rsid w:val="10F748EC"/>
    <w:rsid w:val="10FF7F0B"/>
    <w:rsid w:val="11085F6F"/>
    <w:rsid w:val="11097388"/>
    <w:rsid w:val="113B63CB"/>
    <w:rsid w:val="11625F1D"/>
    <w:rsid w:val="11686758"/>
    <w:rsid w:val="117B5CBE"/>
    <w:rsid w:val="118A1171"/>
    <w:rsid w:val="11985EF8"/>
    <w:rsid w:val="11C8127F"/>
    <w:rsid w:val="11E44062"/>
    <w:rsid w:val="11EB42EE"/>
    <w:rsid w:val="11F95B44"/>
    <w:rsid w:val="122C300C"/>
    <w:rsid w:val="12345CE1"/>
    <w:rsid w:val="12443276"/>
    <w:rsid w:val="1252238F"/>
    <w:rsid w:val="12A254E6"/>
    <w:rsid w:val="12A94F39"/>
    <w:rsid w:val="12B10A4C"/>
    <w:rsid w:val="12B130B4"/>
    <w:rsid w:val="12CF0A95"/>
    <w:rsid w:val="12DE1B3B"/>
    <w:rsid w:val="12E27BAC"/>
    <w:rsid w:val="12E76BDB"/>
    <w:rsid w:val="13133401"/>
    <w:rsid w:val="134D4C40"/>
    <w:rsid w:val="13575E34"/>
    <w:rsid w:val="136900C9"/>
    <w:rsid w:val="13722F5D"/>
    <w:rsid w:val="139765D8"/>
    <w:rsid w:val="13DC39F1"/>
    <w:rsid w:val="13E9682A"/>
    <w:rsid w:val="13F516F1"/>
    <w:rsid w:val="13FB2D0D"/>
    <w:rsid w:val="14052EBB"/>
    <w:rsid w:val="14305551"/>
    <w:rsid w:val="14386FD6"/>
    <w:rsid w:val="14432CB6"/>
    <w:rsid w:val="146035E6"/>
    <w:rsid w:val="14C115D5"/>
    <w:rsid w:val="14CD6141"/>
    <w:rsid w:val="14DD4386"/>
    <w:rsid w:val="150B47D4"/>
    <w:rsid w:val="1521731E"/>
    <w:rsid w:val="1545428F"/>
    <w:rsid w:val="15480EAF"/>
    <w:rsid w:val="156D64AB"/>
    <w:rsid w:val="1580785E"/>
    <w:rsid w:val="1592432C"/>
    <w:rsid w:val="1593133A"/>
    <w:rsid w:val="15967133"/>
    <w:rsid w:val="15B86808"/>
    <w:rsid w:val="15BE6261"/>
    <w:rsid w:val="15D943E3"/>
    <w:rsid w:val="15F55D96"/>
    <w:rsid w:val="15F743BB"/>
    <w:rsid w:val="16011788"/>
    <w:rsid w:val="16145E18"/>
    <w:rsid w:val="161A2D22"/>
    <w:rsid w:val="162E6015"/>
    <w:rsid w:val="16300C8C"/>
    <w:rsid w:val="16484E2A"/>
    <w:rsid w:val="165D3CF8"/>
    <w:rsid w:val="16612092"/>
    <w:rsid w:val="168122B3"/>
    <w:rsid w:val="16854C1F"/>
    <w:rsid w:val="1688674A"/>
    <w:rsid w:val="16D400EF"/>
    <w:rsid w:val="16DD42E0"/>
    <w:rsid w:val="16F9234C"/>
    <w:rsid w:val="170F2880"/>
    <w:rsid w:val="17115465"/>
    <w:rsid w:val="17223771"/>
    <w:rsid w:val="17884105"/>
    <w:rsid w:val="179405EF"/>
    <w:rsid w:val="17A70F3F"/>
    <w:rsid w:val="17AD26A7"/>
    <w:rsid w:val="17CB0F48"/>
    <w:rsid w:val="17D406F7"/>
    <w:rsid w:val="17D8322F"/>
    <w:rsid w:val="18042B05"/>
    <w:rsid w:val="18137C1B"/>
    <w:rsid w:val="1816511F"/>
    <w:rsid w:val="184F35DE"/>
    <w:rsid w:val="187D529B"/>
    <w:rsid w:val="1886755A"/>
    <w:rsid w:val="18983047"/>
    <w:rsid w:val="18A41337"/>
    <w:rsid w:val="18B50E36"/>
    <w:rsid w:val="18C30DC2"/>
    <w:rsid w:val="18CF5CB8"/>
    <w:rsid w:val="18DC6978"/>
    <w:rsid w:val="18F6604F"/>
    <w:rsid w:val="1936128D"/>
    <w:rsid w:val="193B5CC8"/>
    <w:rsid w:val="19A60971"/>
    <w:rsid w:val="19A9567A"/>
    <w:rsid w:val="19BF527F"/>
    <w:rsid w:val="19C92DE2"/>
    <w:rsid w:val="19F32656"/>
    <w:rsid w:val="19F46A76"/>
    <w:rsid w:val="1A2F2A0B"/>
    <w:rsid w:val="1A4030A6"/>
    <w:rsid w:val="1A6920CA"/>
    <w:rsid w:val="1A956D0C"/>
    <w:rsid w:val="1AA73CED"/>
    <w:rsid w:val="1AB5503B"/>
    <w:rsid w:val="1AC2553A"/>
    <w:rsid w:val="1AC47300"/>
    <w:rsid w:val="1ADE2C24"/>
    <w:rsid w:val="1AF6038F"/>
    <w:rsid w:val="1AFE7A29"/>
    <w:rsid w:val="1B073922"/>
    <w:rsid w:val="1B560941"/>
    <w:rsid w:val="1B5D08FA"/>
    <w:rsid w:val="1B5F14D6"/>
    <w:rsid w:val="1B604066"/>
    <w:rsid w:val="1B9B0BC6"/>
    <w:rsid w:val="1BBA2302"/>
    <w:rsid w:val="1BEF1D69"/>
    <w:rsid w:val="1C020069"/>
    <w:rsid w:val="1C507121"/>
    <w:rsid w:val="1C7A32F9"/>
    <w:rsid w:val="1C9242A4"/>
    <w:rsid w:val="1C931CB9"/>
    <w:rsid w:val="1CBE3649"/>
    <w:rsid w:val="1CC33C80"/>
    <w:rsid w:val="1D3C7DFB"/>
    <w:rsid w:val="1D9C0926"/>
    <w:rsid w:val="1DA710C8"/>
    <w:rsid w:val="1E1A3FF8"/>
    <w:rsid w:val="1E26654D"/>
    <w:rsid w:val="1E323109"/>
    <w:rsid w:val="1E555EE9"/>
    <w:rsid w:val="1EA10F3E"/>
    <w:rsid w:val="1EB51DD8"/>
    <w:rsid w:val="1EC61F82"/>
    <w:rsid w:val="1EC93386"/>
    <w:rsid w:val="1EED0F1B"/>
    <w:rsid w:val="1EFF7244"/>
    <w:rsid w:val="1F280757"/>
    <w:rsid w:val="1F59427A"/>
    <w:rsid w:val="1F6406C1"/>
    <w:rsid w:val="1FD945B0"/>
    <w:rsid w:val="1FEF1FFA"/>
    <w:rsid w:val="20090507"/>
    <w:rsid w:val="203D0D71"/>
    <w:rsid w:val="20AF05BD"/>
    <w:rsid w:val="20BB2E96"/>
    <w:rsid w:val="20DA6C2C"/>
    <w:rsid w:val="20DD668A"/>
    <w:rsid w:val="20E633FF"/>
    <w:rsid w:val="210118FA"/>
    <w:rsid w:val="210D65EB"/>
    <w:rsid w:val="2119335A"/>
    <w:rsid w:val="211A5B8C"/>
    <w:rsid w:val="21592782"/>
    <w:rsid w:val="215A2EC4"/>
    <w:rsid w:val="216A78CF"/>
    <w:rsid w:val="217627D9"/>
    <w:rsid w:val="21A0370E"/>
    <w:rsid w:val="21B1797A"/>
    <w:rsid w:val="21B814FB"/>
    <w:rsid w:val="21C52D02"/>
    <w:rsid w:val="21C52F88"/>
    <w:rsid w:val="220E3210"/>
    <w:rsid w:val="226450C5"/>
    <w:rsid w:val="226E02A2"/>
    <w:rsid w:val="228302CC"/>
    <w:rsid w:val="228D0852"/>
    <w:rsid w:val="229D03B1"/>
    <w:rsid w:val="22A355B8"/>
    <w:rsid w:val="22B00566"/>
    <w:rsid w:val="22B22831"/>
    <w:rsid w:val="22C471DB"/>
    <w:rsid w:val="22D03D34"/>
    <w:rsid w:val="22D61F31"/>
    <w:rsid w:val="22D66746"/>
    <w:rsid w:val="22EA2D9A"/>
    <w:rsid w:val="231F769B"/>
    <w:rsid w:val="23422E27"/>
    <w:rsid w:val="235201DB"/>
    <w:rsid w:val="2359393E"/>
    <w:rsid w:val="238F1CC8"/>
    <w:rsid w:val="23BE0B86"/>
    <w:rsid w:val="23F95C4D"/>
    <w:rsid w:val="243F1DE7"/>
    <w:rsid w:val="24877BEF"/>
    <w:rsid w:val="248A3A7F"/>
    <w:rsid w:val="249F4236"/>
    <w:rsid w:val="24C377D0"/>
    <w:rsid w:val="24D01574"/>
    <w:rsid w:val="24D86F36"/>
    <w:rsid w:val="24E52D6B"/>
    <w:rsid w:val="25046EA2"/>
    <w:rsid w:val="25251A25"/>
    <w:rsid w:val="25474606"/>
    <w:rsid w:val="25483AE1"/>
    <w:rsid w:val="256228E0"/>
    <w:rsid w:val="258F7DD5"/>
    <w:rsid w:val="25AC0E5C"/>
    <w:rsid w:val="25C25E13"/>
    <w:rsid w:val="25C908AF"/>
    <w:rsid w:val="25CE5311"/>
    <w:rsid w:val="25D3637D"/>
    <w:rsid w:val="25FA061E"/>
    <w:rsid w:val="260374EC"/>
    <w:rsid w:val="261939D4"/>
    <w:rsid w:val="261F0590"/>
    <w:rsid w:val="2644580B"/>
    <w:rsid w:val="264C2EC7"/>
    <w:rsid w:val="26966E13"/>
    <w:rsid w:val="26A419A9"/>
    <w:rsid w:val="26AC1452"/>
    <w:rsid w:val="26B4785C"/>
    <w:rsid w:val="26B94E95"/>
    <w:rsid w:val="26DC0CB6"/>
    <w:rsid w:val="26F11CDD"/>
    <w:rsid w:val="26FA16D0"/>
    <w:rsid w:val="270123FB"/>
    <w:rsid w:val="27086393"/>
    <w:rsid w:val="270C20F8"/>
    <w:rsid w:val="27124CA5"/>
    <w:rsid w:val="27135815"/>
    <w:rsid w:val="271925EC"/>
    <w:rsid w:val="272E0FE5"/>
    <w:rsid w:val="273435F1"/>
    <w:rsid w:val="27752D78"/>
    <w:rsid w:val="27A10A77"/>
    <w:rsid w:val="27B93768"/>
    <w:rsid w:val="27D95F36"/>
    <w:rsid w:val="281D243D"/>
    <w:rsid w:val="283322C9"/>
    <w:rsid w:val="285903AE"/>
    <w:rsid w:val="285C72E1"/>
    <w:rsid w:val="285E1F2B"/>
    <w:rsid w:val="28857559"/>
    <w:rsid w:val="28932F3A"/>
    <w:rsid w:val="28B142D5"/>
    <w:rsid w:val="28BA0DD2"/>
    <w:rsid w:val="28C052EC"/>
    <w:rsid w:val="28C50201"/>
    <w:rsid w:val="28C608F6"/>
    <w:rsid w:val="28D1042F"/>
    <w:rsid w:val="28DD4BE9"/>
    <w:rsid w:val="28E07AD4"/>
    <w:rsid w:val="290C77C3"/>
    <w:rsid w:val="290D3996"/>
    <w:rsid w:val="29136CF0"/>
    <w:rsid w:val="29777818"/>
    <w:rsid w:val="29C80887"/>
    <w:rsid w:val="29F64D34"/>
    <w:rsid w:val="29FF6391"/>
    <w:rsid w:val="2A2F63F2"/>
    <w:rsid w:val="2A474027"/>
    <w:rsid w:val="2A4C44CF"/>
    <w:rsid w:val="2A7A5071"/>
    <w:rsid w:val="2A88049A"/>
    <w:rsid w:val="2A911A4E"/>
    <w:rsid w:val="2ADD7D86"/>
    <w:rsid w:val="2B0459FF"/>
    <w:rsid w:val="2B0F2074"/>
    <w:rsid w:val="2B267F65"/>
    <w:rsid w:val="2B4116FF"/>
    <w:rsid w:val="2B5258B1"/>
    <w:rsid w:val="2B8653EF"/>
    <w:rsid w:val="2B9058DD"/>
    <w:rsid w:val="2BC71AFF"/>
    <w:rsid w:val="2BFE19D6"/>
    <w:rsid w:val="2C1B5789"/>
    <w:rsid w:val="2C3118DD"/>
    <w:rsid w:val="2C3562D8"/>
    <w:rsid w:val="2C5A63C9"/>
    <w:rsid w:val="2CB07001"/>
    <w:rsid w:val="2CB3280D"/>
    <w:rsid w:val="2CB922C1"/>
    <w:rsid w:val="2CD25725"/>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62E6E"/>
    <w:rsid w:val="2E3A03E5"/>
    <w:rsid w:val="2E480D98"/>
    <w:rsid w:val="2E5C26B6"/>
    <w:rsid w:val="2E7608C5"/>
    <w:rsid w:val="2E9D4664"/>
    <w:rsid w:val="2EAD6E42"/>
    <w:rsid w:val="2F046F53"/>
    <w:rsid w:val="2F154571"/>
    <w:rsid w:val="2F2F5279"/>
    <w:rsid w:val="2F314A30"/>
    <w:rsid w:val="2F385D1F"/>
    <w:rsid w:val="2F592C0A"/>
    <w:rsid w:val="2F6076E3"/>
    <w:rsid w:val="2F7F11EF"/>
    <w:rsid w:val="2F992B76"/>
    <w:rsid w:val="2F9F7149"/>
    <w:rsid w:val="2FD276BA"/>
    <w:rsid w:val="2FF61F3A"/>
    <w:rsid w:val="2FF76ADE"/>
    <w:rsid w:val="3012581E"/>
    <w:rsid w:val="30427DA1"/>
    <w:rsid w:val="3057062A"/>
    <w:rsid w:val="30703AED"/>
    <w:rsid w:val="30D87142"/>
    <w:rsid w:val="30EE4C7F"/>
    <w:rsid w:val="30F90615"/>
    <w:rsid w:val="311427E1"/>
    <w:rsid w:val="31144F45"/>
    <w:rsid w:val="311E12EC"/>
    <w:rsid w:val="31263671"/>
    <w:rsid w:val="313D0673"/>
    <w:rsid w:val="313D7621"/>
    <w:rsid w:val="314131F4"/>
    <w:rsid w:val="315339FF"/>
    <w:rsid w:val="31D363EC"/>
    <w:rsid w:val="31F71A84"/>
    <w:rsid w:val="31FB7075"/>
    <w:rsid w:val="32096628"/>
    <w:rsid w:val="320F7CDE"/>
    <w:rsid w:val="321D07ED"/>
    <w:rsid w:val="321F2F90"/>
    <w:rsid w:val="321F3DAE"/>
    <w:rsid w:val="322830A4"/>
    <w:rsid w:val="324003D4"/>
    <w:rsid w:val="3256419C"/>
    <w:rsid w:val="32571548"/>
    <w:rsid w:val="32A07FFE"/>
    <w:rsid w:val="32BD5DCB"/>
    <w:rsid w:val="32C574EA"/>
    <w:rsid w:val="32DD612C"/>
    <w:rsid w:val="32DF1E88"/>
    <w:rsid w:val="32E45B7F"/>
    <w:rsid w:val="32EC1396"/>
    <w:rsid w:val="33155747"/>
    <w:rsid w:val="33245E41"/>
    <w:rsid w:val="3331756A"/>
    <w:rsid w:val="333268ED"/>
    <w:rsid w:val="33413B81"/>
    <w:rsid w:val="33460DBD"/>
    <w:rsid w:val="33690A64"/>
    <w:rsid w:val="3372638F"/>
    <w:rsid w:val="33781C4C"/>
    <w:rsid w:val="33C544C3"/>
    <w:rsid w:val="33D347BC"/>
    <w:rsid w:val="33DA0657"/>
    <w:rsid w:val="33EC666B"/>
    <w:rsid w:val="33F062D6"/>
    <w:rsid w:val="33F37344"/>
    <w:rsid w:val="33F50D78"/>
    <w:rsid w:val="33FD4196"/>
    <w:rsid w:val="341E6368"/>
    <w:rsid w:val="342F4322"/>
    <w:rsid w:val="34552CFD"/>
    <w:rsid w:val="345E211C"/>
    <w:rsid w:val="34662C2B"/>
    <w:rsid w:val="346E04E1"/>
    <w:rsid w:val="3487529A"/>
    <w:rsid w:val="34994215"/>
    <w:rsid w:val="34C539E4"/>
    <w:rsid w:val="34C74FAE"/>
    <w:rsid w:val="34FE35BC"/>
    <w:rsid w:val="352422D0"/>
    <w:rsid w:val="35270D48"/>
    <w:rsid w:val="35312EA4"/>
    <w:rsid w:val="353B001C"/>
    <w:rsid w:val="354B78A0"/>
    <w:rsid w:val="355043BB"/>
    <w:rsid w:val="35593CAE"/>
    <w:rsid w:val="358C70A8"/>
    <w:rsid w:val="35C176A9"/>
    <w:rsid w:val="35D33D8A"/>
    <w:rsid w:val="35DF2327"/>
    <w:rsid w:val="3607269A"/>
    <w:rsid w:val="361946C2"/>
    <w:rsid w:val="3629503A"/>
    <w:rsid w:val="367B3297"/>
    <w:rsid w:val="3683214B"/>
    <w:rsid w:val="36960637"/>
    <w:rsid w:val="36970D27"/>
    <w:rsid w:val="36E804BC"/>
    <w:rsid w:val="36ED7E3E"/>
    <w:rsid w:val="372B4C0C"/>
    <w:rsid w:val="37480859"/>
    <w:rsid w:val="376D2BCC"/>
    <w:rsid w:val="37B66803"/>
    <w:rsid w:val="37B750BF"/>
    <w:rsid w:val="37CD02D8"/>
    <w:rsid w:val="37E54B0B"/>
    <w:rsid w:val="381F223B"/>
    <w:rsid w:val="38A0322F"/>
    <w:rsid w:val="38B44C92"/>
    <w:rsid w:val="38C67BD5"/>
    <w:rsid w:val="38E0066F"/>
    <w:rsid w:val="38F81F10"/>
    <w:rsid w:val="38FF1F77"/>
    <w:rsid w:val="39001EE9"/>
    <w:rsid w:val="39050C3E"/>
    <w:rsid w:val="391425B7"/>
    <w:rsid w:val="39226068"/>
    <w:rsid w:val="3925063D"/>
    <w:rsid w:val="39387926"/>
    <w:rsid w:val="39585C08"/>
    <w:rsid w:val="395E5DDB"/>
    <w:rsid w:val="39673DEE"/>
    <w:rsid w:val="39706BA0"/>
    <w:rsid w:val="39827829"/>
    <w:rsid w:val="3993401A"/>
    <w:rsid w:val="39975AFB"/>
    <w:rsid w:val="399D4762"/>
    <w:rsid w:val="39A21DBC"/>
    <w:rsid w:val="39EC707C"/>
    <w:rsid w:val="3A233ECF"/>
    <w:rsid w:val="3A2D7BAB"/>
    <w:rsid w:val="3A4F2B4C"/>
    <w:rsid w:val="3A610625"/>
    <w:rsid w:val="3A684F39"/>
    <w:rsid w:val="3A764FDE"/>
    <w:rsid w:val="3A8920C9"/>
    <w:rsid w:val="3A953982"/>
    <w:rsid w:val="3AC37553"/>
    <w:rsid w:val="3ACD34EE"/>
    <w:rsid w:val="3B291E32"/>
    <w:rsid w:val="3B4C1448"/>
    <w:rsid w:val="3B550C57"/>
    <w:rsid w:val="3B5653C0"/>
    <w:rsid w:val="3B5D79A7"/>
    <w:rsid w:val="3B64241F"/>
    <w:rsid w:val="3B6943AD"/>
    <w:rsid w:val="3B934208"/>
    <w:rsid w:val="3B953CB8"/>
    <w:rsid w:val="3BBB63B0"/>
    <w:rsid w:val="3BEA6A4D"/>
    <w:rsid w:val="3BF975B9"/>
    <w:rsid w:val="3C0C324B"/>
    <w:rsid w:val="3C11779A"/>
    <w:rsid w:val="3C300073"/>
    <w:rsid w:val="3C3263C3"/>
    <w:rsid w:val="3C347876"/>
    <w:rsid w:val="3C3D7350"/>
    <w:rsid w:val="3C5077F0"/>
    <w:rsid w:val="3C5631C1"/>
    <w:rsid w:val="3C6319A5"/>
    <w:rsid w:val="3C6A4416"/>
    <w:rsid w:val="3C6D28C0"/>
    <w:rsid w:val="3CA16B01"/>
    <w:rsid w:val="3CA25450"/>
    <w:rsid w:val="3CB16C19"/>
    <w:rsid w:val="3CBD5B21"/>
    <w:rsid w:val="3CCA3030"/>
    <w:rsid w:val="3CCC585E"/>
    <w:rsid w:val="3CF306F7"/>
    <w:rsid w:val="3CF92AB7"/>
    <w:rsid w:val="3CFB020B"/>
    <w:rsid w:val="3D0521B8"/>
    <w:rsid w:val="3D1F7B03"/>
    <w:rsid w:val="3D2C2DB7"/>
    <w:rsid w:val="3D4E048A"/>
    <w:rsid w:val="3D74486D"/>
    <w:rsid w:val="3D850CB2"/>
    <w:rsid w:val="3DE72505"/>
    <w:rsid w:val="3DFF3F57"/>
    <w:rsid w:val="3E2E1195"/>
    <w:rsid w:val="3E325ADE"/>
    <w:rsid w:val="3E3D5AF9"/>
    <w:rsid w:val="3EBE0637"/>
    <w:rsid w:val="3EDC43B2"/>
    <w:rsid w:val="3EF04D32"/>
    <w:rsid w:val="3F0424CF"/>
    <w:rsid w:val="3F3A7BC2"/>
    <w:rsid w:val="3F4F0730"/>
    <w:rsid w:val="3F5564E5"/>
    <w:rsid w:val="3F576913"/>
    <w:rsid w:val="3F874ABF"/>
    <w:rsid w:val="3F886E54"/>
    <w:rsid w:val="3F8B3452"/>
    <w:rsid w:val="3FC02FF0"/>
    <w:rsid w:val="3FCE7634"/>
    <w:rsid w:val="40094869"/>
    <w:rsid w:val="400D38CA"/>
    <w:rsid w:val="401D13AA"/>
    <w:rsid w:val="402446DA"/>
    <w:rsid w:val="4031155A"/>
    <w:rsid w:val="40526CB6"/>
    <w:rsid w:val="40AD1B08"/>
    <w:rsid w:val="40B644AB"/>
    <w:rsid w:val="40E07E77"/>
    <w:rsid w:val="40F92E90"/>
    <w:rsid w:val="41155838"/>
    <w:rsid w:val="412D4B19"/>
    <w:rsid w:val="416D6101"/>
    <w:rsid w:val="418A3309"/>
    <w:rsid w:val="419838B5"/>
    <w:rsid w:val="41BD03DB"/>
    <w:rsid w:val="41C14BA5"/>
    <w:rsid w:val="41DA7D36"/>
    <w:rsid w:val="42001452"/>
    <w:rsid w:val="42107036"/>
    <w:rsid w:val="422100AF"/>
    <w:rsid w:val="42296309"/>
    <w:rsid w:val="422A4B00"/>
    <w:rsid w:val="423821FE"/>
    <w:rsid w:val="42484C51"/>
    <w:rsid w:val="424851D2"/>
    <w:rsid w:val="4249668B"/>
    <w:rsid w:val="425E7D14"/>
    <w:rsid w:val="42635FEF"/>
    <w:rsid w:val="426A2760"/>
    <w:rsid w:val="42DC6B49"/>
    <w:rsid w:val="42F913BC"/>
    <w:rsid w:val="42FE0D52"/>
    <w:rsid w:val="42FE5587"/>
    <w:rsid w:val="434C0275"/>
    <w:rsid w:val="43642F5E"/>
    <w:rsid w:val="43720EC4"/>
    <w:rsid w:val="43A92D31"/>
    <w:rsid w:val="43BE37E1"/>
    <w:rsid w:val="43EA034A"/>
    <w:rsid w:val="43FD34BC"/>
    <w:rsid w:val="44273C51"/>
    <w:rsid w:val="44443148"/>
    <w:rsid w:val="444824FB"/>
    <w:rsid w:val="44AA77F2"/>
    <w:rsid w:val="44AB3EBA"/>
    <w:rsid w:val="44AB6827"/>
    <w:rsid w:val="44B249B7"/>
    <w:rsid w:val="44B335CA"/>
    <w:rsid w:val="44B546E7"/>
    <w:rsid w:val="44C2688A"/>
    <w:rsid w:val="44D91FD9"/>
    <w:rsid w:val="44DE32E5"/>
    <w:rsid w:val="44FB2F62"/>
    <w:rsid w:val="44FF0F3A"/>
    <w:rsid w:val="450C455C"/>
    <w:rsid w:val="451D414B"/>
    <w:rsid w:val="45407AD6"/>
    <w:rsid w:val="454F708F"/>
    <w:rsid w:val="45553894"/>
    <w:rsid w:val="455E567C"/>
    <w:rsid w:val="45671A03"/>
    <w:rsid w:val="457D260A"/>
    <w:rsid w:val="45903BF5"/>
    <w:rsid w:val="45D00574"/>
    <w:rsid w:val="46100733"/>
    <w:rsid w:val="4611550A"/>
    <w:rsid w:val="46331463"/>
    <w:rsid w:val="46573DC2"/>
    <w:rsid w:val="4673154E"/>
    <w:rsid w:val="467C7DAD"/>
    <w:rsid w:val="468B287B"/>
    <w:rsid w:val="468E066B"/>
    <w:rsid w:val="469C5960"/>
    <w:rsid w:val="46A120C6"/>
    <w:rsid w:val="46B12D45"/>
    <w:rsid w:val="46C05E45"/>
    <w:rsid w:val="46DC2CA6"/>
    <w:rsid w:val="46EB204D"/>
    <w:rsid w:val="46FC4CEF"/>
    <w:rsid w:val="471B2B70"/>
    <w:rsid w:val="475964A8"/>
    <w:rsid w:val="47CE2905"/>
    <w:rsid w:val="47F83359"/>
    <w:rsid w:val="47FC25FC"/>
    <w:rsid w:val="482D597D"/>
    <w:rsid w:val="488315CD"/>
    <w:rsid w:val="488E64B7"/>
    <w:rsid w:val="48952A15"/>
    <w:rsid w:val="48967C88"/>
    <w:rsid w:val="489D7312"/>
    <w:rsid w:val="48A474BC"/>
    <w:rsid w:val="48A633B7"/>
    <w:rsid w:val="48B6678D"/>
    <w:rsid w:val="48C8208F"/>
    <w:rsid w:val="48CD54FC"/>
    <w:rsid w:val="48E05764"/>
    <w:rsid w:val="490C3693"/>
    <w:rsid w:val="490D6EF1"/>
    <w:rsid w:val="49507E2D"/>
    <w:rsid w:val="49607C35"/>
    <w:rsid w:val="496A2326"/>
    <w:rsid w:val="496C770C"/>
    <w:rsid w:val="49833086"/>
    <w:rsid w:val="49E70C75"/>
    <w:rsid w:val="4A06251A"/>
    <w:rsid w:val="4A113DC0"/>
    <w:rsid w:val="4A2F2B46"/>
    <w:rsid w:val="4A547916"/>
    <w:rsid w:val="4A563835"/>
    <w:rsid w:val="4A5A4578"/>
    <w:rsid w:val="4A75653D"/>
    <w:rsid w:val="4A9470AF"/>
    <w:rsid w:val="4B0C4481"/>
    <w:rsid w:val="4B1D7FF9"/>
    <w:rsid w:val="4B3C1FE1"/>
    <w:rsid w:val="4B412FE7"/>
    <w:rsid w:val="4B50629D"/>
    <w:rsid w:val="4B5216F0"/>
    <w:rsid w:val="4B873C90"/>
    <w:rsid w:val="4BA82573"/>
    <w:rsid w:val="4BB07716"/>
    <w:rsid w:val="4BD319EC"/>
    <w:rsid w:val="4C0F3894"/>
    <w:rsid w:val="4C1603ED"/>
    <w:rsid w:val="4C265C32"/>
    <w:rsid w:val="4C364B5B"/>
    <w:rsid w:val="4C5110C3"/>
    <w:rsid w:val="4C7607DD"/>
    <w:rsid w:val="4C77450A"/>
    <w:rsid w:val="4C935296"/>
    <w:rsid w:val="4C9C05A8"/>
    <w:rsid w:val="4CA93DA4"/>
    <w:rsid w:val="4CAF7F74"/>
    <w:rsid w:val="4D105E89"/>
    <w:rsid w:val="4D39550D"/>
    <w:rsid w:val="4D7E343F"/>
    <w:rsid w:val="4D853B8B"/>
    <w:rsid w:val="4DA82B08"/>
    <w:rsid w:val="4DB552EA"/>
    <w:rsid w:val="4DEA4DFF"/>
    <w:rsid w:val="4DF90F86"/>
    <w:rsid w:val="4E2B6141"/>
    <w:rsid w:val="4E34085A"/>
    <w:rsid w:val="4E4E41E8"/>
    <w:rsid w:val="4E52351E"/>
    <w:rsid w:val="4E586CD5"/>
    <w:rsid w:val="4E6679FD"/>
    <w:rsid w:val="4E7E704C"/>
    <w:rsid w:val="4E995F96"/>
    <w:rsid w:val="4E9C08B1"/>
    <w:rsid w:val="4EAB3D0C"/>
    <w:rsid w:val="4EB418A0"/>
    <w:rsid w:val="4ECC738A"/>
    <w:rsid w:val="4ED432AF"/>
    <w:rsid w:val="4F0F5F83"/>
    <w:rsid w:val="4F767DE0"/>
    <w:rsid w:val="4FB71FA5"/>
    <w:rsid w:val="4FE11B58"/>
    <w:rsid w:val="4FF22F51"/>
    <w:rsid w:val="50061349"/>
    <w:rsid w:val="50102EEB"/>
    <w:rsid w:val="502571C3"/>
    <w:rsid w:val="502C7252"/>
    <w:rsid w:val="50330BAD"/>
    <w:rsid w:val="503F2AAA"/>
    <w:rsid w:val="506D2822"/>
    <w:rsid w:val="506F7531"/>
    <w:rsid w:val="508101EA"/>
    <w:rsid w:val="5091318E"/>
    <w:rsid w:val="50AC380C"/>
    <w:rsid w:val="50C13ED4"/>
    <w:rsid w:val="50CD580A"/>
    <w:rsid w:val="50E16CEE"/>
    <w:rsid w:val="50FA2D88"/>
    <w:rsid w:val="510C6D30"/>
    <w:rsid w:val="51364EAB"/>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30775"/>
    <w:rsid w:val="526627D1"/>
    <w:rsid w:val="526E4E8E"/>
    <w:rsid w:val="52706486"/>
    <w:rsid w:val="527D6C07"/>
    <w:rsid w:val="527F35E6"/>
    <w:rsid w:val="52964727"/>
    <w:rsid w:val="52B6596B"/>
    <w:rsid w:val="52ED2480"/>
    <w:rsid w:val="52FA6AE0"/>
    <w:rsid w:val="53101841"/>
    <w:rsid w:val="53465512"/>
    <w:rsid w:val="536B2CBD"/>
    <w:rsid w:val="5376019D"/>
    <w:rsid w:val="537B72FD"/>
    <w:rsid w:val="5397438F"/>
    <w:rsid w:val="539B6DCD"/>
    <w:rsid w:val="54106881"/>
    <w:rsid w:val="541B28DE"/>
    <w:rsid w:val="54337620"/>
    <w:rsid w:val="54361AD6"/>
    <w:rsid w:val="543D7553"/>
    <w:rsid w:val="54771906"/>
    <w:rsid w:val="547C14C6"/>
    <w:rsid w:val="548F7C85"/>
    <w:rsid w:val="54A01754"/>
    <w:rsid w:val="54C35373"/>
    <w:rsid w:val="54D37F7A"/>
    <w:rsid w:val="54D46F91"/>
    <w:rsid w:val="54F915DA"/>
    <w:rsid w:val="5522753E"/>
    <w:rsid w:val="552E29AD"/>
    <w:rsid w:val="556866BD"/>
    <w:rsid w:val="55783F05"/>
    <w:rsid w:val="557A7FD7"/>
    <w:rsid w:val="557E31B0"/>
    <w:rsid w:val="55821F23"/>
    <w:rsid w:val="558656D0"/>
    <w:rsid w:val="55953EBF"/>
    <w:rsid w:val="55A71EC6"/>
    <w:rsid w:val="55D95FFB"/>
    <w:rsid w:val="55E70A99"/>
    <w:rsid w:val="55FD1528"/>
    <w:rsid w:val="5603491C"/>
    <w:rsid w:val="561420A6"/>
    <w:rsid w:val="56401B87"/>
    <w:rsid w:val="56733201"/>
    <w:rsid w:val="5676456D"/>
    <w:rsid w:val="568C20C6"/>
    <w:rsid w:val="568D5773"/>
    <w:rsid w:val="569C61A7"/>
    <w:rsid w:val="56CD2B8A"/>
    <w:rsid w:val="56D3688C"/>
    <w:rsid w:val="56D400C1"/>
    <w:rsid w:val="56D95440"/>
    <w:rsid w:val="56FB7A14"/>
    <w:rsid w:val="570304E9"/>
    <w:rsid w:val="570E18BA"/>
    <w:rsid w:val="57151246"/>
    <w:rsid w:val="5730129E"/>
    <w:rsid w:val="57410C44"/>
    <w:rsid w:val="574C49B4"/>
    <w:rsid w:val="57C919EB"/>
    <w:rsid w:val="57E6237B"/>
    <w:rsid w:val="57EC51AE"/>
    <w:rsid w:val="58427D22"/>
    <w:rsid w:val="58551AFF"/>
    <w:rsid w:val="587A31A5"/>
    <w:rsid w:val="58A72E55"/>
    <w:rsid w:val="58AC5C6F"/>
    <w:rsid w:val="58CD3534"/>
    <w:rsid w:val="58DB67BC"/>
    <w:rsid w:val="58DC7FF8"/>
    <w:rsid w:val="58FC5A0D"/>
    <w:rsid w:val="59074E50"/>
    <w:rsid w:val="59257BBA"/>
    <w:rsid w:val="59291040"/>
    <w:rsid w:val="595E18B4"/>
    <w:rsid w:val="596F6B90"/>
    <w:rsid w:val="5972330C"/>
    <w:rsid w:val="59790DAA"/>
    <w:rsid w:val="59960F0D"/>
    <w:rsid w:val="599D7DC6"/>
    <w:rsid w:val="59A37C3C"/>
    <w:rsid w:val="59A72AB3"/>
    <w:rsid w:val="59E17C1A"/>
    <w:rsid w:val="59E859EC"/>
    <w:rsid w:val="5A01585A"/>
    <w:rsid w:val="5A064113"/>
    <w:rsid w:val="5A185A21"/>
    <w:rsid w:val="5A1B1406"/>
    <w:rsid w:val="5A4C6153"/>
    <w:rsid w:val="5A4D351C"/>
    <w:rsid w:val="5A5055E7"/>
    <w:rsid w:val="5A590DD3"/>
    <w:rsid w:val="5A5D7326"/>
    <w:rsid w:val="5A8D7A31"/>
    <w:rsid w:val="5AA92DA4"/>
    <w:rsid w:val="5ACA3EE7"/>
    <w:rsid w:val="5ACE7F27"/>
    <w:rsid w:val="5AEF78B5"/>
    <w:rsid w:val="5B0F40E8"/>
    <w:rsid w:val="5B18388D"/>
    <w:rsid w:val="5B2179CB"/>
    <w:rsid w:val="5B4C30C2"/>
    <w:rsid w:val="5B54540F"/>
    <w:rsid w:val="5B566F56"/>
    <w:rsid w:val="5B686D47"/>
    <w:rsid w:val="5B711B4B"/>
    <w:rsid w:val="5B7331EF"/>
    <w:rsid w:val="5B8C78DE"/>
    <w:rsid w:val="5BBC63FA"/>
    <w:rsid w:val="5BC421DF"/>
    <w:rsid w:val="5BD17AE3"/>
    <w:rsid w:val="5BD769EA"/>
    <w:rsid w:val="5BE258BC"/>
    <w:rsid w:val="5BE82415"/>
    <w:rsid w:val="5C085AF9"/>
    <w:rsid w:val="5C171659"/>
    <w:rsid w:val="5C222B39"/>
    <w:rsid w:val="5C6E50AB"/>
    <w:rsid w:val="5C724CD0"/>
    <w:rsid w:val="5C783EF8"/>
    <w:rsid w:val="5C797997"/>
    <w:rsid w:val="5CAD2CE8"/>
    <w:rsid w:val="5CB52BAD"/>
    <w:rsid w:val="5CB836EE"/>
    <w:rsid w:val="5CD65063"/>
    <w:rsid w:val="5CFE733E"/>
    <w:rsid w:val="5D133FCC"/>
    <w:rsid w:val="5D1B059D"/>
    <w:rsid w:val="5D1E6004"/>
    <w:rsid w:val="5D376CBC"/>
    <w:rsid w:val="5D941A06"/>
    <w:rsid w:val="5DBA7B73"/>
    <w:rsid w:val="5DC219E4"/>
    <w:rsid w:val="5DE07F60"/>
    <w:rsid w:val="5E215894"/>
    <w:rsid w:val="5E6A5417"/>
    <w:rsid w:val="5E9964FC"/>
    <w:rsid w:val="5EA527EB"/>
    <w:rsid w:val="5EA8001D"/>
    <w:rsid w:val="5EB6537C"/>
    <w:rsid w:val="5F772BB7"/>
    <w:rsid w:val="5F7770CC"/>
    <w:rsid w:val="5F843B10"/>
    <w:rsid w:val="5F923324"/>
    <w:rsid w:val="5F9516DC"/>
    <w:rsid w:val="5FAD2610"/>
    <w:rsid w:val="5FC02283"/>
    <w:rsid w:val="6009601C"/>
    <w:rsid w:val="601E45D8"/>
    <w:rsid w:val="601F2556"/>
    <w:rsid w:val="60595F1D"/>
    <w:rsid w:val="60C91D88"/>
    <w:rsid w:val="60C96A5B"/>
    <w:rsid w:val="60D74974"/>
    <w:rsid w:val="60D868EE"/>
    <w:rsid w:val="60E33A8A"/>
    <w:rsid w:val="60EC12B4"/>
    <w:rsid w:val="61576E4B"/>
    <w:rsid w:val="61B11B6E"/>
    <w:rsid w:val="61BF22D5"/>
    <w:rsid w:val="61E3116A"/>
    <w:rsid w:val="62092D04"/>
    <w:rsid w:val="6257385F"/>
    <w:rsid w:val="62661F44"/>
    <w:rsid w:val="62806004"/>
    <w:rsid w:val="62863DF4"/>
    <w:rsid w:val="62986E29"/>
    <w:rsid w:val="629D419A"/>
    <w:rsid w:val="62AB7395"/>
    <w:rsid w:val="62B67AE5"/>
    <w:rsid w:val="62C14349"/>
    <w:rsid w:val="62C16539"/>
    <w:rsid w:val="62DD7032"/>
    <w:rsid w:val="631B31EA"/>
    <w:rsid w:val="633E0BF6"/>
    <w:rsid w:val="635B0ADD"/>
    <w:rsid w:val="636C77D3"/>
    <w:rsid w:val="63C952A8"/>
    <w:rsid w:val="63D622B5"/>
    <w:rsid w:val="63D80532"/>
    <w:rsid w:val="63E547B2"/>
    <w:rsid w:val="63E66104"/>
    <w:rsid w:val="64157661"/>
    <w:rsid w:val="64171B21"/>
    <w:rsid w:val="64254827"/>
    <w:rsid w:val="644E32E2"/>
    <w:rsid w:val="644F08D2"/>
    <w:rsid w:val="644F22F7"/>
    <w:rsid w:val="64560745"/>
    <w:rsid w:val="646D2F9C"/>
    <w:rsid w:val="64B95B48"/>
    <w:rsid w:val="64E345D4"/>
    <w:rsid w:val="64ED2876"/>
    <w:rsid w:val="64F87F36"/>
    <w:rsid w:val="64FE57EB"/>
    <w:rsid w:val="6500669E"/>
    <w:rsid w:val="652B6960"/>
    <w:rsid w:val="652F4EAA"/>
    <w:rsid w:val="65536597"/>
    <w:rsid w:val="656C494A"/>
    <w:rsid w:val="659B2D80"/>
    <w:rsid w:val="65A51523"/>
    <w:rsid w:val="65B24D42"/>
    <w:rsid w:val="65F84382"/>
    <w:rsid w:val="660601A5"/>
    <w:rsid w:val="664F0C16"/>
    <w:rsid w:val="666D548D"/>
    <w:rsid w:val="667F0710"/>
    <w:rsid w:val="6694281E"/>
    <w:rsid w:val="669E749A"/>
    <w:rsid w:val="66A940F4"/>
    <w:rsid w:val="66AF25D7"/>
    <w:rsid w:val="66FA1F77"/>
    <w:rsid w:val="67363882"/>
    <w:rsid w:val="674628E6"/>
    <w:rsid w:val="67477B38"/>
    <w:rsid w:val="67511783"/>
    <w:rsid w:val="67646470"/>
    <w:rsid w:val="676573C8"/>
    <w:rsid w:val="67947420"/>
    <w:rsid w:val="679D0397"/>
    <w:rsid w:val="67C95746"/>
    <w:rsid w:val="67E605BE"/>
    <w:rsid w:val="67F60E3F"/>
    <w:rsid w:val="67FD2B4E"/>
    <w:rsid w:val="680A3C32"/>
    <w:rsid w:val="68210723"/>
    <w:rsid w:val="682B4FCB"/>
    <w:rsid w:val="688658EC"/>
    <w:rsid w:val="68A930DB"/>
    <w:rsid w:val="68BA26EC"/>
    <w:rsid w:val="68CE53BB"/>
    <w:rsid w:val="68D02FF4"/>
    <w:rsid w:val="68EA2AA8"/>
    <w:rsid w:val="69033287"/>
    <w:rsid w:val="690925D1"/>
    <w:rsid w:val="69871D5C"/>
    <w:rsid w:val="69914C31"/>
    <w:rsid w:val="6993308B"/>
    <w:rsid w:val="699F0A4B"/>
    <w:rsid w:val="69C03C0D"/>
    <w:rsid w:val="69C20B17"/>
    <w:rsid w:val="69C95365"/>
    <w:rsid w:val="69F04F3A"/>
    <w:rsid w:val="6A090D04"/>
    <w:rsid w:val="6A120357"/>
    <w:rsid w:val="6A2479FA"/>
    <w:rsid w:val="6A4A15B1"/>
    <w:rsid w:val="6A6D5135"/>
    <w:rsid w:val="6A7062A5"/>
    <w:rsid w:val="6A81457D"/>
    <w:rsid w:val="6A862DD0"/>
    <w:rsid w:val="6A927E4E"/>
    <w:rsid w:val="6A932AB3"/>
    <w:rsid w:val="6AA4189B"/>
    <w:rsid w:val="6ACE2F7D"/>
    <w:rsid w:val="6AF07791"/>
    <w:rsid w:val="6B074CBB"/>
    <w:rsid w:val="6B227D5F"/>
    <w:rsid w:val="6B2E5607"/>
    <w:rsid w:val="6B546867"/>
    <w:rsid w:val="6B572E41"/>
    <w:rsid w:val="6B58707C"/>
    <w:rsid w:val="6B6343EB"/>
    <w:rsid w:val="6B740145"/>
    <w:rsid w:val="6B746B02"/>
    <w:rsid w:val="6B782FC9"/>
    <w:rsid w:val="6BC2624C"/>
    <w:rsid w:val="6BD70B36"/>
    <w:rsid w:val="6BD823E9"/>
    <w:rsid w:val="6BDD7ED6"/>
    <w:rsid w:val="6BDF0D50"/>
    <w:rsid w:val="6BE90B4B"/>
    <w:rsid w:val="6BEA03C1"/>
    <w:rsid w:val="6C1063EA"/>
    <w:rsid w:val="6C180CD2"/>
    <w:rsid w:val="6C247095"/>
    <w:rsid w:val="6C482EED"/>
    <w:rsid w:val="6C82039E"/>
    <w:rsid w:val="6C852D49"/>
    <w:rsid w:val="6C8908D8"/>
    <w:rsid w:val="6C8F1565"/>
    <w:rsid w:val="6C8F32B6"/>
    <w:rsid w:val="6C995782"/>
    <w:rsid w:val="6C9D0FB1"/>
    <w:rsid w:val="6D0A4265"/>
    <w:rsid w:val="6D164AC1"/>
    <w:rsid w:val="6D1F5F98"/>
    <w:rsid w:val="6D4E48F3"/>
    <w:rsid w:val="6D7F0B98"/>
    <w:rsid w:val="6D857735"/>
    <w:rsid w:val="6D8B427F"/>
    <w:rsid w:val="6D9B2DA9"/>
    <w:rsid w:val="6D9D3859"/>
    <w:rsid w:val="6DAA0F1E"/>
    <w:rsid w:val="6DEF3DE7"/>
    <w:rsid w:val="6DF219F0"/>
    <w:rsid w:val="6E200312"/>
    <w:rsid w:val="6E263A16"/>
    <w:rsid w:val="6E2F7E25"/>
    <w:rsid w:val="6E351DC2"/>
    <w:rsid w:val="6E7A34C8"/>
    <w:rsid w:val="6E822806"/>
    <w:rsid w:val="6EB3012C"/>
    <w:rsid w:val="6EE06260"/>
    <w:rsid w:val="6EEA4C6C"/>
    <w:rsid w:val="6F17521C"/>
    <w:rsid w:val="6F7D00B0"/>
    <w:rsid w:val="6F9C689E"/>
    <w:rsid w:val="6FAB66F6"/>
    <w:rsid w:val="6FAF59D7"/>
    <w:rsid w:val="6FB361BB"/>
    <w:rsid w:val="6FD86C44"/>
    <w:rsid w:val="6FFB3BCE"/>
    <w:rsid w:val="6FFC5D64"/>
    <w:rsid w:val="700733FE"/>
    <w:rsid w:val="70291231"/>
    <w:rsid w:val="70305B2F"/>
    <w:rsid w:val="70432C36"/>
    <w:rsid w:val="704A2680"/>
    <w:rsid w:val="70577091"/>
    <w:rsid w:val="706E7AC8"/>
    <w:rsid w:val="70901668"/>
    <w:rsid w:val="709B272B"/>
    <w:rsid w:val="70BD07B0"/>
    <w:rsid w:val="70C0153A"/>
    <w:rsid w:val="70C9728E"/>
    <w:rsid w:val="70E52E42"/>
    <w:rsid w:val="71291DF8"/>
    <w:rsid w:val="712B0DA0"/>
    <w:rsid w:val="712D43F2"/>
    <w:rsid w:val="715251DD"/>
    <w:rsid w:val="717479DE"/>
    <w:rsid w:val="71842C09"/>
    <w:rsid w:val="71906A7F"/>
    <w:rsid w:val="71B2171A"/>
    <w:rsid w:val="71B51EDE"/>
    <w:rsid w:val="71C56127"/>
    <w:rsid w:val="71E16922"/>
    <w:rsid w:val="71E5591F"/>
    <w:rsid w:val="72194DCA"/>
    <w:rsid w:val="7231134F"/>
    <w:rsid w:val="724B7FD3"/>
    <w:rsid w:val="72632151"/>
    <w:rsid w:val="729E2AD1"/>
    <w:rsid w:val="72BD364C"/>
    <w:rsid w:val="72E12F64"/>
    <w:rsid w:val="72F023AF"/>
    <w:rsid w:val="730125F2"/>
    <w:rsid w:val="733A3AC2"/>
    <w:rsid w:val="734E4869"/>
    <w:rsid w:val="73983F1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5B7303"/>
    <w:rsid w:val="756A42EA"/>
    <w:rsid w:val="75894D67"/>
    <w:rsid w:val="758F0B5D"/>
    <w:rsid w:val="759D24EB"/>
    <w:rsid w:val="75C31666"/>
    <w:rsid w:val="75C865CB"/>
    <w:rsid w:val="75DB6F21"/>
    <w:rsid w:val="75E95796"/>
    <w:rsid w:val="75FE1C50"/>
    <w:rsid w:val="760653F5"/>
    <w:rsid w:val="76382D09"/>
    <w:rsid w:val="768250F6"/>
    <w:rsid w:val="76CE49B5"/>
    <w:rsid w:val="76CF0232"/>
    <w:rsid w:val="76D83568"/>
    <w:rsid w:val="76E35D13"/>
    <w:rsid w:val="76E51098"/>
    <w:rsid w:val="76FC0BDC"/>
    <w:rsid w:val="7734127E"/>
    <w:rsid w:val="77384934"/>
    <w:rsid w:val="77400BCC"/>
    <w:rsid w:val="77577B6E"/>
    <w:rsid w:val="77626A2C"/>
    <w:rsid w:val="77780912"/>
    <w:rsid w:val="7785352B"/>
    <w:rsid w:val="77B75520"/>
    <w:rsid w:val="77BF49EB"/>
    <w:rsid w:val="77E97109"/>
    <w:rsid w:val="77E974BA"/>
    <w:rsid w:val="77FC724F"/>
    <w:rsid w:val="77FF0768"/>
    <w:rsid w:val="780920A2"/>
    <w:rsid w:val="781D06DC"/>
    <w:rsid w:val="781F41DD"/>
    <w:rsid w:val="782829F9"/>
    <w:rsid w:val="78381A5E"/>
    <w:rsid w:val="78527B91"/>
    <w:rsid w:val="7855248D"/>
    <w:rsid w:val="788F2D63"/>
    <w:rsid w:val="789A28C7"/>
    <w:rsid w:val="78A57199"/>
    <w:rsid w:val="78AB163D"/>
    <w:rsid w:val="78B404AE"/>
    <w:rsid w:val="78BF1A88"/>
    <w:rsid w:val="78DB705D"/>
    <w:rsid w:val="791075CB"/>
    <w:rsid w:val="791302D5"/>
    <w:rsid w:val="796419CB"/>
    <w:rsid w:val="79794F50"/>
    <w:rsid w:val="7982089A"/>
    <w:rsid w:val="798347AB"/>
    <w:rsid w:val="7984239D"/>
    <w:rsid w:val="79991EEA"/>
    <w:rsid w:val="799D5C24"/>
    <w:rsid w:val="79B92076"/>
    <w:rsid w:val="79C47176"/>
    <w:rsid w:val="79E978EB"/>
    <w:rsid w:val="79F0317F"/>
    <w:rsid w:val="7A304D55"/>
    <w:rsid w:val="7A8C04D2"/>
    <w:rsid w:val="7A9B098A"/>
    <w:rsid w:val="7AAB1658"/>
    <w:rsid w:val="7AB00F74"/>
    <w:rsid w:val="7AC52F60"/>
    <w:rsid w:val="7AE928BD"/>
    <w:rsid w:val="7AEB58E2"/>
    <w:rsid w:val="7B117C64"/>
    <w:rsid w:val="7B48105E"/>
    <w:rsid w:val="7B534BF1"/>
    <w:rsid w:val="7B6B259F"/>
    <w:rsid w:val="7B980680"/>
    <w:rsid w:val="7BAD1212"/>
    <w:rsid w:val="7BF70CB6"/>
    <w:rsid w:val="7BF95732"/>
    <w:rsid w:val="7C11538B"/>
    <w:rsid w:val="7C220378"/>
    <w:rsid w:val="7C4214A2"/>
    <w:rsid w:val="7C613D65"/>
    <w:rsid w:val="7C6723BD"/>
    <w:rsid w:val="7C8F4102"/>
    <w:rsid w:val="7C961098"/>
    <w:rsid w:val="7C9C0F16"/>
    <w:rsid w:val="7C9E7950"/>
    <w:rsid w:val="7CAA2DAF"/>
    <w:rsid w:val="7CB510B4"/>
    <w:rsid w:val="7CBD4E49"/>
    <w:rsid w:val="7CE25225"/>
    <w:rsid w:val="7CE31DA8"/>
    <w:rsid w:val="7CF2390F"/>
    <w:rsid w:val="7D166575"/>
    <w:rsid w:val="7D230305"/>
    <w:rsid w:val="7D2462B5"/>
    <w:rsid w:val="7D252BEB"/>
    <w:rsid w:val="7D287BAE"/>
    <w:rsid w:val="7D4234C4"/>
    <w:rsid w:val="7D606AA6"/>
    <w:rsid w:val="7D6336D6"/>
    <w:rsid w:val="7D671C04"/>
    <w:rsid w:val="7D843919"/>
    <w:rsid w:val="7DBD7FEA"/>
    <w:rsid w:val="7E077300"/>
    <w:rsid w:val="7E225C2D"/>
    <w:rsid w:val="7E297044"/>
    <w:rsid w:val="7E7B758A"/>
    <w:rsid w:val="7EB115E8"/>
    <w:rsid w:val="7EB44151"/>
    <w:rsid w:val="7EFD417D"/>
    <w:rsid w:val="7F057CB4"/>
    <w:rsid w:val="7F5401B9"/>
    <w:rsid w:val="7F6E2CB5"/>
    <w:rsid w:val="7F6F0485"/>
    <w:rsid w:val="7F6F7C74"/>
    <w:rsid w:val="7F736901"/>
    <w:rsid w:val="7F840253"/>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7"/>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9"/>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5"/>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9"/>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7"/>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6"/>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4"/>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5"/>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2"/>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5"/>
    <w:unhideWhenUsed/>
    <w:qFormat/>
    <w:uiPriority w:val="99"/>
    <w:rPr>
      <w:rFonts w:ascii="宋体"/>
      <w:sz w:val="18"/>
      <w:szCs w:val="18"/>
    </w:rPr>
  </w:style>
  <w:style w:type="paragraph" w:styleId="17">
    <w:name w:val="annotation text"/>
    <w:basedOn w:val="1"/>
    <w:link w:val="57"/>
    <w:qFormat/>
    <w:uiPriority w:val="0"/>
    <w:pPr>
      <w:widowControl w:val="0"/>
    </w:pPr>
    <w:rPr>
      <w:kern w:val="2"/>
      <w:sz w:val="18"/>
      <w:szCs w:val="20"/>
    </w:rPr>
  </w:style>
  <w:style w:type="paragraph" w:styleId="18">
    <w:name w:val="Salutation"/>
    <w:basedOn w:val="1"/>
    <w:next w:val="1"/>
    <w:link w:val="83"/>
    <w:qFormat/>
    <w:uiPriority w:val="0"/>
    <w:pPr>
      <w:widowControl w:val="0"/>
      <w:jc w:val="both"/>
    </w:pPr>
    <w:rPr>
      <w:rFonts w:eastAsia="黑体"/>
      <w:kern w:val="2"/>
      <w:szCs w:val="20"/>
    </w:rPr>
  </w:style>
  <w:style w:type="paragraph" w:styleId="19">
    <w:name w:val="Body Text 3"/>
    <w:basedOn w:val="1"/>
    <w:link w:val="96"/>
    <w:qFormat/>
    <w:uiPriority w:val="0"/>
    <w:pPr>
      <w:spacing w:after="120"/>
    </w:pPr>
    <w:rPr>
      <w:sz w:val="16"/>
      <w:szCs w:val="16"/>
    </w:rPr>
  </w:style>
  <w:style w:type="paragraph" w:styleId="20">
    <w:name w:val="Body Text Indent"/>
    <w:basedOn w:val="1"/>
    <w:link w:val="80"/>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1"/>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6"/>
    <w:qFormat/>
    <w:uiPriority w:val="0"/>
    <w:pPr>
      <w:ind w:left="100" w:leftChars="2500"/>
    </w:pPr>
  </w:style>
  <w:style w:type="paragraph" w:styleId="27">
    <w:name w:val="Body Text Indent 2"/>
    <w:basedOn w:val="1"/>
    <w:link w:val="94"/>
    <w:qFormat/>
    <w:uiPriority w:val="0"/>
    <w:pPr>
      <w:widowControl w:val="0"/>
      <w:ind w:firstLine="540" w:firstLineChars="257"/>
      <w:jc w:val="both"/>
    </w:pPr>
    <w:rPr>
      <w:kern w:val="2"/>
      <w:sz w:val="21"/>
    </w:rPr>
  </w:style>
  <w:style w:type="paragraph" w:styleId="28">
    <w:name w:val="Balloon Text"/>
    <w:basedOn w:val="1"/>
    <w:link w:val="88"/>
    <w:semiHidden/>
    <w:qFormat/>
    <w:uiPriority w:val="0"/>
    <w:rPr>
      <w:sz w:val="18"/>
      <w:szCs w:val="18"/>
    </w:rPr>
  </w:style>
  <w:style w:type="paragraph" w:styleId="29">
    <w:name w:val="footer"/>
    <w:basedOn w:val="1"/>
    <w:link w:val="73"/>
    <w:qFormat/>
    <w:uiPriority w:val="99"/>
    <w:pPr>
      <w:tabs>
        <w:tab w:val="center" w:pos="4153"/>
        <w:tab w:val="right" w:pos="8306"/>
      </w:tabs>
      <w:snapToGrid w:val="0"/>
    </w:pPr>
    <w:rPr>
      <w:sz w:val="18"/>
      <w:szCs w:val="18"/>
    </w:rPr>
  </w:style>
  <w:style w:type="paragraph" w:styleId="30">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8"/>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9"/>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5"/>
    <w:qFormat/>
    <w:uiPriority w:val="0"/>
    <w:rPr>
      <w:b/>
    </w:rPr>
  </w:style>
  <w:style w:type="paragraph" w:styleId="42">
    <w:name w:val="Body Text First Indent"/>
    <w:basedOn w:val="2"/>
    <w:link w:val="81"/>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styleId="53">
    <w:name w:val="Quote"/>
    <w:basedOn w:val="1"/>
    <w:next w:val="1"/>
    <w:qFormat/>
    <w:uiPriority w:val="0"/>
    <w:pPr>
      <w:wordWrap w:val="0"/>
      <w:spacing w:before="200" w:after="160"/>
      <w:ind w:left="864" w:right="864"/>
      <w:jc w:val="center"/>
    </w:pPr>
    <w:rPr>
      <w:i/>
    </w:rPr>
  </w:style>
  <w:style w:type="paragraph" w:customStyle="1" w:styleId="54">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5">
    <w:name w:val="批注主题 Char"/>
    <w:link w:val="41"/>
    <w:qFormat/>
    <w:uiPriority w:val="0"/>
    <w:rPr>
      <w:b/>
      <w:kern w:val="2"/>
      <w:sz w:val="18"/>
    </w:rPr>
  </w:style>
  <w:style w:type="character" w:customStyle="1" w:styleId="56">
    <w:name w:val="标题 8 Char"/>
    <w:link w:val="10"/>
    <w:qFormat/>
    <w:uiPriority w:val="0"/>
    <w:rPr>
      <w:rFonts w:ascii="Arial" w:hAnsi="Arial" w:eastAsia="黑体"/>
      <w:kern w:val="2"/>
      <w:sz w:val="24"/>
    </w:rPr>
  </w:style>
  <w:style w:type="character" w:customStyle="1" w:styleId="57">
    <w:name w:val="批注文字 Char"/>
    <w:link w:val="17"/>
    <w:qFormat/>
    <w:uiPriority w:val="0"/>
    <w:rPr>
      <w:kern w:val="2"/>
      <w:sz w:val="18"/>
    </w:rPr>
  </w:style>
  <w:style w:type="character" w:customStyle="1" w:styleId="58">
    <w:name w:val="fontblank12"/>
    <w:basedOn w:val="47"/>
    <w:qFormat/>
    <w:uiPriority w:val="0"/>
  </w:style>
  <w:style w:type="character" w:customStyle="1" w:styleId="59">
    <w:name w:val="标书（正文） Char"/>
    <w:link w:val="60"/>
    <w:qFormat/>
    <w:uiPriority w:val="0"/>
    <w:rPr>
      <w:rFonts w:ascii="宋体" w:hAnsi="宋体"/>
      <w:b/>
      <w:kern w:val="10"/>
      <w:sz w:val="21"/>
    </w:rPr>
  </w:style>
  <w:style w:type="paragraph" w:customStyle="1" w:styleId="60">
    <w:name w:val="标书（正文）"/>
    <w:basedOn w:val="1"/>
    <w:link w:val="59"/>
    <w:qFormat/>
    <w:uiPriority w:val="0"/>
    <w:pPr>
      <w:widowControl w:val="0"/>
      <w:spacing w:line="360" w:lineRule="auto"/>
      <w:ind w:firstLine="560" w:firstLineChars="200"/>
      <w:jc w:val="both"/>
    </w:pPr>
    <w:rPr>
      <w:rFonts w:ascii="宋体" w:hAnsi="宋体"/>
      <w:b/>
      <w:kern w:val="10"/>
      <w:sz w:val="21"/>
      <w:szCs w:val="20"/>
    </w:rPr>
  </w:style>
  <w:style w:type="character" w:customStyle="1" w:styleId="61">
    <w:name w:val="Char Char4"/>
    <w:qFormat/>
    <w:uiPriority w:val="0"/>
    <w:rPr>
      <w:rFonts w:ascii="宋体" w:hAnsi="Courier New" w:eastAsia="宋体"/>
      <w:kern w:val="2"/>
      <w:sz w:val="21"/>
      <w:lang w:val="en-US" w:eastAsia="zh-CN"/>
    </w:rPr>
  </w:style>
  <w:style w:type="character" w:customStyle="1" w:styleId="62">
    <w:name w:val="textnormchn1"/>
    <w:basedOn w:val="47"/>
    <w:qFormat/>
    <w:uiPriority w:val="0"/>
  </w:style>
  <w:style w:type="character" w:customStyle="1" w:styleId="63">
    <w:name w:val="标题 1 Char"/>
    <w:link w:val="3"/>
    <w:qFormat/>
    <w:uiPriority w:val="0"/>
    <w:rPr>
      <w:rFonts w:ascii="宋体" w:hAnsi="宋体"/>
      <w:b/>
      <w:bCs/>
      <w:kern w:val="44"/>
      <w:sz w:val="32"/>
      <w:szCs w:val="32"/>
    </w:rPr>
  </w:style>
  <w:style w:type="character" w:customStyle="1" w:styleId="64">
    <w:name w:val="列出段落 Char"/>
    <w:link w:val="65"/>
    <w:qFormat/>
    <w:uiPriority w:val="0"/>
    <w:rPr>
      <w:sz w:val="24"/>
      <w:szCs w:val="24"/>
    </w:rPr>
  </w:style>
  <w:style w:type="paragraph" w:customStyle="1" w:styleId="65">
    <w:name w:val="列出段落1"/>
    <w:basedOn w:val="1"/>
    <w:link w:val="64"/>
    <w:qFormat/>
    <w:uiPriority w:val="0"/>
    <w:pPr>
      <w:ind w:firstLine="420" w:firstLineChars="200"/>
    </w:pPr>
  </w:style>
  <w:style w:type="character" w:customStyle="1" w:styleId="66">
    <w:name w:val="CD正文 Char"/>
    <w:link w:val="67"/>
    <w:qFormat/>
    <w:uiPriority w:val="0"/>
    <w:rPr>
      <w:kern w:val="2"/>
      <w:sz w:val="30"/>
      <w:szCs w:val="28"/>
    </w:rPr>
  </w:style>
  <w:style w:type="paragraph" w:customStyle="1" w:styleId="67">
    <w:name w:val="CD正文"/>
    <w:basedOn w:val="68"/>
    <w:link w:val="66"/>
    <w:qFormat/>
    <w:uiPriority w:val="0"/>
    <w:pPr>
      <w:ind w:firstLine="493"/>
    </w:pPr>
    <w:rPr>
      <w:sz w:val="30"/>
      <w:szCs w:val="28"/>
    </w:rPr>
  </w:style>
  <w:style w:type="paragraph" w:customStyle="1" w:styleId="68">
    <w:name w:val="文章正文"/>
    <w:basedOn w:val="1"/>
    <w:link w:val="77"/>
    <w:qFormat/>
    <w:uiPriority w:val="0"/>
    <w:pPr>
      <w:widowControl w:val="0"/>
      <w:spacing w:line="360" w:lineRule="auto"/>
      <w:ind w:firstLine="420"/>
      <w:jc w:val="both"/>
    </w:pPr>
    <w:rPr>
      <w:kern w:val="2"/>
    </w:rPr>
  </w:style>
  <w:style w:type="character" w:customStyle="1" w:styleId="69">
    <w:name w:val="正文文本 2 Char"/>
    <w:link w:val="38"/>
    <w:qFormat/>
    <w:uiPriority w:val="0"/>
    <w:rPr>
      <w:sz w:val="21"/>
      <w:szCs w:val="21"/>
    </w:rPr>
  </w:style>
  <w:style w:type="character" w:customStyle="1" w:styleId="70">
    <w:name w:val="（符号）三标题1.1 Char Char"/>
    <w:link w:val="71"/>
    <w:qFormat/>
    <w:uiPriority w:val="0"/>
    <w:rPr>
      <w:rFonts w:ascii="宋体" w:hAnsi="宋体"/>
      <w:kern w:val="2"/>
      <w:sz w:val="24"/>
      <w:szCs w:val="24"/>
    </w:rPr>
  </w:style>
  <w:style w:type="paragraph" w:customStyle="1" w:styleId="71">
    <w:name w:val="（符号）三标题1.1"/>
    <w:basedOn w:val="1"/>
    <w:link w:val="70"/>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2">
    <w:name w:val="grame"/>
    <w:basedOn w:val="47"/>
    <w:qFormat/>
    <w:uiPriority w:val="0"/>
  </w:style>
  <w:style w:type="character" w:customStyle="1" w:styleId="73">
    <w:name w:val="页脚 Char"/>
    <w:link w:val="29"/>
    <w:qFormat/>
    <w:uiPriority w:val="99"/>
    <w:rPr>
      <w:sz w:val="18"/>
      <w:szCs w:val="18"/>
    </w:rPr>
  </w:style>
  <w:style w:type="character" w:customStyle="1" w:styleId="74">
    <w:name w:val="keyword"/>
    <w:basedOn w:val="47"/>
    <w:qFormat/>
    <w:uiPriority w:val="0"/>
  </w:style>
  <w:style w:type="character" w:customStyle="1" w:styleId="75">
    <w:name w:val="文档结构图 Char"/>
    <w:link w:val="16"/>
    <w:semiHidden/>
    <w:qFormat/>
    <w:uiPriority w:val="99"/>
    <w:rPr>
      <w:rFonts w:ascii="宋体"/>
      <w:sz w:val="18"/>
      <w:szCs w:val="18"/>
    </w:rPr>
  </w:style>
  <w:style w:type="character" w:customStyle="1" w:styleId="76">
    <w:name w:val="日期 Char"/>
    <w:link w:val="26"/>
    <w:qFormat/>
    <w:uiPriority w:val="0"/>
    <w:rPr>
      <w:sz w:val="24"/>
      <w:szCs w:val="24"/>
    </w:rPr>
  </w:style>
  <w:style w:type="character" w:customStyle="1" w:styleId="77">
    <w:name w:val="文章正文 Char"/>
    <w:link w:val="68"/>
    <w:qFormat/>
    <w:uiPriority w:val="0"/>
    <w:rPr>
      <w:kern w:val="2"/>
      <w:sz w:val="24"/>
      <w:szCs w:val="24"/>
    </w:rPr>
  </w:style>
  <w:style w:type="character" w:customStyle="1" w:styleId="78">
    <w:name w:val="正文文本缩进 3 Char"/>
    <w:link w:val="35"/>
    <w:qFormat/>
    <w:uiPriority w:val="0"/>
    <w:rPr>
      <w:kern w:val="2"/>
      <w:sz w:val="16"/>
      <w:szCs w:val="16"/>
    </w:rPr>
  </w:style>
  <w:style w:type="character" w:customStyle="1" w:styleId="79">
    <w:name w:val="标题 7 Char"/>
    <w:link w:val="9"/>
    <w:qFormat/>
    <w:uiPriority w:val="0"/>
    <w:rPr>
      <w:rFonts w:ascii="Arial Narrow" w:hAnsi="Arial Narrow"/>
      <w:b/>
      <w:lang w:eastAsia="en-US"/>
    </w:rPr>
  </w:style>
  <w:style w:type="character" w:customStyle="1" w:styleId="80">
    <w:name w:val="正文文本缩进 Char"/>
    <w:link w:val="20"/>
    <w:qFormat/>
    <w:uiPriority w:val="0"/>
    <w:rPr>
      <w:rFonts w:ascii="宋体"/>
      <w:sz w:val="30"/>
      <w:szCs w:val="24"/>
    </w:rPr>
  </w:style>
  <w:style w:type="character" w:customStyle="1" w:styleId="81">
    <w:name w:val="正文首行缩进 Char"/>
    <w:link w:val="42"/>
    <w:qFormat/>
    <w:uiPriority w:val="0"/>
    <w:rPr>
      <w:rFonts w:ascii="宋体" w:hAnsi="宋体"/>
      <w:kern w:val="2"/>
      <w:sz w:val="21"/>
      <w:szCs w:val="24"/>
    </w:rPr>
  </w:style>
  <w:style w:type="character" w:customStyle="1" w:styleId="82">
    <w:name w:val="正文缩进 Char"/>
    <w:link w:val="14"/>
    <w:qFormat/>
    <w:uiPriority w:val="0"/>
    <w:rPr>
      <w:kern w:val="2"/>
      <w:sz w:val="21"/>
      <w:szCs w:val="24"/>
    </w:rPr>
  </w:style>
  <w:style w:type="character" w:customStyle="1" w:styleId="83">
    <w:name w:val="称呼 Char"/>
    <w:link w:val="18"/>
    <w:qFormat/>
    <w:uiPriority w:val="0"/>
    <w:rPr>
      <w:rFonts w:eastAsia="黑体"/>
      <w:kern w:val="2"/>
      <w:sz w:val="24"/>
    </w:rPr>
  </w:style>
  <w:style w:type="character" w:customStyle="1" w:styleId="84">
    <w:name w:val="标题 9 Char"/>
    <w:link w:val="11"/>
    <w:qFormat/>
    <w:uiPriority w:val="0"/>
    <w:rPr>
      <w:rFonts w:ascii="Arial" w:hAnsi="Arial" w:eastAsia="黑体"/>
      <w:kern w:val="2"/>
      <w:sz w:val="21"/>
    </w:rPr>
  </w:style>
  <w:style w:type="character" w:customStyle="1" w:styleId="85">
    <w:name w:val="正文文本 Char"/>
    <w:link w:val="2"/>
    <w:qFormat/>
    <w:uiPriority w:val="0"/>
    <w:rPr>
      <w:sz w:val="24"/>
      <w:szCs w:val="24"/>
    </w:rPr>
  </w:style>
  <w:style w:type="character" w:customStyle="1" w:styleId="86">
    <w:name w:val="Char Char40"/>
    <w:qFormat/>
    <w:uiPriority w:val="0"/>
    <w:rPr>
      <w:kern w:val="2"/>
      <w:sz w:val="24"/>
      <w:szCs w:val="24"/>
    </w:rPr>
  </w:style>
  <w:style w:type="character" w:customStyle="1" w:styleId="87">
    <w:name w:val="标题 6 Char"/>
    <w:link w:val="8"/>
    <w:qFormat/>
    <w:uiPriority w:val="0"/>
    <w:rPr>
      <w:rFonts w:ascii="Arial" w:hAnsi="Arial" w:eastAsia="黑体"/>
      <w:b/>
      <w:bCs/>
      <w:kern w:val="2"/>
      <w:sz w:val="24"/>
      <w:szCs w:val="24"/>
    </w:rPr>
  </w:style>
  <w:style w:type="character" w:customStyle="1" w:styleId="88">
    <w:name w:val="批注框文本 Char"/>
    <w:link w:val="28"/>
    <w:semiHidden/>
    <w:qFormat/>
    <w:uiPriority w:val="0"/>
    <w:rPr>
      <w:sz w:val="18"/>
      <w:szCs w:val="18"/>
    </w:rPr>
  </w:style>
  <w:style w:type="character" w:customStyle="1" w:styleId="89">
    <w:name w:val="标题 5 Char"/>
    <w:link w:val="7"/>
    <w:qFormat/>
    <w:uiPriority w:val="0"/>
    <w:rPr>
      <w:rFonts w:ascii="Times New Roman" w:hAnsi="Times New Roman"/>
      <w:b/>
      <w:bCs/>
      <w:sz w:val="28"/>
      <w:szCs w:val="28"/>
    </w:rPr>
  </w:style>
  <w:style w:type="character" w:customStyle="1" w:styleId="90">
    <w:name w:val="WW8Num9z0"/>
    <w:qFormat/>
    <w:uiPriority w:val="0"/>
    <w:rPr>
      <w:rFonts w:ascii="Wingdings" w:hAnsi="Wingdings"/>
    </w:rPr>
  </w:style>
  <w:style w:type="character" w:customStyle="1" w:styleId="91">
    <w:name w:val="magic-list1"/>
    <w:qFormat/>
    <w:uiPriority w:val="0"/>
    <w:rPr>
      <w:rFonts w:hint="default" w:ascii="ˎ̥" w:hAnsi="ˎ̥"/>
      <w:color w:val="000000"/>
      <w:sz w:val="20"/>
      <w:u w:val="none"/>
    </w:rPr>
  </w:style>
  <w:style w:type="character" w:customStyle="1" w:styleId="92">
    <w:name w:val="small"/>
    <w:basedOn w:val="47"/>
    <w:qFormat/>
    <w:uiPriority w:val="0"/>
  </w:style>
  <w:style w:type="character" w:customStyle="1" w:styleId="93">
    <w:name w:val="页眉 Char"/>
    <w:link w:val="30"/>
    <w:qFormat/>
    <w:uiPriority w:val="0"/>
    <w:rPr>
      <w:sz w:val="18"/>
      <w:szCs w:val="18"/>
    </w:rPr>
  </w:style>
  <w:style w:type="character" w:customStyle="1" w:styleId="94">
    <w:name w:val="正文文本缩进 2 Char"/>
    <w:link w:val="27"/>
    <w:qFormat/>
    <w:uiPriority w:val="0"/>
    <w:rPr>
      <w:kern w:val="2"/>
      <w:sz w:val="21"/>
      <w:szCs w:val="24"/>
    </w:rPr>
  </w:style>
  <w:style w:type="character" w:customStyle="1" w:styleId="95">
    <w:name w:val="标题 4 Char"/>
    <w:link w:val="6"/>
    <w:qFormat/>
    <w:uiPriority w:val="0"/>
    <w:rPr>
      <w:rFonts w:ascii="宋体" w:hAnsi="宋体"/>
      <w:b/>
      <w:bCs/>
      <w:sz w:val="28"/>
      <w:szCs w:val="28"/>
    </w:rPr>
  </w:style>
  <w:style w:type="character" w:customStyle="1" w:styleId="96">
    <w:name w:val="正文文本 3 Char"/>
    <w:link w:val="19"/>
    <w:qFormat/>
    <w:uiPriority w:val="0"/>
    <w:rPr>
      <w:sz w:val="16"/>
      <w:szCs w:val="16"/>
    </w:rPr>
  </w:style>
  <w:style w:type="character" w:customStyle="1" w:styleId="97">
    <w:name w:val="标题 2 Char"/>
    <w:link w:val="4"/>
    <w:qFormat/>
    <w:uiPriority w:val="0"/>
    <w:rPr>
      <w:rFonts w:ascii="宋体" w:hAnsi="宋体"/>
      <w:b/>
      <w:bCs/>
      <w:iCs/>
      <w:sz w:val="28"/>
      <w:szCs w:val="28"/>
    </w:rPr>
  </w:style>
  <w:style w:type="character" w:customStyle="1" w:styleId="98">
    <w:name w:val="纯文本 Char1"/>
    <w:unhideWhenUsed/>
    <w:qFormat/>
    <w:uiPriority w:val="99"/>
    <w:rPr>
      <w:rFonts w:hint="eastAsia" w:ascii="宋体" w:hAnsi="Tms Rmn" w:eastAsia="宋体"/>
      <w:sz w:val="21"/>
      <w:lang w:val="en-US" w:eastAsia="zh-CN"/>
    </w:rPr>
  </w:style>
  <w:style w:type="character" w:customStyle="1" w:styleId="99">
    <w:name w:val="标题 3 Char"/>
    <w:link w:val="5"/>
    <w:qFormat/>
    <w:uiPriority w:val="0"/>
    <w:rPr>
      <w:rFonts w:ascii="宋体" w:hAnsi="宋体"/>
      <w:b/>
      <w:bCs/>
      <w:color w:val="000000"/>
      <w:kern w:val="2"/>
      <w:sz w:val="24"/>
      <w:szCs w:val="28"/>
    </w:rPr>
  </w:style>
  <w:style w:type="character" w:customStyle="1" w:styleId="100">
    <w:name w:val="标题 Char"/>
    <w:link w:val="40"/>
    <w:qFormat/>
    <w:uiPriority w:val="0"/>
    <w:rPr>
      <w:rFonts w:ascii="Cambria" w:hAnsi="Cambria"/>
      <w:b/>
      <w:bCs/>
      <w:kern w:val="2"/>
      <w:sz w:val="32"/>
      <w:szCs w:val="32"/>
    </w:rPr>
  </w:style>
  <w:style w:type="character" w:customStyle="1" w:styleId="101">
    <w:name w:val="纯文本 Char"/>
    <w:link w:val="24"/>
    <w:qFormat/>
    <w:uiPriority w:val="0"/>
    <w:rPr>
      <w:rFonts w:ascii="宋体" w:hAnsi="Tms Rmn" w:cs="宋体"/>
      <w:sz w:val="21"/>
      <w:szCs w:val="21"/>
    </w:rPr>
  </w:style>
  <w:style w:type="character" w:customStyle="1" w:styleId="102">
    <w:name w:val="H4 Char"/>
    <w:qFormat/>
    <w:uiPriority w:val="0"/>
    <w:rPr>
      <w:rFonts w:ascii="Arial" w:hAnsi="Arial" w:eastAsia="宋体"/>
      <w:b/>
      <w:kern w:val="2"/>
      <w:sz w:val="28"/>
      <w:lang w:val="en-US" w:eastAsia="zh-CN"/>
    </w:rPr>
  </w:style>
  <w:style w:type="character" w:customStyle="1" w:styleId="103">
    <w:name w:val="正文缩进 Char1"/>
    <w:qFormat/>
    <w:uiPriority w:val="0"/>
    <w:rPr>
      <w:kern w:val="2"/>
      <w:sz w:val="21"/>
      <w:szCs w:val="24"/>
    </w:rPr>
  </w:style>
  <w:style w:type="paragraph" w:customStyle="1" w:styleId="104">
    <w:name w:val="MM Topic 9"/>
    <w:basedOn w:val="11"/>
    <w:qFormat/>
    <w:uiPriority w:val="0"/>
    <w:pPr>
      <w:tabs>
        <w:tab w:val="left" w:pos="5102"/>
      </w:tabs>
    </w:pPr>
  </w:style>
  <w:style w:type="paragraph" w:customStyle="1" w:styleId="10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6">
    <w:name w:val="强调2"/>
    <w:basedOn w:val="107"/>
    <w:qFormat/>
    <w:uiPriority w:val="0"/>
    <w:pPr>
      <w:numPr>
        <w:ilvl w:val="1"/>
      </w:numPr>
      <w:tabs>
        <w:tab w:val="left" w:pos="360"/>
        <w:tab w:val="left" w:pos="1918"/>
      </w:tabs>
      <w:ind w:left="1918"/>
    </w:pPr>
  </w:style>
  <w:style w:type="paragraph" w:customStyle="1" w:styleId="107">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8">
    <w:name w:val="Char Char Char Char"/>
    <w:basedOn w:val="1"/>
    <w:next w:val="1"/>
    <w:qFormat/>
    <w:uiPriority w:val="0"/>
    <w:pPr>
      <w:widowControl w:val="0"/>
      <w:spacing w:line="240" w:lineRule="atLeast"/>
      <w:ind w:left="420" w:firstLine="420"/>
    </w:pPr>
    <w:rPr>
      <w:sz w:val="21"/>
      <w:szCs w:val="21"/>
    </w:rPr>
  </w:style>
  <w:style w:type="paragraph" w:customStyle="1" w:styleId="10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1">
    <w:name w:val="默认段落字体 Para Char Char Char Char"/>
    <w:basedOn w:val="1"/>
    <w:qFormat/>
    <w:uiPriority w:val="0"/>
    <w:pPr>
      <w:widowControl w:val="0"/>
      <w:jc w:val="both"/>
    </w:pPr>
    <w:rPr>
      <w:kern w:val="2"/>
      <w:sz w:val="21"/>
    </w:rPr>
  </w:style>
  <w:style w:type="paragraph" w:customStyle="1" w:styleId="112">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3">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6">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7">
    <w:name w:val="MM Topic 6"/>
    <w:basedOn w:val="8"/>
    <w:qFormat/>
    <w:uiPriority w:val="0"/>
    <w:pPr>
      <w:numPr>
        <w:ilvl w:val="0"/>
        <w:numId w:val="0"/>
      </w:numPr>
      <w:tabs>
        <w:tab w:val="left" w:pos="3260"/>
      </w:tabs>
      <w:spacing w:line="317" w:lineRule="auto"/>
    </w:pPr>
    <w:rPr>
      <w:bCs w:val="0"/>
      <w:sz w:val="28"/>
      <w:szCs w:val="20"/>
    </w:rPr>
  </w:style>
  <w:style w:type="paragraph" w:customStyle="1" w:styleId="1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9">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0">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1">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4">
    <w:name w:val="Char11"/>
    <w:basedOn w:val="1"/>
    <w:next w:val="1"/>
    <w:qFormat/>
    <w:uiPriority w:val="0"/>
    <w:pPr>
      <w:widowControl w:val="0"/>
      <w:spacing w:line="240" w:lineRule="atLeast"/>
      <w:ind w:left="420" w:firstLine="420"/>
    </w:pPr>
    <w:rPr>
      <w:sz w:val="21"/>
      <w:szCs w:val="21"/>
    </w:rPr>
  </w:style>
  <w:style w:type="paragraph" w:customStyle="1" w:styleId="125">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6">
    <w:name w:val="默认段落字体 Para Char Char Char Char Char Char Char"/>
    <w:basedOn w:val="1"/>
    <w:qFormat/>
    <w:uiPriority w:val="0"/>
    <w:pPr>
      <w:widowControl w:val="0"/>
      <w:jc w:val="both"/>
    </w:pPr>
    <w:rPr>
      <w:rFonts w:ascii="Tahoma" w:hAnsi="Tahoma"/>
      <w:kern w:val="2"/>
      <w:szCs w:val="20"/>
    </w:rPr>
  </w:style>
  <w:style w:type="paragraph" w:customStyle="1" w:styleId="127">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8">
    <w:name w:val="样式2"/>
    <w:basedOn w:val="1"/>
    <w:qFormat/>
    <w:uiPriority w:val="0"/>
    <w:pPr>
      <w:widowControl w:val="0"/>
      <w:adjustRightInd w:val="0"/>
      <w:spacing w:line="410" w:lineRule="atLeast"/>
      <w:jc w:val="both"/>
      <w:textAlignment w:val="baseline"/>
    </w:pPr>
    <w:rPr>
      <w:szCs w:val="20"/>
    </w:rPr>
  </w:style>
  <w:style w:type="paragraph" w:customStyle="1" w:styleId="129">
    <w:name w:val="列出段落11"/>
    <w:basedOn w:val="1"/>
    <w:qFormat/>
    <w:uiPriority w:val="34"/>
    <w:pPr>
      <w:ind w:firstLine="420" w:firstLineChars="200"/>
    </w:pPr>
    <w:rPr>
      <w:lang w:val="zh-CN"/>
    </w:rPr>
  </w:style>
  <w:style w:type="paragraph" w:customStyle="1" w:styleId="130">
    <w:name w:val="p4"/>
    <w:basedOn w:val="1"/>
    <w:qFormat/>
    <w:uiPriority w:val="0"/>
    <w:pPr>
      <w:spacing w:before="100" w:beforeAutospacing="1" w:after="100" w:afterAutospacing="1" w:line="360" w:lineRule="auto"/>
      <w:ind w:firstLine="360"/>
    </w:pPr>
    <w:rPr>
      <w:rFonts w:ascii="宋体" w:hAnsi="宋体"/>
    </w:rPr>
  </w:style>
  <w:style w:type="paragraph" w:customStyle="1" w:styleId="131">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2">
    <w:name w:val="默认段落字体 Para Char Char"/>
    <w:basedOn w:val="1"/>
    <w:qFormat/>
    <w:uiPriority w:val="0"/>
    <w:pPr>
      <w:widowControl w:val="0"/>
      <w:jc w:val="both"/>
    </w:pPr>
    <w:rPr>
      <w:kern w:val="2"/>
      <w:sz w:val="21"/>
      <w:szCs w:val="20"/>
    </w:rPr>
  </w:style>
  <w:style w:type="paragraph" w:customStyle="1" w:styleId="133">
    <w:name w:val="Char1 Char Char Char"/>
    <w:basedOn w:val="1"/>
    <w:next w:val="1"/>
    <w:qFormat/>
    <w:uiPriority w:val="0"/>
    <w:pPr>
      <w:widowControl w:val="0"/>
      <w:spacing w:line="240" w:lineRule="atLeast"/>
      <w:ind w:left="420" w:firstLine="420"/>
    </w:pPr>
    <w:rPr>
      <w:sz w:val="21"/>
      <w:szCs w:val="20"/>
    </w:rPr>
  </w:style>
  <w:style w:type="paragraph" w:customStyle="1" w:styleId="134">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5">
    <w:name w:val="1 Char"/>
    <w:basedOn w:val="1"/>
    <w:qFormat/>
    <w:uiPriority w:val="0"/>
    <w:pPr>
      <w:spacing w:after="160" w:line="240" w:lineRule="exact"/>
    </w:pPr>
    <w:rPr>
      <w:rFonts w:ascii="Tahoma" w:hAnsi="Tahoma" w:eastAsia="Times New Roman"/>
      <w:lang w:eastAsia="en-US"/>
    </w:rPr>
  </w:style>
  <w:style w:type="paragraph" w:customStyle="1" w:styleId="136">
    <w:name w:val="MM Topic 8"/>
    <w:basedOn w:val="10"/>
    <w:qFormat/>
    <w:uiPriority w:val="0"/>
    <w:pPr>
      <w:tabs>
        <w:tab w:val="left" w:pos="4394"/>
      </w:tabs>
    </w:pPr>
  </w:style>
  <w:style w:type="paragraph" w:customStyle="1" w:styleId="137">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9">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0">
    <w:name w:val="论文正文"/>
    <w:basedOn w:val="1"/>
    <w:qFormat/>
    <w:uiPriority w:val="0"/>
    <w:pPr>
      <w:widowControl w:val="0"/>
      <w:spacing w:line="300" w:lineRule="auto"/>
      <w:ind w:firstLine="200" w:firstLineChars="200"/>
      <w:jc w:val="both"/>
    </w:pPr>
    <w:rPr>
      <w:kern w:val="2"/>
    </w:rPr>
  </w:style>
  <w:style w:type="paragraph" w:customStyle="1" w:styleId="141">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2">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3">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4">
    <w:name w:val="正文段落"/>
    <w:basedOn w:val="1"/>
    <w:qFormat/>
    <w:uiPriority w:val="0"/>
    <w:pPr>
      <w:widowControl w:val="0"/>
      <w:spacing w:line="300" w:lineRule="auto"/>
      <w:ind w:firstLine="510"/>
      <w:jc w:val="both"/>
    </w:pPr>
    <w:rPr>
      <w:kern w:val="2"/>
      <w:szCs w:val="20"/>
    </w:rPr>
  </w:style>
  <w:style w:type="paragraph" w:customStyle="1" w:styleId="145">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6">
    <w:name w:val="Char1 Char Char Char Char Char Char"/>
    <w:basedOn w:val="1"/>
    <w:qFormat/>
    <w:uiPriority w:val="0"/>
    <w:pPr>
      <w:widowControl w:val="0"/>
      <w:jc w:val="both"/>
    </w:pPr>
    <w:rPr>
      <w:rFonts w:ascii="Tahoma" w:hAnsi="Tahoma"/>
      <w:kern w:val="2"/>
      <w:szCs w:val="20"/>
    </w:rPr>
  </w:style>
  <w:style w:type="paragraph" w:customStyle="1" w:styleId="147">
    <w:name w:val="文章正文 Char Char1"/>
    <w:basedOn w:val="1"/>
    <w:qFormat/>
    <w:uiPriority w:val="0"/>
    <w:pPr>
      <w:widowControl w:val="0"/>
      <w:spacing w:line="360" w:lineRule="auto"/>
      <w:ind w:firstLine="420"/>
      <w:jc w:val="both"/>
    </w:pPr>
    <w:rPr>
      <w:kern w:val="2"/>
      <w:szCs w:val="20"/>
    </w:rPr>
  </w:style>
  <w:style w:type="paragraph" w:customStyle="1" w:styleId="148">
    <w:name w:val="Char"/>
    <w:basedOn w:val="1"/>
    <w:next w:val="1"/>
    <w:qFormat/>
    <w:uiPriority w:val="0"/>
    <w:pPr>
      <w:widowControl w:val="0"/>
      <w:spacing w:line="240" w:lineRule="atLeast"/>
      <w:ind w:left="420" w:firstLine="420"/>
    </w:pPr>
    <w:rPr>
      <w:sz w:val="21"/>
      <w:szCs w:val="21"/>
    </w:rPr>
  </w:style>
  <w:style w:type="paragraph" w:customStyle="1" w:styleId="149">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0">
    <w:name w:val="文章正文 Char Char1 Char"/>
    <w:basedOn w:val="1"/>
    <w:qFormat/>
    <w:uiPriority w:val="0"/>
    <w:pPr>
      <w:widowControl w:val="0"/>
      <w:spacing w:line="360" w:lineRule="auto"/>
      <w:ind w:firstLine="420"/>
      <w:jc w:val="both"/>
    </w:pPr>
    <w:rPr>
      <w:kern w:val="2"/>
    </w:rPr>
  </w:style>
  <w:style w:type="paragraph" w:customStyle="1" w:styleId="151">
    <w:name w:val="正文 首行缩进:  2 字符 Char Char"/>
    <w:basedOn w:val="1"/>
    <w:qFormat/>
    <w:uiPriority w:val="0"/>
    <w:pPr>
      <w:widowControl w:val="0"/>
      <w:spacing w:line="360" w:lineRule="auto"/>
      <w:ind w:firstLine="480"/>
      <w:jc w:val="both"/>
    </w:pPr>
    <w:rPr>
      <w:kern w:val="2"/>
      <w:szCs w:val="20"/>
    </w:rPr>
  </w:style>
  <w:style w:type="paragraph" w:customStyle="1" w:styleId="152">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3">
    <w:name w:val="标题 2 + 楷体_GB2312"/>
    <w:basedOn w:val="1"/>
    <w:qFormat/>
    <w:uiPriority w:val="0"/>
  </w:style>
  <w:style w:type="paragraph" w:customStyle="1" w:styleId="1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5">
    <w:name w:val="Char12"/>
    <w:basedOn w:val="1"/>
    <w:qFormat/>
    <w:uiPriority w:val="0"/>
    <w:pPr>
      <w:spacing w:after="160" w:line="240" w:lineRule="exact"/>
    </w:pPr>
    <w:rPr>
      <w:rFonts w:ascii="Tahoma" w:hAnsi="Tahoma"/>
      <w:kern w:val="2"/>
      <w:lang w:eastAsia="en-US"/>
    </w:rPr>
  </w:style>
  <w:style w:type="paragraph" w:customStyle="1" w:styleId="156">
    <w:name w:val="p0"/>
    <w:basedOn w:val="1"/>
    <w:qFormat/>
    <w:uiPriority w:val="0"/>
    <w:pPr>
      <w:jc w:val="both"/>
    </w:pPr>
    <w:rPr>
      <w:sz w:val="21"/>
      <w:szCs w:val="20"/>
    </w:rPr>
  </w:style>
  <w:style w:type="paragraph" w:customStyle="1" w:styleId="157">
    <w:name w:val="gb_master正文"/>
    <w:basedOn w:val="1"/>
    <w:qFormat/>
    <w:uiPriority w:val="0"/>
    <w:pPr>
      <w:widowControl w:val="0"/>
      <w:ind w:firstLine="200" w:firstLineChars="200"/>
      <w:jc w:val="both"/>
    </w:pPr>
    <w:rPr>
      <w:kern w:val="2"/>
      <w:sz w:val="21"/>
    </w:rPr>
  </w:style>
  <w:style w:type="paragraph" w:customStyle="1" w:styleId="158">
    <w:name w:val="Char1"/>
    <w:basedOn w:val="1"/>
    <w:next w:val="1"/>
    <w:qFormat/>
    <w:uiPriority w:val="0"/>
    <w:pPr>
      <w:widowControl w:val="0"/>
      <w:spacing w:line="240" w:lineRule="atLeast"/>
      <w:ind w:left="420" w:firstLine="420"/>
    </w:pPr>
    <w:rPr>
      <w:sz w:val="21"/>
      <w:szCs w:val="21"/>
    </w:rPr>
  </w:style>
  <w:style w:type="paragraph" w:customStyle="1" w:styleId="15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1">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2">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3">
    <w:name w:val="样式 正文缩进 + (中文) 仿宋_GB2312 小四 Char"/>
    <w:basedOn w:val="14"/>
    <w:qFormat/>
    <w:uiPriority w:val="0"/>
    <w:pPr>
      <w:ind w:firstLine="480"/>
    </w:pPr>
    <w:rPr>
      <w:rFonts w:ascii="宋体" w:hAnsi="宋体"/>
      <w:sz w:val="24"/>
      <w:szCs w:val="20"/>
    </w:rPr>
  </w:style>
  <w:style w:type="paragraph" w:customStyle="1" w:styleId="164">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5">
    <w:name w:val="Char2 Char Char Char Char Char Char"/>
    <w:basedOn w:val="1"/>
    <w:qFormat/>
    <w:uiPriority w:val="0"/>
    <w:pPr>
      <w:widowControl w:val="0"/>
      <w:jc w:val="both"/>
    </w:pPr>
    <w:rPr>
      <w:rFonts w:ascii="仿宋_GB2312"/>
      <w:b/>
      <w:kern w:val="2"/>
      <w:sz w:val="30"/>
      <w:szCs w:val="20"/>
    </w:rPr>
  </w:style>
  <w:style w:type="paragraph" w:customStyle="1" w:styleId="166">
    <w:name w:val="项目符号：一级"/>
    <w:basedOn w:val="161"/>
    <w:next w:val="161"/>
    <w:qFormat/>
    <w:uiPriority w:val="0"/>
    <w:pPr>
      <w:tabs>
        <w:tab w:val="left" w:pos="700"/>
      </w:tabs>
      <w:spacing w:beforeLines="0"/>
      <w:ind w:left="630" w:hanging="290" w:firstLineChars="0"/>
    </w:pPr>
  </w:style>
  <w:style w:type="paragraph" w:customStyle="1" w:styleId="167">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8">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9">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0">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1">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2">
    <w:name w:val="大纲正文"/>
    <w:basedOn w:val="1"/>
    <w:qFormat/>
    <w:uiPriority w:val="0"/>
    <w:pPr>
      <w:widowControl w:val="0"/>
      <w:spacing w:line="360" w:lineRule="auto"/>
      <w:ind w:firstLine="480" w:firstLineChars="200"/>
      <w:jc w:val="both"/>
    </w:pPr>
    <w:rPr>
      <w:kern w:val="2"/>
      <w:szCs w:val="20"/>
    </w:rPr>
  </w:style>
  <w:style w:type="paragraph" w:customStyle="1" w:styleId="173">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4">
    <w:name w:val="Char2"/>
    <w:basedOn w:val="1"/>
    <w:next w:val="1"/>
    <w:qFormat/>
    <w:uiPriority w:val="0"/>
    <w:pPr>
      <w:widowControl w:val="0"/>
      <w:spacing w:line="240" w:lineRule="atLeast"/>
      <w:ind w:left="420" w:firstLine="420"/>
    </w:pPr>
    <w:rPr>
      <w:kern w:val="2"/>
      <w:szCs w:val="20"/>
    </w:rPr>
  </w:style>
  <w:style w:type="paragraph" w:customStyle="1" w:styleId="175">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6">
    <w:name w:val="Char2 Char Char Char"/>
    <w:basedOn w:val="1"/>
    <w:qFormat/>
    <w:uiPriority w:val="0"/>
    <w:pPr>
      <w:widowControl w:val="0"/>
      <w:jc w:val="both"/>
    </w:pPr>
    <w:rPr>
      <w:rFonts w:ascii="仿宋_GB2312"/>
      <w:b/>
      <w:kern w:val="2"/>
      <w:sz w:val="30"/>
      <w:szCs w:val="20"/>
    </w:rPr>
  </w:style>
  <w:style w:type="paragraph" w:customStyle="1" w:styleId="177">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8">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9">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0">
    <w:name w:val="列出段落2"/>
    <w:basedOn w:val="1"/>
    <w:qFormat/>
    <w:uiPriority w:val="34"/>
    <w:pPr>
      <w:widowControl w:val="0"/>
      <w:ind w:firstLine="420" w:firstLineChars="200"/>
      <w:jc w:val="both"/>
    </w:pPr>
    <w:rPr>
      <w:rFonts w:eastAsia="方正仿宋"/>
      <w:kern w:val="2"/>
      <w:sz w:val="32"/>
    </w:rPr>
  </w:style>
  <w:style w:type="paragraph" w:customStyle="1" w:styleId="181">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2">
    <w:name w:val="彩色列表 - 强调文字颜色 1 Char"/>
    <w:link w:val="183"/>
    <w:qFormat/>
    <w:uiPriority w:val="0"/>
    <w:rPr>
      <w:rFonts w:ascii="Calibri" w:hAnsi="Calibri"/>
      <w:kern w:val="2"/>
      <w:sz w:val="21"/>
      <w:szCs w:val="22"/>
    </w:rPr>
  </w:style>
  <w:style w:type="paragraph" w:customStyle="1" w:styleId="183">
    <w:name w:val="彩色列表 - 强调文字颜色 11"/>
    <w:basedOn w:val="1"/>
    <w:link w:val="182"/>
    <w:qFormat/>
    <w:uiPriority w:val="0"/>
    <w:pPr>
      <w:widowControl w:val="0"/>
      <w:ind w:firstLine="420" w:firstLineChars="200"/>
      <w:jc w:val="both"/>
    </w:pPr>
    <w:rPr>
      <w:rFonts w:ascii="Calibri" w:hAnsi="Calibri"/>
      <w:kern w:val="2"/>
      <w:sz w:val="21"/>
      <w:szCs w:val="22"/>
    </w:rPr>
  </w:style>
  <w:style w:type="character" w:customStyle="1" w:styleId="184">
    <w:name w:val="*正文 Char Char"/>
    <w:link w:val="185"/>
    <w:qFormat/>
    <w:locked/>
    <w:uiPriority w:val="99"/>
    <w:rPr>
      <w:rFonts w:ascii="宋体"/>
      <w:sz w:val="24"/>
    </w:rPr>
  </w:style>
  <w:style w:type="paragraph" w:customStyle="1" w:styleId="185">
    <w:name w:val="*正文"/>
    <w:basedOn w:val="1"/>
    <w:link w:val="184"/>
    <w:qFormat/>
    <w:uiPriority w:val="99"/>
    <w:pPr>
      <w:widowControl w:val="0"/>
      <w:spacing w:line="360" w:lineRule="auto"/>
      <w:ind w:firstLine="200" w:firstLineChars="200"/>
      <w:jc w:val="both"/>
    </w:pPr>
    <w:rPr>
      <w:rFonts w:ascii="宋体"/>
      <w:szCs w:val="20"/>
    </w:rPr>
  </w:style>
  <w:style w:type="paragraph" w:customStyle="1" w:styleId="186">
    <w:name w:val="_Style 1"/>
    <w:basedOn w:val="1"/>
    <w:qFormat/>
    <w:uiPriority w:val="0"/>
    <w:pPr>
      <w:ind w:firstLine="420" w:firstLineChars="200"/>
    </w:pPr>
  </w:style>
  <w:style w:type="paragraph" w:customStyle="1" w:styleId="187">
    <w:name w:val="彩色列表 - 强调文字颜色 12"/>
    <w:basedOn w:val="1"/>
    <w:qFormat/>
    <w:uiPriority w:val="0"/>
    <w:pPr>
      <w:ind w:firstLine="420" w:firstLineChars="200"/>
    </w:pPr>
  </w:style>
  <w:style w:type="character" w:customStyle="1" w:styleId="188">
    <w:name w:val="font21"/>
    <w:basedOn w:val="47"/>
    <w:qFormat/>
    <w:uiPriority w:val="0"/>
    <w:rPr>
      <w:rFonts w:hint="eastAsia" w:ascii="宋体" w:hAnsi="宋体" w:eastAsia="宋体" w:cs="宋体"/>
      <w:color w:val="000000"/>
      <w:sz w:val="20"/>
      <w:szCs w:val="20"/>
      <w:u w:val="none"/>
    </w:rPr>
  </w:style>
  <w:style w:type="character" w:customStyle="1" w:styleId="189">
    <w:name w:val="font31"/>
    <w:basedOn w:val="47"/>
    <w:qFormat/>
    <w:uiPriority w:val="0"/>
    <w:rPr>
      <w:rFonts w:ascii="Tahoma" w:hAnsi="Tahoma" w:eastAsia="Tahoma" w:cs="Tahoma"/>
      <w:color w:val="000000"/>
      <w:sz w:val="20"/>
      <w:szCs w:val="20"/>
      <w:u w:val="none"/>
    </w:rPr>
  </w:style>
  <w:style w:type="paragraph" w:customStyle="1" w:styleId="19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1">
    <w:name w:val="List Paragraph"/>
    <w:basedOn w:val="1"/>
    <w:qFormat/>
    <w:uiPriority w:val="34"/>
    <w:pPr>
      <w:spacing w:after="100" w:line="360" w:lineRule="auto"/>
      <w:ind w:firstLine="420" w:firstLineChars="200"/>
    </w:pPr>
    <w:rPr>
      <w:szCs w:val="22"/>
      <w:lang w:eastAsia="en-US" w:bidi="en-US"/>
    </w:rPr>
  </w:style>
  <w:style w:type="character" w:customStyle="1" w:styleId="192">
    <w:name w:val="font11"/>
    <w:basedOn w:val="47"/>
    <w:qFormat/>
    <w:uiPriority w:val="0"/>
    <w:rPr>
      <w:rFonts w:hint="eastAsia" w:ascii="宋体" w:hAnsi="宋体" w:eastAsia="宋体" w:cs="宋体"/>
      <w:color w:val="000000"/>
      <w:sz w:val="22"/>
      <w:szCs w:val="22"/>
      <w:u w:val="none"/>
    </w:rPr>
  </w:style>
  <w:style w:type="character" w:customStyle="1" w:styleId="193">
    <w:name w:val="font01"/>
    <w:basedOn w:val="47"/>
    <w:qFormat/>
    <w:uiPriority w:val="0"/>
    <w:rPr>
      <w:rFonts w:hint="default" w:ascii="Times New Roman" w:hAnsi="Times New Roman" w:cs="Times New Roman"/>
      <w:color w:val="000000"/>
      <w:sz w:val="22"/>
      <w:szCs w:val="22"/>
      <w:u w:val="none"/>
    </w:rPr>
  </w:style>
  <w:style w:type="paragraph" w:customStyle="1" w:styleId="19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5">
    <w:name w:val="NormalCharacter"/>
    <w:qFormat/>
    <w:uiPriority w:val="0"/>
  </w:style>
  <w:style w:type="paragraph" w:customStyle="1" w:styleId="196">
    <w:name w:val="表格内容"/>
    <w:basedOn w:val="1"/>
    <w:qFormat/>
    <w:uiPriority w:val="0"/>
    <w:pPr>
      <w:spacing w:line="240" w:lineRule="auto"/>
    </w:pPr>
    <w:rPr>
      <w:rFonts w:ascii="Calibri" w:hAnsi="Calibri" w:eastAsia="仿宋"/>
      <w:sz w:val="21"/>
      <w:szCs w:val="22"/>
    </w:rPr>
  </w:style>
  <w:style w:type="paragraph" w:styleId="197">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198">
    <w:name w:val="闻政表"/>
    <w:basedOn w:val="1"/>
    <w:qFormat/>
    <w:uiPriority w:val="0"/>
    <w:pPr>
      <w:jc w:val="center"/>
    </w:pPr>
    <w:rPr>
      <w:rFonts w:ascii="Calibri" w:hAnsi="Calibri" w:eastAsia="仿宋_GB2312" w:cs="Times New Roman"/>
      <w:b/>
      <w:sz w:val="24"/>
    </w:rPr>
  </w:style>
  <w:style w:type="paragraph" w:customStyle="1" w:styleId="199">
    <w:name w:val="bullet"/>
    <w:basedOn w:val="1"/>
    <w:qFormat/>
    <w:uiPriority w:val="0"/>
    <w:pPr>
      <w:tabs>
        <w:tab w:val="left" w:pos="720"/>
      </w:tabs>
      <w:spacing w:after="0" w:line="240" w:lineRule="auto"/>
    </w:pPr>
    <w:rPr>
      <w:rFonts w:ascii="Times New Roman" w:hAnsi="Times New Roman"/>
    </w:rPr>
  </w:style>
  <w:style w:type="character" w:customStyle="1" w:styleId="200">
    <w:name w:val="font41"/>
    <w:qFormat/>
    <w:uiPriority w:val="0"/>
    <w:rPr>
      <w:rFonts w:hint="eastAsia" w:ascii="宋体" w:hAnsi="宋体" w:eastAsia="宋体" w:cs="宋体"/>
      <w:color w:val="000000"/>
      <w:sz w:val="21"/>
      <w:szCs w:val="21"/>
      <w:u w:val="none"/>
    </w:rPr>
  </w:style>
  <w:style w:type="paragraph" w:customStyle="1" w:styleId="201">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2">
    <w:name w:val="Table Paragraph"/>
    <w:basedOn w:val="1"/>
    <w:unhideWhenUsed/>
    <w:qFormat/>
    <w:uiPriority w:val="1"/>
    <w:pPr>
      <w:widowControl w:val="0"/>
      <w:jc w:val="both"/>
    </w:pPr>
    <w:rPr>
      <w:rFonts w:ascii="Calibri" w:hAnsi="Calibri"/>
      <w:kern w:val="2"/>
    </w:rPr>
  </w:style>
  <w:style w:type="paragraph" w:customStyle="1" w:styleId="203">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3</TotalTime>
  <ScaleCrop>false</ScaleCrop>
  <LinksUpToDate>false</LinksUpToDate>
  <CharactersWithSpaces>28099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王先生</cp:lastModifiedBy>
  <cp:lastPrinted>2014-07-14T08:51:00Z</cp:lastPrinted>
  <dcterms:modified xsi:type="dcterms:W3CDTF">2021-11-05T05:26:33Z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6A75E23F8D48480199BCB04E60D9B6B2</vt:lpwstr>
  </property>
</Properties>
</file>