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olor w:val="000000" w:themeColor="text1"/>
          <w:sz w:val="30"/>
          <w:szCs w:val="30"/>
          <w:lang w:eastAsia="zh-CN"/>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招标编号：510114202100248</w:t>
      </w:r>
    </w:p>
    <w:p>
      <w:pPr>
        <w:rPr>
          <w:rFonts w:ascii="黑体" w:hAnsi="黑体" w:eastAsia="黑体"/>
          <w:color w:val="000000" w:themeColor="text1"/>
          <w:sz w:val="52"/>
          <w:szCs w:val="52"/>
          <w14:textFill>
            <w14:solidFill>
              <w14:schemeClr w14:val="tx1"/>
            </w14:solidFill>
          </w14:textFill>
        </w:rPr>
      </w:pPr>
    </w:p>
    <w:p>
      <w:pPr>
        <w:jc w:val="center"/>
        <w:rPr>
          <w:rFonts w:hint="eastAsia" w:ascii="黑体" w:hAnsi="黑体" w:eastAsia="黑体"/>
          <w:color w:val="000000" w:themeColor="text1"/>
          <w:sz w:val="48"/>
          <w:szCs w:val="48"/>
          <w:lang w:eastAsia="zh-CN"/>
          <w14:textFill>
            <w14:solidFill>
              <w14:schemeClr w14:val="tx1"/>
            </w14:solidFill>
          </w14:textFill>
        </w:rPr>
      </w:pPr>
      <w:r>
        <w:rPr>
          <w:rFonts w:hint="eastAsia" w:ascii="黑体" w:hAnsi="黑体" w:eastAsia="黑体"/>
          <w:color w:val="000000" w:themeColor="text1"/>
          <w:sz w:val="48"/>
          <w:szCs w:val="48"/>
          <w:lang w:eastAsia="zh-CN"/>
          <w14:textFill>
            <w14:solidFill>
              <w14:schemeClr w14:val="tx1"/>
            </w14:solidFill>
          </w14:textFill>
        </w:rPr>
        <w:t>成都市新都区应急管理局新都区以推进清单制管理提档升级将责任压实到最小工作单元服务采购项目</w:t>
      </w:r>
    </w:p>
    <w:p>
      <w:pPr>
        <w:rPr>
          <w:rFonts w:ascii="黑体" w:hAnsi="黑体" w:eastAsia="黑体"/>
          <w:color w:val="000000" w:themeColor="text1"/>
          <w:sz w:val="52"/>
          <w:szCs w:val="52"/>
          <w14:textFill>
            <w14:solidFill>
              <w14:schemeClr w14:val="tx1"/>
            </w14:solidFill>
          </w14:textFill>
        </w:rPr>
      </w:pPr>
    </w:p>
    <w:p>
      <w:pPr>
        <w:tabs>
          <w:tab w:val="left" w:pos="2505"/>
          <w:tab w:val="center" w:pos="4204"/>
        </w:tabs>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招</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件</w:t>
      </w:r>
    </w:p>
    <w:p>
      <w:pPr>
        <w:spacing w:line="360" w:lineRule="auto"/>
        <w:rPr>
          <w:rFonts w:ascii="黑体" w:hAnsi="黑体" w:eastAsia="黑体"/>
          <w:color w:val="000000" w:themeColor="text1"/>
          <w:sz w:val="32"/>
          <w:szCs w:val="32"/>
          <w14:textFill>
            <w14:solidFill>
              <w14:schemeClr w14:val="tx1"/>
            </w14:solidFill>
          </w14:textFill>
        </w:rPr>
      </w:pPr>
    </w:p>
    <w:p>
      <w:pPr>
        <w:pStyle w:val="2"/>
      </w:pPr>
    </w:p>
    <w:p>
      <w:pPr>
        <w:pStyle w:val="40"/>
      </w:pPr>
    </w:p>
    <w:p>
      <w:pPr>
        <w:spacing w:line="360" w:lineRule="auto"/>
        <w:jc w:val="center"/>
        <w:rPr>
          <w:rFonts w:hint="eastAsia" w:ascii="黑体" w:hAnsi="黑体" w:eastAsia="黑体" w:cs="宋体"/>
          <w:color w:val="000000" w:themeColor="text1"/>
          <w:sz w:val="32"/>
          <w:szCs w:val="32"/>
          <w:lang w:eastAsia="zh-CN"/>
          <w14:textFill>
            <w14:solidFill>
              <w14:schemeClr w14:val="tx1"/>
            </w14:solidFill>
          </w14:textFill>
        </w:rPr>
      </w:pPr>
      <w:r>
        <w:rPr>
          <w:rFonts w:hint="eastAsia" w:ascii="黑体" w:hAnsi="黑体" w:eastAsia="黑体" w:cs="宋体"/>
          <w:color w:val="000000" w:themeColor="text1"/>
          <w:sz w:val="32"/>
          <w:szCs w:val="32"/>
          <w:lang w:eastAsia="zh-CN"/>
          <w14:textFill>
            <w14:solidFill>
              <w14:schemeClr w14:val="tx1"/>
            </w14:solidFill>
          </w14:textFill>
        </w:rPr>
        <w:t>成都市新都区应急管理局</w:t>
      </w:r>
    </w:p>
    <w:p>
      <w:pPr>
        <w:spacing w:line="360" w:lineRule="auto"/>
        <w:jc w:val="center"/>
        <w:rPr>
          <w:rFonts w:hint="eastAsia" w:ascii="黑体" w:hAnsi="黑体" w:eastAsia="黑体" w:cs="宋体"/>
          <w:color w:val="000000" w:themeColor="text1"/>
          <w:sz w:val="32"/>
          <w:szCs w:val="32"/>
          <w:lang w:eastAsia="zh-CN"/>
          <w14:textFill>
            <w14:solidFill>
              <w14:schemeClr w14:val="tx1"/>
            </w14:solidFill>
          </w14:textFill>
        </w:rPr>
      </w:pPr>
      <w:r>
        <w:rPr>
          <w:rFonts w:hint="eastAsia" w:ascii="黑体" w:hAnsi="黑体" w:eastAsia="黑体" w:cs="宋体"/>
          <w:color w:val="000000" w:themeColor="text1"/>
          <w:sz w:val="32"/>
          <w:szCs w:val="32"/>
          <w:lang w:eastAsia="zh-CN"/>
          <w14:textFill>
            <w14:solidFill>
              <w14:schemeClr w14:val="tx1"/>
            </w14:solidFill>
          </w14:textFill>
        </w:rPr>
        <w:t>成都文瀚建设工程咨询有限公司</w:t>
      </w:r>
    </w:p>
    <w:p>
      <w:pPr>
        <w:spacing w:line="360" w:lineRule="auto"/>
        <w:jc w:val="center"/>
        <w:rPr>
          <w:rFonts w:ascii="黑体" w:hAnsi="黑体" w:eastAsia="黑体" w:cs="宋体"/>
          <w:color w:val="000000" w:themeColor="text1"/>
          <w:sz w:val="32"/>
          <w:szCs w:val="32"/>
          <w14:textFill>
            <w14:solidFill>
              <w14:schemeClr w14:val="tx1"/>
            </w14:solidFill>
          </w14:textFill>
        </w:rPr>
      </w:pPr>
      <w:r>
        <w:rPr>
          <w:rFonts w:hint="eastAsia" w:ascii="黑体" w:hAnsi="黑体" w:eastAsia="黑体" w:cs="宋体"/>
          <w:color w:val="000000" w:themeColor="text1"/>
          <w:sz w:val="32"/>
          <w:szCs w:val="32"/>
          <w14:textFill>
            <w14:solidFill>
              <w14:schemeClr w14:val="tx1"/>
            </w14:solidFill>
          </w14:textFill>
        </w:rPr>
        <w:t>共同编制</w:t>
      </w:r>
    </w:p>
    <w:p>
      <w:pPr>
        <w:spacing w:line="360" w:lineRule="auto"/>
        <w:jc w:val="center"/>
        <w:rPr>
          <w:rFonts w:ascii="黑体" w:hAnsi="黑体" w:eastAsia="黑体"/>
          <w:color w:val="000000" w:themeColor="text1"/>
          <w:sz w:val="24"/>
          <w14:textFill>
            <w14:solidFill>
              <w14:schemeClr w14:val="tx1"/>
            </w14:solidFill>
          </w14:textFill>
        </w:rPr>
        <w:sectPr>
          <w:headerReference r:id="rId5" w:type="default"/>
          <w:footerReference r:id="rId6" w:type="default"/>
          <w:footerReference r:id="rId7"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color w:val="000000" w:themeColor="text1"/>
          <w:sz w:val="32"/>
          <w:szCs w:val="32"/>
          <w:lang w:val="zh-CN"/>
          <w14:textFill>
            <w14:solidFill>
              <w14:schemeClr w14:val="tx1"/>
            </w14:solidFill>
          </w14:textFill>
        </w:rPr>
        <w:t>2021</w:t>
      </w:r>
      <w:r>
        <w:rPr>
          <w:rFonts w:hint="eastAsia" w:ascii="黑体" w:hAnsi="黑体" w:eastAsia="黑体" w:cs="宋体"/>
          <w:color w:val="000000" w:themeColor="text1"/>
          <w:sz w:val="32"/>
          <w:szCs w:val="32"/>
          <w:lang w:val="zh-CN"/>
          <w14:textFill>
            <w14:solidFill>
              <w14:schemeClr w14:val="tx1"/>
            </w14:solidFill>
          </w14:textFill>
        </w:rPr>
        <w:t>年</w:t>
      </w:r>
      <w:r>
        <w:rPr>
          <w:rFonts w:hint="eastAsia" w:ascii="黑体" w:hAnsi="黑体" w:eastAsia="黑体" w:cs="宋体"/>
          <w:color w:val="000000" w:themeColor="text1"/>
          <w:sz w:val="32"/>
          <w:szCs w:val="32"/>
          <w:lang w:val="en-US" w:eastAsia="zh-CN"/>
          <w14:textFill>
            <w14:solidFill>
              <w14:schemeClr w14:val="tx1"/>
            </w14:solidFill>
          </w14:textFill>
        </w:rPr>
        <w:t>9</w:t>
      </w:r>
      <w:r>
        <w:rPr>
          <w:rFonts w:hint="eastAsia" w:ascii="黑体" w:hAnsi="黑体" w:eastAsia="黑体" w:cs="宋体"/>
          <w:color w:val="000000" w:themeColor="text1"/>
          <w:sz w:val="32"/>
          <w:szCs w:val="32"/>
          <w:lang w:val="zh-CN"/>
          <w14:textFill>
            <w14:solidFill>
              <w14:schemeClr w14:val="tx1"/>
            </w14:solidFill>
          </w14:textFill>
        </w:rPr>
        <w:t>月</w:t>
      </w:r>
    </w:p>
    <w:p>
      <w:pPr>
        <w:jc w:val="center"/>
        <w:rPr>
          <w:rFonts w:ascii="仿宋" w:hAnsi="仿宋" w:eastAsia="仿宋"/>
          <w:b/>
          <w:bCs/>
          <w:color w:val="000000" w:themeColor="text1"/>
          <w:sz w:val="36"/>
          <w:szCs w:val="36"/>
          <w14:textFill>
            <w14:solidFill>
              <w14:schemeClr w14:val="tx1"/>
            </w14:solidFill>
          </w14:textFill>
        </w:rPr>
      </w:pPr>
      <w:bookmarkStart w:id="0" w:name="_Hlt101233737"/>
      <w:bookmarkEnd w:id="0"/>
      <w:bookmarkStart w:id="1" w:name="_Hlt101843627"/>
      <w:bookmarkEnd w:id="1"/>
      <w:r>
        <w:rPr>
          <w:rFonts w:hint="eastAsia" w:ascii="仿宋" w:hAnsi="仿宋" w:eastAsia="仿宋"/>
          <w:b/>
          <w:bCs/>
          <w:color w:val="000000" w:themeColor="text1"/>
          <w:sz w:val="36"/>
          <w:szCs w:val="36"/>
          <w14:textFill>
            <w14:solidFill>
              <w14:schemeClr w14:val="tx1"/>
            </w14:solidFill>
          </w14:textFill>
        </w:rPr>
        <w:t>目    录</w:t>
      </w:r>
    </w:p>
    <w:p>
      <w:pPr>
        <w:jc w:val="center"/>
        <w:rPr>
          <w:rFonts w:ascii="仿宋" w:hAnsi="仿宋" w:eastAsia="仿宋"/>
          <w:b/>
          <w:bCs/>
          <w:color w:val="000000" w:themeColor="text1"/>
          <w:sz w:val="36"/>
          <w:szCs w:val="36"/>
          <w14:textFill>
            <w14:solidFill>
              <w14:schemeClr w14:val="tx1"/>
            </w14:solidFill>
          </w14:textFill>
        </w:rPr>
      </w:pPr>
    </w:p>
    <w:p>
      <w:pPr>
        <w:pStyle w:val="20"/>
        <w:tabs>
          <w:tab w:val="right" w:leader="middleDot" w:pos="8949"/>
        </w:tabs>
        <w:rPr>
          <w:rFonts w:asciiTheme="minorHAnsi" w:hAnsiTheme="minorHAnsi" w:eastAsiaTheme="minorEastAsia" w:cstheme="minorBidi"/>
          <w:szCs w:val="22"/>
        </w:rPr>
      </w:pPr>
      <w:r>
        <w:rPr>
          <w:rFonts w:hint="eastAsia" w:ascii="仿宋" w:hAnsi="仿宋" w:eastAsia="仿宋" w:cs="宋体"/>
          <w:color w:val="000000" w:themeColor="text1"/>
          <w:sz w:val="28"/>
          <w:szCs w:val="28"/>
          <w14:textFill>
            <w14:solidFill>
              <w14:schemeClr w14:val="tx1"/>
            </w14:solidFill>
          </w14:textFill>
        </w:rPr>
        <w:fldChar w:fldCharType="begin"/>
      </w:r>
      <w:r>
        <w:rPr>
          <w:rFonts w:hint="eastAsia" w:ascii="仿宋" w:hAnsi="仿宋" w:eastAsia="仿宋" w:cs="宋体"/>
          <w:color w:val="000000" w:themeColor="text1"/>
          <w:sz w:val="28"/>
          <w:szCs w:val="28"/>
          <w14:textFill>
            <w14:solidFill>
              <w14:schemeClr w14:val="tx1"/>
            </w14:solidFill>
          </w14:textFill>
        </w:rPr>
        <w:instrText xml:space="preserve">TOC \o "1-1" \h \u </w:instrText>
      </w:r>
      <w:r>
        <w:rPr>
          <w:rFonts w:hint="eastAsia" w:ascii="仿宋" w:hAnsi="仿宋" w:eastAsia="仿宋" w:cs="宋体"/>
          <w:color w:val="000000" w:themeColor="text1"/>
          <w:sz w:val="28"/>
          <w:szCs w:val="28"/>
          <w14:textFill>
            <w14:solidFill>
              <w14:schemeClr w14:val="tx1"/>
            </w14:solidFill>
          </w14:textFill>
        </w:rPr>
        <w:fldChar w:fldCharType="separate"/>
      </w:r>
      <w:r>
        <w:fldChar w:fldCharType="begin"/>
      </w:r>
      <w:r>
        <w:instrText xml:space="preserve"> HYPERLINK \l "_Toc74312825" </w:instrText>
      </w:r>
      <w:r>
        <w:fldChar w:fldCharType="separate"/>
      </w:r>
      <w:r>
        <w:rPr>
          <w:rStyle w:val="35"/>
          <w:rFonts w:hint="eastAsia" w:ascii="仿宋" w:hAnsi="仿宋" w:eastAsia="仿宋"/>
        </w:rPr>
        <w:t>第一章</w:t>
      </w:r>
      <w:r>
        <w:rPr>
          <w:rStyle w:val="35"/>
          <w:rFonts w:ascii="仿宋" w:hAnsi="仿宋" w:eastAsia="仿宋"/>
        </w:rPr>
        <w:t xml:space="preserve">  </w:t>
      </w:r>
      <w:r>
        <w:rPr>
          <w:rStyle w:val="35"/>
          <w:rFonts w:hint="eastAsia" w:ascii="仿宋" w:hAnsi="仿宋" w:eastAsia="仿宋"/>
        </w:rPr>
        <w:t>投标邀请</w:t>
      </w:r>
      <w:r>
        <w:tab/>
      </w:r>
      <w:r>
        <w:fldChar w:fldCharType="begin"/>
      </w:r>
      <w:r>
        <w:instrText xml:space="preserve"> PAGEREF _Toc74312825 \h </w:instrText>
      </w:r>
      <w:r>
        <w:fldChar w:fldCharType="separate"/>
      </w:r>
      <w:r>
        <w:t>3</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"_Toc74312826" </w:instrText>
      </w:r>
      <w:r>
        <w:fldChar w:fldCharType="separate"/>
      </w:r>
      <w:r>
        <w:rPr>
          <w:rStyle w:val="35"/>
          <w:rFonts w:hint="eastAsia" w:ascii="仿宋" w:hAnsi="仿宋" w:eastAsia="仿宋"/>
        </w:rPr>
        <w:t>第二章</w:t>
      </w:r>
      <w:r>
        <w:rPr>
          <w:rStyle w:val="35"/>
          <w:rFonts w:ascii="仿宋" w:hAnsi="仿宋" w:eastAsia="仿宋"/>
        </w:rPr>
        <w:t xml:space="preserve">  </w:t>
      </w:r>
      <w:r>
        <w:rPr>
          <w:rStyle w:val="35"/>
          <w:rFonts w:hint="eastAsia" w:ascii="仿宋" w:hAnsi="仿宋" w:eastAsia="仿宋"/>
        </w:rPr>
        <w:t>投标人须知</w:t>
      </w:r>
      <w:r>
        <w:tab/>
      </w:r>
      <w:r>
        <w:fldChar w:fldCharType="begin"/>
      </w:r>
      <w:r>
        <w:instrText xml:space="preserve"> PAGEREF _Toc74312826 \h </w:instrText>
      </w:r>
      <w:r>
        <w:fldChar w:fldCharType="separate"/>
      </w:r>
      <w:r>
        <w:t>6</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"_Toc74312827" </w:instrText>
      </w:r>
      <w:r>
        <w:fldChar w:fldCharType="separate"/>
      </w:r>
      <w:r>
        <w:rPr>
          <w:rStyle w:val="35"/>
          <w:rFonts w:hint="eastAsia" w:ascii="仿宋" w:hAnsi="仿宋" w:eastAsia="仿宋"/>
        </w:rPr>
        <w:t>第三章</w:t>
      </w:r>
      <w:r>
        <w:rPr>
          <w:rStyle w:val="35"/>
          <w:rFonts w:ascii="仿宋" w:hAnsi="仿宋" w:eastAsia="仿宋"/>
        </w:rPr>
        <w:t xml:space="preserve">  </w:t>
      </w:r>
      <w:r>
        <w:rPr>
          <w:rStyle w:val="35"/>
          <w:rFonts w:hint="eastAsia" w:ascii="仿宋" w:hAnsi="仿宋" w:eastAsia="仿宋"/>
        </w:rPr>
        <w:t>投标文件格式</w:t>
      </w:r>
      <w:r>
        <w:tab/>
      </w:r>
      <w:r>
        <w:fldChar w:fldCharType="begin"/>
      </w:r>
      <w:r>
        <w:instrText xml:space="preserve"> PAGEREF _Toc74312827 \h </w:instrText>
      </w:r>
      <w:r>
        <w:fldChar w:fldCharType="separate"/>
      </w:r>
      <w:r>
        <w:t>22</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"_Toc74312828" </w:instrText>
      </w:r>
      <w:r>
        <w:fldChar w:fldCharType="separate"/>
      </w:r>
      <w:r>
        <w:rPr>
          <w:rStyle w:val="35"/>
          <w:rFonts w:hint="eastAsia" w:ascii="仿宋" w:hAnsi="仿宋" w:eastAsia="仿宋"/>
        </w:rPr>
        <w:t>第四章</w:t>
      </w:r>
      <w:r>
        <w:rPr>
          <w:rStyle w:val="35"/>
          <w:rFonts w:ascii="仿宋" w:hAnsi="仿宋" w:eastAsia="仿宋"/>
        </w:rPr>
        <w:t xml:space="preserve">  </w:t>
      </w:r>
      <w:r>
        <w:rPr>
          <w:rStyle w:val="35"/>
          <w:rFonts w:hint="eastAsia" w:ascii="仿宋" w:hAnsi="仿宋" w:eastAsia="仿宋"/>
        </w:rPr>
        <w:t>投标人和投标产品的资格、资质性及其他类似效力要求</w:t>
      </w:r>
      <w:r>
        <w:tab/>
      </w:r>
      <w:r>
        <w:fldChar w:fldCharType="begin"/>
      </w:r>
      <w:r>
        <w:instrText xml:space="preserve"> PAGEREF _Toc74312828 \h </w:instrText>
      </w:r>
      <w:r>
        <w:fldChar w:fldCharType="separate"/>
      </w:r>
      <w:r>
        <w:t>46</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"_Toc74312829" </w:instrText>
      </w:r>
      <w:r>
        <w:fldChar w:fldCharType="separate"/>
      </w:r>
      <w:r>
        <w:rPr>
          <w:rStyle w:val="35"/>
          <w:rFonts w:hint="eastAsia" w:ascii="仿宋" w:hAnsi="仿宋" w:eastAsia="仿宋"/>
        </w:rPr>
        <w:t>第五章  投标人应当提供的资格、资质性及其他类似效力要求的相关证明材料</w:t>
      </w:r>
      <w:r>
        <w:tab/>
      </w:r>
      <w:r>
        <w:fldChar w:fldCharType="begin"/>
      </w:r>
      <w:r>
        <w:instrText xml:space="preserve"> PAGEREF _Toc74312829 \h </w:instrText>
      </w:r>
      <w:r>
        <w:fldChar w:fldCharType="separate"/>
      </w:r>
      <w:r>
        <w:t>47</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"_Toc74312830" </w:instrText>
      </w:r>
      <w:r>
        <w:fldChar w:fldCharType="separate"/>
      </w:r>
      <w:r>
        <w:rPr>
          <w:rStyle w:val="35"/>
          <w:rFonts w:hint="eastAsia" w:ascii="仿宋" w:hAnsi="仿宋" w:eastAsia="仿宋"/>
        </w:rPr>
        <w:t>第六章</w:t>
      </w:r>
      <w:r>
        <w:rPr>
          <w:rStyle w:val="35"/>
          <w:rFonts w:ascii="仿宋" w:hAnsi="仿宋" w:eastAsia="仿宋"/>
        </w:rPr>
        <w:t xml:space="preserve">  </w:t>
      </w:r>
      <w:r>
        <w:rPr>
          <w:rStyle w:val="35"/>
          <w:rFonts w:hint="eastAsia" w:ascii="仿宋" w:hAnsi="仿宋" w:eastAsia="仿宋"/>
        </w:rPr>
        <w:t>招标项目技术、服务、政府采购合同内容条款及其他商务要求</w:t>
      </w:r>
      <w:r>
        <w:tab/>
      </w:r>
      <w:r>
        <w:fldChar w:fldCharType="begin"/>
      </w:r>
      <w:r>
        <w:instrText xml:space="preserve"> PAGEREF _Toc74312830 \h </w:instrText>
      </w:r>
      <w:r>
        <w:fldChar w:fldCharType="separate"/>
      </w:r>
      <w:r>
        <w:t>49</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"_Toc74312831" </w:instrText>
      </w:r>
      <w:r>
        <w:fldChar w:fldCharType="separate"/>
      </w:r>
      <w:r>
        <w:rPr>
          <w:rStyle w:val="35"/>
          <w:rFonts w:hint="eastAsia" w:ascii="仿宋" w:hAnsi="仿宋" w:eastAsia="仿宋"/>
        </w:rPr>
        <w:t>第七章</w:t>
      </w:r>
      <w:r>
        <w:rPr>
          <w:rStyle w:val="35"/>
          <w:rFonts w:ascii="仿宋" w:hAnsi="仿宋" w:eastAsia="仿宋"/>
        </w:rPr>
        <w:t xml:space="preserve">  </w:t>
      </w:r>
      <w:r>
        <w:rPr>
          <w:rStyle w:val="35"/>
          <w:rFonts w:hint="eastAsia" w:ascii="仿宋" w:hAnsi="仿宋" w:eastAsia="仿宋"/>
        </w:rPr>
        <w:t>评标办法</w:t>
      </w:r>
      <w:r>
        <w:tab/>
      </w:r>
      <w:r>
        <w:fldChar w:fldCharType="begin"/>
      </w:r>
      <w:r>
        <w:instrText xml:space="preserve"> PAGEREF _Toc74312831 \h </w:instrText>
      </w:r>
      <w:r>
        <w:fldChar w:fldCharType="separate"/>
      </w:r>
      <w:r>
        <w:t>52</w:t>
      </w:r>
      <w:r>
        <w:fldChar w:fldCharType="end"/>
      </w:r>
      <w:r>
        <w:fldChar w:fldCharType="end"/>
      </w:r>
    </w:p>
    <w:p>
      <w:pPr>
        <w:pStyle w:val="20"/>
        <w:tabs>
          <w:tab w:val="right" w:leader="middleDot" w:pos="8949"/>
        </w:tabs>
        <w:rPr>
          <w:rFonts w:asciiTheme="minorHAnsi" w:hAnsiTheme="minorHAnsi" w:eastAsiaTheme="minorEastAsia" w:cstheme="minorBidi"/>
          <w:szCs w:val="22"/>
        </w:rPr>
      </w:pPr>
      <w:r>
        <w:fldChar w:fldCharType="begin"/>
      </w:r>
      <w:r>
        <w:instrText xml:space="preserve"> HYPERLINK \l "_Toc74312832" </w:instrText>
      </w:r>
      <w:r>
        <w:fldChar w:fldCharType="separate"/>
      </w:r>
      <w:r>
        <w:rPr>
          <w:rStyle w:val="35"/>
          <w:rFonts w:hint="eastAsia" w:ascii="仿宋" w:hAnsi="仿宋" w:eastAsia="仿宋"/>
        </w:rPr>
        <w:t>第八章</w:t>
      </w:r>
      <w:r>
        <w:rPr>
          <w:rStyle w:val="35"/>
          <w:rFonts w:ascii="仿宋" w:hAnsi="仿宋" w:eastAsia="仿宋"/>
        </w:rPr>
        <w:t xml:space="preserve">  </w:t>
      </w:r>
      <w:r>
        <w:rPr>
          <w:rStyle w:val="35"/>
          <w:rFonts w:hint="eastAsia" w:ascii="仿宋" w:hAnsi="仿宋" w:eastAsia="仿宋"/>
        </w:rPr>
        <w:t>政府采购合同</w:t>
      </w:r>
      <w:r>
        <w:tab/>
      </w:r>
      <w:r>
        <w:fldChar w:fldCharType="begin"/>
      </w:r>
      <w:r>
        <w:instrText xml:space="preserve"> PAGEREF _Toc74312832 \h </w:instrText>
      </w:r>
      <w:r>
        <w:fldChar w:fldCharType="separate"/>
      </w:r>
      <w:r>
        <w:t>62</w:t>
      </w:r>
      <w:r>
        <w:fldChar w:fldCharType="end"/>
      </w:r>
      <w:r>
        <w:fldChar w:fldCharType="end"/>
      </w:r>
    </w:p>
    <w:p>
      <w:pPr>
        <w:spacing w:line="480" w:lineRule="auto"/>
        <w:rPr>
          <w:rFonts w:ascii="仿宋" w:hAnsi="仿宋" w:eastAsia="仿宋"/>
          <w:color w:val="000000" w:themeColor="text1"/>
          <w:sz w:val="28"/>
          <w:szCs w:val="28"/>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s="宋体"/>
          <w:color w:val="000000" w:themeColor="text1"/>
          <w:sz w:val="28"/>
          <w:szCs w:val="28"/>
          <w14:textFill>
            <w14:solidFill>
              <w14:schemeClr w14:val="tx1"/>
            </w14:solidFill>
          </w14:textFill>
        </w:rPr>
        <w:fldChar w:fldCharType="end"/>
      </w:r>
      <w:bookmarkStart w:id="2" w:name="_Toc24584"/>
    </w:p>
    <w:p>
      <w:pPr>
        <w:pStyle w:val="3"/>
        <w:spacing w:line="240" w:lineRule="atLeast"/>
        <w:jc w:val="center"/>
        <w:rPr>
          <w:rFonts w:ascii="仿宋" w:hAnsi="仿宋" w:eastAsia="仿宋"/>
          <w:color w:val="000000" w:themeColor="text1"/>
          <w:sz w:val="36"/>
          <w:szCs w:val="36"/>
          <w14:textFill>
            <w14:solidFill>
              <w14:schemeClr w14:val="tx1"/>
            </w14:solidFill>
          </w14:textFill>
        </w:rPr>
      </w:pPr>
      <w:bookmarkStart w:id="3" w:name="_Toc74312825"/>
      <w:r>
        <w:rPr>
          <w:rFonts w:hint="eastAsia" w:ascii="仿宋" w:hAnsi="仿宋" w:eastAsia="仿宋"/>
          <w:color w:val="000000" w:themeColor="text1"/>
          <w:sz w:val="36"/>
          <w:szCs w:val="36"/>
          <w14:textFill>
            <w14:solidFill>
              <w14:schemeClr w14:val="tx1"/>
            </w14:solidFill>
          </w14:textFill>
        </w:rPr>
        <w:t>第一章  投标邀请</w:t>
      </w:r>
      <w:bookmarkEnd w:id="2"/>
      <w:bookmarkEnd w:id="3"/>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u w:val="single"/>
          <w:lang w:eastAsia="zh-CN"/>
          <w14:textFill>
            <w14:solidFill>
              <w14:schemeClr w14:val="tx1"/>
            </w14:solidFill>
          </w14:textFill>
        </w:rPr>
        <w:t>成都文瀚建设工程咨询有限公司</w:t>
      </w:r>
      <w:r>
        <w:rPr>
          <w:rFonts w:hint="eastAsia" w:ascii="仿宋" w:hAnsi="仿宋" w:eastAsia="仿宋" w:cs="宋体"/>
          <w:color w:val="000000" w:themeColor="text1"/>
          <w:sz w:val="24"/>
          <w14:textFill>
            <w14:solidFill>
              <w14:schemeClr w14:val="tx1"/>
            </w14:solidFill>
          </w14:textFill>
        </w:rPr>
        <w:t>受</w:t>
      </w:r>
      <w:r>
        <w:rPr>
          <w:rFonts w:hint="eastAsia" w:ascii="仿宋" w:hAnsi="仿宋" w:eastAsia="仿宋" w:cs="宋体"/>
          <w:color w:val="000000" w:themeColor="text1"/>
          <w:sz w:val="24"/>
          <w:u w:val="single"/>
          <w:lang w:eastAsia="zh-CN"/>
          <w14:textFill>
            <w14:solidFill>
              <w14:schemeClr w14:val="tx1"/>
            </w14:solidFill>
          </w14:textFill>
        </w:rPr>
        <w:t>成都市新都区应急管理局</w:t>
      </w:r>
      <w:r>
        <w:rPr>
          <w:rFonts w:hint="eastAsia" w:ascii="仿宋" w:hAnsi="仿宋" w:eastAsia="仿宋" w:cs="宋体"/>
          <w:color w:val="000000" w:themeColor="text1"/>
          <w:sz w:val="24"/>
          <w14:textFill>
            <w14:solidFill>
              <w14:schemeClr w14:val="tx1"/>
            </w14:solidFill>
          </w14:textFill>
        </w:rPr>
        <w:t>委托，拟对</w:t>
      </w:r>
      <w:bookmarkStart w:id="4" w:name="PO_默认文件内容_4"/>
      <w:r>
        <w:rPr>
          <w:rFonts w:hint="eastAsia" w:ascii="仿宋" w:hAnsi="仿宋" w:eastAsia="仿宋" w:cs="宋体"/>
          <w:color w:val="000000" w:themeColor="text1"/>
          <w:sz w:val="24"/>
          <w:u w:val="single"/>
          <w:lang w:eastAsia="zh-CN"/>
          <w14:textFill>
            <w14:solidFill>
              <w14:schemeClr w14:val="tx1"/>
            </w14:solidFill>
          </w14:textFill>
        </w:rPr>
        <w:t>成都市新都区应急管理局新都区以推进清单制管理提档升级将责任压实到最小工作单元服务采购项目</w:t>
      </w:r>
      <w:r>
        <w:rPr>
          <w:rFonts w:hint="eastAsia" w:ascii="仿宋" w:hAnsi="仿宋" w:eastAsia="仿宋" w:cs="宋体"/>
          <w:color w:val="000000" w:themeColor="text1"/>
          <w:sz w:val="24"/>
          <w14:textFill>
            <w14:solidFill>
              <w14:schemeClr w14:val="tx1"/>
            </w14:solidFill>
          </w14:textFill>
        </w:rPr>
        <w:t>进行国内</w:t>
      </w:r>
      <w:r>
        <w:rPr>
          <w:rFonts w:hint="eastAsia" w:ascii="仿宋" w:hAnsi="仿宋" w:eastAsia="仿宋" w:cs="宋体"/>
          <w:color w:val="000000" w:themeColor="text1"/>
          <w:sz w:val="24"/>
          <w:u w:val="single"/>
          <w14:textFill>
            <w14:solidFill>
              <w14:schemeClr w14:val="tx1"/>
            </w14:solidFill>
          </w14:textFill>
        </w:rPr>
        <w:t>公开招标</w:t>
      </w:r>
      <w:r>
        <w:rPr>
          <w:rFonts w:hint="eastAsia" w:ascii="仿宋" w:hAnsi="仿宋" w:eastAsia="仿宋" w:cs="宋体"/>
          <w:color w:val="000000" w:themeColor="text1"/>
          <w:sz w:val="24"/>
          <w14:textFill>
            <w14:solidFill>
              <w14:schemeClr w14:val="tx1"/>
            </w14:solidFill>
          </w14:textFill>
        </w:rPr>
        <w:t>，兹邀请符合本次招标要求的供应商参加投标。</w:t>
      </w:r>
      <w:bookmarkEnd w:id="4"/>
    </w:p>
    <w:p>
      <w:pPr>
        <w:spacing w:line="360" w:lineRule="auto"/>
        <w:ind w:firstLine="482" w:firstLineChars="200"/>
        <w:rPr>
          <w:rFonts w:hint="eastAsia" w:ascii="仿宋" w:hAnsi="仿宋" w:eastAsia="仿宋"/>
          <w:b/>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一、招标编号：</w:t>
      </w:r>
      <w:r>
        <w:rPr>
          <w:rFonts w:hint="eastAsia" w:ascii="仿宋" w:hAnsi="仿宋" w:eastAsia="仿宋"/>
          <w:b/>
          <w:color w:val="000000" w:themeColor="text1"/>
          <w:sz w:val="24"/>
          <w:lang w:eastAsia="zh-CN"/>
          <w14:textFill>
            <w14:solidFill>
              <w14:schemeClr w14:val="tx1"/>
            </w14:solidFill>
          </w14:textFill>
        </w:rPr>
        <w:t>510114202100248</w:t>
      </w:r>
    </w:p>
    <w:p>
      <w:pPr>
        <w:spacing w:line="360" w:lineRule="auto"/>
        <w:ind w:right="31" w:rightChars="15" w:firstLine="482" w:firstLineChars="200"/>
        <w:rPr>
          <w:rFonts w:ascii="仿宋" w:hAnsi="仿宋" w:eastAsia="仿宋"/>
          <w:b/>
          <w:color w:val="000000" w:themeColor="text1"/>
          <w:sz w:val="24"/>
          <w:szCs w:val="32"/>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招标项目：</w:t>
      </w:r>
      <w:r>
        <w:rPr>
          <w:rFonts w:hint="eastAsia" w:ascii="仿宋" w:hAnsi="仿宋" w:eastAsia="仿宋"/>
          <w:bCs/>
          <w:color w:val="000000" w:themeColor="text1"/>
          <w:sz w:val="24"/>
          <w:szCs w:val="32"/>
          <w:lang w:eastAsia="zh-CN"/>
          <w14:textFill>
            <w14:solidFill>
              <w14:schemeClr w14:val="tx1"/>
            </w14:solidFill>
          </w14:textFill>
        </w:rPr>
        <w:t>成都市新都区应急管理局新都区以推进清单制管理提档升级将责任压实到最小工作单元服务采购项目</w:t>
      </w:r>
      <w:r>
        <w:rPr>
          <w:rFonts w:hint="eastAsia" w:ascii="仿宋" w:hAnsi="仿宋" w:eastAsia="仿宋"/>
          <w:b/>
          <w:color w:val="000000" w:themeColor="text1"/>
          <w:sz w:val="24"/>
          <w:szCs w:val="32"/>
          <w14:textFill>
            <w14:solidFill>
              <w14:schemeClr w14:val="tx1"/>
            </w14:solidFill>
          </w14:textFill>
        </w:rPr>
        <w:t>。</w:t>
      </w:r>
    </w:p>
    <w:p>
      <w:pPr>
        <w:spacing w:line="360" w:lineRule="auto"/>
        <w:ind w:right="31" w:rightChars="15"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三、资金来源：</w:t>
      </w:r>
      <w:r>
        <w:rPr>
          <w:rFonts w:hint="eastAsia" w:ascii="仿宋" w:hAnsi="仿宋" w:eastAsia="仿宋"/>
          <w:color w:val="000000" w:themeColor="text1"/>
          <w:sz w:val="24"/>
          <w:lang w:val="en-US" w:eastAsia="zh-CN"/>
          <w14:textFill>
            <w14:solidFill>
              <w14:schemeClr w14:val="tx1"/>
            </w14:solidFill>
          </w14:textFill>
        </w:rPr>
        <w:t>财政</w:t>
      </w:r>
      <w:r>
        <w:rPr>
          <w:rFonts w:hint="eastAsia" w:ascii="仿宋" w:hAnsi="仿宋" w:eastAsia="仿宋"/>
          <w:color w:val="000000" w:themeColor="text1"/>
          <w:sz w:val="24"/>
          <w14:textFill>
            <w14:solidFill>
              <w14:schemeClr w14:val="tx1"/>
            </w14:solidFill>
          </w14:textFill>
        </w:rPr>
        <w:t>资金。</w:t>
      </w:r>
    </w:p>
    <w:p>
      <w:pPr>
        <w:spacing w:line="360" w:lineRule="auto"/>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招标项目简介：</w:t>
      </w:r>
    </w:p>
    <w:p>
      <w:pPr>
        <w:spacing w:line="360" w:lineRule="auto"/>
        <w:ind w:right="31" w:rightChars="15" w:firstLine="480" w:firstLineChars="200"/>
        <w:rPr>
          <w:rFonts w:hint="eastAsia" w:ascii="仿宋" w:hAnsi="仿宋" w:eastAsia="仿宋" w:cs="Times New Roman"/>
          <w:bCs/>
          <w:color w:val="000000" w:themeColor="text1"/>
          <w:sz w:val="24"/>
          <w:szCs w:val="32"/>
          <w:lang w:eastAsia="zh-CN"/>
          <w14:textFill>
            <w14:solidFill>
              <w14:schemeClr w14:val="tx1"/>
            </w14:solidFill>
          </w14:textFill>
        </w:rPr>
      </w:pPr>
      <w:bookmarkStart w:id="5" w:name="PO_默认文件内容_3"/>
      <w:r>
        <w:rPr>
          <w:rFonts w:hint="eastAsia" w:ascii="仿宋" w:hAnsi="仿宋" w:eastAsia="仿宋" w:cs="Times New Roman"/>
          <w:bCs/>
          <w:color w:val="000000" w:themeColor="text1"/>
          <w:sz w:val="24"/>
          <w:szCs w:val="32"/>
          <w:lang w:eastAsia="zh-CN"/>
          <w14:textFill>
            <w14:solidFill>
              <w14:schemeClr w14:val="tx1"/>
            </w14:solidFill>
          </w14:textFill>
        </w:rPr>
        <w:t xml:space="preserve">1、项目所在地：新都区 </w:t>
      </w:r>
    </w:p>
    <w:p>
      <w:pPr>
        <w:spacing w:line="360" w:lineRule="auto"/>
        <w:ind w:right="31" w:rightChars="15" w:firstLine="480" w:firstLineChars="200"/>
        <w:rPr>
          <w:rFonts w:hint="eastAsia" w:ascii="仿宋" w:hAnsi="仿宋" w:eastAsia="仿宋" w:cs="Times New Roman"/>
          <w:bCs/>
          <w:color w:val="000000" w:themeColor="text1"/>
          <w:sz w:val="24"/>
          <w:szCs w:val="32"/>
          <w:lang w:eastAsia="zh-CN"/>
          <w14:textFill>
            <w14:solidFill>
              <w14:schemeClr w14:val="tx1"/>
            </w14:solidFill>
          </w14:textFill>
        </w:rPr>
      </w:pPr>
      <w:r>
        <w:rPr>
          <w:rFonts w:hint="eastAsia" w:ascii="仿宋" w:hAnsi="仿宋" w:eastAsia="仿宋" w:cs="Times New Roman"/>
          <w:bCs/>
          <w:color w:val="000000" w:themeColor="text1"/>
          <w:sz w:val="24"/>
          <w:szCs w:val="32"/>
          <w:lang w:eastAsia="zh-CN"/>
          <w14:textFill>
            <w14:solidFill>
              <w14:schemeClr w14:val="tx1"/>
            </w14:solidFill>
          </w14:textFill>
        </w:rPr>
        <w:t>2、包件划分为：1个包件，详见招标文件第六章。</w:t>
      </w:r>
      <w:bookmarkEnd w:id="5"/>
    </w:p>
    <w:p>
      <w:pPr>
        <w:spacing w:line="360" w:lineRule="auto"/>
        <w:ind w:right="31" w:rightChars="15" w:firstLine="480" w:firstLineChars="200"/>
        <w:rPr>
          <w:rFonts w:hint="eastAsia" w:ascii="仿宋" w:hAnsi="仿宋" w:eastAsia="仿宋" w:cs="Times New Roman"/>
          <w:bCs/>
          <w:color w:val="000000" w:themeColor="text1"/>
          <w:sz w:val="24"/>
          <w:szCs w:val="32"/>
          <w:lang w:eastAsia="zh-CN"/>
          <w14:textFill>
            <w14:solidFill>
              <w14:schemeClr w14:val="tx1"/>
            </w14:solidFill>
          </w14:textFill>
        </w:rPr>
      </w:pPr>
      <w:r>
        <w:rPr>
          <w:rFonts w:hint="eastAsia" w:ascii="仿宋" w:hAnsi="仿宋" w:eastAsia="仿宋" w:cs="Times New Roman"/>
          <w:bCs/>
          <w:color w:val="000000" w:themeColor="text1"/>
          <w:sz w:val="24"/>
          <w:szCs w:val="32"/>
          <w:lang w:val="en-US" w:eastAsia="zh-CN"/>
          <w14:textFill>
            <w14:solidFill>
              <w14:schemeClr w14:val="tx1"/>
            </w14:solidFill>
          </w14:textFill>
        </w:rPr>
        <w:t>3、采购标的对应的中小企业划分标准所属行业：</w:t>
      </w:r>
      <w:r>
        <w:rPr>
          <w:rFonts w:hint="eastAsia" w:ascii="Times New Roman" w:hAnsi="Times New Roman" w:eastAsia="仿宋"/>
          <w:bCs/>
          <w:color w:val="000000" w:themeColor="text1"/>
          <w:sz w:val="24"/>
          <w:szCs w:val="32"/>
          <w14:textFill>
            <w14:solidFill>
              <w14:schemeClr w14:val="tx1"/>
            </w14:solidFill>
          </w14:textFill>
        </w:rPr>
        <w:t>科学研究和技术服务业</w:t>
      </w:r>
      <w:r>
        <w:rPr>
          <w:rFonts w:hint="eastAsia" w:ascii="仿宋" w:hAnsi="仿宋" w:eastAsia="仿宋" w:cs="Times New Roman"/>
          <w:bCs/>
          <w:color w:val="000000" w:themeColor="text1"/>
          <w:sz w:val="24"/>
          <w:szCs w:val="32"/>
          <w:lang w:val="en-US" w:eastAsia="zh-CN"/>
          <w14:textFill>
            <w14:solidFill>
              <w14:schemeClr w14:val="tx1"/>
            </w14:solidFill>
          </w14:textFill>
        </w:rPr>
        <w:t>。</w:t>
      </w:r>
    </w:p>
    <w:p>
      <w:pPr>
        <w:spacing w:after="120" w:afterLines="50" w:line="42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五、供应商参加本次政府采购活动，应当在提交投标文件前具备下列条件：</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bookmarkStart w:id="6" w:name="PO_供应商资格条件_1"/>
      <w:r>
        <w:rPr>
          <w:rFonts w:hint="eastAsia" w:ascii="仿宋" w:hAnsi="仿宋" w:eastAsia="仿宋" w:cs="Times New Roman"/>
          <w:color w:val="000000" w:themeColor="text1"/>
          <w:sz w:val="24"/>
          <w14:textFill>
            <w14:solidFill>
              <w14:schemeClr w14:val="tx1"/>
            </w14:solidFill>
          </w14:textFill>
        </w:rPr>
        <w:t>（一）符合《中华人民共和国政府采购法》第二十二条第一款的相关规定：</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1.具有独立承担民事责任的能力；</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2.具有良好的商业信誉和健全的财务会计制度；</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3.具有履行合同所必须的设备和专业技术能力；</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4.具有依法缴纳税收和社会保障资金的良好记录；</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5.参加本次政府采购活动前三年内，在经营活动中没有重大违法记录；</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6.法律、行政法规规定的其他条件：</w:t>
      </w:r>
    </w:p>
    <w:p>
      <w:pPr>
        <w:spacing w:after="50" w:line="420" w:lineRule="exact"/>
        <w:ind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（二）根据采购项目提出的特殊条件：</w:t>
      </w:r>
    </w:p>
    <w:p>
      <w:pPr>
        <w:spacing w:after="50" w:line="420" w:lineRule="exact"/>
        <w:ind w:firstLine="480" w:firstLineChars="200"/>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1.</w:t>
      </w:r>
      <w:r>
        <w:rPr>
          <w:rFonts w:hint="eastAsia" w:ascii="仿宋" w:hAnsi="仿宋" w:eastAsia="仿宋" w:cs="Times New Roman"/>
          <w:color w:val="000000" w:themeColor="text1"/>
          <w:sz w:val="24"/>
          <w:lang w:eastAsia="zh-CN"/>
          <w14:textFill>
            <w14:solidFill>
              <w14:schemeClr w14:val="tx1"/>
            </w14:solidFill>
          </w14:textFill>
        </w:rPr>
        <w:t>供应商单位及现任法定代表人、主要负责人不得具有行贿犯罪记录</w:t>
      </w:r>
      <w:r>
        <w:rPr>
          <w:rFonts w:hint="eastAsia" w:ascii="仿宋" w:hAnsi="仿宋" w:eastAsia="仿宋" w:cs="Times New Roman"/>
          <w:color w:val="000000" w:themeColor="text1"/>
          <w:sz w:val="24"/>
          <w:lang w:val="zh-CN" w:eastAsia="zh-CN"/>
          <w14:textFill>
            <w14:solidFill>
              <w14:schemeClr w14:val="tx1"/>
            </w14:solidFill>
          </w14:textFill>
        </w:rPr>
        <w:t>；</w:t>
      </w:r>
    </w:p>
    <w:p>
      <w:pPr>
        <w:spacing w:after="50" w:line="420" w:lineRule="exact"/>
        <w:ind w:firstLine="480" w:firstLineChars="200"/>
        <w:rPr>
          <w:rFonts w:hint="eastAsia"/>
          <w:lang w:val="zh-CN" w:eastAsia="zh-CN"/>
        </w:rPr>
      </w:pPr>
      <w:r>
        <w:rPr>
          <w:rFonts w:hint="eastAsia" w:ascii="仿宋" w:hAnsi="仿宋" w:eastAsia="仿宋" w:cs="Times New Roman"/>
          <w:color w:val="000000" w:themeColor="text1"/>
          <w:sz w:val="24"/>
          <w:lang w:val="en-US" w:eastAsia="zh-CN"/>
          <w14:textFill>
            <w14:solidFill>
              <w14:schemeClr w14:val="tx1"/>
            </w14:solidFill>
          </w14:textFill>
        </w:rPr>
        <w:t>（三）本项目按照《政府采购促进中小企业发展管理办法》的要求，若供应商非中小企业，供应商应承诺将中标总额的30%以上专门面向中小微企业进行分包，承担分包的中小微企业必须满足本项目的技术商务相关条件。</w:t>
      </w:r>
    </w:p>
    <w:p>
      <w:pPr>
        <w:spacing w:after="50" w:line="420" w:lineRule="exact"/>
        <w:ind w:firstLine="480" w:firstLineChars="200"/>
        <w:rPr>
          <w:color w:val="000000" w:themeColor="text1"/>
          <w:szCs w:val="21"/>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注：本项目不允许联合体参加。</w:t>
      </w:r>
    </w:p>
    <w:bookmarkEnd w:id="6"/>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000000" w:themeColor="text1"/>
          <w:sz w:val="24"/>
          <w14:textFill>
            <w14:solidFill>
              <w14:schemeClr w14:val="tx1"/>
            </w14:solidFill>
          </w14:textFill>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七、招标文件获取：</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招标文件获取时间：2021年</w:t>
      </w:r>
      <w:r>
        <w:rPr>
          <w:rFonts w:hint="eastAsia" w:ascii="仿宋" w:hAnsi="仿宋" w:eastAsia="仿宋"/>
          <w:color w:val="000000" w:themeColor="text1"/>
          <w:sz w:val="24"/>
          <w:lang w:val="en-US" w:eastAsia="zh-CN"/>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24</w:t>
      </w:r>
      <w:r>
        <w:rPr>
          <w:rFonts w:hint="eastAsia" w:ascii="仿宋" w:hAnsi="仿宋" w:eastAsia="仿宋"/>
          <w:color w:val="000000" w:themeColor="text1"/>
          <w:sz w:val="24"/>
          <w14:textFill>
            <w14:solidFill>
              <w14:schemeClr w14:val="tx1"/>
            </w14:solidFill>
          </w14:textFill>
        </w:rPr>
        <w:t>日9:00至2021年</w:t>
      </w:r>
      <w:r>
        <w:rPr>
          <w:rFonts w:hint="eastAsia" w:ascii="仿宋" w:hAnsi="仿宋" w:eastAsia="仿宋"/>
          <w:color w:val="000000" w:themeColor="text1"/>
          <w:sz w:val="24"/>
          <w:lang w:val="en-US" w:eastAsia="zh-CN"/>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29</w:t>
      </w:r>
      <w:r>
        <w:rPr>
          <w:rFonts w:hint="eastAsia" w:ascii="仿宋" w:hAnsi="仿宋" w:eastAsia="仿宋"/>
          <w:color w:val="000000" w:themeColor="text1"/>
          <w:sz w:val="24"/>
          <w14:textFill>
            <w14:solidFill>
              <w14:schemeClr w14:val="tx1"/>
            </w14:solidFill>
          </w14:textFill>
        </w:rPr>
        <w:t>日17：00（北京时间）</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color w:val="000000" w:themeColor="text1"/>
          <w:sz w:val="24"/>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14:textFill>
            <w14:solidFill>
              <w14:schemeClr w14:val="tx1"/>
            </w14:solidFill>
          </w14:textFill>
        </w:rPr>
        <w:fldChar w:fldCharType="end"/>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提示：</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（1）本项目招标文件免费获取。</w:t>
      </w:r>
      <w:bookmarkStart w:id="296" w:name="_GoBack"/>
      <w:bookmarkEnd w:id="296"/>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（3）本项目为电子招标投标项目，投标人参与本项目全过程中凡涉及系统操作请详见</w:t>
      </w:r>
      <w:r>
        <w:rPr>
          <w:rFonts w:hint="eastAsia" w:ascii="仿宋" w:hAnsi="仿宋" w:eastAsia="仿宋"/>
          <w:b/>
          <w:bCs/>
          <w:color w:val="000000" w:themeColor="text1"/>
          <w:sz w:val="24"/>
          <w14:textFill>
            <w14:solidFill>
              <w14:schemeClr w14:val="tx1"/>
            </w14:solidFill>
          </w14:textFill>
        </w:rPr>
        <w:t>《供应商政府采购项目电子交易操作指南》</w:t>
      </w:r>
      <w:r>
        <w:rPr>
          <w:rFonts w:hint="eastAsia" w:ascii="仿宋" w:hAnsi="仿宋" w:eastAsia="仿宋"/>
          <w:color w:val="000000" w:themeColor="text1"/>
          <w:sz w:val="24"/>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14:textFill>
            <w14:solidFill>
              <w14:schemeClr w14:val="tx1"/>
            </w14:solidFill>
          </w14:textFill>
        </w:rPr>
        <w:t>招标文件附件三-政府采购云平台使用介绍</w:t>
      </w:r>
      <w:r>
        <w:rPr>
          <w:rFonts w:hint="eastAsia" w:ascii="仿宋" w:hAnsi="仿宋" w:eastAsia="仿宋"/>
          <w:color w:val="000000" w:themeColor="text1"/>
          <w:sz w:val="24"/>
          <w14:textFill>
            <w14:solidFill>
              <w14:schemeClr w14:val="tx1"/>
            </w14:solidFill>
          </w14:textFill>
        </w:rPr>
        <w:t>）</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（4）政府采购云平台投标人注册地址：</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https://middle.zcygov.cn/v-settle-front/registry</w:t>
      </w:r>
    </w:p>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投标截止时间和开标时间：</w:t>
      </w:r>
      <w:r>
        <w:rPr>
          <w:rFonts w:ascii="仿宋" w:hAnsi="仿宋" w:eastAsia="仿宋"/>
          <w:color w:val="000000" w:themeColor="text1"/>
          <w:sz w:val="24"/>
          <w14:textFill>
            <w14:solidFill>
              <w14:schemeClr w14:val="tx1"/>
            </w14:solidFill>
          </w14:textFill>
        </w:rPr>
        <w:t>2021</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14</w:t>
      </w:r>
      <w:r>
        <w:rPr>
          <w:rFonts w:hint="eastAsia" w:ascii="仿宋" w:hAnsi="仿宋" w:eastAsia="仿宋"/>
          <w:color w:val="000000" w:themeColor="text1"/>
          <w:sz w:val="24"/>
          <w14:textFill>
            <w14:solidFill>
              <w14:schemeClr w14:val="tx1"/>
            </w14:solidFill>
          </w14:textFill>
        </w:rPr>
        <w:t>日</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:30</w:t>
      </w:r>
      <w:r>
        <w:rPr>
          <w:rFonts w:hint="eastAsia" w:ascii="仿宋" w:hAnsi="仿宋" w:eastAsia="仿宋"/>
          <w:color w:val="000000" w:themeColor="text1"/>
          <w:sz w:val="24"/>
          <w:szCs w:val="28"/>
          <w14:textFill>
            <w14:solidFill>
              <w14:schemeClr w14:val="tx1"/>
            </w14:solidFill>
          </w14:textFill>
        </w:rPr>
        <w:t>（北京时间）。</w:t>
      </w:r>
    </w:p>
    <w:p>
      <w:pPr>
        <w:pStyle w:val="12"/>
        <w:spacing w:after="120" w:afterLines="50" w:line="420" w:lineRule="exact"/>
        <w:ind w:firstLine="48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投标截止时间前，投标人应将加密的电子投标文件递交至“政府采购云平台”对应项目（包件）。</w:t>
      </w:r>
    </w:p>
    <w:p>
      <w:pPr>
        <w:spacing w:after="50" w:line="420" w:lineRule="exact"/>
        <w:ind w:firstLine="489" w:firstLineChars="203"/>
        <w:rPr>
          <w:rFonts w:ascii="仿宋" w:hAnsi="仿宋" w:eastAsia="仿宋"/>
          <w:b/>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九、开标地点：</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（1）本项目为不见面开标项目。</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（2）开标地点：政府采购云平台(https://www.zcygov.cn)。</w:t>
      </w:r>
    </w:p>
    <w:p>
      <w:pPr>
        <w:spacing w:after="50" w:line="420" w:lineRule="exact"/>
        <w:ind w:firstLine="487"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（3）本项目只接受投标人加密并递交至“政府采购云平台”的投标文件。</w:t>
      </w:r>
    </w:p>
    <w:p>
      <w:pPr>
        <w:pStyle w:val="54"/>
        <w:spacing w:line="420" w:lineRule="exact"/>
        <w:ind w:firstLine="482"/>
        <w:rPr>
          <w:rFonts w:ascii="仿宋" w:hAnsi="仿宋" w:eastAsia="仿宋"/>
          <w:b/>
          <w:color w:val="000000" w:themeColor="text1"/>
          <w:sz w:val="24"/>
          <w14:textFill>
            <w14:solidFill>
              <w14:schemeClr w14:val="tx1"/>
            </w14:solidFill>
          </w14:textFill>
        </w:rPr>
      </w:pPr>
      <w:bookmarkStart w:id="7" w:name="PO_默认文件内容_13"/>
      <w:r>
        <w:rPr>
          <w:rFonts w:hint="eastAsia" w:ascii="仿宋" w:hAnsi="仿宋" w:eastAsia="仿宋"/>
          <w:b/>
          <w:color w:val="000000" w:themeColor="text1"/>
          <w:sz w:val="24"/>
          <w14:textFill>
            <w14:solidFill>
              <w14:schemeClr w14:val="tx1"/>
            </w14:solidFill>
          </w14:textFill>
        </w:rPr>
        <w:t>十、本投标邀请在四川政府采购网上以公告形式发布。</w:t>
      </w:r>
      <w:bookmarkEnd w:id="7"/>
    </w:p>
    <w:p>
      <w:pPr>
        <w:pStyle w:val="54"/>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、联系方式</w:t>
      </w:r>
    </w:p>
    <w:p>
      <w:pPr>
        <w:spacing w:line="420" w:lineRule="exact"/>
        <w:ind w:firstLine="1265" w:firstLineChars="525"/>
        <w:rPr>
          <w:rFonts w:hint="eastAsia" w:ascii="仿宋" w:hAnsi="仿宋" w:eastAsia="仿宋"/>
          <w:b/>
          <w:color w:val="000000" w:themeColor="text1"/>
          <w:sz w:val="24"/>
          <w:lang w:eastAsia="zh-CN"/>
          <w14:textFill>
            <w14:solidFill>
              <w14:schemeClr w14:val="tx1"/>
            </w14:solidFill>
          </w14:textFill>
        </w:rPr>
      </w:pPr>
      <w:bookmarkStart w:id="8" w:name="_Toc12497"/>
      <w:bookmarkStart w:id="9" w:name="_Toc213496267"/>
      <w:bookmarkStart w:id="10" w:name="_Toc217446031"/>
      <w:bookmarkStart w:id="11" w:name="_Toc213397009"/>
      <w:bookmarkStart w:id="12" w:name="_Toc213396945"/>
      <w:bookmarkStart w:id="13" w:name="_Toc213396759"/>
      <w:r>
        <w:rPr>
          <w:rFonts w:hint="eastAsia" w:ascii="仿宋" w:hAnsi="仿宋" w:eastAsia="仿宋"/>
          <w:b/>
          <w:color w:val="000000" w:themeColor="text1"/>
          <w:sz w:val="24"/>
          <w14:textFill>
            <w14:solidFill>
              <w14:schemeClr w14:val="tx1"/>
            </w14:solidFill>
          </w14:textFill>
        </w:rPr>
        <w:t>采 购 人：</w:t>
      </w:r>
      <w:r>
        <w:rPr>
          <w:rFonts w:hint="eastAsia" w:ascii="仿宋" w:hAnsi="仿宋" w:eastAsia="仿宋"/>
          <w:b/>
          <w:bCs/>
          <w:color w:val="000000" w:themeColor="text1"/>
          <w:sz w:val="24"/>
          <w:lang w:eastAsia="zh-CN"/>
          <w14:textFill>
            <w14:solidFill>
              <w14:schemeClr w14:val="tx1"/>
            </w14:solidFill>
          </w14:textFill>
        </w:rPr>
        <w:t>成都市新都区应急管理局</w:t>
      </w:r>
    </w:p>
    <w:p>
      <w:pPr>
        <w:spacing w:line="420" w:lineRule="exact"/>
        <w:ind w:firstLine="1265" w:firstLineChars="525"/>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地    址：</w:t>
      </w:r>
      <w:r>
        <w:rPr>
          <w:rFonts w:hint="eastAsia" w:ascii="仿宋" w:hAnsi="仿宋" w:eastAsia="仿宋"/>
          <w:color w:val="000000" w:themeColor="text1"/>
          <w:sz w:val="24"/>
          <w:lang w:val="zh-CN" w:eastAsia="zh-CN"/>
          <w14:textFill>
            <w14:solidFill>
              <w14:schemeClr w14:val="tx1"/>
            </w14:solidFill>
          </w14:textFill>
        </w:rPr>
        <w:t>成都市新都区香城南路60新都区文广中心</w:t>
      </w:r>
    </w:p>
    <w:p>
      <w:pPr>
        <w:spacing w:line="420" w:lineRule="exact"/>
        <w:ind w:firstLine="1265" w:firstLineChars="525"/>
        <w:rPr>
          <w:rFonts w:hint="default" w:ascii="仿宋" w:hAnsi="仿宋" w:eastAsia="仿宋"/>
          <w:b/>
          <w:color w:val="000000" w:themeColor="text1"/>
          <w:sz w:val="24"/>
          <w:lang w:val="en-US"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联 系 人：</w:t>
      </w:r>
      <w:r>
        <w:rPr>
          <w:rFonts w:hint="eastAsia" w:ascii="仿宋" w:hAnsi="仿宋" w:eastAsia="仿宋"/>
          <w:color w:val="000000" w:themeColor="text1"/>
          <w:sz w:val="24"/>
          <w:lang w:val="en-US" w:eastAsia="zh-CN"/>
          <w14:textFill>
            <w14:solidFill>
              <w14:schemeClr w14:val="tx1"/>
            </w14:solidFill>
          </w14:textFill>
        </w:rPr>
        <w:t>乔先生</w:t>
      </w:r>
    </w:p>
    <w:p>
      <w:pPr>
        <w:spacing w:line="420" w:lineRule="exact"/>
        <w:ind w:firstLine="1265" w:firstLineChars="525"/>
        <w:rPr>
          <w:rFonts w:hint="eastAsia" w:ascii="仿宋" w:hAnsi="仿宋" w:eastAsia="仿宋"/>
          <w:b/>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联系电话：</w:t>
      </w:r>
      <w:r>
        <w:rPr>
          <w:rFonts w:hint="eastAsia" w:ascii="仿宋" w:hAnsi="仿宋" w:eastAsia="仿宋"/>
          <w:color w:val="000000" w:themeColor="text1"/>
          <w:sz w:val="24"/>
          <w:lang w:eastAsia="zh-CN"/>
          <w14:textFill>
            <w14:solidFill>
              <w14:schemeClr w14:val="tx1"/>
            </w14:solidFill>
          </w14:textFill>
        </w:rPr>
        <w:t>028-83928073</w:t>
      </w:r>
    </w:p>
    <w:p>
      <w:pPr>
        <w:spacing w:line="420" w:lineRule="exact"/>
        <w:ind w:firstLine="1265" w:firstLineChars="525"/>
        <w:rPr>
          <w:rFonts w:hint="eastAsia" w:ascii="仿宋" w:hAnsi="仿宋" w:eastAsia="仿宋"/>
          <w:b/>
          <w:color w:val="000000" w:themeColor="text1"/>
          <w:sz w:val="24"/>
          <w:lang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采购代理机构：</w:t>
      </w:r>
      <w:r>
        <w:rPr>
          <w:rFonts w:hint="eastAsia" w:ascii="仿宋" w:hAnsi="仿宋" w:eastAsia="仿宋"/>
          <w:b/>
          <w:color w:val="000000" w:themeColor="text1"/>
          <w:sz w:val="24"/>
          <w:lang w:eastAsia="zh-CN"/>
          <w14:textFill>
            <w14:solidFill>
              <w14:schemeClr w14:val="tx1"/>
            </w14:solidFill>
          </w14:textFill>
        </w:rPr>
        <w:t>成都文瀚建设工程咨询有限公司</w:t>
      </w:r>
    </w:p>
    <w:p>
      <w:pPr>
        <w:spacing w:line="420" w:lineRule="exact"/>
        <w:ind w:firstLine="1260" w:firstLineChars="525"/>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地址：</w:t>
      </w:r>
      <w:r>
        <w:rPr>
          <w:rFonts w:hint="eastAsia" w:ascii="仿宋" w:hAnsi="仿宋" w:eastAsia="仿宋"/>
          <w:color w:val="000000" w:themeColor="text1"/>
          <w:sz w:val="24"/>
          <w:lang w:eastAsia="zh-CN"/>
          <w14:textFill>
            <w14:solidFill>
              <w14:schemeClr w14:val="tx1"/>
            </w14:solidFill>
          </w14:textFill>
        </w:rPr>
        <w:t>成都市新都区新都街道鑫盛路366号友盛上都3栋24楼2401号</w:t>
      </w:r>
    </w:p>
    <w:p>
      <w:pPr>
        <w:spacing w:line="420" w:lineRule="exact"/>
        <w:ind w:firstLine="1260" w:firstLineChars="525"/>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r>
        <w:rPr>
          <w:rFonts w:hint="eastAsia" w:ascii="仿宋" w:hAnsi="仿宋" w:eastAsia="仿宋"/>
          <w:color w:val="000000" w:themeColor="text1"/>
          <w:sz w:val="24"/>
          <w:lang w:val="en-US" w:eastAsia="zh-CN"/>
          <w14:textFill>
            <w14:solidFill>
              <w14:schemeClr w14:val="tx1"/>
            </w14:solidFill>
          </w14:textFill>
        </w:rPr>
        <w:t>蒋先生</w:t>
      </w:r>
    </w:p>
    <w:p>
      <w:pPr>
        <w:spacing w:line="420" w:lineRule="exact"/>
        <w:ind w:firstLine="1260" w:firstLineChars="525"/>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hint="eastAsia" w:ascii="仿宋" w:hAnsi="仿宋" w:eastAsia="仿宋"/>
          <w:color w:val="000000" w:themeColor="text1"/>
          <w:sz w:val="24"/>
          <w:lang w:val="en-US" w:eastAsia="zh-CN"/>
          <w14:textFill>
            <w14:solidFill>
              <w14:schemeClr w14:val="tx1"/>
            </w14:solidFill>
          </w14:textFill>
        </w:rPr>
        <w:t>028-89399925</w:t>
      </w:r>
    </w:p>
    <w:p>
      <w:pPr>
        <w:spacing w:line="420" w:lineRule="exact"/>
        <w:ind w:firstLine="1260" w:firstLineChars="525"/>
        <w:rPr>
          <w:rFonts w:ascii="仿宋" w:hAnsi="仿宋" w:eastAsia="仿宋"/>
          <w:color w:val="000000" w:themeColor="text1"/>
          <w:sz w:val="24"/>
          <w14:textFill>
            <w14:solidFill>
              <w14:schemeClr w14:val="tx1"/>
            </w14:solidFill>
          </w14:textFill>
        </w:rPr>
      </w:pPr>
    </w:p>
    <w:p>
      <w:pPr>
        <w:pStyle w:val="26"/>
        <w:spacing w:after="50" w:afterAutospacing="0" w:line="420" w:lineRule="exact"/>
        <w:rPr>
          <w:rFonts w:ascii="仿宋" w:hAnsi="仿宋" w:eastAsia="仿宋"/>
          <w:color w:val="000000" w:themeColor="text1"/>
          <w:sz w:val="36"/>
          <w:szCs w:val="36"/>
          <w14:textFill>
            <w14:solidFill>
              <w14:schemeClr w14:val="tx1"/>
            </w14:solidFill>
          </w14:textFill>
        </w:rPr>
        <w:sectPr>
          <w:pgSz w:w="11907" w:h="16840"/>
          <w:pgMar w:top="1440" w:right="1474" w:bottom="1440" w:left="1474" w:header="851" w:footer="992" w:gutter="0"/>
          <w:cols w:space="720" w:num="1"/>
          <w:docGrid w:linePitch="312" w:charSpace="0"/>
        </w:sectPr>
      </w:pPr>
    </w:p>
    <w:p>
      <w:pPr>
        <w:pStyle w:val="3"/>
        <w:spacing w:line="240" w:lineRule="auto"/>
        <w:jc w:val="center"/>
        <w:rPr>
          <w:rFonts w:ascii="仿宋" w:hAnsi="仿宋" w:eastAsia="仿宋"/>
          <w:color w:val="000000" w:themeColor="text1"/>
          <w:sz w:val="36"/>
          <w:szCs w:val="36"/>
          <w14:textFill>
            <w14:solidFill>
              <w14:schemeClr w14:val="tx1"/>
            </w14:solidFill>
          </w14:textFill>
        </w:rPr>
      </w:pPr>
      <w:bookmarkStart w:id="14" w:name="_Toc74312826"/>
      <w:r>
        <w:rPr>
          <w:rFonts w:hint="eastAsia" w:ascii="仿宋" w:hAnsi="仿宋" w:eastAsia="仿宋"/>
          <w:color w:val="000000" w:themeColor="text1"/>
          <w:sz w:val="36"/>
          <w:szCs w:val="36"/>
          <w14:textFill>
            <w14:solidFill>
              <w14:schemeClr w14:val="tx1"/>
            </w14:solidFill>
          </w14:textFill>
        </w:rPr>
        <w:t>第二章  投标人须知</w:t>
      </w:r>
      <w:bookmarkEnd w:id="8"/>
      <w:bookmarkEnd w:id="14"/>
    </w:p>
    <w:p>
      <w:pPr>
        <w:pStyle w:val="4"/>
        <w:spacing w:line="240" w:lineRule="auto"/>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一、投标人须知附表</w:t>
      </w:r>
    </w:p>
    <w:bookmarkEnd w:id="9"/>
    <w:bookmarkEnd w:id="10"/>
    <w:bookmarkEnd w:id="11"/>
    <w:bookmarkEnd w:id="12"/>
    <w:bookmarkEnd w:id="13"/>
    <w:tbl>
      <w:tblPr>
        <w:tblStyle w:val="28"/>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blHeader/>
          <w:jc w:val="center"/>
        </w:trPr>
        <w:tc>
          <w:tcPr>
            <w:tcW w:w="838" w:type="dxa"/>
            <w:vAlign w:val="center"/>
          </w:tcPr>
          <w:p>
            <w:pPr>
              <w:pStyle w:val="52"/>
              <w:spacing w:line="240" w:lineRule="auto"/>
              <w:ind w:left="9"/>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序号</w:t>
            </w:r>
          </w:p>
        </w:tc>
        <w:tc>
          <w:tcPr>
            <w:tcW w:w="2552" w:type="dxa"/>
            <w:vAlign w:val="center"/>
          </w:tcPr>
          <w:p>
            <w:pPr>
              <w:pStyle w:val="52"/>
              <w:spacing w:line="24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条款名称</w:t>
            </w:r>
          </w:p>
        </w:tc>
        <w:tc>
          <w:tcPr>
            <w:tcW w:w="6273" w:type="dxa"/>
            <w:vAlign w:val="center"/>
          </w:tcPr>
          <w:p>
            <w:pPr>
              <w:pStyle w:val="52"/>
              <w:spacing w:line="240" w:lineRule="auto"/>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Merge w:val="restart"/>
            <w:vAlign w:val="center"/>
          </w:tcPr>
          <w:p>
            <w:pPr>
              <w:pStyle w:val="52"/>
              <w:spacing w:line="240" w:lineRule="auto"/>
              <w:ind w:right="230"/>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w:t>
            </w:r>
          </w:p>
        </w:tc>
        <w:tc>
          <w:tcPr>
            <w:tcW w:w="2552" w:type="dxa"/>
            <w:tcBorders>
              <w:bottom w:val="single" w:color="auto" w:sz="4" w:space="0"/>
            </w:tcBorders>
            <w:vAlign w:val="center"/>
          </w:tcPr>
          <w:p>
            <w:pPr>
              <w:pStyle w:val="52"/>
              <w:spacing w:line="240" w:lineRule="auto"/>
              <w:ind w:left="38"/>
              <w:jc w:val="center"/>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采购预算</w:t>
            </w:r>
          </w:p>
          <w:p>
            <w:pPr>
              <w:pStyle w:val="52"/>
              <w:spacing w:line="240" w:lineRule="auto"/>
              <w:ind w:left="38"/>
              <w:jc w:val="center"/>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（实质性要求）</w:t>
            </w:r>
          </w:p>
        </w:tc>
        <w:tc>
          <w:tcPr>
            <w:tcW w:w="6273" w:type="dxa"/>
            <w:tcBorders>
              <w:bottom w:val="single" w:color="auto" w:sz="4" w:space="0"/>
            </w:tcBorders>
          </w:tcPr>
          <w:p>
            <w:pPr>
              <w:pStyle w:val="52"/>
              <w:spacing w:line="240" w:lineRule="auto"/>
              <w:ind w:left="38"/>
              <w:jc w:val="both"/>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采购预算：4254300.00元</w:t>
            </w:r>
          </w:p>
          <w:p>
            <w:pPr>
              <w:pStyle w:val="52"/>
              <w:spacing w:line="240" w:lineRule="auto"/>
              <w:jc w:val="both"/>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spacing w:line="240" w:lineRule="auto"/>
              <w:rPr>
                <w:rFonts w:ascii="仿宋" w:hAnsi="仿宋" w:eastAsia="仿宋"/>
                <w:color w:val="000000" w:themeColor="text1"/>
                <w:szCs w:val="21"/>
                <w14:textFill>
                  <w14:solidFill>
                    <w14:schemeClr w14:val="tx1"/>
                  </w14:solidFill>
                </w14:textFill>
              </w:rPr>
            </w:pPr>
          </w:p>
        </w:tc>
        <w:tc>
          <w:tcPr>
            <w:tcW w:w="2552" w:type="dxa"/>
            <w:tcBorders>
              <w:top w:val="single" w:color="auto" w:sz="4" w:space="0"/>
            </w:tcBorders>
            <w:vAlign w:val="center"/>
          </w:tcPr>
          <w:p>
            <w:pPr>
              <w:pStyle w:val="52"/>
              <w:spacing w:line="240" w:lineRule="auto"/>
              <w:jc w:val="center"/>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最高限价</w:t>
            </w:r>
          </w:p>
          <w:p>
            <w:pPr>
              <w:pStyle w:val="52"/>
              <w:spacing w:line="240" w:lineRule="auto"/>
              <w:jc w:val="center"/>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（实质性要求）</w:t>
            </w:r>
          </w:p>
        </w:tc>
        <w:tc>
          <w:tcPr>
            <w:tcW w:w="6273" w:type="dxa"/>
            <w:tcBorders>
              <w:top w:val="single" w:color="auto" w:sz="4" w:space="0"/>
            </w:tcBorders>
          </w:tcPr>
          <w:p>
            <w:pPr>
              <w:pStyle w:val="52"/>
              <w:spacing w:line="240" w:lineRule="auto"/>
              <w:jc w:val="both"/>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最高限价：</w:t>
            </w:r>
            <w:bookmarkStart w:id="15" w:name="PO_默认文件内容_27"/>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4254300.00元</w:t>
            </w:r>
          </w:p>
          <w:p>
            <w:pPr>
              <w:widowControl/>
              <w:spacing w:line="240" w:lineRule="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超过最高限价的报价为无效投标。</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52"/>
              <w:spacing w:line="240" w:lineRule="auto"/>
              <w:ind w:right="230"/>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2</w:t>
            </w:r>
          </w:p>
        </w:tc>
        <w:tc>
          <w:tcPr>
            <w:tcW w:w="2552" w:type="dxa"/>
            <w:vAlign w:val="center"/>
          </w:tcPr>
          <w:p>
            <w:pPr>
              <w:pStyle w:val="52"/>
              <w:spacing w:line="24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不正当竞争预防措施</w:t>
            </w:r>
          </w:p>
          <w:p>
            <w:pPr>
              <w:pStyle w:val="52"/>
              <w:spacing w:line="24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（实质性要求）</w:t>
            </w:r>
          </w:p>
        </w:tc>
        <w:tc>
          <w:tcPr>
            <w:tcW w:w="6273" w:type="dxa"/>
            <w:vAlign w:val="center"/>
          </w:tcPr>
          <w:p>
            <w:pPr>
              <w:pStyle w:val="52"/>
              <w:spacing w:line="240" w:lineRule="auto"/>
              <w:jc w:val="both"/>
              <w:rPr>
                <w:rFonts w:ascii="仿宋" w:hAnsi="仿宋" w:eastAsia="仿宋"/>
                <w:color w:val="000000" w:themeColor="text1"/>
                <w:sz w:val="21"/>
                <w:szCs w:val="21"/>
                <w14:textFill>
                  <w14:solidFill>
                    <w14:schemeClr w14:val="tx1"/>
                  </w14:solidFill>
                </w14:textFill>
              </w:rPr>
            </w:pPr>
            <w:bookmarkStart w:id="16" w:name="PO_默认文件内容_1"/>
            <w:r>
              <w:rPr>
                <w:rFonts w:hint="eastAsia" w:ascii="仿宋" w:hAnsi="仿宋" w:eastAsia="仿宋"/>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pPr>
              <w:pStyle w:val="52"/>
              <w:spacing w:line="240" w:lineRule="auto"/>
              <w:jc w:val="both"/>
              <w:rPr>
                <w:rFonts w:ascii="仿宋" w:hAnsi="仿宋" w:eastAsia="仿宋"/>
                <w:color w:val="000000" w:themeColor="text1"/>
                <w:sz w:val="21"/>
                <w:szCs w:val="21"/>
                <w14:textFill>
                  <w14:solidFill>
                    <w14:schemeClr w14:val="tx1"/>
                  </w14:solidFill>
                </w14:textFill>
              </w:rPr>
            </w:pPr>
            <w:r>
              <w:rPr>
                <w:rFonts w:hint="eastAsia" w:ascii="仿宋" w:hAnsi="仿宋" w:eastAsia="仿宋"/>
                <w:b/>
                <w:bCs/>
                <w:color w:val="000000" w:themeColor="text1"/>
                <w:sz w:val="21"/>
                <w:szCs w:val="21"/>
                <w14:textFill>
                  <w14:solidFill>
                    <w14:schemeClr w14:val="tx1"/>
                  </w14:solidFill>
                </w14:textFill>
              </w:rPr>
              <w:t>注：</w:t>
            </w:r>
            <w:r>
              <w:rPr>
                <w:rFonts w:hint="eastAsia" w:ascii="仿宋" w:hAnsi="仿宋" w:eastAsia="仿宋"/>
                <w:b/>
                <w:bCs/>
                <w:color w:val="000000" w:themeColor="text1"/>
                <w:sz w:val="21"/>
                <w:szCs w:val="2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sz w:val="21"/>
                <w:szCs w:val="21"/>
                <w14:textFill>
                  <w14:solidFill>
                    <w14:schemeClr w14:val="tx1"/>
                  </w14:solidFill>
                </w14:textFill>
              </w:rPr>
              <w:t>30分钟，供应商已明确表示澄清、说明完毕的除外</w:t>
            </w:r>
            <w:r>
              <w:rPr>
                <w:rFonts w:hint="eastAsia" w:ascii="仿宋" w:hAnsi="仿宋" w:eastAsia="仿宋"/>
                <w:b/>
                <w:bCs/>
                <w:color w:val="000000" w:themeColor="text1"/>
                <w:sz w:val="21"/>
                <w:szCs w:val="21"/>
                <w:lang w:val="zh-CN"/>
                <w14:textFill>
                  <w14:solidFill>
                    <w14:schemeClr w14:val="tx1"/>
                  </w14:solidFill>
                </w14:textFill>
              </w:rPr>
              <w:t>）。如因系统故障（</w:t>
            </w:r>
            <w:r>
              <w:rPr>
                <w:rFonts w:hint="eastAsia" w:ascii="仿宋" w:hAnsi="仿宋" w:eastAsia="仿宋"/>
                <w:b/>
                <w:bCs/>
                <w:color w:val="000000" w:themeColor="text1"/>
                <w:sz w:val="21"/>
                <w:szCs w:val="21"/>
                <w14:textFill>
                  <w14:solidFill>
                    <w14:schemeClr w14:val="tx1"/>
                  </w14:solidFill>
                </w14:textFill>
              </w:rPr>
              <w:t>包括组织场所停电、断网等）</w:t>
            </w:r>
            <w:r>
              <w:rPr>
                <w:rFonts w:hint="eastAsia" w:ascii="仿宋" w:hAnsi="仿宋" w:eastAsia="仿宋"/>
                <w:b/>
                <w:bCs/>
                <w:color w:val="000000" w:themeColor="text1"/>
                <w:sz w:val="21"/>
                <w:szCs w:val="21"/>
                <w:lang w:val="zh-CN"/>
                <w14:textFill>
                  <w14:solidFill>
                    <w14:schemeClr w14:val="tx1"/>
                  </w14:solidFill>
                </w14:textFill>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2"/>
              <w:spacing w:line="24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52" w:type="dxa"/>
            <w:vAlign w:val="center"/>
          </w:tcPr>
          <w:p>
            <w:pPr>
              <w:pStyle w:val="52"/>
              <w:spacing w:line="24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进口产品（实质性要求）</w:t>
            </w:r>
          </w:p>
        </w:tc>
        <w:tc>
          <w:tcPr>
            <w:tcW w:w="6273" w:type="dxa"/>
            <w:vAlign w:val="center"/>
          </w:tcPr>
          <w:p>
            <w:pPr>
              <w:pStyle w:val="52"/>
              <w:spacing w:line="240" w:lineRule="auto"/>
              <w:ind w:firstLine="210" w:firstLineChars="100"/>
              <w:jc w:val="both"/>
              <w:rPr>
                <w:rFonts w:ascii="仿宋" w:hAnsi="仿宋" w:eastAsia="仿宋"/>
                <w:color w:val="000000" w:themeColor="text1"/>
                <w:sz w:val="21"/>
                <w:szCs w:val="21"/>
                <w:lang w:val="zh-CN"/>
                <w14:textFill>
                  <w14:solidFill>
                    <w14:schemeClr w14:val="tx1"/>
                  </w14:solidFill>
                </w14:textFill>
              </w:rPr>
            </w:pPr>
            <w:bookmarkStart w:id="17" w:name="PO_默认文件内容_15"/>
            <w:r>
              <w:rPr>
                <w:rFonts w:hint="eastAsia" w:ascii="仿宋" w:hAnsi="仿宋" w:eastAsia="仿宋"/>
                <w:color w:val="000000" w:themeColor="text1"/>
                <w:sz w:val="21"/>
                <w:szCs w:val="21"/>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产品投标</w:t>
            </w:r>
            <w:r>
              <w:rPr>
                <w:rFonts w:hint="eastAsia" w:ascii="仿宋" w:hAnsi="仿宋" w:eastAsia="仿宋"/>
                <w:color w:val="000000" w:themeColor="text1"/>
                <w:sz w:val="21"/>
                <w:szCs w:val="21"/>
                <w14:textFill>
                  <w14:solidFill>
                    <w14:schemeClr w14:val="tx1"/>
                  </w14:solidFill>
                </w14:textFill>
              </w:rPr>
              <w:t>时</w:t>
            </w:r>
            <w:r>
              <w:rPr>
                <w:rFonts w:ascii="仿宋" w:hAnsi="仿宋" w:eastAsia="仿宋"/>
                <w:color w:val="000000" w:themeColor="text1"/>
                <w:sz w:val="21"/>
                <w:szCs w:val="21"/>
                <w14:textFill>
                  <w14:solidFill>
                    <w14:schemeClr w14:val="tx1"/>
                  </w14:solidFill>
                </w14:textFill>
              </w:rPr>
              <w:t>，将按无效投标处理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2"/>
              <w:spacing w:before="72" w:after="72" w:line="240" w:lineRule="auto"/>
              <w:ind w:right="264"/>
              <w:jc w:val="center"/>
              <w:rPr>
                <w:rFonts w:hint="eastAsia" w:ascii="仿宋" w:hAnsi="仿宋" w:eastAsia="仿宋" w:cs="Courier New"/>
                <w:color w:val="000000" w:themeColor="text1"/>
                <w:sz w:val="21"/>
                <w:szCs w:val="21"/>
                <w:lang w:val="zh-CN"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4</w:t>
            </w:r>
          </w:p>
        </w:tc>
        <w:tc>
          <w:tcPr>
            <w:tcW w:w="2552" w:type="dxa"/>
            <w:vAlign w:val="center"/>
          </w:tcPr>
          <w:p>
            <w:pPr>
              <w:spacing w:line="240" w:lineRule="auto"/>
              <w:ind w:left="105" w:leftChars="50" w:right="105" w:rightChars="50"/>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节能、环保及无线局域网产品政府采购政策</w:t>
            </w:r>
          </w:p>
        </w:tc>
        <w:tc>
          <w:tcPr>
            <w:tcW w:w="6273" w:type="dxa"/>
            <w:vAlign w:val="center"/>
          </w:tcPr>
          <w:p>
            <w:pPr>
              <w:spacing w:after="0" w:line="24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after="0" w:line="24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4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本项目采购的产品属于品目清单强制采购范围的，供应商应按上述要求提供产品认证证书复印件并加盖供应商单位公章，否则投标无效。</w:t>
            </w:r>
            <w:r>
              <w:rPr>
                <w:rFonts w:hint="eastAsia" w:ascii="仿宋" w:hAnsi="仿宋" w:eastAsia="仿宋"/>
                <w:b/>
                <w:color w:val="000000" w:themeColor="text1"/>
                <w:szCs w:val="21"/>
                <w14:textFill>
                  <w14:solidFill>
                    <w14:schemeClr w14:val="tx1"/>
                  </w14:solidFill>
                </w14:textFill>
              </w:rPr>
              <w:t>（实质性要求）</w:t>
            </w:r>
          </w:p>
          <w:p>
            <w:pPr>
              <w:spacing w:after="0" w:line="24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本项目采购的产品属于品目清单优先采购范围的，按照第七章《综合评分明细表》的规则进行加分。</w:t>
            </w:r>
          </w:p>
          <w:p>
            <w:pPr>
              <w:spacing w:after="0" w:line="24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after="0" w:line="24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spacing w:after="0" w:line="24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本项目采购的产品属于中国</w:t>
            </w:r>
            <w:r>
              <w:rPr>
                <w:rFonts w:ascii="仿宋" w:hAnsi="仿宋" w:eastAsia="仿宋"/>
                <w:color w:val="000000" w:themeColor="text1"/>
                <w:szCs w:val="21"/>
                <w14:textFill>
                  <w14:solidFill>
                    <w14:schemeClr w14:val="tx1"/>
                  </w14:solidFill>
                </w14:textFill>
              </w:rPr>
              <w:t>政府采购网公布的</w:t>
            </w:r>
            <w:r>
              <w:rPr>
                <w:rFonts w:hint="eastAsia" w:ascii="仿宋" w:hAnsi="仿宋" w:eastAsia="仿宋"/>
                <w:color w:val="000000" w:themeColor="text1"/>
                <w:szCs w:val="21"/>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9" w:hRule="atLeast"/>
          <w:jc w:val="center"/>
        </w:trPr>
        <w:tc>
          <w:tcPr>
            <w:tcW w:w="838" w:type="dxa"/>
            <w:vAlign w:val="center"/>
          </w:tcPr>
          <w:p>
            <w:pPr>
              <w:pStyle w:val="52"/>
              <w:spacing w:line="240" w:lineRule="auto"/>
              <w:ind w:right="230"/>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5</w:t>
            </w:r>
          </w:p>
        </w:tc>
        <w:tc>
          <w:tcPr>
            <w:tcW w:w="2552" w:type="dxa"/>
            <w:vAlign w:val="center"/>
          </w:tcPr>
          <w:p>
            <w:pPr>
              <w:spacing w:line="240" w:lineRule="auto"/>
              <w:ind w:left="105" w:leftChars="50"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评标情况公告</w:t>
            </w:r>
          </w:p>
        </w:tc>
        <w:tc>
          <w:tcPr>
            <w:tcW w:w="6273" w:type="dxa"/>
            <w:vAlign w:val="center"/>
          </w:tcPr>
          <w:p>
            <w:pPr>
              <w:widowControl/>
              <w:spacing w:line="240" w:lineRule="auto"/>
              <w:jc w:val="left"/>
              <w:rPr>
                <w:rFonts w:ascii="仿宋" w:hAnsi="仿宋" w:eastAsia="仿宋"/>
                <w:color w:val="000000" w:themeColor="text1"/>
                <w:szCs w:val="21"/>
                <w14:textFill>
                  <w14:solidFill>
                    <w14:schemeClr w14:val="tx1"/>
                  </w14:solidFill>
                </w14:textFill>
              </w:rPr>
            </w:pPr>
            <w:bookmarkStart w:id="18" w:name="PO_默认文件内容_6"/>
            <w:r>
              <w:rPr>
                <w:rFonts w:hint="eastAsia" w:ascii="仿宋" w:hAnsi="仿宋" w:eastAsia="仿宋"/>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52"/>
              <w:spacing w:line="240" w:lineRule="auto"/>
              <w:ind w:right="230"/>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6</w:t>
            </w:r>
          </w:p>
        </w:tc>
        <w:tc>
          <w:tcPr>
            <w:tcW w:w="2552" w:type="dxa"/>
            <w:vAlign w:val="center"/>
          </w:tcPr>
          <w:p>
            <w:pPr>
              <w:pStyle w:val="52"/>
              <w:spacing w:line="240" w:lineRule="auto"/>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投标保证金</w:t>
            </w:r>
          </w:p>
        </w:tc>
        <w:tc>
          <w:tcPr>
            <w:tcW w:w="6273" w:type="dxa"/>
            <w:vAlign w:val="center"/>
          </w:tcPr>
          <w:p>
            <w:pPr>
              <w:spacing w:after="120" w:afterLines="50" w:line="24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2"/>
              <w:spacing w:line="240" w:lineRule="auto"/>
              <w:ind w:right="264"/>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7</w:t>
            </w:r>
          </w:p>
        </w:tc>
        <w:tc>
          <w:tcPr>
            <w:tcW w:w="2552" w:type="dxa"/>
            <w:vAlign w:val="center"/>
          </w:tcPr>
          <w:p>
            <w:pPr>
              <w:pStyle w:val="52"/>
              <w:spacing w:line="240" w:lineRule="auto"/>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273" w:type="dxa"/>
            <w:vAlign w:val="center"/>
          </w:tcPr>
          <w:p>
            <w:pPr>
              <w:widowControl/>
              <w:spacing w:line="240" w:lineRule="auto"/>
              <w:jc w:val="left"/>
              <w:rPr>
                <w:rFonts w:hint="eastAsia" w:ascii="仿宋" w:hAnsi="仿宋" w:eastAsia="仿宋"/>
                <w:color w:val="000000" w:themeColor="text1"/>
                <w:kern w:val="0"/>
                <w:szCs w:val="21"/>
                <w:lang w:val="zh-CN"/>
                <w14:textFill>
                  <w14:solidFill>
                    <w14:schemeClr w14:val="tx1"/>
                  </w14:solidFill>
                </w14:textFill>
              </w:rPr>
            </w:pPr>
            <w:r>
              <w:rPr>
                <w:rFonts w:hint="eastAsia" w:ascii="仿宋" w:hAnsi="仿宋" w:eastAsia="仿宋"/>
                <w:color w:val="000000" w:themeColor="text1"/>
                <w:kern w:val="0"/>
                <w:szCs w:val="21"/>
                <w:lang w:val="zh-CN"/>
                <w14:textFill>
                  <w14:solidFill>
                    <w14:schemeClr w14:val="tx1"/>
                  </w14:solidFill>
                </w14:textFill>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838" w:type="dxa"/>
            <w:tcBorders>
              <w:top w:val="single" w:color="auto" w:sz="4" w:space="0"/>
              <w:bottom w:val="single" w:color="auto" w:sz="4" w:space="0"/>
            </w:tcBorders>
            <w:vAlign w:val="center"/>
          </w:tcPr>
          <w:p>
            <w:pPr>
              <w:pStyle w:val="52"/>
              <w:spacing w:line="240" w:lineRule="auto"/>
              <w:ind w:right="264"/>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8</w:t>
            </w:r>
          </w:p>
        </w:tc>
        <w:tc>
          <w:tcPr>
            <w:tcW w:w="2552" w:type="dxa"/>
            <w:vAlign w:val="center"/>
          </w:tcPr>
          <w:p>
            <w:pPr>
              <w:spacing w:line="240" w:lineRule="auto"/>
              <w:ind w:firstLine="105" w:firstLineChars="50"/>
              <w:jc w:val="center"/>
              <w:rPr>
                <w:rFonts w:ascii="仿宋" w:hAnsi="仿宋" w:eastAsia="仿宋"/>
                <w:b/>
                <w:bCs/>
                <w:color w:val="000000" w:themeColor="text1"/>
                <w:szCs w:val="21"/>
                <w14:textFill>
                  <w14:solidFill>
                    <w14:schemeClr w14:val="tx1"/>
                  </w14:solidFill>
                </w14:textFill>
              </w:rPr>
            </w:pPr>
            <w:r>
              <w:rPr>
                <w:rFonts w:hint="eastAsia" w:ascii="仿宋" w:hAnsi="仿宋" w:eastAsia="仿宋" w:cs="Times New Roman"/>
                <w:b/>
                <w:bCs/>
                <w:color w:val="000000" w:themeColor="text1"/>
                <w:kern w:val="2"/>
                <w:sz w:val="21"/>
                <w:szCs w:val="21"/>
                <w:lang w:val="en-US" w:eastAsia="zh-CN" w:bidi="ar-SA"/>
                <w14:textFill>
                  <w14:solidFill>
                    <w14:schemeClr w14:val="tx1"/>
                  </w14:solidFill>
                </w14:textFill>
              </w:rPr>
              <w:t>合同分包</w:t>
            </w:r>
          </w:p>
        </w:tc>
        <w:tc>
          <w:tcPr>
            <w:tcW w:w="6273" w:type="dxa"/>
            <w:vAlign w:val="center"/>
          </w:tcPr>
          <w:p>
            <w:pPr>
              <w:widowControl/>
              <w:spacing w:line="240" w:lineRule="auto"/>
              <w:jc w:val="left"/>
              <w:rPr>
                <w:rFonts w:hint="default" w:ascii="仿宋" w:hAnsi="仿宋" w:eastAsia="仿宋"/>
                <w:b/>
                <w:bCs/>
                <w:color w:val="000000" w:themeColor="text1"/>
                <w:kern w:val="0"/>
                <w:szCs w:val="21"/>
                <w:lang w:val="en-US" w:eastAsia="zh-CN"/>
                <w14:textFill>
                  <w14:solidFill>
                    <w14:schemeClr w14:val="tx1"/>
                  </w14:solidFill>
                </w14:textFill>
              </w:rPr>
            </w:pPr>
            <w:r>
              <w:rPr>
                <w:rFonts w:hint="eastAsia" w:ascii="仿宋" w:hAnsi="仿宋" w:eastAsia="仿宋"/>
                <w:b/>
                <w:bCs/>
                <w:color w:val="000000" w:themeColor="text1"/>
                <w:kern w:val="0"/>
                <w:szCs w:val="21"/>
                <w:lang w:val="en-US" w:eastAsia="zh-CN"/>
                <w14:textFill>
                  <w14:solidFill>
                    <w14:schemeClr w14:val="tx1"/>
                  </w14:solidFill>
                </w14:textFill>
              </w:rPr>
              <w:t>本项目按照《政府采购促进中小企业发展管理办法》的要求，若供应商非中小企业，供应商应承诺将中标总额的30%以上专门面向中小微企业进行分包，承担分包的中小微企业必须满足本项目的技术商务相关条件。</w:t>
            </w:r>
          </w:p>
          <w:p>
            <w:pPr>
              <w:widowControl/>
              <w:spacing w:line="240" w:lineRule="auto"/>
              <w:jc w:val="left"/>
              <w:rPr>
                <w:rFonts w:hint="eastAsia" w:ascii="仿宋" w:hAnsi="仿宋" w:eastAsia="仿宋"/>
                <w:b/>
                <w:bCs/>
                <w:color w:val="000000" w:themeColor="text1"/>
                <w:kern w:val="0"/>
                <w:szCs w:val="21"/>
                <w:lang w:eastAsia="zh-CN"/>
                <w14:textFill>
                  <w14:solidFill>
                    <w14:schemeClr w14:val="tx1"/>
                  </w14:solidFill>
                </w14:textFill>
              </w:rPr>
            </w:pPr>
            <w:r>
              <w:rPr>
                <w:rFonts w:hint="eastAsia" w:ascii="仿宋" w:hAnsi="仿宋" w:eastAsia="仿宋"/>
                <w:b/>
                <w:bCs/>
                <w:color w:val="000000" w:themeColor="text1"/>
                <w:kern w:val="0"/>
                <w:szCs w:val="21"/>
                <w14:textFill>
                  <w14:solidFill>
                    <w14:schemeClr w14:val="tx1"/>
                  </w14:solidFill>
                </w14:textFill>
              </w:rPr>
              <w:t>具体方式由采购人在合同中进行明确</w:t>
            </w:r>
            <w:r>
              <w:rPr>
                <w:rFonts w:hint="eastAsia" w:ascii="仿宋" w:hAnsi="仿宋" w:eastAsia="仿宋"/>
                <w:b/>
                <w:bCs/>
                <w:color w:val="000000" w:themeColor="text1"/>
                <w:kern w:val="0"/>
                <w:szCs w:val="21"/>
                <w:lang w:eastAsia="zh-CN"/>
                <w14:textFill>
                  <w14:solidFill>
                    <w14:schemeClr w14:val="tx1"/>
                  </w14:solidFill>
                </w14:textFill>
              </w:rPr>
              <w:t>。</w:t>
            </w:r>
          </w:p>
          <w:p>
            <w:pPr>
              <w:widowControl/>
              <w:spacing w:line="240" w:lineRule="auto"/>
              <w:jc w:val="left"/>
              <w:rPr>
                <w:rFonts w:hint="eastAsia" w:ascii="仿宋" w:hAnsi="仿宋" w:eastAsia="仿宋"/>
                <w:b/>
                <w:bCs/>
                <w:color w:val="000000" w:themeColor="text1"/>
                <w:kern w:val="0"/>
                <w:szCs w:val="21"/>
                <w:lang w:eastAsia="zh-CN"/>
                <w14:textFill>
                  <w14:solidFill>
                    <w14:schemeClr w14:val="tx1"/>
                  </w14:solidFill>
                </w14:textFill>
              </w:rPr>
            </w:pPr>
            <w:r>
              <w:rPr>
                <w:rFonts w:hint="eastAsia" w:ascii="仿宋" w:hAnsi="仿宋" w:eastAsia="仿宋"/>
                <w:b/>
                <w:bCs/>
                <w:color w:val="000000" w:themeColor="text1"/>
                <w:kern w:val="0"/>
                <w:szCs w:val="21"/>
                <w14:textFill>
                  <w14:solidFill>
                    <w14:schemeClr w14:val="tx1"/>
                  </w14:solidFill>
                </w14:textFill>
              </w:rPr>
              <w:t>本项目不允许其它形式的分包。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6" w:hRule="atLeast"/>
          <w:jc w:val="center"/>
        </w:trPr>
        <w:tc>
          <w:tcPr>
            <w:tcW w:w="838" w:type="dxa"/>
            <w:tcBorders>
              <w:top w:val="single" w:color="auto" w:sz="4" w:space="0"/>
              <w:bottom w:val="single" w:color="auto" w:sz="4" w:space="0"/>
            </w:tcBorders>
            <w:vAlign w:val="center"/>
          </w:tcPr>
          <w:p>
            <w:pPr>
              <w:pStyle w:val="52"/>
              <w:spacing w:line="240" w:lineRule="auto"/>
              <w:ind w:right="264"/>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9</w:t>
            </w:r>
          </w:p>
        </w:tc>
        <w:tc>
          <w:tcPr>
            <w:tcW w:w="2552" w:type="dxa"/>
            <w:tcBorders>
              <w:top w:val="single" w:color="auto" w:sz="4" w:space="0"/>
              <w:bottom w:val="single" w:color="auto" w:sz="4" w:space="0"/>
            </w:tcBorders>
            <w:vAlign w:val="center"/>
          </w:tcPr>
          <w:p>
            <w:pPr>
              <w:pStyle w:val="52"/>
              <w:spacing w:line="24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采购项目具体事项/采购文件内容咨询</w:t>
            </w:r>
          </w:p>
        </w:tc>
        <w:tc>
          <w:tcPr>
            <w:tcW w:w="6273" w:type="dxa"/>
            <w:tcBorders>
              <w:top w:val="single" w:color="auto" w:sz="4" w:space="0"/>
              <w:bottom w:val="single" w:color="auto" w:sz="4" w:space="0"/>
            </w:tcBorders>
            <w:vAlign w:val="center"/>
          </w:tcPr>
          <w:p>
            <w:pPr>
              <w:spacing w:line="24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w:t>
            </w:r>
            <w:r>
              <w:rPr>
                <w:rFonts w:hint="eastAsia" w:ascii="仿宋" w:hAnsi="仿宋" w:eastAsia="仿宋"/>
                <w:color w:val="000000" w:themeColor="text1"/>
                <w:szCs w:val="21"/>
                <w:lang w:eastAsia="zh-CN"/>
                <w14:textFill>
                  <w14:solidFill>
                    <w14:schemeClr w14:val="tx1"/>
                  </w14:solidFill>
                </w14:textFill>
              </w:rPr>
              <w:t>蒋先生</w:t>
            </w:r>
          </w:p>
          <w:p>
            <w:pPr>
              <w:spacing w:line="240" w:lineRule="auto"/>
              <w:ind w:right="105" w:rightChars="50"/>
              <w:jc w:val="left"/>
              <w:rPr>
                <w:rFonts w:hint="eastAsia" w:ascii="仿宋" w:hAnsi="仿宋" w:eastAsia="仿宋"/>
                <w:color w:val="000000" w:themeColor="text1"/>
                <w:szCs w:val="21"/>
                <w:lang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eastAsia="zh-CN"/>
                <w14:textFill>
                  <w14:solidFill>
                    <w14:schemeClr w14:val="tx1"/>
                  </w14:solidFill>
                </w14:textFill>
              </w:rPr>
              <w:t>028-89399925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tcBorders>
              <w:top w:val="single" w:color="auto" w:sz="4" w:space="0"/>
              <w:bottom w:val="single" w:color="auto" w:sz="4" w:space="0"/>
            </w:tcBorders>
            <w:vAlign w:val="center"/>
          </w:tcPr>
          <w:p>
            <w:pPr>
              <w:pStyle w:val="52"/>
              <w:spacing w:before="72" w:after="72" w:line="240" w:lineRule="auto"/>
              <w:ind w:right="264"/>
              <w:jc w:val="center"/>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10</w:t>
            </w:r>
          </w:p>
        </w:tc>
        <w:tc>
          <w:tcPr>
            <w:tcW w:w="2552" w:type="dxa"/>
            <w:tcBorders>
              <w:top w:val="single" w:color="auto" w:sz="4" w:space="0"/>
              <w:bottom w:val="single" w:color="auto" w:sz="4" w:space="0"/>
            </w:tcBorders>
            <w:vAlign w:val="center"/>
          </w:tcPr>
          <w:p>
            <w:pPr>
              <w:pStyle w:val="52"/>
              <w:spacing w:line="24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开标、评标工作咨询</w:t>
            </w:r>
          </w:p>
        </w:tc>
        <w:tc>
          <w:tcPr>
            <w:tcW w:w="6273" w:type="dxa"/>
            <w:tcBorders>
              <w:top w:val="single" w:color="auto" w:sz="4" w:space="0"/>
              <w:bottom w:val="single" w:color="auto" w:sz="4" w:space="0"/>
            </w:tcBorders>
            <w:vAlign w:val="center"/>
          </w:tcPr>
          <w:p>
            <w:pPr>
              <w:pStyle w:val="52"/>
              <w:spacing w:line="240" w:lineRule="auto"/>
              <w:jc w:val="left"/>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联系人：</w:t>
            </w:r>
            <w:r>
              <w:rPr>
                <w:rFonts w:hint="eastAsia" w:ascii="仿宋" w:hAnsi="仿宋" w:eastAsia="仿宋" w:cs="Times New Roman"/>
                <w:color w:val="000000" w:themeColor="text1"/>
                <w:kern w:val="2"/>
                <w:sz w:val="21"/>
                <w:szCs w:val="21"/>
                <w:lang w:eastAsia="zh-CN"/>
                <w14:textFill>
                  <w14:solidFill>
                    <w14:schemeClr w14:val="tx1"/>
                  </w14:solidFill>
                </w14:textFill>
              </w:rPr>
              <w:t>蒋先生</w:t>
            </w:r>
          </w:p>
          <w:p>
            <w:pPr>
              <w:pStyle w:val="52"/>
              <w:spacing w:line="240" w:lineRule="auto"/>
              <w:jc w:val="left"/>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联系电话：</w:t>
            </w:r>
            <w:r>
              <w:rPr>
                <w:rFonts w:hint="eastAsia" w:ascii="仿宋" w:hAnsi="仿宋" w:eastAsia="仿宋" w:cs="Times New Roman"/>
                <w:color w:val="000000" w:themeColor="text1"/>
                <w:kern w:val="2"/>
                <w:sz w:val="21"/>
                <w:szCs w:val="21"/>
                <w:lang w:eastAsia="zh-CN"/>
                <w14:textFill>
                  <w14:solidFill>
                    <w14:schemeClr w14:val="tx1"/>
                  </w14:solidFill>
                </w14:textFill>
              </w:rPr>
              <w:t>028-89399925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52"/>
              <w:spacing w:line="240" w:lineRule="auto"/>
              <w:ind w:right="264"/>
              <w:jc w:val="center"/>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11</w:t>
            </w:r>
          </w:p>
        </w:tc>
        <w:tc>
          <w:tcPr>
            <w:tcW w:w="2552" w:type="dxa"/>
            <w:tcBorders>
              <w:top w:val="single" w:color="auto" w:sz="4" w:space="0"/>
            </w:tcBorders>
            <w:vAlign w:val="center"/>
          </w:tcPr>
          <w:p>
            <w:pPr>
              <w:pStyle w:val="52"/>
              <w:spacing w:line="24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中标通知书发放</w:t>
            </w:r>
          </w:p>
        </w:tc>
        <w:tc>
          <w:tcPr>
            <w:tcW w:w="6273" w:type="dxa"/>
            <w:tcBorders>
              <w:top w:val="single" w:color="auto" w:sz="4" w:space="0"/>
            </w:tcBorders>
            <w:vAlign w:val="center"/>
          </w:tcPr>
          <w:p>
            <w:pPr>
              <w:pStyle w:val="52"/>
              <w:spacing w:line="240" w:lineRule="auto"/>
              <w:jc w:val="left"/>
              <w:rPr>
                <w:rFonts w:hint="eastAsia"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中标公告在四川政府采购网上公告，同时</w:t>
            </w:r>
            <w:r>
              <w:rPr>
                <w:rFonts w:hint="eastAsia" w:ascii="仿宋" w:hAnsi="仿宋" w:eastAsia="仿宋" w:cs="Times New Roman"/>
                <w:color w:val="000000" w:themeColor="text1"/>
                <w:kern w:val="2"/>
                <w:sz w:val="21"/>
                <w:szCs w:val="21"/>
                <w:lang w:val="zh-CN"/>
                <w14:textFill>
                  <w14:solidFill>
                    <w14:schemeClr w14:val="tx1"/>
                  </w14:solidFill>
                </w14:textFill>
              </w:rPr>
              <w:t>成都文瀚建设工程咨询有限公司</w:t>
            </w:r>
            <w:r>
              <w:rPr>
                <w:rFonts w:hint="eastAsia" w:ascii="仿宋" w:hAnsi="仿宋" w:eastAsia="仿宋" w:cs="Times New Roman"/>
                <w:color w:val="000000" w:themeColor="text1"/>
                <w:kern w:val="2"/>
                <w:sz w:val="21"/>
                <w:szCs w:val="21"/>
                <w14:textFill>
                  <w14:solidFill>
                    <w14:schemeClr w14:val="tx1"/>
                  </w14:solidFill>
                </w14:textFill>
              </w:rPr>
              <w:t>发放中</w:t>
            </w:r>
            <w:r>
              <w:rPr>
                <w:rFonts w:hint="eastAsia" w:ascii="仿宋" w:hAnsi="仿宋" w:eastAsia="仿宋" w:cs="Times New Roman"/>
                <w:color w:val="000000" w:themeColor="text1"/>
                <w:kern w:val="2"/>
                <w:sz w:val="21"/>
                <w:szCs w:val="21"/>
                <w:lang w:val="zh-CN"/>
                <w14:textFill>
                  <w14:solidFill>
                    <w14:schemeClr w14:val="tx1"/>
                  </w14:solidFill>
                </w14:textFill>
              </w:rPr>
              <w:t>标通知书。</w:t>
            </w:r>
          </w:p>
          <w:p>
            <w:pPr>
              <w:pStyle w:val="52"/>
              <w:spacing w:line="240" w:lineRule="auto"/>
              <w:jc w:val="left"/>
              <w:rPr>
                <w:rFonts w:hint="eastAsia"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中标通知书发放地址：成都市新都区新都街道鑫盛路366号友盛上都3栋24楼2401号。</w:t>
            </w:r>
          </w:p>
          <w:p>
            <w:pPr>
              <w:pStyle w:val="52"/>
              <w:spacing w:line="240" w:lineRule="auto"/>
              <w:jc w:val="left"/>
              <w:rPr>
                <w:rFonts w:hint="eastAsia"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联系电话：028-89399925。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52"/>
              <w:spacing w:line="240" w:lineRule="auto"/>
              <w:ind w:right="264"/>
              <w:jc w:val="center"/>
              <w:rPr>
                <w:rFonts w:hint="default" w:ascii="仿宋" w:hAnsi="仿宋" w:eastAsia="仿宋" w:cs="Times New Roman"/>
                <w:color w:val="000000" w:themeColor="text1"/>
                <w:kern w:val="2"/>
                <w:sz w:val="21"/>
                <w:szCs w:val="21"/>
                <w:lang w:val="en-US" w:eastAsia="zh-CN"/>
                <w14:textFill>
                  <w14:solidFill>
                    <w14:schemeClr w14:val="tx1"/>
                  </w14:solidFill>
                </w14:textFill>
              </w:rPr>
            </w:pPr>
            <w:r>
              <w:rPr>
                <w:rFonts w:hint="eastAsia" w:ascii="仿宋" w:hAnsi="仿宋" w:eastAsia="仿宋" w:cs="Times New Roman"/>
                <w:color w:val="000000" w:themeColor="text1"/>
                <w:kern w:val="2"/>
                <w:sz w:val="21"/>
                <w:szCs w:val="21"/>
                <w:lang w:val="en-US" w:eastAsia="zh-CN"/>
                <w14:textFill>
                  <w14:solidFill>
                    <w14:schemeClr w14:val="tx1"/>
                  </w14:solidFill>
                </w14:textFill>
              </w:rPr>
              <w:t>12</w:t>
            </w:r>
          </w:p>
        </w:tc>
        <w:tc>
          <w:tcPr>
            <w:tcW w:w="2552" w:type="dxa"/>
            <w:tcBorders>
              <w:top w:val="single" w:color="auto" w:sz="4" w:space="0"/>
            </w:tcBorders>
            <w:vAlign w:val="center"/>
          </w:tcPr>
          <w:p>
            <w:pPr>
              <w:pStyle w:val="52"/>
              <w:spacing w:line="240" w:lineRule="auto"/>
              <w:jc w:val="center"/>
              <w:rPr>
                <w:rFonts w:hint="eastAsia" w:ascii="仿宋" w:hAnsi="仿宋" w:eastAsia="仿宋" w:cs="Times New Roman"/>
                <w:color w:val="000000" w:themeColor="text1"/>
                <w:kern w:val="2"/>
                <w:sz w:val="21"/>
                <w:szCs w:val="21"/>
                <w:lang w:val="zh-CN"/>
                <w14:textFill>
                  <w14:solidFill>
                    <w14:schemeClr w14:val="tx1"/>
                  </w14:solidFill>
                </w14:textFill>
              </w:rPr>
            </w:pPr>
          </w:p>
          <w:p>
            <w:pPr>
              <w:pStyle w:val="52"/>
              <w:spacing w:line="24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供应商询问</w:t>
            </w:r>
          </w:p>
        </w:tc>
        <w:tc>
          <w:tcPr>
            <w:tcW w:w="6273" w:type="dxa"/>
            <w:tcBorders>
              <w:top w:val="single" w:color="auto" w:sz="4" w:space="0"/>
            </w:tcBorders>
            <w:vAlign w:val="top"/>
          </w:tcPr>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根据委托代理协议约定，关于采购需求方面的询问由采购人负责答复，其他方面的询问由</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成都文瀚建设工程咨询有限公司</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负责接收和处理</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联系人：</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蒋先生</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联系电话：028-89399925。</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地址：成都市新都区新都街道鑫盛路366号友盛上都3栋24楼2401号。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52"/>
              <w:spacing w:line="240" w:lineRule="auto"/>
              <w:ind w:right="264"/>
              <w:jc w:val="center"/>
              <w:rPr>
                <w:rFonts w:hint="eastAsia" w:ascii="仿宋" w:hAnsi="仿宋" w:eastAsia="仿宋" w:cs="Times New Roman"/>
                <w:color w:val="000000" w:themeColor="text1"/>
                <w:kern w:val="2"/>
                <w:sz w:val="21"/>
                <w:szCs w:val="21"/>
                <w:lang w:eastAsia="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w:t>
            </w:r>
            <w:r>
              <w:rPr>
                <w:rFonts w:hint="eastAsia" w:ascii="仿宋" w:hAnsi="仿宋" w:eastAsia="仿宋" w:cs="Times New Roman"/>
                <w:color w:val="000000" w:themeColor="text1"/>
                <w:kern w:val="2"/>
                <w:sz w:val="21"/>
                <w:szCs w:val="21"/>
                <w:lang w:val="en-US" w:eastAsia="zh-CN"/>
                <w14:textFill>
                  <w14:solidFill>
                    <w14:schemeClr w14:val="tx1"/>
                  </w14:solidFill>
                </w14:textFill>
              </w:rPr>
              <w:t>3</w:t>
            </w:r>
          </w:p>
        </w:tc>
        <w:tc>
          <w:tcPr>
            <w:tcW w:w="2552" w:type="dxa"/>
            <w:vAlign w:val="center"/>
          </w:tcPr>
          <w:p>
            <w:pPr>
              <w:pStyle w:val="52"/>
              <w:spacing w:line="240" w:lineRule="auto"/>
              <w:jc w:val="center"/>
              <w:rPr>
                <w:rFonts w:hint="eastAsia"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供应商质疑</w:t>
            </w:r>
          </w:p>
        </w:tc>
        <w:tc>
          <w:tcPr>
            <w:tcW w:w="6273" w:type="dxa"/>
            <w:vAlign w:val="center"/>
          </w:tcPr>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根据委托代理协议约定，关于采购需求方面的质疑由采购人负责答复，对于采购文件其他方面的质疑、</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采购过程</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的质疑、</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采购结果的质疑均</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由</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成都文瀚建设工程咨询有限公司负责答复</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联系人：</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蒋先生</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联系电话：028-89399925。</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地址：成都市新都区新都街道鑫盛路366号友盛上都3栋24楼2401号。</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注：</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1、</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根据《中华人民共和国政府采购法》的规定，供应商质疑不得超出采购文件、采购过程、采购结果的范围。</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2、供应商针对同一采购程序环节的质疑应当在法定质疑期内一次性提出。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315" w:firstLineChars="150"/>
              <w:rPr>
                <w:rFonts w:ascii="仿宋" w:hAnsi="仿宋" w:eastAsia="仿宋"/>
                <w:color w:val="000000" w:themeColor="text1"/>
                <w:szCs w:val="21"/>
                <w14:textFill>
                  <w14:solidFill>
                    <w14:schemeClr w14:val="tx1"/>
                  </w14:solidFill>
                </w14:textFill>
              </w:rPr>
            </w:pPr>
          </w:p>
          <w:p>
            <w:pPr>
              <w:spacing w:line="240" w:lineRule="auto"/>
              <w:ind w:firstLine="105" w:firstLineChars="50"/>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lang w:val="en-US" w:eastAsia="zh-CN"/>
                <w14:textFill>
                  <w14:solidFill>
                    <w14:schemeClr w14:val="tx1"/>
                  </w14:solidFill>
                </w14:textFill>
              </w:rPr>
              <w:t>4</w:t>
            </w:r>
          </w:p>
        </w:tc>
        <w:tc>
          <w:tcPr>
            <w:tcW w:w="2552" w:type="dxa"/>
            <w:vAlign w:val="center"/>
          </w:tcPr>
          <w:p>
            <w:pPr>
              <w:spacing w:line="240" w:lineRule="auto"/>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供应商投诉</w:t>
            </w:r>
          </w:p>
        </w:tc>
        <w:tc>
          <w:tcPr>
            <w:tcW w:w="6273" w:type="dxa"/>
            <w:vAlign w:val="top"/>
          </w:tcPr>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质疑供应商对采购人或采购代理机构的答复不满意，或者采购人、采购代理机构未在规定时间内作出答复的，可以在答复期满后 15 个工作日内向财政部门提起投诉。</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投诉受理单位：成都市新都区财政局。</w:t>
            </w:r>
          </w:p>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联系电话：</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 xml:space="preserve">028-89396791 </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地址：</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 xml:space="preserve">成都市新都区马超东路289新都区金融服务中心7层 </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eastAsia" w:ascii="仿宋" w:hAnsi="仿宋" w:eastAsia="仿宋"/>
                <w:color w:val="000000" w:themeColor="text1"/>
                <w:szCs w:val="21"/>
                <w:lang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lang w:val="en-US" w:eastAsia="zh-CN"/>
                <w14:textFill>
                  <w14:solidFill>
                    <w14:schemeClr w14:val="tx1"/>
                  </w14:solidFill>
                </w14:textFill>
              </w:rPr>
              <w:t>5</w:t>
            </w:r>
          </w:p>
        </w:tc>
        <w:tc>
          <w:tcPr>
            <w:tcW w:w="2552" w:type="dxa"/>
            <w:tcBorders>
              <w:right w:val="single" w:color="auto" w:sz="4" w:space="0"/>
            </w:tcBorders>
          </w:tcPr>
          <w:p>
            <w:pPr>
              <w:spacing w:line="24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政府采购合同</w:t>
            </w:r>
          </w:p>
          <w:p>
            <w:pPr>
              <w:spacing w:line="240" w:lineRule="auto"/>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公告备案</w:t>
            </w:r>
          </w:p>
        </w:tc>
        <w:tc>
          <w:tcPr>
            <w:tcW w:w="6273" w:type="dxa"/>
            <w:tcBorders>
              <w:left w:val="single" w:color="auto" w:sz="4" w:space="0"/>
            </w:tcBorders>
          </w:tcPr>
          <w:p>
            <w:pPr>
              <w:spacing w:line="240" w:lineRule="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bookmarkStart w:id="19" w:name="PO_默认文件内容_38"/>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spacing w:line="240" w:lineRule="auto"/>
              <w:ind w:firstLine="105" w:firstLineChars="50"/>
              <w:rPr>
                <w:rFonts w:hint="eastAsia" w:ascii="仿宋" w:hAnsi="仿宋" w:eastAsia="仿宋"/>
                <w:color w:val="000000" w:themeColor="text1"/>
                <w:szCs w:val="21"/>
                <w:lang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lang w:val="en-US" w:eastAsia="zh-CN"/>
                <w14:textFill>
                  <w14:solidFill>
                    <w14:schemeClr w14:val="tx1"/>
                  </w14:solidFill>
                </w14:textFill>
              </w:rPr>
              <w:t>6</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eastAsia="zh-CN"/>
                <w14:textFill>
                  <w14:solidFill>
                    <w14:schemeClr w14:val="tx1"/>
                  </w14:solidFill>
                </w14:textFill>
              </w:rPr>
              <w:t>代理服务费</w:t>
            </w:r>
          </w:p>
        </w:tc>
        <w:tc>
          <w:tcPr>
            <w:tcW w:w="6273" w:type="dxa"/>
            <w:tcBorders>
              <w:left w:val="single" w:color="auto" w:sz="4" w:space="0"/>
            </w:tcBorders>
            <w:vAlign w:val="center"/>
          </w:tcPr>
          <w:p>
            <w:pPr>
              <w:pStyle w:val="52"/>
              <w:spacing w:line="240" w:lineRule="auto"/>
              <w:ind w:left="96"/>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根据《政府采购代理机构管理暂行办法》（财库〔2018〕2号）的规定，本项目代理服务费由成交供应商向</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代理机构</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支付，</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约定收费金额387</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00</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.00元</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 w:hRule="atLeast"/>
          <w:jc w:val="center"/>
        </w:trPr>
        <w:tc>
          <w:tcPr>
            <w:tcW w:w="838" w:type="dxa"/>
            <w:vAlign w:val="center"/>
          </w:tcPr>
          <w:p>
            <w:pPr>
              <w:spacing w:line="240" w:lineRule="auto"/>
              <w:ind w:firstLine="105" w:firstLineChars="50"/>
              <w:rPr>
                <w:rFonts w:hint="eastAsia" w:ascii="仿宋" w:hAnsi="仿宋" w:eastAsia="仿宋"/>
                <w:color w:val="000000" w:themeColor="text1"/>
                <w:szCs w:val="21"/>
                <w:lang w:eastAsia="zh-CN"/>
                <w14:textFill>
                  <w14:solidFill>
                    <w14:schemeClr w14:val="tx1"/>
                  </w14:solidFill>
                </w14:textFill>
              </w:rPr>
            </w:pP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lang w:val="en-US" w:eastAsia="zh-CN"/>
                <w14:textFill>
                  <w14:solidFill>
                    <w14:schemeClr w14:val="tx1"/>
                  </w14:solidFill>
                </w14:textFill>
              </w:rPr>
              <w:t>7</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联合体（实质性要求）</w:t>
            </w:r>
          </w:p>
        </w:tc>
        <w:tc>
          <w:tcPr>
            <w:tcW w:w="6273" w:type="dxa"/>
            <w:tcBorders>
              <w:left w:val="single" w:color="auto" w:sz="4" w:space="0"/>
            </w:tcBorders>
            <w:vAlign w:val="center"/>
          </w:tcPr>
          <w:p>
            <w:pPr>
              <w:pStyle w:val="52"/>
              <w:spacing w:line="240" w:lineRule="auto"/>
              <w:rPr>
                <w:rFonts w:ascii="仿宋" w:hAnsi="仿宋" w:eastAsia="仿宋"/>
                <w:b/>
                <w:color w:val="000000" w:themeColor="text1"/>
                <w:sz w:val="21"/>
                <w:szCs w:val="21"/>
                <w:lang w:val="zh-CN"/>
                <w14:textFill>
                  <w14:solidFill>
                    <w14:schemeClr w14:val="tx1"/>
                  </w14:solidFill>
                </w14:textFill>
              </w:rPr>
            </w:pPr>
            <w:r>
              <w:rPr>
                <w:rFonts w:ascii="Segoe UI Symbol" w:hAnsi="Segoe UI Symbol" w:eastAsia="仿宋" w:cs="Segoe UI Symbol"/>
                <w:b/>
                <w:color w:val="000000" w:themeColor="text1"/>
                <w:kern w:val="2"/>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本项目不允许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r>
              <w:rPr>
                <w:rFonts w:ascii="仿宋" w:hAnsi="仿宋" w:eastAsia="仿宋"/>
                <w:b/>
                <w:color w:val="000000" w:themeColor="text1"/>
                <w:sz w:val="21"/>
                <w:szCs w:val="21"/>
                <w:lang w:val="zh-CN"/>
                <w14:textFill>
                  <w14:solidFill>
                    <w14:schemeClr w14:val="tx1"/>
                  </w14:solidFill>
                </w14:textFill>
              </w:rPr>
              <w:t xml:space="preserve">    </w:t>
            </w:r>
          </w:p>
          <w:p>
            <w:pPr>
              <w:pStyle w:val="52"/>
              <w:spacing w:line="240" w:lineRule="auto"/>
              <w:jc w:val="both"/>
              <w:rPr>
                <w:rFonts w:ascii="仿宋" w:hAnsi="仿宋" w:eastAsia="仿宋"/>
                <w:color w:val="000000" w:themeColor="text1"/>
                <w:sz w:val="21"/>
                <w:szCs w:val="21"/>
                <w:lang w:val="zh-CN"/>
                <w14:textFill>
                  <w14:solidFill>
                    <w14:schemeClr w14:val="tx1"/>
                  </w14:solidFill>
                </w14:textFill>
              </w:rPr>
            </w:pPr>
            <w:r>
              <w:rPr>
                <w:rFonts w:ascii="仿宋" w:hAnsi="仿宋" w:eastAsia="仿宋"/>
                <w:b/>
                <w:color w:val="000000" w:themeColor="text1"/>
                <w:sz w:val="21"/>
                <w:szCs w:val="21"/>
                <w:lang w:val="zh-CN"/>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1" w:hRule="atLeast"/>
          <w:jc w:val="center"/>
        </w:trPr>
        <w:tc>
          <w:tcPr>
            <w:tcW w:w="838" w:type="dxa"/>
            <w:vAlign w:val="center"/>
          </w:tcPr>
          <w:p>
            <w:pPr>
              <w:spacing w:line="240" w:lineRule="auto"/>
              <w:ind w:firstLine="105" w:firstLineChars="50"/>
              <w:rPr>
                <w:rFonts w:hint="eastAsia" w:ascii="仿宋" w:hAnsi="仿宋" w:eastAsia="仿宋"/>
                <w:color w:val="000000" w:themeColor="text1"/>
                <w:szCs w:val="21"/>
                <w:lang w:eastAsia="zh-CN"/>
                <w14:textFill>
                  <w14:solidFill>
                    <w14:schemeClr w14:val="tx1"/>
                  </w14:solidFill>
                </w14:textFill>
              </w:rPr>
            </w:pPr>
            <w:r>
              <w:rPr>
                <w:rFonts w:ascii="仿宋" w:hAnsi="仿宋" w:eastAsia="仿宋"/>
                <w:color w:val="000000" w:themeColor="text1"/>
                <w:szCs w:val="21"/>
                <w14:textFill>
                  <w14:solidFill>
                    <w14:schemeClr w14:val="tx1"/>
                  </w14:solidFill>
                </w14:textFill>
              </w:rPr>
              <w:t>1</w:t>
            </w:r>
            <w:r>
              <w:rPr>
                <w:rFonts w:hint="eastAsia" w:ascii="仿宋" w:hAnsi="仿宋" w:eastAsia="仿宋"/>
                <w:color w:val="000000" w:themeColor="text1"/>
                <w:szCs w:val="21"/>
                <w:lang w:val="en-US" w:eastAsia="zh-CN"/>
                <w14:textFill>
                  <w14:solidFill>
                    <w14:schemeClr w14:val="tx1"/>
                  </w14:solidFill>
                </w14:textFill>
              </w:rPr>
              <w:t>8</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现场考察或标前答疑会</w:t>
            </w: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lang w:val="zh-CN"/>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本项目不组织</w:t>
            </w:r>
            <w:r>
              <w:rPr>
                <w:rFonts w:hint="eastAsia" w:ascii="仿宋" w:hAnsi="仿宋" w:eastAsia="仿宋" w:cs="Times New Roman"/>
                <w:color w:val="000000" w:themeColor="text1"/>
                <w:szCs w:val="21"/>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19</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建议品牌或者供应商</w:t>
            </w:r>
          </w:p>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(如涉及)</w:t>
            </w: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若采购文件涉及建议品牌或者供应商，其目的是为了准确清楚说明采购项目的技术标准和要求，其意思表示为“参照或相当于”建议品牌或者供应商，其品牌或供应商具有可替代性。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20</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其他强制性规定</w:t>
            </w:r>
          </w:p>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(如涉及时作为实质性要求)</w:t>
            </w:r>
          </w:p>
        </w:tc>
        <w:tc>
          <w:tcPr>
            <w:tcW w:w="6273" w:type="dxa"/>
            <w:tcBorders>
              <w:left w:val="single" w:color="auto" w:sz="4" w:space="0"/>
            </w:tcBorders>
            <w:vAlign w:val="center"/>
          </w:tcPr>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国家或行业主管部门对采购产品的技术标准、质量标准和资格资质条件等有强制性规定的，必须符合其要求。如涉及3C认证产品的3C认证证书在投标文件中可不提供(招标文件有要求在投标时提供证明材料的除外)，供应商中标后应在签订采购合同时向采购人提供加盖投标人公章的3C证书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21</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eastAsia="zh-CN"/>
                <w14:textFill>
                  <w14:solidFill>
                    <w14:schemeClr w14:val="tx1"/>
                  </w14:solidFill>
                </w14:textFill>
              </w:rPr>
              <w:t>政府采购供应商信用融资</w:t>
            </w:r>
          </w:p>
        </w:tc>
        <w:tc>
          <w:tcPr>
            <w:tcW w:w="6273" w:type="dxa"/>
            <w:tcBorders>
              <w:left w:val="single" w:color="auto" w:sz="4" w:space="0"/>
            </w:tcBorders>
            <w:vAlign w:val="center"/>
          </w:tcPr>
          <w:p>
            <w:pPr>
              <w:pStyle w:val="52"/>
              <w:spacing w:line="240" w:lineRule="auto"/>
              <w:jc w:val="left"/>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1、</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四川省正在推进政府采购供应商信用融资工作，成交供应商为中小微企业的，可依据政府采购合同申请政府采购信用融资，本项目接受中标的中小微企业以信用融资方式履约。</w:t>
            </w:r>
          </w:p>
          <w:p>
            <w:pPr>
              <w:pStyle w:val="52"/>
              <w:spacing w:line="240" w:lineRule="auto"/>
              <w:jc w:val="left"/>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2、</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参与政府采购信用融资的成交供应商自主选择信用融资金融合作机构。政府采购信用融资按《四川省财政厅关于推进四川省政府采购供应商信用融资工作的通知》（川财采〔2</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018</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〕123号）、《成都市中小企政府采购信用融资暂行办法》（成财采〔20</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19</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〕17号）和《成都市新都区财政局关于公布新都区开展政府采购信用融资业务金融机构名单的通知》（新都财采〔2021〕160号）等文件规定。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22</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投标有效期</w:t>
            </w:r>
          </w:p>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(实质性要求)</w:t>
            </w: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lang w:val="zh-CN"/>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提交投标文件的截止之日起90日。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23</w:t>
            </w:r>
          </w:p>
        </w:tc>
        <w:tc>
          <w:tcPr>
            <w:tcW w:w="2552" w:type="dxa"/>
            <w:tcBorders>
              <w:right w:val="single" w:color="auto" w:sz="4" w:space="0"/>
            </w:tcBorders>
            <w:vAlign w:val="center"/>
          </w:tcPr>
          <w:p>
            <w:pPr>
              <w:spacing w:line="240" w:lineRule="auto"/>
              <w:jc w:val="center"/>
              <w:rPr>
                <w:rFonts w:hint="eastAsia" w:ascii="仿宋" w:hAnsi="仿宋" w:eastAsia="仿宋" w:cs="Times New Roman"/>
                <w:color w:val="000000" w:themeColor="text1"/>
                <w:szCs w:val="21"/>
                <w:lang w:val="zh-CN"/>
                <w14:textFill>
                  <w14:solidFill>
                    <w14:schemeClr w14:val="tx1"/>
                  </w14:solidFill>
                </w14:textFill>
              </w:rPr>
            </w:pPr>
            <w:r>
              <w:rPr>
                <w:rFonts w:hint="eastAsia" w:ascii="仿宋" w:hAnsi="仿宋" w:eastAsia="仿宋" w:cs="Times New Roman"/>
                <w:color w:val="000000" w:themeColor="text1"/>
                <w:szCs w:val="21"/>
                <w:lang w:val="zh-CN"/>
                <w14:textFill>
                  <w14:solidFill>
                    <w14:schemeClr w14:val="tx1"/>
                  </w14:solidFill>
                </w14:textFill>
              </w:rPr>
              <w:t>失信企业扣分</w:t>
            </w:r>
          </w:p>
          <w:p>
            <w:pPr>
              <w:spacing w:line="240" w:lineRule="auto"/>
              <w:jc w:val="center"/>
              <w:rPr>
                <w:rFonts w:hint="eastAsia" w:ascii="仿宋" w:hAnsi="仿宋" w:eastAsia="仿宋" w:cs="Times New Roman"/>
                <w:color w:val="000000" w:themeColor="text1"/>
                <w:szCs w:val="21"/>
                <w:lang w:val="zh-CN"/>
                <w14:textFill>
                  <w14:solidFill>
                    <w14:schemeClr w14:val="tx1"/>
                  </w14:solidFill>
                </w14:textFill>
              </w:rPr>
            </w:pP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1、对按照《四川省政府采购当事人诚信管理办法》（川财采</w:t>
            </w:r>
            <w:r>
              <w:rPr>
                <w:rFonts w:hint="eastAsia" w:ascii="仿宋" w:hAnsi="仿宋" w:eastAsia="仿宋" w:cs="Times New Roman"/>
                <w:color w:val="000000" w:themeColor="text1"/>
                <w:szCs w:val="21"/>
                <w:lang w:eastAsia="zh-CN"/>
                <w14:textFill>
                  <w14:solidFill>
                    <w14:schemeClr w14:val="tx1"/>
                  </w14:solidFill>
                </w14:textFill>
              </w:rPr>
              <w:t>〔</w:t>
            </w:r>
            <w:r>
              <w:rPr>
                <w:rFonts w:hint="eastAsia" w:ascii="仿宋" w:hAnsi="仿宋" w:eastAsia="仿宋" w:cs="Times New Roman"/>
                <w:color w:val="000000" w:themeColor="text1"/>
                <w:szCs w:val="21"/>
                <w14:textFill>
                  <w14:solidFill>
                    <w14:schemeClr w14:val="tx1"/>
                  </w14:solidFill>
                </w14:textFill>
              </w:rPr>
              <w:t>2015</w:t>
            </w:r>
            <w:r>
              <w:rPr>
                <w:rFonts w:hint="eastAsia" w:ascii="仿宋" w:hAnsi="仿宋" w:eastAsia="仿宋" w:cs="Times New Roman"/>
                <w:color w:val="000000" w:themeColor="text1"/>
                <w:szCs w:val="21"/>
                <w:lang w:eastAsia="zh-CN"/>
                <w14:textFill>
                  <w14:solidFill>
                    <w14:schemeClr w14:val="tx1"/>
                  </w14:solidFill>
                </w14:textFill>
              </w:rPr>
              <w:t>〕</w:t>
            </w:r>
            <w:r>
              <w:rPr>
                <w:rFonts w:hint="eastAsia" w:ascii="仿宋" w:hAnsi="仿宋" w:eastAsia="仿宋" w:cs="Times New Roman"/>
                <w:color w:val="000000" w:themeColor="text1"/>
                <w:szCs w:val="21"/>
                <w14:textFill>
                  <w14:solidFill>
                    <w14:schemeClr w14:val="tx1"/>
                  </w14:solidFill>
                </w14:textFill>
              </w:rPr>
              <w:t>33号）记入诚信档案的且在有效期内的失信供应商，在参加政府采购活动中实行直接从总分中扣除</w:t>
            </w:r>
            <w:r>
              <w:rPr>
                <w:rFonts w:hint="eastAsia" w:ascii="仿宋" w:hAnsi="仿宋" w:eastAsia="仿宋" w:cs="Times New Roman"/>
                <w:color w:val="000000" w:themeColor="text1"/>
                <w:szCs w:val="21"/>
                <w:lang w:val="en-US" w:eastAsia="zh-CN"/>
                <w14:textFill>
                  <w14:solidFill>
                    <w14:schemeClr w14:val="tx1"/>
                  </w14:solidFill>
                </w14:textFill>
              </w:rPr>
              <w:t>5</w:t>
            </w:r>
            <w:r>
              <w:rPr>
                <w:rFonts w:hint="eastAsia" w:ascii="仿宋" w:hAnsi="仿宋" w:eastAsia="仿宋" w:cs="Times New Roman"/>
                <w:color w:val="000000" w:themeColor="text1"/>
                <w:szCs w:val="21"/>
                <w14:textFill>
                  <w14:solidFill>
                    <w14:schemeClr w14:val="tx1"/>
                  </w14:solidFill>
                </w14:textFill>
              </w:rPr>
              <w:t>分</w:t>
            </w:r>
            <w:r>
              <w:rPr>
                <w:rFonts w:hint="eastAsia" w:ascii="仿宋" w:hAnsi="仿宋" w:eastAsia="仿宋" w:cs="Times New Roman"/>
                <w:color w:val="000000" w:themeColor="text1"/>
                <w:szCs w:val="21"/>
                <w:lang w:val="en-US" w:eastAsia="zh-CN"/>
                <w14:textFill>
                  <w14:solidFill>
                    <w14:schemeClr w14:val="tx1"/>
                  </w14:solidFill>
                </w14:textFill>
              </w:rPr>
              <w:t>/次</w:t>
            </w:r>
            <w:r>
              <w:rPr>
                <w:rFonts w:hint="eastAsia" w:ascii="仿宋" w:hAnsi="仿宋" w:eastAsia="仿宋" w:cs="Times New Roman"/>
                <w:color w:val="000000" w:themeColor="text1"/>
                <w:szCs w:val="21"/>
                <w14:textFill>
                  <w14:solidFill>
                    <w14:schemeClr w14:val="tx1"/>
                  </w14:solidFill>
                </w14:textFill>
              </w:rPr>
              <w:t>，且供应商失信行为惩戒实行无限制累加制，直至总分扣完为止。</w:t>
            </w:r>
          </w:p>
          <w:p>
            <w:pPr>
              <w:spacing w:line="240" w:lineRule="auto"/>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2、供应商参加政府采购活动时，应当就自己的诚信情况在投标文件中进行声明。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24</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声明承诺提醒</w:t>
            </w: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lang w:val="zh-CN"/>
                <w14:textFill>
                  <w14:solidFill>
                    <w14:schemeClr w14:val="tx1"/>
                  </w14:solidFill>
                </w14:textFill>
              </w:rPr>
            </w:pPr>
            <w:r>
              <w:rPr>
                <w:rFonts w:hint="eastAsia" w:ascii="仿宋" w:hAnsi="仿宋" w:eastAsia="仿宋" w:cs="Times New Roman"/>
                <w:color w:val="000000" w:themeColor="text1"/>
                <w:szCs w:val="21"/>
                <w:lang w:val="zh-CN"/>
                <w14:textFill>
                  <w14:solidFill>
                    <w14:schemeClr w14:val="tx1"/>
                  </w14:solidFill>
                </w14:textFill>
              </w:rPr>
              <w:t>供应商投标文件中提供的各种声明和承诺应当真实有效，无效声明和承诺、虚假声明和承诺将由供应商自己承担由此带来的任何不利后果，虚假声明和承诺还将报告监管部门追究法律责任。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40" w:lineRule="auto"/>
              <w:ind w:firstLine="105" w:firstLineChars="50"/>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25</w:t>
            </w:r>
          </w:p>
        </w:tc>
        <w:tc>
          <w:tcPr>
            <w:tcW w:w="2552" w:type="dxa"/>
            <w:tcBorders>
              <w:right w:val="single" w:color="auto" w:sz="4" w:space="0"/>
            </w:tcBorders>
            <w:vAlign w:val="center"/>
          </w:tcPr>
          <w:p>
            <w:pPr>
              <w:pStyle w:val="52"/>
              <w:spacing w:line="240" w:lineRule="auto"/>
              <w:ind w:left="96"/>
              <w:jc w:val="center"/>
              <w:rPr>
                <w:rFonts w:hint="eastAsia" w:ascii="仿宋" w:hAnsi="仿宋" w:eastAsia="仿宋" w:cs="宋体"/>
                <w:color w:val="000000" w:themeColor="text1"/>
                <w:sz w:val="21"/>
                <w:szCs w:val="21"/>
                <w:lang w:val="zh-CN"/>
                <w14:textFill>
                  <w14:solidFill>
                    <w14:schemeClr w14:val="tx1"/>
                  </w14:solidFill>
                </w14:textFill>
              </w:rPr>
            </w:pPr>
            <w:r>
              <w:rPr>
                <w:rFonts w:hint="eastAsia" w:ascii="仿宋" w:hAnsi="仿宋" w:eastAsia="仿宋" w:cs="宋体"/>
                <w:color w:val="000000" w:themeColor="text1"/>
                <w:sz w:val="21"/>
                <w:szCs w:val="21"/>
                <w:lang w:val="zh-CN"/>
                <w14:textFill>
                  <w14:solidFill>
                    <w14:schemeClr w14:val="tx1"/>
                  </w14:solidFill>
                </w14:textFill>
              </w:rPr>
              <w:t>温馨提示</w:t>
            </w:r>
          </w:p>
        </w:tc>
        <w:tc>
          <w:tcPr>
            <w:tcW w:w="6273" w:type="dxa"/>
            <w:tcBorders>
              <w:left w:val="single" w:color="auto" w:sz="4" w:space="0"/>
            </w:tcBorders>
            <w:vAlign w:val="center"/>
          </w:tcPr>
          <w:p>
            <w:pPr>
              <w:spacing w:line="240" w:lineRule="auto"/>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lang w:val="zh-CN"/>
                <w14:textFill>
                  <w14:solidFill>
                    <w14:schemeClr w14:val="tx1"/>
                  </w14:solidFill>
                </w14:textFill>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40"/>
        <w:rPr>
          <w:rFonts w:ascii="仿宋" w:hAnsi="仿宋" w:eastAsia="仿宋"/>
          <w:color w:val="000000" w:themeColor="text1"/>
          <w14:textFill>
            <w14:solidFill>
              <w14:schemeClr w14:val="tx1"/>
            </w14:solidFill>
          </w14:textFill>
        </w:rPr>
      </w:pPr>
    </w:p>
    <w:p>
      <w:pPr>
        <w:pStyle w:val="4"/>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  则</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0" w:name="_Toc183682342"/>
      <w:bookmarkStart w:id="21" w:name="_Toc183582205"/>
      <w:bookmarkStart w:id="22" w:name="_Toc217446034"/>
      <w:bookmarkStart w:id="23" w:name="PO_默认文件内容_19"/>
      <w:r>
        <w:rPr>
          <w:rFonts w:hint="eastAsia" w:ascii="仿宋" w:hAnsi="仿宋" w:eastAsia="仿宋"/>
          <w:color w:val="000000" w:themeColor="text1"/>
          <w:sz w:val="24"/>
          <w:szCs w:val="24"/>
          <w14:textFill>
            <w14:solidFill>
              <w14:schemeClr w14:val="tx1"/>
            </w14:solidFill>
          </w14:textFill>
        </w:rPr>
        <w:t>1.</w:t>
      </w:r>
      <w:bookmarkEnd w:id="20"/>
      <w:bookmarkEnd w:id="21"/>
      <w:r>
        <w:rPr>
          <w:rFonts w:hint="eastAsia" w:ascii="仿宋" w:hAnsi="仿宋" w:eastAsia="仿宋"/>
          <w:color w:val="000000" w:themeColor="text1"/>
          <w:sz w:val="24"/>
          <w:szCs w:val="24"/>
          <w14:textFill>
            <w14:solidFill>
              <w14:schemeClr w14:val="tx1"/>
            </w14:solidFill>
          </w14:textFill>
        </w:rPr>
        <w:t xml:space="preserve"> 适用范围</w:t>
      </w:r>
      <w:bookmarkEnd w:id="22"/>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本招标文件仅适用于本次招标采购项目。</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24" w:name="_Toc183682343"/>
      <w:bookmarkStart w:id="25" w:name="_Toc183582206"/>
      <w:bookmarkStart w:id="26" w:name="_Toc217446035"/>
      <w:r>
        <w:rPr>
          <w:rFonts w:hint="eastAsia" w:ascii="仿宋" w:hAnsi="仿宋" w:eastAsia="仿宋"/>
          <w:color w:val="000000" w:themeColor="text1"/>
          <w:sz w:val="24"/>
          <w14:textFill>
            <w14:solidFill>
              <w14:schemeClr w14:val="tx1"/>
            </w14:solidFill>
          </w14:textFill>
        </w:rPr>
        <w:t xml:space="preserve">2. </w:t>
      </w:r>
      <w:bookmarkEnd w:id="24"/>
      <w:bookmarkEnd w:id="25"/>
      <w:r>
        <w:rPr>
          <w:rFonts w:hint="eastAsia" w:ascii="仿宋" w:hAnsi="仿宋" w:eastAsia="仿宋"/>
          <w:color w:val="000000" w:themeColor="text1"/>
          <w:sz w:val="24"/>
          <w14:textFill>
            <w14:solidFill>
              <w14:schemeClr w14:val="tx1"/>
            </w14:solidFill>
          </w14:textFill>
        </w:rPr>
        <w:t>有关</w:t>
      </w:r>
      <w:r>
        <w:rPr>
          <w:rFonts w:hint="eastAsia" w:ascii="仿宋" w:hAnsi="仿宋" w:eastAsia="仿宋"/>
          <w:color w:val="000000" w:themeColor="text1"/>
          <w:sz w:val="24"/>
          <w:szCs w:val="24"/>
          <w14:textFill>
            <w14:solidFill>
              <w14:schemeClr w14:val="tx1"/>
            </w14:solidFill>
          </w14:textFill>
        </w:rPr>
        <w:t>定义</w:t>
      </w:r>
      <w:bookmarkEnd w:id="26"/>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 “采购人”系指依法进行政府采购的国家机关、事业单位、团体组织。本次招标的采购人是</w:t>
      </w:r>
      <w:bookmarkEnd w:id="23"/>
      <w:r>
        <w:rPr>
          <w:rFonts w:hint="eastAsia" w:ascii="仿宋" w:hAnsi="仿宋" w:eastAsia="仿宋"/>
          <w:color w:val="000000" w:themeColor="text1"/>
          <w:sz w:val="24"/>
          <w14:textFill>
            <w14:solidFill>
              <w14:schemeClr w14:val="tx1"/>
            </w14:solidFill>
          </w14:textFill>
        </w:rPr>
        <w:t xml:space="preserve"> </w:t>
      </w:r>
      <w:r>
        <w:rPr>
          <w:rFonts w:hint="eastAsia" w:ascii="仿宋" w:hAnsi="仿宋" w:eastAsia="仿宋"/>
          <w:b/>
          <w:bCs/>
          <w:color w:val="000000" w:themeColor="text1"/>
          <w:sz w:val="24"/>
          <w:u w:val="single"/>
          <w:lang w:eastAsia="zh-CN"/>
          <w14:textFill>
            <w14:solidFill>
              <w14:schemeClr w14:val="tx1"/>
            </w14:solidFill>
          </w14:textFill>
        </w:rPr>
        <w:t>成都市新都区应急管理局</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7" w:name="PO_默认文件内容_20"/>
      <w:r>
        <w:rPr>
          <w:rFonts w:hint="eastAsia" w:ascii="仿宋" w:hAnsi="仿宋" w:eastAsia="仿宋"/>
          <w:color w:val="000000" w:themeColor="text1"/>
          <w:sz w:val="24"/>
          <w14:textFill>
            <w14:solidFill>
              <w14:schemeClr w14:val="tx1"/>
            </w14:solidFill>
          </w14:textFill>
        </w:rPr>
        <w:t>2.2 “采购代理机构” 系指根据采购人的委托依法办理招标事宜的采购机构。本次招标的采购代理机构是</w:t>
      </w:r>
      <w:r>
        <w:rPr>
          <w:rFonts w:hint="eastAsia" w:ascii="仿宋" w:hAnsi="仿宋" w:eastAsia="仿宋"/>
          <w:b/>
          <w:bCs/>
          <w:color w:val="000000" w:themeColor="text1"/>
          <w:sz w:val="24"/>
          <w:u w:val="single"/>
          <w:lang w:eastAsia="zh-CN"/>
          <w14:textFill>
            <w14:solidFill>
              <w14:schemeClr w14:val="tx1"/>
            </w14:solidFill>
          </w14:textFill>
        </w:rPr>
        <w:t>成都文瀚建设工程咨询有限公司</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 “招标采购单位”系指“采购人”和“采购代理机构”的统称。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 “投标人”系指获取了招标文件拟参加投标和向采购人提供货物及相应服务的供应商。</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28" w:name="_Toc217390843"/>
      <w:bookmarkStart w:id="29" w:name="_Toc183682344"/>
      <w:bookmarkStart w:id="30" w:name="_Toc217446036"/>
      <w:bookmarkStart w:id="31" w:name="_Toc183582207"/>
      <w:r>
        <w:rPr>
          <w:rFonts w:hint="eastAsia" w:ascii="仿宋" w:hAnsi="仿宋" w:eastAsia="仿宋"/>
          <w:color w:val="000000" w:themeColor="text1"/>
          <w:sz w:val="24"/>
          <w14:textFill>
            <w14:solidFill>
              <w14:schemeClr w14:val="tx1"/>
            </w14:solidFill>
          </w14:textFill>
        </w:rPr>
        <w:t>3. 合格的投标人</w:t>
      </w:r>
      <w:bookmarkEnd w:id="28"/>
      <w:bookmarkEnd w:id="29"/>
      <w:bookmarkEnd w:id="30"/>
      <w:bookmarkEnd w:id="3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（1）本招标文件规定的供应商资格条件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（3）按照招标文件第一章第六条要求规定获取了招标文件。</w:t>
      </w:r>
    </w:p>
    <w:bookmarkEnd w:id="27"/>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32" w:name="_Toc217446037"/>
      <w:bookmarkStart w:id="33" w:name="_Toc183582208"/>
      <w:bookmarkStart w:id="34" w:name="_Toc183682345"/>
      <w:bookmarkStart w:id="35" w:name="PO_默认文件内容_16"/>
      <w:r>
        <w:rPr>
          <w:rFonts w:hint="eastAsia" w:ascii="仿宋" w:hAnsi="仿宋" w:eastAsia="仿宋"/>
          <w:color w:val="000000" w:themeColor="text1"/>
          <w:sz w:val="24"/>
          <w14:textFill>
            <w14:solidFill>
              <w14:schemeClr w14:val="tx1"/>
            </w14:solidFill>
          </w14:textFill>
        </w:rPr>
        <w:t>4. 投标费用</w:t>
      </w:r>
      <w:bookmarkEnd w:id="32"/>
      <w:bookmarkEnd w:id="33"/>
      <w:bookmarkEnd w:id="34"/>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投标人参加投标的有关费用由投标人自行承担。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 充分、公平竞争保障措施</w:t>
      </w:r>
      <w:r>
        <w:rPr>
          <w:rFonts w:hint="eastAsia" w:ascii="仿宋" w:hAnsi="仿宋" w:eastAsia="仿宋"/>
          <w:color w:val="000000" w:themeColor="text1"/>
          <w:sz w:val="24"/>
          <w:szCs w:val="24"/>
          <w14:textFill>
            <w14:solidFill>
              <w14:schemeClr w14:val="tx1"/>
            </w14:solidFill>
          </w14:textFill>
        </w:rPr>
        <w:t>（实质性要求）</w:t>
      </w:r>
    </w:p>
    <w:p>
      <w:pPr>
        <w:pStyle w:val="50"/>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5.1 提供相同品牌产品处理</w:t>
      </w:r>
      <w:r>
        <w:rPr>
          <w:rFonts w:hint="eastAsia" w:ascii="仿宋" w:hAnsi="仿宋" w:eastAsia="仿宋"/>
          <w:b/>
          <w:color w:val="000000" w:themeColor="text1"/>
          <w:sz w:val="24"/>
          <w:szCs w:val="24"/>
          <w14:textFill>
            <w14:solidFill>
              <w14:schemeClr w14:val="tx1"/>
            </w14:solidFill>
          </w14:textFill>
        </w:rPr>
        <w:t>。</w:t>
      </w:r>
    </w:p>
    <w:p>
      <w:pPr>
        <w:pStyle w:val="50"/>
        <w:spacing w:line="460" w:lineRule="exact"/>
        <w:ind w:left="1" w:firstLine="482" w:firstLineChars="200"/>
        <w:rPr>
          <w:rFonts w:hint="eastAsia" w:ascii="仿宋" w:hAnsi="仿宋" w:eastAsia="仿宋"/>
          <w:bCs/>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5.1.1 </w:t>
      </w:r>
      <w:r>
        <w:rPr>
          <w:rFonts w:hint="eastAsia" w:ascii="仿宋" w:hAnsi="仿宋" w:eastAsia="仿宋"/>
          <w:bCs/>
          <w:color w:val="000000" w:themeColor="text1"/>
          <w:sz w:val="24"/>
          <w:szCs w:val="24"/>
          <w14:textFill>
            <w14:solidFill>
              <w14:schemeClr w14:val="tx1"/>
            </w14:solidFill>
          </w14:textFill>
        </w:rPr>
        <w:t>非单一产品采购项目中，采购人根据采购项目技术构成、产品价格比重等合理确定核心产品。多家投标人提供的任一核心产品品牌相同的，视为提供相同品牌产品。</w:t>
      </w:r>
    </w:p>
    <w:p>
      <w:pPr>
        <w:pStyle w:val="50"/>
        <w:spacing w:line="460" w:lineRule="exact"/>
        <w:ind w:left="1" w:firstLine="482" w:firstLineChars="2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5.1.2 采用综合评分法的采购项目。</w:t>
      </w:r>
    </w:p>
    <w:p>
      <w:pPr>
        <w:pStyle w:val="50"/>
        <w:spacing w:line="460" w:lineRule="exact"/>
        <w:ind w:left="1" w:firstLine="480" w:firstLineChars="200"/>
        <w:rPr>
          <w:rFonts w:ascii="仿宋" w:hAnsi="仿宋" w:eastAsia="仿宋"/>
          <w:bCs/>
          <w:color w:val="000000" w:themeColor="text1"/>
          <w:sz w:val="24"/>
          <w:szCs w:val="24"/>
          <w14:textFill>
            <w14:solidFill>
              <w14:schemeClr w14:val="tx1"/>
            </w14:solidFill>
          </w14:textFill>
        </w:rPr>
      </w:pPr>
      <w:r>
        <w:rPr>
          <w:rFonts w:hint="eastAsia" w:ascii="仿宋" w:hAnsi="仿宋" w:eastAsia="仿宋"/>
          <w:bCs/>
          <w:color w:val="000000" w:themeColor="text1"/>
          <w:sz w:val="24"/>
          <w:szCs w:val="24"/>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5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5.2 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5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5.3 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0"/>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5.4 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color w:val="000000" w:themeColor="text1"/>
          <w14:textFill>
            <w14:solidFill>
              <w14:schemeClr w14:val="tx1"/>
            </w14:solidFill>
          </w14:textFill>
        </w:rPr>
      </w:pPr>
      <w:bookmarkStart w:id="36" w:name="_Toc89075875"/>
      <w:bookmarkStart w:id="37" w:name="_Toc217446038"/>
      <w:bookmarkStart w:id="38" w:name="_Toc77400779"/>
      <w:bookmarkStart w:id="39" w:name="_Toc183582209"/>
      <w:bookmarkStart w:id="40" w:name="_Toc183682346"/>
      <w:r>
        <w:rPr>
          <w:rFonts w:hint="eastAsia" w:ascii="仿宋" w:hAnsi="仿宋" w:eastAsia="仿宋"/>
          <w:bCs w:val="0"/>
          <w:color w:val="000000" w:themeColor="text1"/>
          <w14:textFill>
            <w14:solidFill>
              <w14:schemeClr w14:val="tx1"/>
            </w14:solidFill>
          </w14:textFill>
        </w:rPr>
        <w:t>三、招标文件</w:t>
      </w:r>
      <w:bookmarkEnd w:id="36"/>
      <w:bookmarkEnd w:id="37"/>
      <w:bookmarkEnd w:id="38"/>
      <w:bookmarkEnd w:id="39"/>
      <w:bookmarkEnd w:id="40"/>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1" w:name="_Toc183682347"/>
      <w:bookmarkStart w:id="42" w:name="_Toc183582210"/>
      <w:bookmarkStart w:id="43" w:name="_Toc217446039"/>
      <w:r>
        <w:rPr>
          <w:rFonts w:hint="eastAsia" w:ascii="仿宋" w:hAnsi="仿宋" w:eastAsia="仿宋"/>
          <w:color w:val="000000" w:themeColor="text1"/>
          <w:sz w:val="24"/>
          <w14:textFill>
            <w14:solidFill>
              <w14:schemeClr w14:val="tx1"/>
            </w14:solidFill>
          </w14:textFill>
        </w:rPr>
        <w:t>6．招标文件的构成</w:t>
      </w:r>
      <w:bookmarkEnd w:id="41"/>
      <w:bookmarkEnd w:id="42"/>
      <w:bookmarkEnd w:id="43"/>
    </w:p>
    <w:p>
      <w:pPr>
        <w:tabs>
          <w:tab w:val="left" w:pos="7665"/>
        </w:tabs>
        <w:spacing w:line="400" w:lineRule="exact"/>
        <w:ind w:firstLine="480" w:firstLineChars="200"/>
        <w:rPr>
          <w:rFonts w:ascii="仿宋" w:hAnsi="仿宋" w:eastAsia="仿宋"/>
          <w:color w:val="000000" w:themeColor="text1"/>
          <w:kern w:val="0"/>
          <w:sz w:val="24"/>
          <w:szCs w:val="22"/>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（一）投标</w:t>
      </w:r>
      <w:r>
        <w:rPr>
          <w:rFonts w:hint="eastAsia" w:ascii="仿宋" w:hAnsi="仿宋" w:eastAsia="仿宋"/>
          <w:color w:val="000000" w:themeColor="text1"/>
          <w:sz w:val="24"/>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（六）招标项目技术、服务、政府采购合同内容条款及其他商务要求；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（八）合同主要条款。</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4" w:name="_Toc183582211"/>
      <w:bookmarkStart w:id="45" w:name="_Toc183682348"/>
      <w:bookmarkStart w:id="46" w:name="_Toc217446040"/>
      <w:r>
        <w:rPr>
          <w:rFonts w:hint="eastAsia" w:ascii="仿宋" w:hAnsi="仿宋" w:eastAsia="仿宋"/>
          <w:color w:val="000000" w:themeColor="text1"/>
          <w:sz w:val="24"/>
          <w14:textFill>
            <w14:solidFill>
              <w14:schemeClr w14:val="tx1"/>
            </w14:solidFill>
          </w14:textFill>
        </w:rPr>
        <w:t>7. 招标文件的澄清</w:t>
      </w:r>
      <w:bookmarkEnd w:id="44"/>
      <w:bookmarkEnd w:id="45"/>
      <w:r>
        <w:rPr>
          <w:rFonts w:hint="eastAsia" w:ascii="仿宋" w:hAnsi="仿宋" w:eastAsia="仿宋"/>
          <w:color w:val="000000" w:themeColor="text1"/>
          <w:sz w:val="24"/>
          <w14:textFill>
            <w14:solidFill>
              <w14:schemeClr w14:val="tx1"/>
            </w14:solidFill>
          </w14:textFill>
        </w:rPr>
        <w:t>和修改</w:t>
      </w:r>
      <w:bookmarkEnd w:id="46"/>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更正通知通过政府采购云平台通知所有获取招标文件的潜在供应商。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7.4 </w:t>
      </w:r>
      <w:r>
        <w:rPr>
          <w:rFonts w:hint="eastAsia" w:ascii="仿宋" w:hAnsi="仿宋" w:eastAsia="仿宋"/>
          <w:color w:val="000000" w:themeColor="text1"/>
          <w:sz w:val="24"/>
          <w14:textFill>
            <w14:solidFill>
              <w14:schemeClr w14:val="tx1"/>
            </w14:solidFill>
          </w14:textFill>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47" w:name="_Toc217446041"/>
      <w:bookmarkStart w:id="48" w:name="_Toc208848971"/>
      <w:r>
        <w:rPr>
          <w:rFonts w:hint="eastAsia" w:ascii="仿宋" w:hAnsi="仿宋" w:eastAsia="仿宋"/>
          <w:color w:val="000000" w:themeColor="text1"/>
          <w:sz w:val="24"/>
          <w14:textFill>
            <w14:solidFill>
              <w14:schemeClr w14:val="tx1"/>
            </w14:solidFill>
          </w14:textFill>
        </w:rPr>
        <w:t>8. 答疑会和现场考察</w:t>
      </w:r>
      <w:bookmarkEnd w:id="47"/>
      <w:bookmarkEnd w:id="48"/>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现场考察或标前答疑会时间：详见投标人须知表。</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现场考察或标前答疑会地点：详见投标人须知表。</w:t>
      </w:r>
    </w:p>
    <w:bookmarkEnd w:id="35"/>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49" w:name="PO_默认文件内容_18"/>
      <w:r>
        <w:rPr>
          <w:rFonts w:hint="eastAsia" w:ascii="仿宋" w:hAnsi="仿宋" w:eastAsia="仿宋"/>
          <w:color w:val="000000" w:themeColor="text1"/>
          <w:sz w:val="24"/>
          <w14:textFill>
            <w14:solidFill>
              <w14:schemeClr w14:val="tx1"/>
            </w14:solidFill>
          </w14:textFill>
        </w:rPr>
        <w:t>8.2 供应商考察现场所发生的一切费用由供应商自己承担。</w:t>
      </w:r>
    </w:p>
    <w:p>
      <w:pPr>
        <w:pStyle w:val="4"/>
        <w:spacing w:line="400" w:lineRule="exact"/>
        <w:jc w:val="center"/>
        <w:rPr>
          <w:rFonts w:ascii="仿宋" w:hAnsi="仿宋" w:eastAsia="仿宋"/>
          <w:bCs w:val="0"/>
          <w:color w:val="000000" w:themeColor="text1"/>
          <w14:textFill>
            <w14:solidFill>
              <w14:schemeClr w14:val="tx1"/>
            </w14:solidFill>
          </w14:textFill>
        </w:rPr>
      </w:pPr>
      <w:bookmarkStart w:id="50" w:name="_Toc183582214"/>
      <w:bookmarkStart w:id="51" w:name="_Toc217446042"/>
      <w:bookmarkStart w:id="52" w:name="_Toc77400780"/>
      <w:bookmarkStart w:id="53" w:name="_Toc89075876"/>
      <w:bookmarkStart w:id="54" w:name="_Toc183682351"/>
      <w:r>
        <w:rPr>
          <w:rFonts w:hint="eastAsia" w:ascii="仿宋" w:hAnsi="仿宋" w:eastAsia="仿宋"/>
          <w:bCs w:val="0"/>
          <w:color w:val="000000" w:themeColor="text1"/>
          <w14:textFill>
            <w14:solidFill>
              <w14:schemeClr w14:val="tx1"/>
            </w14:solidFill>
          </w14:textFill>
        </w:rPr>
        <w:t>四、投标文件</w:t>
      </w:r>
      <w:bookmarkEnd w:id="50"/>
      <w:bookmarkEnd w:id="51"/>
      <w:bookmarkEnd w:id="52"/>
      <w:bookmarkEnd w:id="53"/>
      <w:bookmarkEnd w:id="54"/>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55" w:name="_Toc183582215"/>
      <w:bookmarkStart w:id="56" w:name="_Toc217446043"/>
      <w:bookmarkStart w:id="57" w:name="_Toc183682352"/>
      <w:r>
        <w:rPr>
          <w:rFonts w:hint="eastAsia" w:ascii="仿宋" w:hAnsi="仿宋" w:eastAsia="仿宋"/>
          <w:bCs w:val="0"/>
          <w:color w:val="000000" w:themeColor="text1"/>
          <w:sz w:val="24"/>
          <w14:textFill>
            <w14:solidFill>
              <w14:schemeClr w14:val="tx1"/>
            </w14:solidFill>
          </w14:textFill>
        </w:rPr>
        <w:t>9．投标文件的语言</w:t>
      </w:r>
      <w:bookmarkEnd w:id="55"/>
      <w:bookmarkEnd w:id="56"/>
      <w:bookmarkEnd w:id="57"/>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bookmarkStart w:id="58" w:name="_Toc217446044"/>
      <w:bookmarkStart w:id="59" w:name="_Toc183682353"/>
      <w:bookmarkStart w:id="60" w:name="_Toc183582216"/>
      <w:r>
        <w:rPr>
          <w:rFonts w:hint="eastAsia" w:ascii="仿宋" w:hAnsi="仿宋" w:eastAsia="仿宋"/>
          <w:color w:val="000000" w:themeColor="text1"/>
          <w:sz w:val="24"/>
          <w14:textFill>
            <w14:solidFill>
              <w14:schemeClr w14:val="tx1"/>
            </w14:solidFill>
          </w14:textFill>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9.3 如因未翻译而造成的废标，由投标人承担。</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10．计量单位</w:t>
      </w:r>
      <w:bookmarkEnd w:id="58"/>
      <w:bookmarkEnd w:id="59"/>
      <w:bookmarkEnd w:id="60"/>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1" w:name="_Toc217446045"/>
      <w:r>
        <w:rPr>
          <w:rFonts w:hint="eastAsia" w:ascii="仿宋" w:hAnsi="仿宋" w:eastAsia="仿宋"/>
          <w:color w:val="000000" w:themeColor="text1"/>
          <w:sz w:val="24"/>
          <w14:textFill>
            <w14:solidFill>
              <w14:schemeClr w14:val="tx1"/>
            </w14:solidFill>
          </w14:textFill>
        </w:rPr>
        <w:t>11. 投标货币</w:t>
      </w:r>
      <w:bookmarkEnd w:id="61"/>
      <w:r>
        <w:rPr>
          <w:rFonts w:hint="eastAsia" w:ascii="仿宋" w:hAnsi="仿宋" w:eastAsia="仿宋"/>
          <w:color w:val="000000" w:themeColor="text1"/>
          <w:sz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本次招标项目的投标均以人民币报价。</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2" w:name="_Toc217446046"/>
      <w:r>
        <w:rPr>
          <w:rFonts w:hint="eastAsia" w:ascii="仿宋" w:hAnsi="仿宋" w:eastAsia="仿宋"/>
          <w:color w:val="000000" w:themeColor="text1"/>
          <w:sz w:val="24"/>
          <w14:textFill>
            <w14:solidFill>
              <w14:schemeClr w14:val="tx1"/>
            </w14:solidFill>
          </w14:textFill>
        </w:rPr>
        <w:t>12. 联合体投标</w:t>
      </w:r>
      <w:bookmarkEnd w:id="62"/>
      <w:r>
        <w:rPr>
          <w:rFonts w:hint="eastAsia" w:ascii="仿宋" w:hAnsi="仿宋" w:eastAsia="仿宋"/>
          <w:color w:val="000000" w:themeColor="text1"/>
          <w:sz w:val="24"/>
          <w14:textFill>
            <w14:solidFill>
              <w14:schemeClr w14:val="tx1"/>
            </w14:solidFill>
          </w14:textFill>
        </w:rPr>
        <w:t>（仅适用于允许联合体参与的项目）</w:t>
      </w:r>
    </w:p>
    <w:p>
      <w:pPr>
        <w:spacing w:line="400" w:lineRule="exact"/>
        <w:ind w:firstLine="470" w:firstLineChars="196"/>
        <w:rPr>
          <w:rFonts w:ascii="仿宋" w:hAnsi="仿宋" w:eastAsia="仿宋"/>
          <w:color w:val="000000" w:themeColor="text1"/>
          <w:sz w:val="24"/>
          <w14:textFill>
            <w14:solidFill>
              <w14:schemeClr w14:val="tx1"/>
            </w14:solidFill>
          </w14:textFill>
        </w:rPr>
      </w:pPr>
      <w:bookmarkStart w:id="63" w:name="_Toc217446047"/>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4" w:name="_Toc308164797"/>
      <w:r>
        <w:rPr>
          <w:rFonts w:hint="eastAsia" w:ascii="仿宋" w:hAnsi="仿宋" w:eastAsia="仿宋"/>
          <w:color w:val="000000" w:themeColor="text1"/>
          <w:sz w:val="24"/>
          <w14:textFill>
            <w14:solidFill>
              <w14:schemeClr w14:val="tx1"/>
            </w14:solidFill>
          </w14:textFill>
        </w:rPr>
        <w:t>13. 知识产权</w:t>
      </w:r>
      <w:bookmarkEnd w:id="63"/>
      <w:bookmarkEnd w:id="64"/>
      <w:r>
        <w:rPr>
          <w:rFonts w:hint="eastAsia" w:ascii="仿宋" w:hAnsi="仿宋" w:eastAsia="仿宋"/>
          <w:color w:val="000000" w:themeColor="text1"/>
          <w:sz w:val="24"/>
          <w14:textFill>
            <w14:solidFill>
              <w14:schemeClr w14:val="tx1"/>
            </w14:solidFill>
          </w14:textFill>
        </w:rPr>
        <w:t>（实质性要求）</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13.2 采购人享有本项目实施过程中产生的知识成果及知识产权。</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65" w:name="_Toc183582217"/>
      <w:bookmarkStart w:id="66" w:name="_Toc183682354"/>
      <w:bookmarkStart w:id="67" w:name="_Toc217446048"/>
      <w:bookmarkStart w:id="68" w:name="_Toc308164798"/>
      <w:r>
        <w:rPr>
          <w:rFonts w:hint="eastAsia" w:ascii="仿宋" w:hAnsi="仿宋" w:eastAsia="仿宋"/>
          <w:color w:val="000000" w:themeColor="text1"/>
          <w:sz w:val="24"/>
          <w14:textFill>
            <w14:solidFill>
              <w14:schemeClr w14:val="tx1"/>
            </w14:solidFill>
          </w14:textFill>
        </w:rPr>
        <w:t>14．投标文件的组成</w:t>
      </w:r>
      <w:bookmarkEnd w:id="65"/>
      <w:bookmarkEnd w:id="66"/>
      <w:bookmarkEnd w:id="67"/>
      <w:bookmarkEnd w:id="68"/>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投标人应按照招标文件的规定和要求编制投标文件。投标人编写的投标文件应至少包括下列两部分文件：</w:t>
      </w:r>
    </w:p>
    <w:p>
      <w:pPr>
        <w:pStyle w:val="5"/>
        <w:spacing w:line="400" w:lineRule="exact"/>
        <w:ind w:firstLine="482"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文件一：资格性投标文件（用于资格审查）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hint="eastAsia" w:ascii="仿宋" w:hAnsi="仿宋" w:eastAsia="仿宋" w:cs="Times New Roman"/>
          <w:b/>
          <w:bCs/>
          <w:color w:val="000000" w:themeColor="text1"/>
          <w:kern w:val="2"/>
          <w:sz w:val="24"/>
          <w:szCs w:val="32"/>
          <w:lang w:val="en-US" w:eastAsia="zh-CN" w:bidi="ar-SA"/>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w:t>
      </w:r>
      <w:r>
        <w:rPr>
          <w:rFonts w:hint="eastAsia" w:ascii="仿宋" w:hAnsi="仿宋" w:eastAsia="仿宋" w:cs="Times New Roman"/>
          <w:b/>
          <w:bCs/>
          <w:color w:val="000000" w:themeColor="text1"/>
          <w:kern w:val="2"/>
          <w:sz w:val="24"/>
          <w:szCs w:val="32"/>
          <w:lang w:val="en-US" w:eastAsia="zh-CN" w:bidi="ar-SA"/>
          <w14:textFill>
            <w14:solidFill>
              <w14:schemeClr w14:val="tx1"/>
            </w14:solidFill>
          </w14:textFill>
        </w:rPr>
        <w:t>件二：其他响应性投标文件（用于资格审查以外的评标）</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bookmarkStart w:id="69" w:name="_Toc217446049"/>
      <w:bookmarkStart w:id="70" w:name="_Toc183582218"/>
      <w:bookmarkStart w:id="71" w:name="_Toc183682355"/>
      <w:bookmarkStart w:id="72" w:name="_Toc308164799"/>
      <w:r>
        <w:rPr>
          <w:rFonts w:hint="eastAsia" w:ascii="仿宋" w:hAnsi="仿宋" w:eastAsia="仿宋" w:cs="Times New Roman"/>
          <w:color w:val="000000" w:themeColor="text1"/>
          <w:sz w:val="24"/>
          <w:lang w:eastAsia="zh-CN"/>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一</w:t>
      </w:r>
      <w:r>
        <w:rPr>
          <w:rFonts w:hint="eastAsia" w:ascii="仿宋" w:hAnsi="仿宋" w:eastAsia="仿宋" w:cs="Times New Roman"/>
          <w:color w:val="000000" w:themeColor="text1"/>
          <w:sz w:val="24"/>
          <w:lang w:eastAsia="zh-CN"/>
          <w14:textFill>
            <w14:solidFill>
              <w14:schemeClr w14:val="tx1"/>
            </w14:solidFill>
          </w14:textFill>
        </w:rPr>
        <w:t>）</w:t>
      </w:r>
      <w:r>
        <w:rPr>
          <w:rFonts w:hint="eastAsia" w:ascii="仿宋" w:hAnsi="仿宋" w:eastAsia="仿宋" w:cs="Times New Roman"/>
          <w:color w:val="000000" w:themeColor="text1"/>
          <w:sz w:val="24"/>
          <w14:textFill>
            <w14:solidFill>
              <w14:schemeClr w14:val="tx1"/>
            </w14:solidFill>
          </w14:textFill>
        </w:rPr>
        <w:t>投标函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（二）承诺函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三</w:t>
      </w:r>
      <w:r>
        <w:rPr>
          <w:rFonts w:hint="eastAsia" w:ascii="仿宋" w:hAnsi="仿宋" w:eastAsia="仿宋" w:cs="Times New Roman"/>
          <w:color w:val="000000" w:themeColor="text1"/>
          <w:sz w:val="24"/>
          <w14:textFill>
            <w14:solidFill>
              <w14:schemeClr w14:val="tx1"/>
            </w14:solidFill>
          </w14:textFill>
        </w:rPr>
        <w:t>）开标一览表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四</w:t>
      </w:r>
      <w:r>
        <w:rPr>
          <w:rFonts w:hint="eastAsia" w:ascii="仿宋" w:hAnsi="仿宋" w:eastAsia="仿宋" w:cs="Times New Roman"/>
          <w:color w:val="000000" w:themeColor="text1"/>
          <w:sz w:val="24"/>
          <w14:textFill>
            <w14:solidFill>
              <w14:schemeClr w14:val="tx1"/>
            </w14:solidFill>
          </w14:textFill>
        </w:rPr>
        <w:t>）分项报价明细表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五</w:t>
      </w:r>
      <w:r>
        <w:rPr>
          <w:rFonts w:hint="eastAsia" w:ascii="仿宋" w:hAnsi="仿宋" w:eastAsia="仿宋" w:cs="Times New Roman"/>
          <w:color w:val="000000" w:themeColor="text1"/>
          <w:sz w:val="24"/>
          <w14:textFill>
            <w14:solidFill>
              <w14:schemeClr w14:val="tx1"/>
            </w14:solidFill>
          </w14:textFill>
        </w:rPr>
        <w:t>）商务偏离表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（六）投标人基本情况表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（七）类似项目业绩一览表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（八）技术、服务偏离表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（九）投标人本项目管理、技术、服务人员情况表</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（十）声明函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（十一）项目整体方案</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lang w:val="zh-CN" w:eastAsia="zh-CN"/>
          <w14:textFill>
            <w14:solidFill>
              <w14:schemeClr w14:val="tx1"/>
            </w14:solidFill>
          </w14:textFill>
        </w:rPr>
        <w:t>（十</w:t>
      </w:r>
      <w:r>
        <w:rPr>
          <w:rFonts w:hint="eastAsia" w:ascii="仿宋" w:hAnsi="仿宋" w:eastAsia="仿宋" w:cs="Times New Roman"/>
          <w:color w:val="000000" w:themeColor="text1"/>
          <w:sz w:val="24"/>
          <w:lang w:val="en-US" w:eastAsia="zh-CN"/>
          <w14:textFill>
            <w14:solidFill>
              <w14:schemeClr w14:val="tx1"/>
            </w14:solidFill>
          </w14:textFill>
        </w:rPr>
        <w:t>二）</w:t>
      </w:r>
      <w:r>
        <w:rPr>
          <w:rFonts w:hint="eastAsia" w:ascii="仿宋" w:hAnsi="仿宋" w:eastAsia="仿宋" w:cs="Times New Roman"/>
          <w:color w:val="000000" w:themeColor="text1"/>
          <w:sz w:val="24"/>
          <w:lang w:val="zh-CN" w:eastAsia="zh-CN"/>
          <w14:textFill>
            <w14:solidFill>
              <w14:schemeClr w14:val="tx1"/>
            </w14:solidFill>
          </w14:textFill>
        </w:rPr>
        <w:t>知识产权的声明函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val="zh-CN"/>
          <w14:textFill>
            <w14:solidFill>
              <w14:schemeClr w14:val="tx1"/>
            </w14:solidFill>
          </w14:textFill>
        </w:rPr>
      </w:pPr>
      <w:r>
        <w:rPr>
          <w:rFonts w:hint="eastAsia" w:ascii="仿宋" w:hAnsi="仿宋" w:eastAsia="仿宋" w:cs="Times New Roman"/>
          <w:color w:val="000000" w:themeColor="text1"/>
          <w:sz w:val="24"/>
          <w:lang w:val="zh-CN"/>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十三</w:t>
      </w:r>
      <w:r>
        <w:rPr>
          <w:rFonts w:hint="eastAsia" w:ascii="仿宋" w:hAnsi="仿宋" w:eastAsia="仿宋" w:cs="Times New Roman"/>
          <w:color w:val="000000" w:themeColor="text1"/>
          <w:sz w:val="24"/>
          <w:lang w:val="zh-CN"/>
          <w14:textFill>
            <w14:solidFill>
              <w14:schemeClr w14:val="tx1"/>
            </w14:solidFill>
          </w14:textFill>
        </w:rPr>
        <w:t>）中小企业声明函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val="zh-CN"/>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十四</w:t>
      </w:r>
      <w:r>
        <w:rPr>
          <w:rFonts w:hint="eastAsia" w:ascii="仿宋" w:hAnsi="仿宋" w:eastAsia="仿宋" w:cs="Times New Roman"/>
          <w:color w:val="000000" w:themeColor="text1"/>
          <w:sz w:val="24"/>
          <w:lang w:val="zh-CN"/>
          <w14:textFill>
            <w14:solidFill>
              <w14:schemeClr w14:val="tx1"/>
            </w14:solidFill>
          </w14:textFill>
        </w:rPr>
        <w:t>）监狱企业证明文件</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w:t>
      </w:r>
      <w:r>
        <w:rPr>
          <w:rFonts w:hint="eastAsia" w:ascii="仿宋" w:hAnsi="仿宋" w:eastAsia="仿宋" w:cs="Times New Roman"/>
          <w:color w:val="000000" w:themeColor="text1"/>
          <w:sz w:val="24"/>
          <w:lang w:val="en-US" w:eastAsia="zh-CN"/>
          <w14:textFill>
            <w14:solidFill>
              <w14:schemeClr w14:val="tx1"/>
            </w14:solidFill>
          </w14:textFill>
        </w:rPr>
        <w:t>十五</w:t>
      </w:r>
      <w:r>
        <w:rPr>
          <w:rFonts w:hint="eastAsia" w:ascii="仿宋" w:hAnsi="仿宋" w:eastAsia="仿宋" w:cs="Times New Roman"/>
          <w:color w:val="000000" w:themeColor="text1"/>
          <w:sz w:val="24"/>
          <w:lang w:eastAsia="zh-CN"/>
          <w14:textFill>
            <w14:solidFill>
              <w14:schemeClr w14:val="tx1"/>
            </w14:solidFill>
          </w14:textFill>
        </w:rPr>
        <w:t>）残疾人福利性单位声明函</w:t>
      </w:r>
    </w:p>
    <w:p>
      <w:pPr>
        <w:tabs>
          <w:tab w:val="left" w:pos="7665"/>
        </w:tabs>
        <w:spacing w:line="400" w:lineRule="exact"/>
        <w:ind w:left="13" w:leftChars="6" w:firstLine="480" w:firstLineChars="20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（十</w:t>
      </w:r>
      <w:r>
        <w:rPr>
          <w:rFonts w:hint="eastAsia" w:ascii="仿宋" w:hAnsi="仿宋" w:eastAsia="仿宋" w:cs="Times New Roman"/>
          <w:color w:val="000000" w:themeColor="text1"/>
          <w:sz w:val="24"/>
          <w:lang w:val="en-US" w:eastAsia="zh-CN"/>
          <w14:textFill>
            <w14:solidFill>
              <w14:schemeClr w14:val="tx1"/>
            </w14:solidFill>
          </w14:textFill>
        </w:rPr>
        <w:t>六</w:t>
      </w:r>
      <w:r>
        <w:rPr>
          <w:rFonts w:hint="eastAsia" w:ascii="仿宋" w:hAnsi="仿宋" w:eastAsia="仿宋" w:cs="Times New Roman"/>
          <w:color w:val="000000" w:themeColor="text1"/>
          <w:sz w:val="24"/>
          <w14:textFill>
            <w14:solidFill>
              <w14:schemeClr w14:val="tx1"/>
            </w14:solidFill>
          </w14:textFill>
        </w:rPr>
        <w:t>）</w:t>
      </w:r>
      <w:r>
        <w:rPr>
          <w:rFonts w:hint="eastAsia" w:ascii="仿宋" w:hAnsi="仿宋" w:eastAsia="仿宋" w:cs="Times New Roman"/>
          <w:color w:val="000000" w:themeColor="text1"/>
          <w:sz w:val="24"/>
          <w:lang w:val="zh-CN" w:eastAsia="zh-CN"/>
          <w14:textFill>
            <w14:solidFill>
              <w14:schemeClr w14:val="tx1"/>
            </w14:solidFill>
          </w14:textFill>
        </w:rPr>
        <w:t>投标人认为需要提供的其他材料</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注：</w:t>
      </w:r>
      <w:r>
        <w:rPr>
          <w:rFonts w:hint="eastAsia" w:ascii="仿宋" w:hAnsi="仿宋" w:eastAsia="仿宋" w:cs="Times New Roman"/>
          <w:color w:val="000000" w:themeColor="text1"/>
          <w:sz w:val="24"/>
          <w14:textFill>
            <w14:solidFill>
              <w14:schemeClr w14:val="tx1"/>
            </w14:solidFill>
          </w14:textFill>
        </w:rPr>
        <w:t>投标人按照招标文件要求填写的“开标一览表”。本次招标报价要求：</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（1）投标人的报价是投标人响应招标项目要求的全部工作内容的价格体现，包括投标人完成本项目所需的一切费用（实质性要求）。</w:t>
      </w:r>
    </w:p>
    <w:p>
      <w:pPr>
        <w:tabs>
          <w:tab w:val="left" w:pos="7665"/>
        </w:tabs>
        <w:spacing w:line="400" w:lineRule="exact"/>
        <w:ind w:left="13" w:leftChars="6" w:firstLine="480" w:firstLineChars="20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（2）投标人每种服务只允许有一个报价，并且在合同履行过程中是固定不变的，任何有选择或可调整的报价将不予接受，并按无效投标处理（实质性要求）。</w:t>
      </w:r>
    </w:p>
    <w:p>
      <w:pPr>
        <w:pStyle w:val="5"/>
        <w:tabs>
          <w:tab w:val="left" w:pos="3480"/>
        </w:tabs>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15．投标文件格式</w:t>
      </w:r>
      <w:bookmarkEnd w:id="69"/>
      <w:bookmarkEnd w:id="70"/>
      <w:bookmarkEnd w:id="71"/>
      <w:bookmarkEnd w:id="72"/>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15.2 对于没有格式要求的投标文件由投标人自行编写。</w:t>
      </w:r>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73" w:name="_Toc308164801"/>
      <w:bookmarkStart w:id="74" w:name="_Toc183682361"/>
      <w:bookmarkStart w:id="75" w:name="_Toc217446051"/>
      <w:bookmarkStart w:id="76" w:name="_Toc183582224"/>
      <w:r>
        <w:rPr>
          <w:rFonts w:hint="eastAsia" w:ascii="仿宋" w:hAnsi="仿宋" w:eastAsia="仿宋"/>
          <w:bCs w:val="0"/>
          <w:color w:val="000000" w:themeColor="text1"/>
          <w:sz w:val="24"/>
          <w14:textFill>
            <w14:solidFill>
              <w14:schemeClr w14:val="tx1"/>
            </w14:solidFill>
          </w14:textFill>
        </w:rPr>
        <w:t>16．投标有效期</w:t>
      </w:r>
      <w:bookmarkEnd w:id="73"/>
      <w:bookmarkEnd w:id="74"/>
      <w:bookmarkEnd w:id="75"/>
      <w:bookmarkEnd w:id="76"/>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16.1 本项目投标有效期为投标截止时间届满后</w:t>
      </w:r>
      <w:r>
        <w:rPr>
          <w:rFonts w:hint="eastAsia" w:ascii="仿宋" w:hAnsi="仿宋" w:eastAsia="仿宋"/>
          <w:b/>
          <w:bCs/>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77" w:name="_Toc217446052"/>
      <w:bookmarkStart w:id="78" w:name="_Toc308164802"/>
      <w:bookmarkStart w:id="79" w:name="_Toc183582225"/>
      <w:bookmarkStart w:id="80" w:name="_Toc183682362"/>
      <w:bookmarkStart w:id="81" w:name="_Toc183682364"/>
      <w:bookmarkStart w:id="82" w:name="_Toc183582227"/>
      <w:bookmarkStart w:id="83" w:name="_Toc308164804"/>
      <w:bookmarkStart w:id="84" w:name="_Toc217446054"/>
      <w:r>
        <w:rPr>
          <w:rFonts w:hint="eastAsia" w:ascii="仿宋" w:hAnsi="仿宋" w:eastAsia="仿宋"/>
          <w:bCs w:val="0"/>
          <w:color w:val="000000" w:themeColor="text1"/>
          <w:sz w:val="24"/>
          <w14:textFill>
            <w14:solidFill>
              <w14:schemeClr w14:val="tx1"/>
            </w14:solidFill>
          </w14:textFill>
        </w:rPr>
        <w:t>17．</w:t>
      </w:r>
      <w:bookmarkEnd w:id="77"/>
      <w:bookmarkEnd w:id="78"/>
      <w:bookmarkEnd w:id="79"/>
      <w:bookmarkEnd w:id="80"/>
      <w:r>
        <w:rPr>
          <w:rFonts w:hint="eastAsia" w:ascii="仿宋" w:hAnsi="仿宋" w:eastAsia="仿宋"/>
          <w:bCs w:val="0"/>
          <w:color w:val="000000" w:themeColor="text1"/>
          <w:sz w:val="24"/>
          <w14:textFill>
            <w14:solidFill>
              <w14:schemeClr w14:val="tx1"/>
            </w14:solidFill>
          </w14:textFill>
        </w:rPr>
        <w:t>投标文件的制作和签章、加密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18</w:t>
      </w:r>
      <w:r>
        <w:rPr>
          <w:rFonts w:hint="eastAsia" w:ascii="仿宋" w:hAnsi="仿宋" w:eastAsia="仿宋"/>
          <w:bCs w:val="0"/>
          <w:color w:val="000000" w:themeColor="text1"/>
          <w:sz w:val="28"/>
          <w:szCs w:val="28"/>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投标文件的</w:t>
      </w:r>
      <w:bookmarkEnd w:id="81"/>
      <w:bookmarkEnd w:id="82"/>
      <w:r>
        <w:rPr>
          <w:rFonts w:hint="eastAsia" w:ascii="仿宋" w:hAnsi="仿宋" w:eastAsia="仿宋"/>
          <w:bCs w:val="0"/>
          <w:color w:val="000000" w:themeColor="text1"/>
          <w:sz w:val="24"/>
          <w:szCs w:val="24"/>
          <w14:textFill>
            <w14:solidFill>
              <w14:schemeClr w14:val="tx1"/>
            </w14:solidFill>
          </w14:textFill>
        </w:rPr>
        <w:t>递交</w:t>
      </w:r>
      <w:bookmarkEnd w:id="83"/>
      <w:bookmarkEnd w:id="84"/>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18.2投标人应充分考虑递交文件的不可预见因素，在投标截止时间后将无法递交。</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85" w:name="_Toc183682365"/>
      <w:bookmarkStart w:id="86" w:name="_Toc183582228"/>
      <w:bookmarkStart w:id="87" w:name="_Toc217446055"/>
      <w:r>
        <w:rPr>
          <w:rFonts w:hint="eastAsia" w:ascii="仿宋" w:hAnsi="仿宋" w:eastAsia="仿宋"/>
          <w:bCs w:val="0"/>
          <w:color w:val="000000" w:themeColor="text1"/>
          <w:sz w:val="24"/>
          <w:szCs w:val="24"/>
          <w14:textFill>
            <w14:solidFill>
              <w14:schemeClr w14:val="tx1"/>
            </w14:solidFill>
          </w14:textFill>
        </w:rPr>
        <w:t>19.</w:t>
      </w:r>
      <w:r>
        <w:rPr>
          <w:rFonts w:ascii="仿宋" w:hAnsi="仿宋" w:eastAsia="仿宋"/>
          <w:bCs w:val="0"/>
          <w:color w:val="000000" w:themeColor="text1"/>
          <w:sz w:val="24"/>
          <w:szCs w:val="24"/>
          <w14:textFill>
            <w14:solidFill>
              <w14:schemeClr w14:val="tx1"/>
            </w14:solidFill>
          </w14:textFill>
        </w:rPr>
        <w:t>投标文件的</w:t>
      </w:r>
      <w:r>
        <w:rPr>
          <w:rFonts w:hint="eastAsia" w:ascii="仿宋" w:hAnsi="仿宋" w:eastAsia="仿宋"/>
          <w:bCs w:val="0"/>
          <w:color w:val="000000" w:themeColor="text1"/>
          <w:sz w:val="24"/>
          <w:szCs w:val="24"/>
          <w14:textFill>
            <w14:solidFill>
              <w14:schemeClr w14:val="tx1"/>
            </w14:solidFill>
          </w14:textFill>
        </w:rPr>
        <w:t>补充</w:t>
      </w:r>
      <w:r>
        <w:rPr>
          <w:rFonts w:ascii="仿宋" w:hAnsi="仿宋" w:eastAsia="仿宋"/>
          <w:bCs w:val="0"/>
          <w:color w:val="000000" w:themeColor="text1"/>
          <w:sz w:val="24"/>
          <w:szCs w:val="24"/>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修改或撤</w:t>
      </w:r>
      <w:bookmarkEnd w:id="85"/>
      <w:bookmarkEnd w:id="86"/>
      <w:r>
        <w:rPr>
          <w:rFonts w:hint="eastAsia" w:ascii="仿宋" w:hAnsi="仿宋" w:eastAsia="仿宋"/>
          <w:bCs w:val="0"/>
          <w:color w:val="000000" w:themeColor="text1"/>
          <w:sz w:val="24"/>
          <w:szCs w:val="24"/>
          <w14:textFill>
            <w14:solidFill>
              <w14:schemeClr w14:val="tx1"/>
            </w14:solidFill>
          </w14:textFill>
        </w:rPr>
        <w:t>回</w:t>
      </w:r>
      <w:bookmarkEnd w:id="87"/>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000000" w:themeColor="text1"/>
          <w:sz w:val="24"/>
          <w14:textFill>
            <w14:solidFill>
              <w14:schemeClr w14:val="tx1"/>
            </w14:solidFill>
          </w14:textFill>
        </w:rPr>
        <w:t>撤回投标文件进行补充、修改，在投标截止时间前未重新递交的，视为撤回投标文件。</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19.2投标截止时间后，投标人不得对其递交的投标文件做任何补充、修改。</w:t>
      </w:r>
    </w:p>
    <w:p>
      <w:pPr>
        <w:spacing w:line="400" w:lineRule="exact"/>
        <w:ind w:firstLine="472" w:firstLineChars="196"/>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20.投标文件的解密</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投标人登录政府采购云平台，点击“项目采购—开标评标”模块，进入本项目“开标大厅”，等待代理机构开启解密后，进行线上解密。</w:t>
      </w:r>
      <w:r>
        <w:rPr>
          <w:rFonts w:hint="eastAsia" w:ascii="仿宋" w:hAnsi="仿宋" w:eastAsia="仿宋"/>
          <w:b/>
          <w:bCs/>
          <w:color w:val="000000" w:themeColor="text1"/>
          <w:sz w:val="24"/>
          <w14:textFill>
            <w14:solidFill>
              <w14:schemeClr w14:val="tx1"/>
            </w14:solidFill>
          </w14:textFill>
        </w:rPr>
        <w:t>除因系统发生故障</w:t>
      </w:r>
      <w:r>
        <w:rPr>
          <w:rFonts w:hint="eastAsia" w:ascii="仿宋" w:hAnsi="仿宋" w:eastAsia="仿宋"/>
          <w:b/>
          <w:bCs/>
          <w:color w:val="000000" w:themeColor="text1"/>
          <w:sz w:val="24"/>
          <w:lang w:val="zh-CN"/>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包括组织场所停电、断网等）导致投标文件无法按时解密外，投标文件未按时解密的作为无效投标处理。</w:t>
      </w:r>
    </w:p>
    <w:p>
      <w:pPr>
        <w:pStyle w:val="4"/>
        <w:spacing w:line="400" w:lineRule="exact"/>
        <w:jc w:val="center"/>
        <w:rPr>
          <w:rFonts w:ascii="仿宋" w:hAnsi="仿宋" w:eastAsia="仿宋"/>
          <w:color w:val="000000" w:themeColor="text1"/>
          <w14:textFill>
            <w14:solidFill>
              <w14:schemeClr w14:val="tx1"/>
            </w14:solidFill>
          </w14:textFill>
        </w:rPr>
      </w:pPr>
      <w:bookmarkStart w:id="88" w:name="_Toc217446056"/>
      <w:bookmarkStart w:id="89" w:name="_Toc77400782"/>
      <w:bookmarkStart w:id="90" w:name="_Toc183582231"/>
      <w:bookmarkStart w:id="91" w:name="_Toc308164805"/>
      <w:bookmarkStart w:id="92" w:name="_Toc183682368"/>
      <w:bookmarkStart w:id="93" w:name="_Toc89075878"/>
      <w:r>
        <w:rPr>
          <w:rFonts w:hint="eastAsia" w:ascii="仿宋" w:hAnsi="仿宋" w:eastAsia="仿宋"/>
          <w:color w:val="000000" w:themeColor="text1"/>
          <w14:textFill>
            <w14:solidFill>
              <w14:schemeClr w14:val="tx1"/>
            </w14:solidFill>
          </w14:textFill>
        </w:rPr>
        <w:t>五、开标和中标</w:t>
      </w:r>
      <w:bookmarkEnd w:id="88"/>
      <w:bookmarkEnd w:id="89"/>
      <w:bookmarkEnd w:id="90"/>
      <w:bookmarkEnd w:id="91"/>
      <w:bookmarkEnd w:id="92"/>
      <w:bookmarkEnd w:id="93"/>
    </w:p>
    <w:p>
      <w:pPr>
        <w:pStyle w:val="5"/>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94" w:name="_Toc308164806"/>
      <w:bookmarkStart w:id="95" w:name="_Toc217446057"/>
      <w:bookmarkStart w:id="96" w:name="_Toc183582232"/>
      <w:bookmarkStart w:id="97" w:name="_Toc183682369"/>
      <w:r>
        <w:rPr>
          <w:rFonts w:hint="eastAsia" w:ascii="仿宋" w:hAnsi="仿宋" w:eastAsia="仿宋"/>
          <w:bCs w:val="0"/>
          <w:color w:val="000000" w:themeColor="text1"/>
          <w:sz w:val="24"/>
          <w14:textFill>
            <w14:solidFill>
              <w14:schemeClr w14:val="tx1"/>
            </w14:solidFill>
          </w14:textFill>
        </w:rPr>
        <w:t>21．开标</w:t>
      </w:r>
      <w:bookmarkEnd w:id="94"/>
      <w:bookmarkEnd w:id="95"/>
      <w:bookmarkEnd w:id="96"/>
      <w:bookmarkEnd w:id="97"/>
      <w:r>
        <w:rPr>
          <w:rFonts w:hint="eastAsia" w:ascii="仿宋" w:hAnsi="仿宋" w:eastAsia="仿宋"/>
          <w:bCs w:val="0"/>
          <w:color w:val="000000" w:themeColor="text1"/>
          <w:sz w:val="24"/>
          <w14:textFill>
            <w14:solidFill>
              <w14:schemeClr w14:val="tx1"/>
            </w14:solidFill>
          </w14:textFill>
        </w:rPr>
        <w:t>及开标程序</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21.1本项目为不见面开标项目。（递交电子投标文件的投标人不足3家的，不予开标。）</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21.3解密投标文件。等待代理机构开启解密后，投标人进行线上解密。开启解密后，投标人应在</w:t>
      </w:r>
      <w:r>
        <w:rPr>
          <w:rFonts w:hint="eastAsia" w:ascii="仿宋" w:hAnsi="仿宋" w:eastAsia="仿宋"/>
          <w:b/>
          <w:bCs/>
          <w:color w:val="000000" w:themeColor="text1"/>
          <w:sz w:val="24"/>
          <w14:textFill>
            <w14:solidFill>
              <w14:schemeClr w14:val="tx1"/>
            </w14:solidFill>
          </w14:textFill>
        </w:rPr>
        <w:t>60分钟</w:t>
      </w:r>
      <w:r>
        <w:rPr>
          <w:rFonts w:hint="eastAsia" w:ascii="仿宋" w:hAnsi="仿宋" w:eastAsia="仿宋"/>
          <w:color w:val="000000" w:themeColor="text1"/>
          <w:sz w:val="24"/>
          <w14:textFill>
            <w14:solidFill>
              <w14:schemeClr w14:val="tx1"/>
            </w14:solidFill>
          </w14:textFill>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000000" w:themeColor="text1"/>
          <w:sz w:val="24"/>
          <w14:textFill>
            <w14:solidFill>
              <w14:schemeClr w14:val="tx1"/>
            </w14:solidFill>
          </w14:textFill>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000000" w:themeColor="text1"/>
          <w:sz w:val="24"/>
          <w14:textFill>
            <w14:solidFill>
              <w14:schemeClr w14:val="tx1"/>
            </w14:solidFill>
          </w14:textFill>
        </w:rPr>
      </w:pPr>
      <w:bookmarkStart w:id="98" w:name="_Toc308164807"/>
      <w:bookmarkStart w:id="99" w:name="_Toc217446058"/>
      <w:r>
        <w:rPr>
          <w:rFonts w:hint="eastAsia" w:ascii="仿宋" w:hAnsi="仿宋" w:eastAsia="仿宋"/>
          <w:color w:val="000000" w:themeColor="text1"/>
          <w:sz w:val="24"/>
          <w14:textFill>
            <w14:solidFill>
              <w14:schemeClr w14:val="tx1"/>
            </w14:solidFill>
          </w14:textFill>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21.7不见面开标过程中，各方主体均应遵守互联网有关规定，不得发表与交易活动无关的言论。</w:t>
      </w:r>
    </w:p>
    <w:bookmarkEnd w:id="98"/>
    <w:bookmarkEnd w:id="99"/>
    <w:p>
      <w:pPr>
        <w:pStyle w:val="5"/>
        <w:spacing w:line="400" w:lineRule="exact"/>
        <w:ind w:firstLine="482" w:firstLineChars="200"/>
        <w:rPr>
          <w:rFonts w:ascii="仿宋" w:hAnsi="仿宋" w:eastAsia="仿宋"/>
          <w:color w:val="000000" w:themeColor="text1"/>
          <w:sz w:val="24"/>
          <w14:textFill>
            <w14:solidFill>
              <w14:schemeClr w14:val="tx1"/>
            </w14:solidFill>
          </w14:textFill>
        </w:rPr>
      </w:pPr>
      <w:bookmarkStart w:id="100" w:name="_Toc183582238"/>
      <w:bookmarkStart w:id="101" w:name="_Toc183682375"/>
      <w:bookmarkStart w:id="102" w:name="_Toc217446063"/>
      <w:bookmarkStart w:id="103" w:name="_Toc308164809"/>
      <w:r>
        <w:rPr>
          <w:rFonts w:hint="eastAsia" w:ascii="仿宋" w:hAnsi="仿宋" w:eastAsia="仿宋"/>
          <w:color w:val="000000" w:themeColor="text1"/>
          <w:sz w:val="24"/>
          <w14:textFill>
            <w14:solidFill>
              <w14:schemeClr w14:val="tx1"/>
            </w14:solidFill>
          </w14:textFill>
        </w:rPr>
        <w:t>22．开评标过程存档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开标和评标过程进行全过程电子监控，并将电子监控资料存储介质留存归档。</w:t>
      </w:r>
    </w:p>
    <w:p>
      <w:pPr>
        <w:pStyle w:val="5"/>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23.评标情况公告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24.采购人确定中标人过程中，发现中标候选人有下列情形之一的，应当不予确定其为中标人：</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（1）发现中标候选人存在禁止参加本项目采购活动的违法行为的；</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（2）中标候选人因不可抗力，不能继续参加政府采购活动；</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（3）中标候选人无偿赠与或者低于成本价竞争；</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（4）中标候选人提供虚假材料；</w:t>
      </w:r>
    </w:p>
    <w:p>
      <w:pPr>
        <w:spacing w:after="0"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中标候选人恶意串通。</w:t>
      </w:r>
    </w:p>
    <w:p>
      <w:pPr>
        <w:pStyle w:val="5"/>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25.中标通知</w:t>
      </w:r>
      <w:bookmarkEnd w:id="100"/>
      <w:bookmarkEnd w:id="101"/>
      <w:r>
        <w:rPr>
          <w:rFonts w:hint="eastAsia" w:ascii="仿宋" w:hAnsi="仿宋" w:eastAsia="仿宋"/>
          <w:bCs w:val="0"/>
          <w:color w:val="000000" w:themeColor="text1"/>
          <w:sz w:val="24"/>
          <w:szCs w:val="24"/>
          <w14:textFill>
            <w14:solidFill>
              <w14:schemeClr w14:val="tx1"/>
            </w14:solidFill>
          </w14:textFill>
        </w:rPr>
        <w:t>书</w:t>
      </w:r>
      <w:bookmarkEnd w:id="102"/>
      <w:bookmarkEnd w:id="103"/>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hint="eastAsia"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4"/>
        <w:spacing w:line="400" w:lineRule="exact"/>
        <w:jc w:val="center"/>
        <w:rPr>
          <w:rFonts w:ascii="仿宋" w:hAnsi="仿宋" w:eastAsia="仿宋"/>
          <w:color w:val="000000" w:themeColor="text1"/>
          <w:szCs w:val="28"/>
          <w14:textFill>
            <w14:solidFill>
              <w14:schemeClr w14:val="tx1"/>
            </w14:solidFill>
          </w14:textFill>
        </w:rPr>
      </w:pPr>
      <w:bookmarkStart w:id="104" w:name="_Toc217446064"/>
      <w:bookmarkStart w:id="105" w:name="_Toc308164810"/>
      <w:bookmarkStart w:id="106" w:name="_Toc183582240"/>
      <w:bookmarkStart w:id="107" w:name="_Toc183682377"/>
      <w:r>
        <w:rPr>
          <w:rFonts w:hint="eastAsia" w:ascii="仿宋" w:hAnsi="仿宋" w:eastAsia="仿宋"/>
          <w:color w:val="000000" w:themeColor="text1"/>
          <w:szCs w:val="28"/>
          <w14:textFill>
            <w14:solidFill>
              <w14:schemeClr w14:val="tx1"/>
            </w14:solidFill>
          </w14:textFill>
        </w:rPr>
        <w:t>六、签订及履行合同和验收</w:t>
      </w:r>
      <w:bookmarkEnd w:id="104"/>
      <w:bookmarkEnd w:id="105"/>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08" w:name="_Toc217446065"/>
      <w:bookmarkStart w:id="109" w:name="_Toc308164811"/>
      <w:r>
        <w:rPr>
          <w:rFonts w:hint="eastAsia" w:ascii="仿宋" w:hAnsi="仿宋" w:eastAsia="仿宋"/>
          <w:color w:val="000000" w:themeColor="text1"/>
          <w:sz w:val="24"/>
          <w14:textFill>
            <w14:solidFill>
              <w14:schemeClr w14:val="tx1"/>
            </w14:solidFill>
          </w14:textFill>
        </w:rPr>
        <w:t>26.</w:t>
      </w:r>
      <w:r>
        <w:rPr>
          <w:rFonts w:hint="eastAsia" w:ascii="仿宋" w:hAnsi="仿宋" w:eastAsia="仿宋"/>
          <w:color w:val="000000" w:themeColor="text1"/>
          <w:sz w:val="24"/>
          <w:szCs w:val="24"/>
          <w14:textFill>
            <w14:solidFill>
              <w14:schemeClr w14:val="tx1"/>
            </w14:solidFill>
          </w14:textFill>
        </w:rPr>
        <w:t>签订合同</w:t>
      </w:r>
      <w:bookmarkEnd w:id="108"/>
      <w:bookmarkEnd w:id="10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 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本项目合同接受分包与否，以“投标人须知附表”为准。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中小企业依据</w:t>
      </w:r>
      <w:r>
        <w:rPr>
          <w:rFonts w:hint="eastAsia" w:ascii="仿宋" w:hAnsi="仿宋" w:eastAsia="仿宋"/>
          <w:color w:val="000000" w:themeColor="text1"/>
          <w:sz w:val="24"/>
          <w14:textFill>
            <w14:solidFill>
              <w14:schemeClr w14:val="tx1"/>
            </w14:solidFill>
          </w14:textFill>
        </w:rPr>
        <w:t>《政府采购促进中小企业发展管理办法》（财库〔2020〕46号）</w:t>
      </w:r>
      <w:r>
        <w:rPr>
          <w:rFonts w:ascii="仿宋" w:hAnsi="仿宋" w:eastAsia="仿宋"/>
          <w:color w:val="000000" w:themeColor="text1"/>
          <w:sz w:val="24"/>
          <w14:textFill>
            <w14:solidFill>
              <w14:schemeClr w14:val="tx1"/>
            </w14:solidFill>
          </w14:textFill>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中标人转包的，视同拒绝履行政府采购合同义务，将依法追究法律责任。</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0" w:name="_Toc217446066"/>
      <w:r>
        <w:rPr>
          <w:rFonts w:hint="eastAsia" w:ascii="仿宋" w:hAnsi="仿宋" w:eastAsia="仿宋"/>
          <w:color w:val="000000" w:themeColor="text1"/>
          <w:sz w:val="24"/>
          <w:szCs w:val="24"/>
          <w14:textFill>
            <w14:solidFill>
              <w14:schemeClr w14:val="tx1"/>
            </w14:solidFill>
          </w14:textFill>
        </w:rPr>
        <w:t>29.</w:t>
      </w:r>
      <w:bookmarkEnd w:id="110"/>
      <w:r>
        <w:rPr>
          <w:rFonts w:hint="eastAsia" w:ascii="仿宋" w:hAnsi="仿宋" w:eastAsia="仿宋"/>
          <w:color w:val="000000" w:themeColor="text1"/>
          <w:sz w:val="24"/>
          <w:szCs w:val="24"/>
          <w14:textFill>
            <w14:solidFill>
              <w14:schemeClr w14:val="tx1"/>
            </w14:solidFill>
          </w14:textFill>
        </w:rPr>
        <w:t xml:space="preserve"> 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1" w:name="_Toc308164812"/>
      <w:bookmarkStart w:id="112" w:name="_Toc217446068"/>
      <w:r>
        <w:rPr>
          <w:rFonts w:hint="eastAsia" w:ascii="仿宋" w:hAnsi="仿宋" w:eastAsia="仿宋"/>
          <w:color w:val="000000" w:themeColor="text1"/>
          <w:sz w:val="24"/>
          <w:szCs w:val="24"/>
          <w14:textFill>
            <w14:solidFill>
              <w14:schemeClr w14:val="tx1"/>
            </w14:solidFill>
          </w14:textFill>
        </w:rPr>
        <w:t>30</w:t>
      </w:r>
      <w:r>
        <w:rPr>
          <w:rFonts w:hint="eastAsia" w:ascii="仿宋" w:hAnsi="仿宋" w:eastAsia="仿宋"/>
          <w:b w:val="0"/>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履约保证金</w:t>
      </w:r>
      <w:bookmarkEnd w:id="111"/>
      <w:bookmarkEnd w:id="112"/>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30.1 中标人应在合同签订之前交纳招标文件规定数额的履约保证金。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3" w:name="_Toc217446069"/>
      <w:bookmarkStart w:id="114" w:name="_Toc308164813"/>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bookmarkEnd w:id="113"/>
      <w:bookmarkEnd w:id="114"/>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15" w:name="_Toc217446070"/>
      <w:bookmarkStart w:id="116" w:name="_Toc308164814"/>
      <w:r>
        <w:rPr>
          <w:rFonts w:hint="eastAsia" w:ascii="仿宋" w:hAnsi="仿宋" w:eastAsia="仿宋"/>
          <w:color w:val="000000" w:themeColor="text1"/>
          <w:sz w:val="24"/>
          <w:szCs w:val="24"/>
          <w14:textFill>
            <w14:solidFill>
              <w14:schemeClr w14:val="tx1"/>
            </w14:solidFill>
          </w14:textFill>
        </w:rPr>
        <w:t>34.验收</w:t>
      </w:r>
      <w:bookmarkEnd w:id="115"/>
      <w:bookmarkEnd w:id="116"/>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34.2验收结果合格的，中标人凭验收报告办理相关手续；验收结果不合格的，履约保证金将不予退还，也将不予支付采购资金，还可能会报告本项目同级财政部门按照政府采购法律法规有关规定给予行政处罚。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8" w:name="_Toc217446077"/>
      <w:bookmarkStart w:id="119" w:name="_Toc308164818"/>
      <w:r>
        <w:rPr>
          <w:rFonts w:hint="eastAsia" w:ascii="仿宋" w:hAnsi="仿宋" w:eastAsia="仿宋"/>
          <w:color w:val="000000" w:themeColor="text1"/>
          <w:sz w:val="24"/>
          <w:szCs w:val="24"/>
          <w14:textFill>
            <w14:solidFill>
              <w14:schemeClr w14:val="tx1"/>
            </w14:solidFill>
          </w14:textFill>
        </w:rPr>
        <w:t>35.资金支付</w:t>
      </w:r>
      <w:bookmarkEnd w:id="118"/>
      <w:bookmarkEnd w:id="11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bookmarkEnd w:id="106"/>
    <w:bookmarkEnd w:id="107"/>
    <w:bookmarkEnd w:id="117"/>
    <w:p>
      <w:pPr>
        <w:pStyle w:val="4"/>
        <w:spacing w:line="400" w:lineRule="exact"/>
        <w:jc w:val="center"/>
        <w:rPr>
          <w:rFonts w:ascii="仿宋" w:hAnsi="仿宋" w:eastAsia="仿宋"/>
          <w:color w:val="000000" w:themeColor="text1"/>
          <w:szCs w:val="28"/>
          <w14:textFill>
            <w14:solidFill>
              <w14:schemeClr w14:val="tx1"/>
            </w14:solidFill>
          </w14:textFill>
        </w:rPr>
      </w:pPr>
      <w:bookmarkStart w:id="120" w:name="_Toc308164815"/>
      <w:bookmarkStart w:id="121" w:name="_Toc217446074"/>
      <w:bookmarkStart w:id="122" w:name="_Toc183682380"/>
      <w:bookmarkStart w:id="123" w:name="_Toc183582243"/>
      <w:r>
        <w:rPr>
          <w:rFonts w:hint="eastAsia" w:ascii="仿宋" w:hAnsi="仿宋" w:eastAsia="仿宋"/>
          <w:color w:val="000000" w:themeColor="text1"/>
          <w:szCs w:val="28"/>
          <w14:textFill>
            <w14:solidFill>
              <w14:schemeClr w14:val="tx1"/>
            </w14:solidFill>
          </w14:textFill>
        </w:rPr>
        <w:t>七、投标纪律要求</w:t>
      </w:r>
      <w:bookmarkEnd w:id="120"/>
      <w:bookmarkEnd w:id="121"/>
    </w:p>
    <w:p>
      <w:pPr>
        <w:pStyle w:val="5"/>
        <w:spacing w:line="400" w:lineRule="exact"/>
        <w:ind w:firstLine="241" w:firstLineChars="100"/>
        <w:rPr>
          <w:rFonts w:ascii="仿宋" w:hAnsi="仿宋" w:eastAsia="仿宋"/>
          <w:bCs w:val="0"/>
          <w:color w:val="000000" w:themeColor="text1"/>
          <w:sz w:val="24"/>
          <w:szCs w:val="24"/>
          <w14:textFill>
            <w14:solidFill>
              <w14:schemeClr w14:val="tx1"/>
            </w14:solidFill>
          </w14:textFill>
        </w:rPr>
      </w:pPr>
      <w:bookmarkStart w:id="124" w:name="_Toc308164816"/>
      <w:bookmarkStart w:id="125" w:name="_Toc217446075"/>
      <w:r>
        <w:rPr>
          <w:rFonts w:hint="eastAsia" w:ascii="仿宋" w:hAnsi="仿宋" w:eastAsia="仿宋"/>
          <w:color w:val="000000" w:themeColor="text1"/>
          <w:sz w:val="24"/>
          <w14:textFill>
            <w14:solidFill>
              <w14:schemeClr w14:val="tx1"/>
            </w14:solidFill>
          </w14:textFill>
        </w:rPr>
        <w:t xml:space="preserve">36. </w:t>
      </w:r>
      <w:r>
        <w:rPr>
          <w:rFonts w:hint="eastAsia" w:ascii="仿宋" w:hAnsi="仿宋" w:eastAsia="仿宋"/>
          <w:bCs w:val="0"/>
          <w:color w:val="000000" w:themeColor="text1"/>
          <w:sz w:val="24"/>
          <w:szCs w:val="24"/>
          <w14:textFill>
            <w14:solidFill>
              <w14:schemeClr w14:val="tx1"/>
            </w14:solidFill>
          </w14:textFill>
        </w:rPr>
        <w:t>投标人</w:t>
      </w:r>
      <w:bookmarkEnd w:id="124"/>
      <w:bookmarkEnd w:id="125"/>
      <w:r>
        <w:rPr>
          <w:rFonts w:hint="eastAsia" w:ascii="仿宋" w:hAnsi="仿宋" w:eastAsia="仿宋"/>
          <w:bCs w:val="0"/>
          <w:color w:val="000000" w:themeColor="text1"/>
          <w:sz w:val="24"/>
          <w:szCs w:val="24"/>
          <w14:textFill>
            <w14:solidFill>
              <w14:schemeClr w14:val="tx1"/>
            </w14:solidFill>
          </w14:textFill>
        </w:rPr>
        <w:t>纪律要求</w:t>
      </w:r>
    </w:p>
    <w:p>
      <w:pPr>
        <w:pStyle w:val="8"/>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在评标过程中发现投标人有上述情形的，评标委员会应当认定其投标无效，并书面报告本级财政部门。</w:t>
      </w:r>
    </w:p>
    <w:p>
      <w:pPr>
        <w:pStyle w:val="5"/>
        <w:spacing w:line="240" w:lineRule="auto"/>
        <w:ind w:firstLine="241" w:firstLineChars="100"/>
        <w:rPr>
          <w:color w:val="000000" w:themeColor="text1"/>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37. 投标人参加本项目投标不得有下列情形</w:t>
      </w:r>
      <w:r>
        <w:rPr>
          <w:rFonts w:hint="eastAsia"/>
          <w:color w:val="000000" w:themeColor="text1"/>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投标人有上述情形的，按照规定追究法律责任，具备（1）-（10）条情形之一的，同时将取消中标资格或者认定中标无效。</w:t>
      </w:r>
      <w:bookmarkEnd w:id="49"/>
    </w:p>
    <w:p>
      <w:pPr>
        <w:spacing w:line="400" w:lineRule="exact"/>
        <w:ind w:firstLine="482" w:firstLineChars="200"/>
        <w:outlineLvl w:val="2"/>
        <w:rPr>
          <w:rFonts w:ascii="仿宋" w:hAnsi="仿宋" w:eastAsia="仿宋"/>
          <w:color w:val="000000" w:themeColor="text1"/>
          <w:sz w:val="24"/>
          <w14:textFill>
            <w14:solidFill>
              <w14:schemeClr w14:val="tx1"/>
            </w14:solidFill>
          </w14:textFill>
        </w:rPr>
      </w:pPr>
      <w:bookmarkStart w:id="126" w:name="PO_默认文件内容_23"/>
      <w:r>
        <w:rPr>
          <w:rFonts w:hint="eastAsia" w:ascii="仿宋" w:hAnsi="仿宋" w:eastAsia="仿宋"/>
          <w:b/>
          <w:bCs/>
          <w:color w:val="000000" w:themeColor="text1"/>
          <w:sz w:val="24"/>
          <w14:textFill>
            <w14:solidFill>
              <w14:schemeClr w14:val="tx1"/>
            </w14:solidFill>
          </w14:textFill>
        </w:rPr>
        <w:t>38. 投标人有下列情形之一的，视为投标人串通投标，其投标无效</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（5）不同投标人的投标文件相互混装；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（6）不同投标人的投标保证金从同一单位或者个人的账户转出。</w:t>
      </w:r>
    </w:p>
    <w:p>
      <w:pPr>
        <w:pStyle w:val="4"/>
        <w:spacing w:line="400" w:lineRule="exact"/>
        <w:jc w:val="center"/>
        <w:rPr>
          <w:rFonts w:ascii="仿宋" w:hAnsi="仿宋" w:eastAsia="仿宋"/>
          <w:bCs w:val="0"/>
          <w:color w:val="000000" w:themeColor="text1"/>
          <w:szCs w:val="28"/>
          <w14:textFill>
            <w14:solidFill>
              <w14:schemeClr w14:val="tx1"/>
            </w14:solidFill>
          </w14:textFill>
        </w:rPr>
      </w:pPr>
      <w:bookmarkStart w:id="127" w:name="_Toc308164819"/>
      <w:bookmarkStart w:id="128" w:name="_Toc217446078"/>
      <w:r>
        <w:rPr>
          <w:rFonts w:hint="eastAsia" w:ascii="仿宋" w:hAnsi="仿宋" w:eastAsia="仿宋"/>
          <w:bCs w:val="0"/>
          <w:color w:val="000000" w:themeColor="text1"/>
          <w:szCs w:val="28"/>
          <w14:textFill>
            <w14:solidFill>
              <w14:schemeClr w14:val="tx1"/>
            </w14:solidFill>
          </w14:textFill>
        </w:rPr>
        <w:t>八、询问、质疑和投诉</w:t>
      </w:r>
      <w:bookmarkEnd w:id="127"/>
      <w:bookmarkEnd w:id="128"/>
      <w:bookmarkStart w:id="129" w:name="_Toc217446079"/>
    </w:p>
    <w:bookmarkEnd w:id="129"/>
    <w:p>
      <w:pPr>
        <w:widowControl/>
        <w:spacing w:line="360" w:lineRule="atLeast"/>
        <w:ind w:firstLine="472" w:firstLineChars="196"/>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3</w:t>
      </w:r>
      <w:bookmarkEnd w:id="122"/>
      <w:bookmarkEnd w:id="123"/>
      <w:r>
        <w:rPr>
          <w:rFonts w:hint="eastAsia" w:ascii="仿宋" w:hAnsi="仿宋" w:eastAsia="仿宋"/>
          <w:b/>
          <w:color w:val="000000" w:themeColor="text1"/>
          <w:sz w:val="24"/>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000000" w:themeColor="text1"/>
          <w:szCs w:val="28"/>
          <w14:textFill>
            <w14:solidFill>
              <w14:schemeClr w14:val="tx1"/>
            </w14:solidFill>
          </w14:textFill>
        </w:rPr>
      </w:pPr>
      <w:r>
        <w:rPr>
          <w:rFonts w:hint="eastAsia" w:ascii="仿宋" w:hAnsi="仿宋" w:eastAsia="仿宋"/>
          <w:bCs w:val="0"/>
          <w:color w:val="000000" w:themeColor="text1"/>
          <w:szCs w:val="28"/>
          <w14:textFill>
            <w14:solidFill>
              <w14:schemeClr w14:val="tx1"/>
            </w14:solidFill>
          </w14:textFill>
        </w:rPr>
        <w:t>九、其他</w:t>
      </w:r>
    </w:p>
    <w:p>
      <w:pPr>
        <w:widowControl/>
        <w:spacing w:line="360" w:lineRule="atLeast"/>
        <w:ind w:firstLine="482" w:firstLineChars="200"/>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ascii="仿宋" w:hAnsi="仿宋" w:eastAsia="仿宋"/>
          <w:b/>
          <w:color w:val="000000" w:themeColor="text1"/>
          <w:sz w:val="24"/>
          <w14:textFill>
            <w14:solidFill>
              <w14:schemeClr w14:val="tx1"/>
            </w14:solidFill>
          </w14:textFill>
        </w:rPr>
        <w:t>0</w:t>
      </w:r>
      <w:r>
        <w:rPr>
          <w:rFonts w:hint="eastAsia" w:ascii="仿宋" w:hAnsi="仿宋" w:eastAsia="仿宋"/>
          <w:b/>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41．</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pStyle w:val="3"/>
        <w:jc w:val="center"/>
        <w:rPr>
          <w:rFonts w:ascii="仿宋" w:hAnsi="仿宋" w:eastAsia="仿宋"/>
          <w:color w:val="000000" w:themeColor="text1"/>
          <w:sz w:val="36"/>
          <w:szCs w:val="36"/>
          <w14:textFill>
            <w14:solidFill>
              <w14:schemeClr w14:val="tx1"/>
            </w14:solidFill>
          </w14:textFill>
        </w:rPr>
      </w:pPr>
      <w:bookmarkStart w:id="130" w:name="_Toc74312827"/>
      <w:r>
        <w:rPr>
          <w:rFonts w:hint="eastAsia" w:ascii="仿宋" w:hAnsi="仿宋" w:eastAsia="仿宋"/>
          <w:color w:val="000000" w:themeColor="text1"/>
          <w:sz w:val="36"/>
          <w:szCs w:val="36"/>
          <w14:textFill>
            <w14:solidFill>
              <w14:schemeClr w14:val="tx1"/>
            </w14:solidFill>
          </w14:textFill>
        </w:rPr>
        <w:t>第三章  投标文件格式</w:t>
      </w:r>
      <w:bookmarkEnd w:id="130"/>
      <w:bookmarkStart w:id="131" w:name="_Toc217446082"/>
      <w:bookmarkStart w:id="132" w:name="_Toc308164821"/>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一、本章所制投标文件格式，除格式中明确将该格式作为实质性要求的，一律不具有强制性，但是，供应商响应文件相关资料和本章所制格式不一致的，磋商小组将在评分时以响应文件不规范予以扣分处理。</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0" w:firstLineChars="196"/>
        <w:rPr>
          <w:rFonts w:ascii="仿宋" w:hAnsi="仿宋" w:eastAsia="仿宋"/>
          <w:color w:val="000000" w:themeColor="text1"/>
          <w:sz w:val="24"/>
          <w14:textFill>
            <w14:solidFill>
              <w14:schemeClr w14:val="tx1"/>
            </w14:solidFill>
          </w14:textFill>
        </w:rPr>
      </w:pPr>
    </w:p>
    <w:p>
      <w:pPr>
        <w:tabs>
          <w:tab w:val="left" w:pos="900"/>
        </w:tabs>
        <w:spacing w:line="360" w:lineRule="auto"/>
        <w:jc w:val="center"/>
        <w:outlineLvl w:val="1"/>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bookmarkStart w:id="133" w:name="PO_默认文件内容_24"/>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u w:val="single"/>
          <w14:textFill>
            <w14:solidFill>
              <w14:schemeClr w14:val="tx1"/>
            </w14:solidFill>
          </w14:textFill>
        </w:rPr>
        <w:t>xxxxx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资格性投标文件</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 xml:space="preserve">投 标 人 </w:t>
      </w:r>
      <w:r>
        <w:rPr>
          <w:rFonts w:ascii="仿宋" w:hAnsi="仿宋" w:eastAsia="仿宋"/>
          <w:b/>
          <w:color w:val="000000" w:themeColor="text1"/>
          <w:sz w:val="32"/>
          <w14:textFill>
            <w14:solidFill>
              <w14:schemeClr w14:val="tx1"/>
            </w14:solidFill>
          </w14:textFill>
        </w:rPr>
        <w:t>名</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称</w:t>
      </w:r>
      <w:r>
        <w:rPr>
          <w:rFonts w:hint="eastAsia"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lang w:val="en-US" w:eastAsia="zh-CN"/>
          <w14:textFill>
            <w14:solidFill>
              <w14:schemeClr w14:val="tx1"/>
            </w14:solidFill>
          </w14:textFill>
        </w:rPr>
        <w:t>公章或</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pStyle w:val="2"/>
        <w:numPr>
          <w:ilvl w:val="4"/>
          <w:numId w:val="0"/>
        </w:num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spacing w:line="360" w:lineRule="auto"/>
        <w:rPr>
          <w:rFonts w:hint="eastAsia" w:ascii="仿宋" w:hAnsi="仿宋" w:eastAsia="仿宋" w:cs="仿宋"/>
          <w:b/>
          <w:color w:val="000000" w:themeColor="text1"/>
          <w:sz w:val="32"/>
          <w:szCs w:val="32"/>
          <w:lang w:val="en-US" w:eastAsia="zh-CN"/>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r>
        <w:rPr>
          <w:rFonts w:hint="eastAsia" w:ascii="仿宋" w:hAnsi="仿宋" w:eastAsia="仿宋" w:cs="仿宋"/>
          <w:b/>
          <w:color w:val="000000" w:themeColor="text1"/>
          <w:sz w:val="32"/>
          <w:szCs w:val="32"/>
          <w14:textFill>
            <w14:solidFill>
              <w14:schemeClr w14:val="tx1"/>
            </w14:solidFill>
          </w14:textFill>
        </w:rPr>
        <w:t>格式1-2</w:t>
      </w:r>
      <w:bookmarkStart w:id="134" w:name="_Toc17004"/>
      <w:bookmarkStart w:id="135" w:name="_Toc3144"/>
      <w:r>
        <w:rPr>
          <w:rFonts w:hint="eastAsia" w:ascii="仿宋" w:hAnsi="仿宋" w:eastAsia="仿宋" w:cs="仿宋"/>
          <w:b/>
          <w:color w:val="000000" w:themeColor="text1"/>
          <w:sz w:val="32"/>
          <w:szCs w:val="32"/>
          <w:lang w:val="en-US" w:eastAsia="zh-CN"/>
          <w14:textFill>
            <w14:solidFill>
              <w14:schemeClr w14:val="tx1"/>
            </w14:solidFill>
          </w14:textFill>
        </w:rPr>
        <w:t xml:space="preserve">            </w:t>
      </w:r>
    </w:p>
    <w:p>
      <w:pPr>
        <w:spacing w:line="360" w:lineRule="auto"/>
        <w:jc w:val="center"/>
        <w:rPr>
          <w:rFonts w:hint="eastAsia" w:ascii="仿宋" w:hAnsi="仿宋" w:eastAsia="仿宋" w:cs="仿宋"/>
          <w:b/>
          <w:bCs/>
          <w:color w:val="auto"/>
          <w:sz w:val="32"/>
          <w:szCs w:val="40"/>
          <w:highlight w:val="none"/>
        </w:rPr>
      </w:pPr>
      <w:r>
        <w:rPr>
          <w:rFonts w:hint="eastAsia" w:ascii="仿宋" w:hAnsi="仿宋" w:eastAsia="仿宋" w:cs="仿宋"/>
          <w:b/>
          <w:bCs/>
          <w:color w:val="auto"/>
          <w:sz w:val="32"/>
          <w:szCs w:val="40"/>
          <w:highlight w:val="none"/>
        </w:rPr>
        <w:t>法定代表人/单位负责人授权书</w:t>
      </w:r>
      <w:bookmarkEnd w:id="134"/>
      <w:bookmarkEnd w:id="135"/>
    </w:p>
    <w:p>
      <w:pPr>
        <w:pStyle w:val="79"/>
        <w:spacing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(采购代理机构名称)：</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本授权声明：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(投标人名称)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(法定代表人/单位负责人姓名、职务)授权</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(被授权人姓名、职务、身份证号码)为我方参加“</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(项目名称)(项目编号：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)”投标活动的合法代表，以我方名义全权处理该项目有关投标、签订合同以及执行合同等一切事宜，我单位均予承认，所产生的法律后果均由我单位承担。</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特此声明。</w:t>
      </w: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80"/>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p>
    <w:p>
      <w:pPr>
        <w:pStyle w:val="80"/>
        <w:rPr>
          <w:rFonts w:hint="eastAsia" w:ascii="仿宋" w:hAnsi="仿宋" w:eastAsia="仿宋" w:cs="仿宋"/>
          <w:color w:val="auto"/>
          <w:highlight w:val="none"/>
        </w:rPr>
      </w:pPr>
      <w:r>
        <w:rPr>
          <w:rFonts w:hint="eastAsia" w:ascii="仿宋" w:hAnsi="仿宋" w:eastAsia="仿宋" w:cs="仿宋"/>
          <w:color w:val="auto"/>
          <w:highlight w:val="none"/>
        </w:rPr>
        <w:t>投标日期：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pPr>
        <w:pStyle w:val="79"/>
        <w:rPr>
          <w:rFonts w:hint="eastAsia" w:ascii="仿宋" w:hAnsi="仿宋" w:eastAsia="仿宋" w:cs="仿宋"/>
          <w:color w:val="auto"/>
          <w:highlight w:val="none"/>
        </w:rPr>
      </w:pP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注：1.法定代表人/单位负责人不亲自参加投标，而授权代表参加投标的适用。</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2.供应商为法人单位时提供“法定代表人授权书”，供应商为其他组织时提供“负责人授权书”，供应商为自然人时提供“自然人身份证明材料”。</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3.应附法定代表人/单位负责人身份证明材料复印件和授权代表身份证明材料复印件。</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4.身份证明材料包括居民身份证或户口本或军官证或护照等。</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5.身份证明材料应同时提供其在有效期的材料，如居民身份证正、反面复印件。</w:t>
      </w:r>
    </w:p>
    <w:p>
      <w:pPr>
        <w:pStyle w:val="79"/>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136" w:name="_Toc5579"/>
      <w:bookmarkStart w:id="137" w:name="_Toc5501"/>
      <w:bookmarkStart w:id="138" w:name="_Toc21430"/>
      <w:bookmarkStart w:id="139" w:name="_Toc22140"/>
      <w:bookmarkStart w:id="140" w:name="_Toc9243"/>
      <w:bookmarkStart w:id="141" w:name="_Toc9688"/>
    </w:p>
    <w:p>
      <w:pPr>
        <w:pStyle w:val="78"/>
        <w:numPr>
          <w:ilvl w:val="0"/>
          <w:numId w:val="0"/>
        </w:numPr>
        <w:spacing w:before="120" w:after="120"/>
        <w:ind w:leftChars="0"/>
        <w:jc w:val="both"/>
        <w:rPr>
          <w:rFonts w:hint="eastAsia" w:ascii="仿宋" w:hAnsi="仿宋" w:eastAsia="仿宋" w:cs="仿宋"/>
          <w:color w:val="auto"/>
          <w:highlight w:val="none"/>
        </w:rPr>
      </w:pPr>
      <w:r>
        <w:rPr>
          <w:rFonts w:hint="eastAsia" w:ascii="仿宋" w:hAnsi="仿宋" w:eastAsia="仿宋" w:cs="仿宋"/>
          <w:b/>
          <w:color w:val="000000" w:themeColor="text1"/>
          <w:sz w:val="32"/>
          <w:szCs w:val="32"/>
          <w14:textFill>
            <w14:solidFill>
              <w14:schemeClr w14:val="tx1"/>
            </w14:solidFill>
          </w14:textFill>
        </w:rPr>
        <w:t>格式1-</w:t>
      </w:r>
      <w:r>
        <w:rPr>
          <w:rFonts w:hint="eastAsia" w:ascii="仿宋" w:hAnsi="仿宋" w:eastAsia="仿宋" w:cs="仿宋"/>
          <w:b/>
          <w:color w:val="000000" w:themeColor="text1"/>
          <w:sz w:val="32"/>
          <w:szCs w:val="32"/>
          <w:lang w:val="en-US" w:eastAsia="zh-CN"/>
          <w14:textFill>
            <w14:solidFill>
              <w14:schemeClr w14:val="tx1"/>
            </w14:solidFill>
          </w14:textFill>
        </w:rPr>
        <w:t xml:space="preserve">3          </w:t>
      </w:r>
      <w:r>
        <w:rPr>
          <w:rFonts w:hint="eastAsia" w:ascii="仿宋" w:hAnsi="仿宋" w:eastAsia="仿宋" w:cs="仿宋"/>
          <w:color w:val="auto"/>
          <w:highlight w:val="none"/>
        </w:rPr>
        <w:t>法定代表人/单位负责人证明书</w:t>
      </w:r>
      <w:bookmarkEnd w:id="136"/>
      <w:bookmarkEnd w:id="137"/>
      <w:bookmarkEnd w:id="138"/>
      <w:bookmarkEnd w:id="139"/>
      <w:bookmarkEnd w:id="140"/>
      <w:bookmarkEnd w:id="141"/>
    </w:p>
    <w:p>
      <w:pPr>
        <w:pStyle w:val="80"/>
        <w:spacing w:line="360" w:lineRule="auto"/>
        <w:rPr>
          <w:rFonts w:hint="eastAsia" w:ascii="仿宋" w:hAnsi="仿宋" w:eastAsia="仿宋" w:cs="仿宋"/>
          <w:color w:val="auto"/>
          <w:highlight w:val="none"/>
        </w:rPr>
      </w:pPr>
    </w:p>
    <w:p>
      <w:pPr>
        <w:pStyle w:val="80"/>
        <w:spacing w:line="360" w:lineRule="auto"/>
        <w:rPr>
          <w:rFonts w:hint="eastAsia" w:ascii="仿宋" w:hAnsi="仿宋" w:eastAsia="仿宋" w:cs="仿宋"/>
          <w:color w:val="auto"/>
          <w:highlight w:val="none"/>
        </w:rPr>
      </w:pP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单位名称：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姓    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性别：</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职务：</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本人系</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(投标人名称)的法定代表人/单位负责人。就参加你单位组织的“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(项目名称)(项目编号：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)”的投标活动、并参与项目的投标、签订合同以及执行合同等一切事宜，我单位均予承认，所产生的法律后果均由我单位承担。</w:t>
      </w:r>
    </w:p>
    <w:p>
      <w:pPr>
        <w:pStyle w:val="8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特此证明。</w:t>
      </w: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79"/>
        <w:rPr>
          <w:rFonts w:hint="eastAsia" w:ascii="仿宋" w:hAnsi="仿宋" w:eastAsia="仿宋" w:cs="仿宋"/>
          <w:color w:val="auto"/>
          <w:highlight w:val="none"/>
        </w:rPr>
      </w:pPr>
    </w:p>
    <w:p>
      <w:pPr>
        <w:pStyle w:val="80"/>
        <w:rPr>
          <w:rFonts w:hint="eastAsia" w:ascii="仿宋" w:hAnsi="仿宋" w:eastAsia="仿宋" w:cs="仿宋"/>
          <w:color w:val="auto"/>
          <w:highlight w:val="none"/>
        </w:rPr>
      </w:pPr>
      <w:r>
        <w:rPr>
          <w:rFonts w:hint="eastAsia" w:ascii="仿宋" w:hAnsi="仿宋" w:eastAsia="仿宋" w:cs="仿宋"/>
          <w:color w:val="auto"/>
          <w:highlight w:val="none"/>
        </w:rPr>
        <w:t>投标人名称：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 xml:space="preserve">) </w:t>
      </w:r>
    </w:p>
    <w:p>
      <w:pPr>
        <w:pStyle w:val="80"/>
        <w:rPr>
          <w:rFonts w:hint="eastAsia" w:ascii="仿宋" w:hAnsi="仿宋" w:eastAsia="仿宋" w:cs="仿宋"/>
          <w:color w:val="auto"/>
          <w:highlight w:val="none"/>
          <w:u w:val="single"/>
        </w:rPr>
      </w:pPr>
      <w:r>
        <w:rPr>
          <w:rFonts w:hint="eastAsia" w:ascii="仿宋" w:hAnsi="仿宋" w:eastAsia="仿宋" w:cs="仿宋"/>
          <w:color w:val="auto"/>
          <w:highlight w:val="none"/>
        </w:rPr>
        <w:t>投标日期：</w:t>
      </w:r>
      <w:r>
        <w:rPr>
          <w:rFonts w:hint="eastAsia" w:ascii="仿宋" w:hAnsi="仿宋" w:eastAsia="仿宋" w:cs="仿宋"/>
          <w:color w:val="auto"/>
          <w:highlight w:val="none"/>
          <w:u w:val="single"/>
        </w:rPr>
        <w:t xml:space="preserve">             </w:t>
      </w:r>
    </w:p>
    <w:p>
      <w:pPr>
        <w:pStyle w:val="80"/>
        <w:rPr>
          <w:rFonts w:hint="eastAsia" w:ascii="仿宋" w:hAnsi="仿宋" w:eastAsia="仿宋" w:cs="仿宋"/>
          <w:color w:val="auto"/>
          <w:highlight w:val="none"/>
        </w:rPr>
      </w:pP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注：1.法定代表人/单位负责人亲自参加投标时适用本证明书。</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2.应附法定代表人/单位负责人身份证明材料复印件。</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3.身份证明材料包括居民身份证或户口本或军官证或护照等。</w:t>
      </w:r>
    </w:p>
    <w:p>
      <w:pPr>
        <w:pStyle w:val="81"/>
        <w:ind w:firstLine="482"/>
        <w:rPr>
          <w:rFonts w:hint="eastAsia" w:ascii="仿宋" w:hAnsi="仿宋" w:eastAsia="仿宋" w:cs="仿宋"/>
          <w:color w:val="auto"/>
          <w:highlight w:val="none"/>
        </w:rPr>
      </w:pPr>
      <w:r>
        <w:rPr>
          <w:rFonts w:hint="eastAsia" w:ascii="仿宋" w:hAnsi="仿宋" w:eastAsia="仿宋" w:cs="仿宋"/>
          <w:color w:val="auto"/>
          <w:highlight w:val="none"/>
        </w:rPr>
        <w:t>4.身份证明材料应同时提供其在有效期的材料，如居民身份证正、反面复印件。</w:t>
      </w:r>
    </w:p>
    <w:p>
      <w:pPr>
        <w:pStyle w:val="2"/>
      </w:pPr>
    </w:p>
    <w:p>
      <w:pPr>
        <w:pStyle w:val="40"/>
        <w:rPr>
          <w:rFonts w:hint="eastAsia" w:ascii="仿宋" w:hAnsi="仿宋" w:eastAsia="仿宋"/>
          <w:b/>
          <w:color w:val="000000" w:themeColor="text1"/>
          <w:sz w:val="32"/>
          <w:szCs w:val="32"/>
          <w14:textFill>
            <w14:solidFill>
              <w14:schemeClr w14:val="tx1"/>
            </w14:solidFill>
          </w14:textFill>
        </w:rPr>
      </w:pPr>
    </w:p>
    <w:p>
      <w:pPr>
        <w:pStyle w:val="40"/>
        <w:rPr>
          <w:rFonts w:hint="eastAsia" w:ascii="仿宋" w:hAnsi="仿宋" w:eastAsia="仿宋"/>
          <w:b/>
          <w:color w:val="000000" w:themeColor="text1"/>
          <w:sz w:val="32"/>
          <w:szCs w:val="32"/>
          <w14:textFill>
            <w14:solidFill>
              <w14:schemeClr w14:val="tx1"/>
            </w14:solidFill>
          </w14:textFill>
        </w:rPr>
      </w:pPr>
    </w:p>
    <w:p>
      <w:pPr>
        <w:pStyle w:val="40"/>
        <w:rPr>
          <w:rFonts w:hint="eastAsia" w:ascii="仿宋" w:hAnsi="仿宋" w:eastAsia="仿宋"/>
          <w:b/>
          <w:color w:val="000000" w:themeColor="text1"/>
          <w:sz w:val="32"/>
          <w:szCs w:val="32"/>
          <w14:textFill>
            <w14:solidFill>
              <w14:schemeClr w14:val="tx1"/>
            </w14:solidFill>
          </w14:textFill>
        </w:rPr>
      </w:pPr>
    </w:p>
    <w:p>
      <w:pPr>
        <w:pStyle w:val="40"/>
        <w:rPr>
          <w:rFonts w:hint="eastAsia" w:ascii="仿宋" w:hAnsi="仿宋" w:eastAsia="仿宋"/>
          <w:b/>
          <w:color w:val="000000" w:themeColor="text1"/>
          <w:sz w:val="32"/>
          <w:szCs w:val="32"/>
          <w14:textFill>
            <w14:solidFill>
              <w14:schemeClr w14:val="tx1"/>
            </w14:solidFill>
          </w14:textFill>
        </w:rPr>
      </w:pPr>
    </w:p>
    <w:p>
      <w:pPr>
        <w:pStyle w:val="40"/>
        <w:rPr>
          <w:rFonts w:hint="eastAsia" w:ascii="仿宋" w:hAnsi="仿宋" w:eastAsia="仿宋"/>
          <w:b/>
          <w:color w:val="000000" w:themeColor="text1"/>
          <w:sz w:val="32"/>
          <w:szCs w:val="32"/>
          <w14:textFill>
            <w14:solidFill>
              <w14:schemeClr w14:val="tx1"/>
            </w14:solidFill>
          </w14:textFill>
        </w:rPr>
      </w:pPr>
    </w:p>
    <w:p>
      <w:pPr>
        <w:widowControl/>
        <w:spacing w:line="360" w:lineRule="atLeast"/>
        <w:jc w:val="both"/>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格式1-</w:t>
      </w:r>
      <w:r>
        <w:rPr>
          <w:rFonts w:hint="eastAsia" w:ascii="仿宋" w:hAnsi="仿宋" w:eastAsia="仿宋" w:cs="仿宋"/>
          <w:b/>
          <w:color w:val="000000" w:themeColor="text1"/>
          <w:sz w:val="32"/>
          <w:szCs w:val="32"/>
          <w:lang w:val="en-US" w:eastAsia="zh-CN"/>
          <w14:textFill>
            <w14:solidFill>
              <w14:schemeClr w14:val="tx1"/>
            </w14:solidFill>
          </w14:textFill>
        </w:rPr>
        <w:t xml:space="preserve">4               </w:t>
      </w:r>
      <w:r>
        <w:rPr>
          <w:rFonts w:hint="eastAsia" w:ascii="仿宋" w:hAnsi="仿宋" w:eastAsia="仿宋"/>
          <w:b/>
          <w:color w:val="000000" w:themeColor="text1"/>
          <w:sz w:val="32"/>
          <w:szCs w:val="32"/>
          <w14:textFill>
            <w14:solidFill>
              <w14:schemeClr w14:val="tx1"/>
            </w14:solidFill>
          </w14:textFill>
        </w:rPr>
        <w:t>承诺函</w:t>
      </w:r>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widowControl/>
        <w:spacing w:line="360" w:lineRule="atLeast"/>
        <w:ind w:firstLine="480" w:firstLineChars="200"/>
        <w:jc w:val="left"/>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八</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我</w:t>
      </w:r>
      <w:r>
        <w:rPr>
          <w:rFonts w:hint="eastAsia" w:ascii="仿宋" w:hAnsi="仿宋" w:eastAsia="仿宋"/>
          <w:color w:val="000000" w:themeColor="text1"/>
          <w:sz w:val="24"/>
          <w14:textFill>
            <w14:solidFill>
              <w14:schemeClr w14:val="tx1"/>
            </w14:solidFill>
          </w14:textFill>
        </w:rPr>
        <w:t>单位及现任法定代表人、主要负责人</w:t>
      </w:r>
      <w:r>
        <w:rPr>
          <w:rFonts w:hint="eastAsia" w:ascii="仿宋" w:hAnsi="仿宋" w:eastAsia="仿宋"/>
          <w:color w:val="000000" w:themeColor="text1"/>
          <w:sz w:val="24"/>
          <w:lang w:val="en-US" w:eastAsia="zh-CN"/>
          <w14:textFill>
            <w14:solidFill>
              <w14:schemeClr w14:val="tx1"/>
            </w14:solidFill>
          </w14:textFill>
        </w:rPr>
        <w:t>没有</w:t>
      </w:r>
      <w:r>
        <w:rPr>
          <w:rFonts w:hint="eastAsia" w:ascii="仿宋" w:hAnsi="仿宋" w:eastAsia="仿宋"/>
          <w:color w:val="000000" w:themeColor="text1"/>
          <w:sz w:val="24"/>
          <w14:textFill>
            <w14:solidFill>
              <w14:schemeClr w14:val="tx1"/>
            </w14:solidFill>
          </w14:textFill>
        </w:rPr>
        <w:t>行贿犯罪记录</w:t>
      </w:r>
      <w:r>
        <w:rPr>
          <w:rFonts w:hint="eastAsia" w:ascii="仿宋" w:hAnsi="仿宋" w:eastAsia="仿宋"/>
          <w:color w:val="000000" w:themeColor="text1"/>
          <w:sz w:val="24"/>
          <w:lang w:eastAsia="zh-CN"/>
          <w14:textFill>
            <w14:solidFill>
              <w14:schemeClr w14:val="tx1"/>
            </w14:solidFill>
          </w14:textFill>
        </w:rPr>
        <w:t>。</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olor w:val="000000" w:themeColor="text1"/>
          <w:sz w:val="24"/>
          <w:lang w:eastAsia="zh-CN"/>
          <w14:textFill>
            <w14:solidFill>
              <w14:schemeClr w14:val="tx1"/>
            </w14:solidFill>
          </w14:textFill>
        </w:rPr>
        <w:t>加盖单位公章或电子印章</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pStyle w:val="15"/>
        <w:rPr>
          <w:rFonts w:hint="eastAsia"/>
          <w:lang w:eastAsia="zh-CN"/>
        </w:rPr>
      </w:pPr>
    </w:p>
    <w:p>
      <w:pPr>
        <w:spacing w:line="360" w:lineRule="auto"/>
        <w:jc w:val="both"/>
        <w:outlineLvl w:val="2"/>
        <w:rPr>
          <w:rFonts w:hint="default"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14:textFill>
            <w14:solidFill>
              <w14:schemeClr w14:val="tx1"/>
            </w14:solidFill>
          </w14:textFill>
        </w:rPr>
        <w:t>格式1-</w:t>
      </w:r>
      <w:r>
        <w:rPr>
          <w:rFonts w:hint="eastAsia" w:ascii="仿宋" w:hAnsi="仿宋" w:eastAsia="仿宋" w:cs="Times New Roman"/>
          <w:b/>
          <w:color w:val="000000" w:themeColor="text1"/>
          <w:sz w:val="32"/>
          <w:szCs w:val="32"/>
          <w:lang w:val="en-US" w:eastAsia="zh-CN"/>
          <w14:textFill>
            <w14:solidFill>
              <w14:schemeClr w14:val="tx1"/>
            </w14:solidFill>
          </w14:textFill>
        </w:rPr>
        <w:t>5                承诺函</w:t>
      </w: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w:t>
      </w:r>
      <w:r>
        <w:rPr>
          <w:rFonts w:hint="eastAsia" w:ascii="仿宋" w:hAnsi="仿宋" w:eastAsia="仿宋" w:cs="Times New Roman"/>
          <w:color w:val="000000" w:themeColor="text1"/>
          <w:sz w:val="24"/>
          <w:lang w:val="en-US" w:eastAsia="zh-CN"/>
          <w14:textFill>
            <w14:solidFill>
              <w14:schemeClr w14:val="tx1"/>
            </w14:solidFill>
          </w14:textFill>
        </w:rPr>
        <w:t>按照《政府采购促进中小企业发展管理办法》的要求</w:t>
      </w:r>
      <w:r>
        <w:rPr>
          <w:rFonts w:hint="eastAsia" w:ascii="仿宋" w:hAnsi="仿宋" w:eastAsia="仿宋"/>
          <w:color w:val="000000" w:themeColor="text1"/>
          <w:sz w:val="24"/>
          <w14:textFill>
            <w14:solidFill>
              <w14:schemeClr w14:val="tx1"/>
            </w14:solidFill>
          </w14:textFill>
        </w:rPr>
        <w:t>，现郑重承诺如下：</w:t>
      </w:r>
    </w:p>
    <w:p>
      <w:pPr>
        <w:wordWrap w:val="0"/>
        <w:topLinePunct/>
        <w:spacing w:line="360" w:lineRule="auto"/>
        <w:ind w:firstLine="480"/>
        <w:rPr>
          <w:rFonts w:hint="eastAsia" w:ascii="仿宋" w:hAnsi="仿宋" w:eastAsia="仿宋"/>
          <w:color w:val="000000" w:themeColor="text1"/>
          <w:sz w:val="24"/>
          <w:lang w:val="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1、我单位</w:t>
      </w:r>
      <w:r>
        <w:rPr>
          <w:rFonts w:hint="eastAsia" w:ascii="仿宋" w:hAnsi="仿宋" w:eastAsia="仿宋"/>
          <w:color w:val="000000" w:themeColor="text1"/>
          <w:sz w:val="24"/>
          <w:u w:val="single"/>
          <w:lang w:val="en-US" w:eastAsia="zh-CN"/>
          <w14:textFill>
            <w14:solidFill>
              <w14:schemeClr w14:val="tx1"/>
            </w14:solidFill>
          </w14:textFill>
        </w:rPr>
        <w:t xml:space="preserve">           </w:t>
      </w:r>
      <w:r>
        <w:rPr>
          <w:rFonts w:hint="eastAsia" w:ascii="仿宋" w:hAnsi="仿宋" w:eastAsia="仿宋"/>
          <w:color w:val="000000" w:themeColor="text1"/>
          <w:sz w:val="24"/>
          <w:lang w:val="zh-CN"/>
          <w14:textFill>
            <w14:solidFill>
              <w14:schemeClr w14:val="tx1"/>
            </w14:solidFill>
          </w14:textFill>
        </w:rPr>
        <w:t>(填写“</w:t>
      </w:r>
      <w:r>
        <w:rPr>
          <w:rFonts w:hint="eastAsia" w:ascii="仿宋" w:hAnsi="仿宋" w:eastAsia="仿宋"/>
          <w:color w:val="000000" w:themeColor="text1"/>
          <w:sz w:val="24"/>
          <w:lang w:val="en-US" w:eastAsia="zh-CN"/>
          <w14:textFill>
            <w14:solidFill>
              <w14:schemeClr w14:val="tx1"/>
            </w14:solidFill>
          </w14:textFill>
        </w:rPr>
        <w:t>属于</w:t>
      </w:r>
      <w:r>
        <w:rPr>
          <w:rFonts w:hint="eastAsia" w:ascii="仿宋" w:hAnsi="仿宋" w:eastAsia="仿宋"/>
          <w:color w:val="000000" w:themeColor="text1"/>
          <w:sz w:val="24"/>
          <w:lang w:val="zh-CN"/>
          <w14:textFill>
            <w14:solidFill>
              <w14:schemeClr w14:val="tx1"/>
            </w14:solidFill>
          </w14:textFill>
        </w:rPr>
        <w:t>”或“</w:t>
      </w:r>
      <w:r>
        <w:rPr>
          <w:rFonts w:hint="eastAsia" w:ascii="仿宋" w:hAnsi="仿宋" w:eastAsia="仿宋"/>
          <w:color w:val="000000" w:themeColor="text1"/>
          <w:sz w:val="24"/>
          <w:lang w:val="en-US" w:eastAsia="zh-CN"/>
          <w14:textFill>
            <w14:solidFill>
              <w14:schemeClr w14:val="tx1"/>
            </w14:solidFill>
          </w14:textFill>
        </w:rPr>
        <w:t>不属于</w:t>
      </w:r>
      <w:r>
        <w:rPr>
          <w:rFonts w:hint="eastAsia" w:ascii="仿宋" w:hAnsi="仿宋" w:eastAsia="仿宋"/>
          <w:color w:val="000000" w:themeColor="text1"/>
          <w:sz w:val="24"/>
          <w:lang w:val="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中小</w:t>
      </w:r>
      <w:r>
        <w:rPr>
          <w:rFonts w:hint="eastAsia" w:ascii="仿宋" w:hAnsi="仿宋" w:eastAsia="仿宋" w:cs="Times New Roman"/>
          <w:color w:val="000000" w:themeColor="text1"/>
          <w:sz w:val="24"/>
          <w:lang w:val="en-US" w:eastAsia="zh-CN"/>
          <w14:textFill>
            <w14:solidFill>
              <w14:schemeClr w14:val="tx1"/>
            </w14:solidFill>
          </w14:textFill>
        </w:rPr>
        <w:t>微</w:t>
      </w:r>
      <w:r>
        <w:rPr>
          <w:rFonts w:hint="eastAsia" w:ascii="仿宋" w:hAnsi="仿宋" w:eastAsia="仿宋"/>
          <w:color w:val="000000" w:themeColor="text1"/>
          <w:sz w:val="24"/>
          <w:lang w:val="en-US" w:eastAsia="zh-CN"/>
          <w14:textFill>
            <w14:solidFill>
              <w14:schemeClr w14:val="tx1"/>
            </w14:solidFill>
          </w14:textFill>
        </w:rPr>
        <w:t>企业</w:t>
      </w:r>
      <w:r>
        <w:rPr>
          <w:rFonts w:hint="eastAsia" w:ascii="仿宋" w:hAnsi="仿宋" w:eastAsia="仿宋"/>
          <w:color w:val="000000" w:themeColor="text1"/>
          <w:sz w:val="24"/>
          <w:lang w:val="zh-CN"/>
          <w14:textFill>
            <w14:solidFill>
              <w14:schemeClr w14:val="tx1"/>
            </w14:solidFill>
          </w14:textFill>
        </w:rPr>
        <w:t>。</w:t>
      </w:r>
    </w:p>
    <w:p>
      <w:pPr>
        <w:wordWrap w:val="0"/>
        <w:topLinePunct/>
        <w:spacing w:line="360" w:lineRule="auto"/>
        <w:ind w:firstLine="480" w:firstLineChars="200"/>
        <w:rPr>
          <w:rFonts w:hint="eastAsia"/>
          <w:lang w:val="zh-CN" w:eastAsia="zh-CN"/>
        </w:rPr>
      </w:pPr>
      <w:r>
        <w:rPr>
          <w:rFonts w:hint="eastAsia" w:ascii="仿宋" w:hAnsi="仿宋" w:eastAsia="仿宋"/>
          <w:color w:val="000000" w:themeColor="text1"/>
          <w:sz w:val="24"/>
          <w:lang w:val="en-US" w:eastAsia="zh-CN"/>
          <w14:textFill>
            <w14:solidFill>
              <w14:schemeClr w14:val="tx1"/>
            </w14:solidFill>
          </w14:textFill>
        </w:rPr>
        <w:t>2、我单位</w:t>
      </w:r>
      <w:r>
        <w:rPr>
          <w:rFonts w:hint="eastAsia" w:ascii="仿宋" w:hAnsi="仿宋" w:eastAsia="仿宋" w:cs="Times New Roman"/>
          <w:color w:val="000000" w:themeColor="text1"/>
          <w:sz w:val="24"/>
          <w:lang w:val="en-US" w:eastAsia="zh-CN"/>
          <w14:textFill>
            <w14:solidFill>
              <w14:schemeClr w14:val="tx1"/>
            </w14:solidFill>
          </w14:textFill>
        </w:rPr>
        <w:t>非中小微企业，</w:t>
      </w:r>
      <w:r>
        <w:rPr>
          <w:rFonts w:hint="eastAsia" w:ascii="仿宋" w:hAnsi="仿宋" w:eastAsia="仿宋"/>
          <w:color w:val="000000" w:themeColor="text1"/>
          <w:sz w:val="24"/>
          <w:lang w:val="en-US" w:eastAsia="zh-CN"/>
          <w14:textFill>
            <w14:solidFill>
              <w14:schemeClr w14:val="tx1"/>
            </w14:solidFill>
          </w14:textFill>
        </w:rPr>
        <w:t>我单位</w:t>
      </w:r>
      <w:r>
        <w:rPr>
          <w:rFonts w:hint="eastAsia" w:ascii="仿宋" w:hAnsi="仿宋" w:eastAsia="仿宋" w:cs="Times New Roman"/>
          <w:color w:val="000000" w:themeColor="text1"/>
          <w:sz w:val="24"/>
          <w:lang w:val="en-US" w:eastAsia="zh-CN"/>
          <w14:textFill>
            <w14:solidFill>
              <w14:schemeClr w14:val="tx1"/>
            </w14:solidFill>
          </w14:textFill>
        </w:rPr>
        <w:t>承诺将中标总额的30%以上专门面向中小微企业进行分包，承诺承担分包的中小微企业满足本项目的技术商务相关条件。</w:t>
      </w:r>
    </w:p>
    <w:p>
      <w:pPr>
        <w:widowControl/>
        <w:spacing w:line="360" w:lineRule="atLeast"/>
        <w:ind w:firstLine="480" w:firstLineChars="200"/>
        <w:jc w:val="left"/>
        <w:rPr>
          <w:rFonts w:hint="eastAsia" w:ascii="仿宋" w:hAnsi="仿宋" w:eastAsia="仿宋"/>
          <w:color w:val="000000" w:themeColor="text1"/>
          <w:sz w:val="24"/>
          <w:lang w:val="en-US" w:eastAsia="zh-CN"/>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olor w:val="000000" w:themeColor="text1"/>
          <w:sz w:val="24"/>
          <w:lang w:eastAsia="zh-CN"/>
          <w14:textFill>
            <w14:solidFill>
              <w14:schemeClr w14:val="tx1"/>
            </w14:solidFill>
          </w14:textFill>
        </w:rPr>
        <w:t>加盖单位公章或电子印章</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p>
    <w:p>
      <w:pPr>
        <w:widowControl/>
        <w:spacing w:line="360" w:lineRule="atLeast"/>
        <w:ind w:firstLine="472" w:firstLineChars="196"/>
        <w:jc w:val="left"/>
        <w:rPr>
          <w:rFonts w:hint="eastAsia" w:ascii="仿宋" w:hAnsi="仿宋" w:eastAsia="仿宋"/>
          <w:b/>
          <w:bCs/>
          <w:color w:val="000000" w:themeColor="text1"/>
          <w:sz w:val="24"/>
          <w:lang w:val="en-US" w:eastAsia="zh-CN"/>
          <w14:textFill>
            <w14:solidFill>
              <w14:schemeClr w14:val="tx1"/>
            </w14:solidFill>
          </w14:textFill>
        </w:rPr>
      </w:pPr>
      <w:r>
        <w:rPr>
          <w:rFonts w:hint="eastAsia" w:ascii="仿宋" w:hAnsi="仿宋" w:eastAsia="仿宋"/>
          <w:b/>
          <w:bCs/>
          <w:color w:val="000000" w:themeColor="text1"/>
          <w:sz w:val="24"/>
          <w:lang w:val="en-US" w:eastAsia="zh-CN"/>
          <w14:textFill>
            <w14:solidFill>
              <w14:schemeClr w14:val="tx1"/>
            </w14:solidFill>
          </w14:textFill>
        </w:rPr>
        <w:t>注：1.供应商为中小企业需删除序号“2”。</w:t>
      </w:r>
    </w:p>
    <w:p>
      <w:pPr>
        <w:widowControl/>
        <w:spacing w:line="360" w:lineRule="atLeast"/>
        <w:ind w:firstLine="472" w:firstLineChars="196"/>
        <w:jc w:val="left"/>
        <w:rPr>
          <w:rFonts w:hint="eastAsia" w:ascii="仿宋" w:hAnsi="仿宋" w:eastAsia="仿宋"/>
          <w:b/>
          <w:bCs/>
          <w:color w:val="000000" w:themeColor="text1"/>
          <w:sz w:val="24"/>
          <w:lang w:val="en-US" w:eastAsia="zh-CN"/>
          <w14:textFill>
            <w14:solidFill>
              <w14:schemeClr w14:val="tx1"/>
            </w14:solidFill>
          </w14:textFill>
        </w:rPr>
      </w:pPr>
      <w:r>
        <w:rPr>
          <w:rFonts w:hint="eastAsia" w:ascii="仿宋" w:hAnsi="仿宋" w:eastAsia="仿宋"/>
          <w:b/>
          <w:bCs/>
          <w:color w:val="000000" w:themeColor="text1"/>
          <w:sz w:val="24"/>
          <w:lang w:val="en-US" w:eastAsia="zh-CN"/>
          <w14:textFill>
            <w14:solidFill>
              <w14:schemeClr w14:val="tx1"/>
            </w14:solidFill>
          </w14:textFill>
        </w:rPr>
        <w:t>2.供应商为残疾人福利性单位、监狱企业视为中小企业。</w:t>
      </w: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p>
    <w:p>
      <w:pPr>
        <w:spacing w:line="360" w:lineRule="auto"/>
        <w:jc w:val="both"/>
        <w:outlineLvl w:val="2"/>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cs="Times New Roman"/>
          <w:b/>
          <w:color w:val="000000" w:themeColor="text1"/>
          <w:sz w:val="32"/>
          <w:szCs w:val="32"/>
          <w14:textFill>
            <w14:solidFill>
              <w14:schemeClr w14:val="tx1"/>
            </w14:solidFill>
          </w14:textFill>
        </w:rPr>
        <w:t>格式1-</w:t>
      </w:r>
      <w:r>
        <w:rPr>
          <w:rFonts w:hint="eastAsia" w:ascii="仿宋" w:hAnsi="仿宋" w:eastAsia="仿宋" w:cs="Times New Roman"/>
          <w:b/>
          <w:color w:val="000000" w:themeColor="text1"/>
          <w:sz w:val="32"/>
          <w:szCs w:val="32"/>
          <w:lang w:val="en-US" w:eastAsia="zh-CN"/>
          <w14:textFill>
            <w14:solidFill>
              <w14:schemeClr w14:val="tx1"/>
            </w14:solidFill>
          </w14:textFill>
        </w:rPr>
        <w:t xml:space="preserve">6     </w:t>
      </w:r>
      <w:r>
        <w:rPr>
          <w:rFonts w:hint="eastAsia" w:ascii="仿宋" w:hAnsi="仿宋" w:eastAsia="仿宋"/>
          <w:b/>
          <w:color w:val="000000" w:themeColor="text1"/>
          <w:sz w:val="32"/>
          <w:szCs w:val="32"/>
          <w:lang w:eastAsia="zh-CN"/>
          <w14:textFill>
            <w14:solidFill>
              <w14:schemeClr w14:val="tx1"/>
            </w14:solidFill>
          </w14:textFill>
        </w:rPr>
        <w:t>投标人应当提供的资格、资质性及其他类似效力要求的相关证明材料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注：投标人应按招标文件第五章</w:t>
      </w:r>
      <w:r>
        <w:rPr>
          <w:rFonts w:hint="eastAsia" w:ascii="仿宋" w:hAnsi="仿宋" w:eastAsia="仿宋" w:cs="宋体"/>
          <w:bCs/>
          <w:color w:val="000000" w:themeColor="text1"/>
          <w:sz w:val="24"/>
          <w:lang w:val="en-US" w:eastAsia="zh-CN"/>
          <w14:textFill>
            <w14:solidFill>
              <w14:schemeClr w14:val="tx1"/>
            </w14:solidFill>
          </w14:textFill>
        </w:rPr>
        <w:t>资格条件</w:t>
      </w:r>
      <w:r>
        <w:rPr>
          <w:rFonts w:hint="eastAsia" w:ascii="仿宋" w:hAnsi="仿宋" w:eastAsia="仿宋" w:cs="宋体"/>
          <w:bCs/>
          <w:color w:val="000000" w:themeColor="text1"/>
          <w:sz w:val="24"/>
          <w14:textFill>
            <w14:solidFill>
              <w14:schemeClr w14:val="tx1"/>
            </w14:solidFill>
          </w14:textFill>
        </w:rPr>
        <w:t>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pStyle w:val="4"/>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第二部分     “其他响应性投标文件”格式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XXXXXXXXX项目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 标 人</w:t>
      </w:r>
      <w:r>
        <w:rPr>
          <w:rFonts w:ascii="仿宋" w:hAnsi="仿宋" w:eastAsia="仿宋"/>
          <w:b/>
          <w:color w:val="000000" w:themeColor="text1"/>
          <w:sz w:val="32"/>
          <w14:textFill>
            <w14:solidFill>
              <w14:schemeClr w14:val="tx1"/>
            </w14:solidFill>
          </w14:textFill>
        </w:rPr>
        <w:t>名称</w:t>
      </w:r>
      <w:r>
        <w:rPr>
          <w:rFonts w:hint="eastAsia" w:ascii="仿宋" w:hAnsi="仿宋" w:eastAsia="仿宋"/>
          <w:b/>
          <w:color w:val="000000" w:themeColor="text1"/>
          <w:sz w:val="32"/>
          <w14:textFill>
            <w14:solidFill>
              <w14:schemeClr w14:val="tx1"/>
            </w14:solidFill>
          </w14:textFill>
        </w:rPr>
        <w:t>（电子印章）</w:t>
      </w:r>
      <w:r>
        <w:rPr>
          <w:rFonts w:ascii="仿宋" w:hAnsi="仿宋" w:eastAsia="仿宋"/>
          <w:b/>
          <w:color w:val="000000" w:themeColor="text1"/>
          <w:sz w:val="32"/>
          <w14:textFill>
            <w14:solidFill>
              <w14:schemeClr w14:val="tx1"/>
            </w14:solidFill>
          </w14:textFill>
        </w:rPr>
        <w:t>：</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pStyle w:val="2"/>
      </w:pPr>
    </w:p>
    <w:p>
      <w:pPr>
        <w:spacing w:line="360" w:lineRule="auto"/>
        <w:ind w:firstLine="790" w:firstLineChars="246"/>
        <w:jc w:val="left"/>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 xml:space="preserve">        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年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r>
        <w:rPr>
          <w:rFonts w:ascii="仿宋" w:hAnsi="仿宋" w:eastAsia="仿宋"/>
          <w:b/>
          <w:color w:val="000000" w:themeColor="text1"/>
          <w:sz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一、投 标 函</w:t>
      </w:r>
      <w:bookmarkEnd w:id="131"/>
      <w:bookmarkEnd w:id="132"/>
    </w:p>
    <w:p>
      <w:pPr>
        <w:widowControl/>
        <w:spacing w:line="360" w:lineRule="atLeast"/>
        <w:jc w:val="center"/>
        <w:rPr>
          <w:rFonts w:ascii="仿宋" w:hAnsi="仿宋" w:eastAsia="仿宋"/>
          <w:b/>
          <w:color w:val="000000" w:themeColor="text1"/>
          <w:sz w:val="24"/>
          <w14:textFill>
            <w14:solidFill>
              <w14:schemeClr w14:val="tx1"/>
            </w14:solidFill>
          </w14:textFill>
        </w:rPr>
      </w:pPr>
    </w:p>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w:t>
      </w:r>
      <w:r>
        <w:rPr>
          <w:rFonts w:hint="eastAsia"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”项目（招标编号：</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）招标文件，决定参加贵单位组织的本项目投标。</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一、我方自愿按照招标文件规定的各项要求向采购人提供所需货物/服务。</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二、一旦我方中标，我方将严格履行政府采购合同规定的责任和义务。</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三、我方同意本次招标的投标有效期为投标截止时间届满后</w:t>
      </w:r>
      <w:r>
        <w:rPr>
          <w:rFonts w:hint="eastAsia" w:ascii="仿宋" w:hAnsi="仿宋" w:eastAsia="仿宋"/>
          <w:color w:val="000000" w:themeColor="text1"/>
          <w:sz w:val="24"/>
          <w:u w:val="single"/>
          <w:lang w:val="en-US" w:eastAsia="zh-CN"/>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w:t>
      </w:r>
      <w:r>
        <w:rPr>
          <w:rFonts w:ascii="仿宋" w:hAnsi="仿宋" w:eastAsia="仿宋"/>
          <w:color w:val="000000" w:themeColor="text1"/>
          <w:sz w:val="24"/>
          <w14:textFill>
            <w14:solidFill>
              <w14:schemeClr w14:val="tx1"/>
            </w14:solidFill>
          </w14:textFill>
        </w:rPr>
        <w:t>并满足招标文件</w:t>
      </w:r>
      <w:r>
        <w:rPr>
          <w:rFonts w:hint="eastAsia" w:ascii="仿宋" w:hAnsi="仿宋" w:eastAsia="仿宋"/>
          <w:color w:val="000000" w:themeColor="text1"/>
          <w:sz w:val="24"/>
          <w14:textFill>
            <w14:solidFill>
              <w14:schemeClr w14:val="tx1"/>
            </w14:solidFill>
          </w14:textFill>
        </w:rPr>
        <w:t>中其他</w:t>
      </w:r>
      <w:r>
        <w:rPr>
          <w:rFonts w:ascii="仿宋" w:hAnsi="仿宋" w:eastAsia="仿宋"/>
          <w:color w:val="000000" w:themeColor="text1"/>
          <w:sz w:val="24"/>
          <w14:textFill>
            <w14:solidFill>
              <w14:schemeClr w14:val="tx1"/>
            </w14:solidFill>
          </w14:textFill>
        </w:rPr>
        <w:t>关于</w:t>
      </w:r>
      <w:r>
        <w:rPr>
          <w:rFonts w:hint="eastAsia" w:ascii="仿宋" w:hAnsi="仿宋" w:eastAsia="仿宋"/>
          <w:color w:val="000000" w:themeColor="text1"/>
          <w:sz w:val="24"/>
          <w14:textFill>
            <w14:solidFill>
              <w14:schemeClr w14:val="tx1"/>
            </w14:solidFill>
          </w14:textFill>
        </w:rPr>
        <w:t>投标有效期的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期：XXXX年XX月XX日。</w:t>
      </w:r>
    </w:p>
    <w:p>
      <w:pPr>
        <w:widowControl/>
        <w:spacing w:after="0" w:line="240" w:lineRule="auto"/>
        <w:jc w:val="left"/>
        <w:rPr>
          <w:rFonts w:ascii="仿宋" w:hAnsi="仿宋" w:eastAsia="仿宋"/>
          <w:b/>
          <w:color w:val="000000" w:themeColor="text1"/>
          <w:sz w:val="32"/>
          <w:szCs w:val="32"/>
          <w14:textFill>
            <w14:solidFill>
              <w14:schemeClr w14:val="tx1"/>
            </w14:solidFill>
          </w14:textFill>
        </w:rPr>
      </w:pPr>
      <w:bookmarkStart w:id="142" w:name="_Toc308164824"/>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格式2-3</w:t>
      </w:r>
    </w:p>
    <w:p>
      <w:pPr>
        <w:widowControl/>
        <w:spacing w:after="0" w:line="240" w:lineRule="auto"/>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widowControl/>
        <w:spacing w:after="0" w:line="240" w:lineRule="auto"/>
        <w:jc w:val="center"/>
        <w:rPr>
          <w:rFonts w:ascii="仿宋" w:hAnsi="仿宋" w:eastAsia="仿宋"/>
          <w:b/>
          <w:color w:val="000000" w:themeColor="text1"/>
          <w:sz w:val="24"/>
          <w14:textFill>
            <w14:solidFill>
              <w14:schemeClr w14:val="tx1"/>
            </w14:solidFill>
          </w14:textFill>
        </w:rPr>
      </w:pPr>
    </w:p>
    <w:p>
      <w:pPr>
        <w:widowControl/>
        <w:spacing w:after="0" w:line="24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一、我方已认真阅读并接受本项目招标文件第二章的全部实质性要求</w:t>
      </w:r>
      <w:r>
        <w:rPr>
          <w:rFonts w:ascii="仿宋" w:hAnsi="仿宋" w:eastAsia="仿宋"/>
          <w:color w:val="000000" w:themeColor="text1"/>
          <w:sz w:val="24"/>
          <w14:textFill>
            <w14:solidFill>
              <w14:schemeClr w14:val="tx1"/>
            </w14:solidFill>
          </w14:textFill>
        </w:rPr>
        <w:t>，如对招标文件有异议，</w:t>
      </w:r>
      <w:r>
        <w:rPr>
          <w:rFonts w:hint="eastAsia" w:ascii="仿宋" w:hAnsi="仿宋" w:eastAsia="仿宋"/>
          <w:color w:val="000000" w:themeColor="text1"/>
          <w:sz w:val="24"/>
          <w14:textFill>
            <w14:solidFill>
              <w14:schemeClr w14:val="tx1"/>
            </w14:solidFill>
          </w14:textFill>
        </w:rPr>
        <w:t>已</w:t>
      </w:r>
      <w:r>
        <w:rPr>
          <w:rFonts w:ascii="仿宋" w:hAnsi="仿宋" w:eastAsia="仿宋"/>
          <w:color w:val="000000" w:themeColor="text1"/>
          <w:sz w:val="24"/>
          <w14:textFill>
            <w14:solidFill>
              <w14:schemeClr w14:val="tx1"/>
            </w14:solidFill>
          </w14:textFill>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不属于此类禁止参加本项目的供应商</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14:textFill>
            <w14:solidFill>
              <w14:schemeClr w14:val="tx1"/>
            </w14:solidFill>
          </w14:textFill>
        </w:rPr>
        <w:t>承诺符合其要求。</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八、参加本次招标采购活动，</w:t>
      </w:r>
      <w:r>
        <w:rPr>
          <w:rFonts w:ascii="仿宋" w:hAnsi="仿宋" w:eastAsia="仿宋"/>
          <w:color w:val="000000" w:themeColor="text1"/>
          <w:sz w:val="24"/>
          <w14:textFill>
            <w14:solidFill>
              <w14:schemeClr w14:val="tx1"/>
            </w14:solidFill>
          </w14:textFill>
        </w:rPr>
        <w:t>我方</w:t>
      </w:r>
      <w:r>
        <w:rPr>
          <w:rFonts w:hint="eastAsia" w:ascii="仿宋" w:hAnsi="仿宋" w:eastAsia="仿宋"/>
          <w:color w:val="000000" w:themeColor="text1"/>
          <w:sz w:val="24"/>
          <w14:textFill>
            <w14:solidFill>
              <w14:schemeClr w14:val="tx1"/>
            </w14:solidFill>
          </w14:textFill>
        </w:rPr>
        <w:t>完全同意</w:t>
      </w:r>
      <w:r>
        <w:rPr>
          <w:rFonts w:ascii="仿宋" w:hAnsi="仿宋" w:eastAsia="仿宋"/>
          <w:color w:val="000000" w:themeColor="text1"/>
          <w:sz w:val="24"/>
          <w14:textFill>
            <w14:solidFill>
              <w14:schemeClr w14:val="tx1"/>
            </w14:solidFill>
          </w14:textFill>
        </w:rPr>
        <w:t>招标文件第二章关于“</w:t>
      </w:r>
      <w:r>
        <w:rPr>
          <w:rFonts w:hint="eastAsia" w:ascii="仿宋" w:hAnsi="仿宋" w:eastAsia="仿宋"/>
          <w:color w:val="000000" w:themeColor="text1"/>
          <w:sz w:val="24"/>
          <w14:textFill>
            <w14:solidFill>
              <w14:schemeClr w14:val="tx1"/>
            </w14:solidFill>
          </w14:textFill>
        </w:rPr>
        <w:t>投标</w:t>
      </w:r>
      <w:r>
        <w:rPr>
          <w:rFonts w:ascii="仿宋" w:hAnsi="仿宋" w:eastAsia="仿宋"/>
          <w:color w:val="000000" w:themeColor="text1"/>
          <w:sz w:val="24"/>
          <w14:textFill>
            <w14:solidFill>
              <w14:schemeClr w14:val="tx1"/>
            </w14:solidFill>
          </w14:textFill>
        </w:rPr>
        <w:t>费用”</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分包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转包”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履约</w:t>
      </w:r>
      <w:r>
        <w:rPr>
          <w:rFonts w:ascii="仿宋" w:hAnsi="仿宋" w:eastAsia="仿宋"/>
          <w:color w:val="000000" w:themeColor="text1"/>
          <w:sz w:val="24"/>
          <w14:textFill>
            <w14:solidFill>
              <w14:schemeClr w14:val="tx1"/>
            </w14:solidFill>
          </w14:textFill>
        </w:rPr>
        <w:t>保证金”</w:t>
      </w:r>
      <w:r>
        <w:rPr>
          <w:rFonts w:hint="eastAsia" w:ascii="仿宋" w:hAnsi="仿宋" w:eastAsia="仿宋"/>
          <w:color w:val="000000" w:themeColor="text1"/>
          <w:sz w:val="24"/>
          <w14:textFill>
            <w14:solidFill>
              <w14:schemeClr w14:val="tx1"/>
            </w14:solidFill>
          </w14:textFill>
        </w:rPr>
        <w:t>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并承诺严格按照招标文件要求</w:t>
      </w:r>
      <w:r>
        <w:rPr>
          <w:rFonts w:hint="eastAsia" w:ascii="仿宋" w:hAnsi="仿宋" w:eastAsia="仿宋"/>
          <w:color w:val="000000" w:themeColor="text1"/>
          <w:sz w:val="24"/>
          <w14:textFill>
            <w14:solidFill>
              <w14:schemeClr w14:val="tx1"/>
            </w14:solidFill>
          </w14:textFill>
        </w:rPr>
        <w:t>履行</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color w:val="000000" w:themeColor="text1"/>
          <w:sz w:val="24"/>
          <w14:textFill>
            <w14:solidFill>
              <w14:schemeClr w14:val="tx1"/>
            </w14:solidFill>
          </w14:textFill>
        </w:rPr>
      </w:pPr>
    </w:p>
    <w:p>
      <w:pPr>
        <w:widowControl/>
        <w:tabs>
          <w:tab w:val="left" w:pos="8127"/>
        </w:tabs>
        <w:spacing w:after="0" w:line="24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ab/>
      </w:r>
    </w:p>
    <w:p>
      <w:pPr>
        <w:widowControl/>
        <w:spacing w:after="0" w:line="240" w:lineRule="auto"/>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格式2-4</w:t>
      </w:r>
    </w:p>
    <w:bookmarkEnd w:id="142"/>
    <w:p>
      <w:pPr>
        <w:pStyle w:val="5"/>
        <w:jc w:val="center"/>
        <w:rPr>
          <w:rFonts w:ascii="仿宋" w:hAnsi="仿宋" w:eastAsia="仿宋" w:cs="仿宋"/>
          <w:color w:val="000000" w:themeColor="text1"/>
          <w14:textFill>
            <w14:solidFill>
              <w14:schemeClr w14:val="tx1"/>
            </w14:solidFill>
          </w14:textFill>
        </w:rPr>
      </w:pPr>
      <w:bookmarkStart w:id="143" w:name="_Toc217446085"/>
      <w:r>
        <w:rPr>
          <w:rFonts w:hint="eastAsia" w:ascii="仿宋" w:hAnsi="仿宋" w:eastAsia="仿宋" w:cs="仿宋"/>
          <w:color w:val="000000" w:themeColor="text1"/>
          <w14:textFill>
            <w14:solidFill>
              <w14:schemeClr w14:val="tx1"/>
            </w14:solidFill>
          </w14:textFill>
        </w:rPr>
        <w:t>三、开标一览表</w:t>
      </w:r>
      <w:bookmarkEnd w:id="143"/>
    </w:p>
    <w:tbl>
      <w:tblPr>
        <w:tblStyle w:val="2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24"/>
        <w:gridCol w:w="6804"/>
        <w:gridCol w:w="117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60" w:hRule="atLeast"/>
          <w:jc w:val="center"/>
        </w:trPr>
        <w:tc>
          <w:tcPr>
            <w:tcW w:w="1824" w:type="dxa"/>
            <w:tcBorders>
              <w:top w:val="double" w:color="000000" w:sz="6" w:space="0"/>
              <w:bottom w:val="single" w:color="000000" w:sz="6" w:space="0"/>
            </w:tcBorders>
            <w:noWrap w:val="0"/>
            <w:vAlign w:val="center"/>
          </w:tcPr>
          <w:p>
            <w:pPr>
              <w:wordWrap w:val="0"/>
              <w:topLinePun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6804" w:type="dxa"/>
            <w:tcBorders>
              <w:top w:val="double" w:color="000000" w:sz="6" w:space="0"/>
              <w:bottom w:val="single" w:color="000000" w:sz="6" w:space="0"/>
              <w:right w:val="single" w:color="auto" w:sz="4" w:space="0"/>
            </w:tcBorders>
            <w:noWrap w:val="0"/>
            <w:vAlign w:val="center"/>
          </w:tcPr>
          <w:p>
            <w:pPr>
              <w:wordWrap w:val="0"/>
              <w:topLinePunct/>
              <w:jc w:val="both"/>
              <w:rPr>
                <w:rFonts w:hint="eastAsia" w:ascii="仿宋" w:hAnsi="仿宋" w:eastAsia="仿宋" w:cs="仿宋"/>
                <w:color w:val="auto"/>
                <w:highlight w:val="none"/>
              </w:rPr>
            </w:pPr>
          </w:p>
        </w:tc>
        <w:tc>
          <w:tcPr>
            <w:tcW w:w="1171" w:type="dxa"/>
            <w:tcBorders>
              <w:top w:val="double" w:color="000000" w:sz="6" w:space="0"/>
              <w:left w:val="single" w:color="auto" w:sz="4" w:space="0"/>
              <w:bottom w:val="single" w:color="000000" w:sz="6" w:space="0"/>
            </w:tcBorders>
            <w:noWrap w:val="0"/>
            <w:vAlign w:val="center"/>
          </w:tcPr>
          <w:p>
            <w:pPr>
              <w:wordWrap w:val="0"/>
              <w:topLinePunct/>
              <w:jc w:val="center"/>
              <w:rPr>
                <w:rFonts w:hint="eastAsia" w:ascii="仿宋" w:hAnsi="仿宋" w:eastAsia="仿宋" w:cs="仿宋"/>
                <w:color w:val="auto"/>
                <w:highlight w:val="none"/>
              </w:rPr>
            </w:pPr>
            <w:r>
              <w:rPr>
                <w:rFonts w:hint="eastAsia" w:ascii="仿宋" w:hAnsi="仿宋" w:eastAsia="仿宋" w:cs="仿宋"/>
                <w:color w:val="auto"/>
                <w:sz w:val="24"/>
                <w:highlight w:val="none"/>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25" w:hRule="atLeast"/>
          <w:jc w:val="center"/>
        </w:trPr>
        <w:tc>
          <w:tcPr>
            <w:tcW w:w="1824" w:type="dxa"/>
            <w:tcBorders>
              <w:top w:val="single" w:color="000000" w:sz="6" w:space="0"/>
            </w:tcBorders>
            <w:noWrap w:val="0"/>
            <w:vAlign w:val="center"/>
          </w:tcPr>
          <w:p>
            <w:pPr>
              <w:wordWrap w:val="0"/>
              <w:topLinePun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采购项目编号</w:t>
            </w:r>
          </w:p>
        </w:tc>
        <w:tc>
          <w:tcPr>
            <w:tcW w:w="6804" w:type="dxa"/>
            <w:tcBorders>
              <w:top w:val="single" w:color="000000" w:sz="6" w:space="0"/>
              <w:right w:val="single" w:color="auto" w:sz="4" w:space="0"/>
            </w:tcBorders>
            <w:noWrap w:val="0"/>
            <w:vAlign w:val="center"/>
          </w:tcPr>
          <w:p>
            <w:pPr>
              <w:wordWrap w:val="0"/>
              <w:topLinePunct/>
              <w:jc w:val="both"/>
              <w:rPr>
                <w:rFonts w:hint="eastAsia" w:ascii="仿宋" w:hAnsi="仿宋" w:eastAsia="仿宋" w:cs="仿宋"/>
                <w:color w:val="auto"/>
                <w:highlight w:val="none"/>
              </w:rPr>
            </w:pPr>
          </w:p>
        </w:tc>
        <w:tc>
          <w:tcPr>
            <w:tcW w:w="1171" w:type="dxa"/>
            <w:vMerge w:val="restart"/>
            <w:tcBorders>
              <w:top w:val="single" w:color="000000" w:sz="6" w:space="0"/>
              <w:left w:val="single" w:color="auto" w:sz="4" w:space="0"/>
            </w:tcBorders>
            <w:noWrap w:val="0"/>
            <w:vAlign w:val="center"/>
          </w:tcPr>
          <w:p>
            <w:pPr>
              <w:wordWrap w:val="0"/>
              <w:topLinePunct/>
              <w:jc w:val="both"/>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62" w:hRule="atLeast"/>
          <w:jc w:val="center"/>
        </w:trPr>
        <w:tc>
          <w:tcPr>
            <w:tcW w:w="1824" w:type="dxa"/>
            <w:tcBorders>
              <w:top w:val="single" w:color="auto" w:sz="4" w:space="0"/>
              <w:right w:val="single" w:color="auto" w:sz="4" w:space="0"/>
            </w:tcBorders>
            <w:noWrap w:val="0"/>
            <w:vAlign w:val="center"/>
          </w:tcPr>
          <w:p>
            <w:pPr>
              <w:pStyle w:val="11"/>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报价</w:t>
            </w:r>
          </w:p>
        </w:tc>
        <w:tc>
          <w:tcPr>
            <w:tcW w:w="6804" w:type="dxa"/>
            <w:tcBorders>
              <w:top w:val="single" w:color="auto" w:sz="4" w:space="0"/>
              <w:right w:val="single" w:color="auto" w:sz="4" w:space="0"/>
            </w:tcBorders>
            <w:noWrap w:val="0"/>
            <w:vAlign w:val="center"/>
          </w:tcPr>
          <w:p>
            <w:pPr>
              <w:wordWrap w:val="0"/>
              <w:topLinePunct/>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小写：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w:t>
            </w:r>
          </w:p>
          <w:p>
            <w:pPr>
              <w:pStyle w:val="11"/>
              <w:spacing w:line="48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大写：</w:t>
            </w:r>
            <w:r>
              <w:rPr>
                <w:rFonts w:hint="eastAsia" w:ascii="仿宋" w:hAnsi="仿宋" w:eastAsia="仿宋" w:cs="仿宋"/>
                <w:color w:val="auto"/>
                <w:sz w:val="24"/>
                <w:highlight w:val="none"/>
                <w:u w:val="single"/>
              </w:rPr>
              <w:t xml:space="preserve">                     </w:t>
            </w:r>
          </w:p>
        </w:tc>
        <w:tc>
          <w:tcPr>
            <w:tcW w:w="1171" w:type="dxa"/>
            <w:vMerge w:val="continue"/>
            <w:tcBorders>
              <w:left w:val="single" w:color="auto" w:sz="4" w:space="0"/>
            </w:tcBorders>
            <w:noWrap w:val="0"/>
            <w:vAlign w:val="center"/>
          </w:tcPr>
          <w:p>
            <w:pPr>
              <w:wordWrap w:val="0"/>
              <w:topLinePunct/>
              <w:ind w:firstLine="482"/>
              <w:rPr>
                <w:rFonts w:hint="eastAsia" w:ascii="仿宋" w:hAnsi="仿宋" w:eastAsia="仿宋" w:cs="仿宋"/>
                <w:b/>
                <w:color w:val="auto"/>
                <w:highlight w:val="none"/>
              </w:rPr>
            </w:pPr>
          </w:p>
        </w:tc>
      </w:tr>
    </w:tbl>
    <w:p>
      <w:pPr>
        <w:widowControl/>
        <w:spacing w:line="360" w:lineRule="atLeast"/>
        <w:jc w:val="left"/>
        <w:rPr>
          <w:rFonts w:ascii="仿宋" w:hAnsi="仿宋" w:eastAsia="仿宋"/>
          <w:color w:val="000000" w:themeColor="text1"/>
          <w:sz w:val="24"/>
          <w14:textFill>
            <w14:solidFill>
              <w14:schemeClr w14:val="tx1"/>
            </w14:solidFill>
          </w14:textFill>
        </w:rPr>
      </w:pPr>
    </w:p>
    <w:p>
      <w:pPr>
        <w:tabs>
          <w:tab w:val="left" w:pos="1080"/>
        </w:tabs>
        <w:autoSpaceDE w:val="0"/>
        <w:autoSpaceDN w:val="0"/>
        <w:adjustRightInd w:val="0"/>
        <w:spacing w:line="360" w:lineRule="auto"/>
        <w:ind w:firstLine="480" w:firstLineChars="200"/>
        <w:jc w:val="left"/>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注：</w:t>
      </w:r>
      <w:r>
        <w:rPr>
          <w:rFonts w:hint="eastAsia" w:ascii="仿宋" w:hAnsi="仿宋" w:eastAsia="仿宋" w:cs="Times New Roman"/>
          <w:color w:val="000000" w:themeColor="text1"/>
          <w:sz w:val="24"/>
          <w:lang w:val="en-US" w:eastAsia="zh-CN"/>
          <w14:textFill>
            <w14:solidFill>
              <w14:schemeClr w14:val="tx1"/>
            </w14:solidFill>
          </w14:textFill>
        </w:rPr>
        <w:t>报价应是验收合格后的总价，包括人工费、管理费、物资设备投入费、利润、风险费、税金等完成本项目所涉及的一切费用。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投标日期：XXXX。</w:t>
      </w:r>
    </w:p>
    <w:p>
      <w:pPr>
        <w:pStyle w:val="11"/>
        <w:rPr>
          <w:rFonts w:hint="eastAsia" w:ascii="仿宋" w:hAnsi="仿宋" w:eastAsia="仿宋"/>
          <w:color w:val="000000" w:themeColor="text1"/>
          <w:sz w:val="24"/>
          <w14:textFill>
            <w14:solidFill>
              <w14:schemeClr w14:val="tx1"/>
            </w14:solidFill>
          </w14:textFill>
        </w:rPr>
      </w:pPr>
    </w:p>
    <w:p>
      <w:pPr>
        <w:sectPr>
          <w:pgSz w:w="11907" w:h="16840"/>
          <w:pgMar w:top="1440" w:right="1474" w:bottom="1440" w:left="1474" w:header="851" w:footer="992" w:gutter="0"/>
          <w:cols w:space="720" w:num="1"/>
          <w:docGrid w:linePitch="312" w:charSpace="0"/>
        </w:sectPr>
      </w:pPr>
    </w:p>
    <w:bookmarkEnd w:id="133"/>
    <w:p>
      <w:pPr>
        <w:widowControl/>
        <w:spacing w:line="360" w:lineRule="atLeast"/>
        <w:jc w:val="both"/>
        <w:outlineLvl w:val="1"/>
        <w:rPr>
          <w:rFonts w:hint="eastAsia" w:ascii="宋体" w:hAnsi="宋体" w:cs="宋体"/>
          <w:b/>
          <w:color w:val="auto"/>
          <w:sz w:val="32"/>
          <w:szCs w:val="32"/>
          <w:highlight w:val="none"/>
          <w:lang w:val="en-US" w:eastAsia="zh-CN"/>
        </w:rPr>
      </w:pPr>
      <w:bookmarkStart w:id="144" w:name="_Toc217446087"/>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5</w:t>
      </w:r>
    </w:p>
    <w:p>
      <w:pPr>
        <w:pStyle w:val="5"/>
        <w:jc w:val="center"/>
        <w:rPr>
          <w:rFonts w:hint="eastAsia" w:ascii="仿宋" w:hAnsi="仿宋" w:eastAsia="仿宋" w:cs="仿宋"/>
          <w:color w:val="000000" w:themeColor="text1"/>
          <w:lang w:val="zh-CN"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四</w:t>
      </w:r>
      <w:r>
        <w:rPr>
          <w:rFonts w:hint="eastAsia" w:ascii="仿宋" w:hAnsi="仿宋" w:eastAsia="仿宋" w:cs="仿宋"/>
          <w:color w:val="000000" w:themeColor="text1"/>
          <w14:textFill>
            <w14:solidFill>
              <w14:schemeClr w14:val="tx1"/>
            </w14:solidFill>
          </w14:textFill>
        </w:rPr>
        <w:t>、分项报价明细表</w:t>
      </w:r>
    </w:p>
    <w:tbl>
      <w:tblPr>
        <w:tblStyle w:val="28"/>
        <w:tblW w:w="8378" w:type="dxa"/>
        <w:tblInd w:w="666" w:type="dxa"/>
        <w:tblLayout w:type="fixed"/>
        <w:tblCellMar>
          <w:top w:w="0" w:type="dxa"/>
          <w:left w:w="0" w:type="dxa"/>
          <w:bottom w:w="0" w:type="dxa"/>
          <w:right w:w="0" w:type="dxa"/>
        </w:tblCellMar>
      </w:tblPr>
      <w:tblGrid>
        <w:gridCol w:w="908"/>
        <w:gridCol w:w="4733"/>
        <w:gridCol w:w="2737"/>
      </w:tblGrid>
      <w:tr>
        <w:tblPrEx>
          <w:tblCellMar>
            <w:top w:w="0" w:type="dxa"/>
            <w:left w:w="0" w:type="dxa"/>
            <w:bottom w:w="0" w:type="dxa"/>
            <w:right w:w="0" w:type="dxa"/>
          </w:tblCellMar>
        </w:tblPrEx>
        <w:trPr>
          <w:trHeight w:val="1040" w:hRule="atLeast"/>
        </w:trPr>
        <w:tc>
          <w:tcPr>
            <w:tcW w:w="9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序号</w:t>
            </w:r>
          </w:p>
        </w:tc>
        <w:tc>
          <w:tcPr>
            <w:tcW w:w="473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服务内容</w:t>
            </w:r>
          </w:p>
        </w:tc>
        <w:tc>
          <w:tcPr>
            <w:tcW w:w="27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报价（元）</w:t>
            </w:r>
          </w:p>
        </w:tc>
      </w:tr>
      <w:tr>
        <w:tblPrEx>
          <w:tblCellMar>
            <w:top w:w="0" w:type="dxa"/>
            <w:left w:w="0" w:type="dxa"/>
            <w:bottom w:w="0" w:type="dxa"/>
            <w:right w:w="0" w:type="dxa"/>
          </w:tblCellMar>
        </w:tblPrEx>
        <w:trPr>
          <w:trHeight w:val="1040" w:hRule="atLeast"/>
        </w:trPr>
        <w:tc>
          <w:tcPr>
            <w:tcW w:w="9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c>
          <w:tcPr>
            <w:tcW w:w="473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c>
          <w:tcPr>
            <w:tcW w:w="27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040" w:hRule="atLeast"/>
        </w:trPr>
        <w:tc>
          <w:tcPr>
            <w:tcW w:w="9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c>
          <w:tcPr>
            <w:tcW w:w="473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c>
          <w:tcPr>
            <w:tcW w:w="27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p>
        </w:tc>
      </w:tr>
      <w:tr>
        <w:tblPrEx>
          <w:tblCellMar>
            <w:top w:w="0" w:type="dxa"/>
            <w:left w:w="0" w:type="dxa"/>
            <w:bottom w:w="0" w:type="dxa"/>
            <w:right w:w="0" w:type="dxa"/>
          </w:tblCellMar>
        </w:tblPrEx>
        <w:trPr>
          <w:trHeight w:val="1085" w:hRule="atLeast"/>
        </w:trPr>
        <w:tc>
          <w:tcPr>
            <w:tcW w:w="9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w:t>
            </w:r>
          </w:p>
        </w:tc>
        <w:tc>
          <w:tcPr>
            <w:tcW w:w="4733"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w:t>
            </w:r>
          </w:p>
        </w:tc>
        <w:tc>
          <w:tcPr>
            <w:tcW w:w="273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b/>
                <w:bCs/>
                <w:i w:val="0"/>
                <w:color w:val="auto"/>
                <w:kern w:val="0"/>
                <w:sz w:val="24"/>
                <w:szCs w:val="24"/>
                <w:highlight w:val="none"/>
                <w:u w:val="none"/>
                <w:lang w:val="en-US" w:eastAsia="zh-CN" w:bidi="ar"/>
              </w:rPr>
              <w:t>...</w:t>
            </w:r>
          </w:p>
        </w:tc>
      </w:tr>
      <w:tr>
        <w:tblPrEx>
          <w:tblCellMar>
            <w:top w:w="0" w:type="dxa"/>
            <w:left w:w="0" w:type="dxa"/>
            <w:bottom w:w="0" w:type="dxa"/>
            <w:right w:w="0" w:type="dxa"/>
          </w:tblCellMar>
        </w:tblPrEx>
        <w:trPr>
          <w:trHeight w:val="1133" w:hRule="atLeast"/>
        </w:trPr>
        <w:tc>
          <w:tcPr>
            <w:tcW w:w="8378" w:type="dxa"/>
            <w:gridSpan w:val="3"/>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spacing w:before="120" w:beforeLines="50" w:after="120" w:afterLine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分项报价合计：小写</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w:t>
            </w:r>
          </w:p>
          <w:p>
            <w:pPr>
              <w:keepNext w:val="0"/>
              <w:keepLines w:val="0"/>
              <w:widowControl/>
              <w:suppressLineNumbers w:val="0"/>
              <w:spacing w:line="240" w:lineRule="auto"/>
              <w:ind w:firstLine="1680" w:firstLineChars="700"/>
              <w:jc w:val="both"/>
              <w:textAlignment w:val="center"/>
              <w:rPr>
                <w:rFonts w:hint="eastAsia" w:ascii="仿宋" w:hAnsi="仿宋" w:eastAsia="仿宋" w:cs="仿宋"/>
                <w:b/>
                <w:bCs/>
                <w:i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rPr>
              <w:t>大写：</w:t>
            </w:r>
          </w:p>
        </w:tc>
      </w:tr>
    </w:tbl>
    <w:p>
      <w:pPr>
        <w:widowControl/>
        <w:spacing w:line="360" w:lineRule="atLeast"/>
        <w:ind w:firstLine="470" w:firstLineChars="196"/>
        <w:jc w:val="left"/>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lang w:val="zh-CN" w:eastAsia="zh-CN"/>
          <w14:textFill>
            <w14:solidFill>
              <w14:schemeClr w14:val="tx1"/>
            </w14:solidFill>
          </w14:textFill>
        </w:rPr>
        <w:t>注：</w:t>
      </w:r>
      <w:r>
        <w:rPr>
          <w:rFonts w:hint="eastAsia" w:ascii="仿宋" w:hAnsi="仿宋" w:eastAsia="仿宋" w:cs="Times New Roman"/>
          <w:color w:val="000000" w:themeColor="text1"/>
          <w:sz w:val="24"/>
          <w:lang w:val="en-US" w:eastAsia="zh-CN"/>
          <w14:textFill>
            <w14:solidFill>
              <w14:schemeClr w14:val="tx1"/>
            </w14:solidFill>
          </w14:textFill>
        </w:rPr>
        <w:t>1、“分项报价明细表”分项报价合计应当与“开标一览表”报价金额相等。</w:t>
      </w:r>
    </w:p>
    <w:p>
      <w:pPr>
        <w:widowControl/>
        <w:spacing w:line="360" w:lineRule="atLeast"/>
        <w:ind w:firstLine="950" w:firstLineChars="396"/>
        <w:jc w:val="left"/>
        <w:rPr>
          <w:rFonts w:hint="default"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2、分项报价明细表格式可由投标人自行拟定。</w:t>
      </w:r>
    </w:p>
    <w:p>
      <w:pPr>
        <w:widowControl/>
        <w:spacing w:line="360" w:lineRule="atLeast"/>
        <w:jc w:val="left"/>
        <w:rPr>
          <w:rFonts w:hint="default" w:ascii="仿宋" w:hAnsi="仿宋" w:eastAsia="仿宋" w:cs="Times New Roman"/>
          <w:color w:val="000000" w:themeColor="text1"/>
          <w:sz w:val="24"/>
          <w:lang w:val="en-US" w:eastAsia="zh-CN"/>
          <w14:textFill>
            <w14:solidFill>
              <w14:schemeClr w14:val="tx1"/>
            </w14:solidFill>
          </w14:textFill>
        </w:rPr>
      </w:pPr>
    </w:p>
    <w:p>
      <w:pPr>
        <w:pStyle w:val="11"/>
        <w:rPr>
          <w:rFonts w:hint="default"/>
          <w:lang w:val="en-US" w:eastAsia="zh-CN"/>
        </w:rPr>
      </w:pP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投标人名称：XXXX(</w:t>
      </w:r>
      <w:r>
        <w:rPr>
          <w:rFonts w:hint="eastAsia" w:ascii="仿宋" w:hAnsi="仿宋" w:eastAsia="仿宋" w:cs="Times New Roman"/>
          <w:color w:val="000000" w:themeColor="text1"/>
          <w:sz w:val="24"/>
          <w:lang w:eastAsia="zh-CN"/>
          <w14:textFill>
            <w14:solidFill>
              <w14:schemeClr w14:val="tx1"/>
            </w14:solidFill>
          </w14:textFill>
        </w:rPr>
        <w:t>加盖单位公章或电子印章</w:t>
      </w:r>
      <w:r>
        <w:rPr>
          <w:rFonts w:hint="eastAsia" w:ascii="仿宋" w:hAnsi="仿宋" w:eastAsia="仿宋" w:cs="Times New Roman"/>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投标日期：XXXX。</w:t>
      </w:r>
    </w:p>
    <w:p>
      <w:pPr>
        <w:sectPr>
          <w:pgSz w:w="11907" w:h="16840"/>
          <w:pgMar w:top="1440" w:right="1474" w:bottom="1440" w:left="1474" w:header="851" w:footer="992" w:gutter="0"/>
          <w:cols w:space="720" w:num="1"/>
          <w:docGrid w:linePitch="312" w:charSpace="0"/>
        </w:sectPr>
      </w:pPr>
    </w:p>
    <w:p>
      <w:pPr>
        <w:widowControl/>
        <w:spacing w:line="360" w:lineRule="atLeast"/>
        <w:jc w:val="left"/>
        <w:rPr>
          <w:rFonts w:hint="eastAsia" w:ascii="仿宋" w:hAnsi="仿宋" w:eastAsia="仿宋"/>
          <w:b/>
          <w:color w:val="000000" w:themeColor="text1"/>
          <w:sz w:val="32"/>
          <w:szCs w:val="32"/>
          <w14:textFill>
            <w14:solidFill>
              <w14:schemeClr w14:val="tx1"/>
            </w14:solidFill>
          </w14:textFill>
        </w:rPr>
      </w:pPr>
    </w:p>
    <w:p>
      <w:pPr>
        <w:widowControl/>
        <w:spacing w:line="360" w:lineRule="atLeast"/>
        <w:ind w:firstLine="630" w:firstLineChars="196"/>
        <w:jc w:val="left"/>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6</w:t>
      </w:r>
    </w:p>
    <w:p>
      <w:pPr>
        <w:widowControl/>
        <w:spacing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五、商务应答表</w:t>
      </w:r>
      <w:bookmarkEnd w:id="144"/>
    </w:p>
    <w:tbl>
      <w:tblPr>
        <w:tblStyle w:val="28"/>
        <w:tblpPr w:leftFromText="180" w:rightFromText="180" w:vertAnchor="text" w:horzAnchor="margin" w:tblpY="529"/>
        <w:tblOverlap w:val="never"/>
        <w:tblW w:w="9418" w:type="dxa"/>
        <w:tblInd w:w="0" w:type="dxa"/>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Layout w:type="fixed"/>
        <w:tblCellMar>
          <w:top w:w="0" w:type="dxa"/>
          <w:left w:w="108" w:type="dxa"/>
          <w:bottom w:w="0" w:type="dxa"/>
          <w:right w:w="108" w:type="dxa"/>
        </w:tblCellMar>
      </w:tblPr>
      <w:tblGrid>
        <w:gridCol w:w="809"/>
        <w:gridCol w:w="2264"/>
        <w:gridCol w:w="2320"/>
        <w:gridCol w:w="2183"/>
        <w:gridCol w:w="1842"/>
      </w:tblGrid>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52" w:hRule="atLeast"/>
        </w:trPr>
        <w:tc>
          <w:tcPr>
            <w:tcW w:w="809" w:type="dxa"/>
            <w:tcBorders>
              <w:top w:val="double" w:color="auto" w:sz="4" w:space="0"/>
              <w:left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2264" w:type="dxa"/>
            <w:tcBorders>
              <w:top w:val="double" w:color="auto" w:sz="4" w:space="0"/>
              <w:right w:val="sing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招标文件条目号</w:t>
            </w:r>
          </w:p>
        </w:tc>
        <w:tc>
          <w:tcPr>
            <w:tcW w:w="2320" w:type="dxa"/>
            <w:tcBorders>
              <w:top w:val="double" w:color="auto" w:sz="4" w:space="0"/>
              <w:left w:val="sing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 标 要 求</w:t>
            </w:r>
          </w:p>
        </w:tc>
        <w:tc>
          <w:tcPr>
            <w:tcW w:w="2183" w:type="dxa"/>
            <w:tcBorders>
              <w:top w:val="double" w:color="auto" w:sz="4" w:space="0"/>
              <w:right w:val="sing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 标 应 答</w:t>
            </w:r>
          </w:p>
        </w:tc>
        <w:tc>
          <w:tcPr>
            <w:tcW w:w="1842" w:type="dxa"/>
            <w:tcBorders>
              <w:top w:val="double" w:color="auto" w:sz="4" w:space="0"/>
              <w:left w:val="single" w:color="auto" w:sz="4" w:space="0"/>
              <w:right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偏离说明</w:t>
            </w: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37" w:hRule="atLeast"/>
        </w:trPr>
        <w:tc>
          <w:tcPr>
            <w:tcW w:w="809" w:type="dxa"/>
            <w:tcBorders>
              <w:left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2264" w:type="dxa"/>
            <w:tcBorders>
              <w:right w:val="single" w:color="auto" w:sz="4" w:space="0"/>
            </w:tcBorders>
            <w:noWrap w:val="0"/>
            <w:vAlign w:val="center"/>
          </w:tcPr>
          <w:p>
            <w:pPr>
              <w:pStyle w:val="51"/>
              <w:spacing w:line="460" w:lineRule="exact"/>
              <w:ind w:firstLine="199" w:firstLineChars="83"/>
              <w:rPr>
                <w:rFonts w:hint="eastAsia" w:ascii="仿宋" w:hAnsi="仿宋" w:eastAsia="仿宋" w:cs="仿宋"/>
                <w:color w:val="000000"/>
                <w:sz w:val="24"/>
                <w:szCs w:val="24"/>
              </w:rPr>
            </w:pPr>
          </w:p>
        </w:tc>
        <w:tc>
          <w:tcPr>
            <w:tcW w:w="2320" w:type="dxa"/>
            <w:tcBorders>
              <w:left w:val="single" w:color="auto" w:sz="4" w:space="0"/>
            </w:tcBorders>
            <w:noWrap w:val="0"/>
            <w:vAlign w:val="center"/>
          </w:tcPr>
          <w:p>
            <w:pPr>
              <w:pStyle w:val="51"/>
              <w:spacing w:line="460" w:lineRule="exact"/>
              <w:ind w:firstLine="199" w:firstLineChars="83"/>
              <w:rPr>
                <w:rFonts w:hint="eastAsia" w:ascii="仿宋" w:hAnsi="仿宋" w:eastAsia="仿宋" w:cs="仿宋"/>
                <w:color w:val="000000"/>
                <w:sz w:val="24"/>
                <w:szCs w:val="24"/>
              </w:rPr>
            </w:pPr>
          </w:p>
        </w:tc>
        <w:tc>
          <w:tcPr>
            <w:tcW w:w="2183" w:type="dxa"/>
            <w:tcBorders>
              <w:right w:val="single" w:color="auto" w:sz="4" w:space="0"/>
            </w:tcBorders>
            <w:noWrap w:val="0"/>
            <w:vAlign w:val="center"/>
          </w:tcPr>
          <w:p>
            <w:pPr>
              <w:pStyle w:val="51"/>
              <w:spacing w:line="460" w:lineRule="exact"/>
              <w:ind w:firstLine="440"/>
              <w:jc w:val="center"/>
              <w:rPr>
                <w:rFonts w:hint="eastAsia" w:ascii="仿宋" w:hAnsi="仿宋" w:eastAsia="仿宋" w:cs="仿宋"/>
                <w:color w:val="000000"/>
                <w:sz w:val="24"/>
                <w:szCs w:val="24"/>
              </w:rPr>
            </w:pPr>
          </w:p>
        </w:tc>
        <w:tc>
          <w:tcPr>
            <w:tcW w:w="1842" w:type="dxa"/>
            <w:tcBorders>
              <w:left w:val="single" w:color="auto" w:sz="4" w:space="0"/>
              <w:right w:val="double" w:color="auto" w:sz="4" w:space="0"/>
            </w:tcBorders>
            <w:noWrap w:val="0"/>
            <w:vAlign w:val="center"/>
          </w:tcPr>
          <w:p>
            <w:pPr>
              <w:spacing w:line="460" w:lineRule="exact"/>
              <w:ind w:left="290" w:hanging="316" w:hangingChars="132"/>
              <w:jc w:val="center"/>
              <w:rPr>
                <w:rFonts w:hint="eastAsia" w:ascii="仿宋" w:hAnsi="仿宋" w:eastAsia="仿宋" w:cs="仿宋"/>
                <w:color w:val="000000"/>
                <w:sz w:val="24"/>
                <w:szCs w:val="24"/>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37" w:hRule="atLeast"/>
        </w:trPr>
        <w:tc>
          <w:tcPr>
            <w:tcW w:w="809" w:type="dxa"/>
            <w:tcBorders>
              <w:left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2264" w:type="dxa"/>
            <w:tcBorders>
              <w:right w:val="single" w:color="auto" w:sz="4" w:space="0"/>
            </w:tcBorders>
            <w:noWrap w:val="0"/>
            <w:vAlign w:val="center"/>
          </w:tcPr>
          <w:p>
            <w:pPr>
              <w:spacing w:line="460" w:lineRule="exact"/>
              <w:rPr>
                <w:rFonts w:hint="eastAsia" w:ascii="仿宋" w:hAnsi="仿宋" w:eastAsia="仿宋" w:cs="仿宋"/>
                <w:color w:val="000000"/>
                <w:sz w:val="24"/>
                <w:szCs w:val="24"/>
              </w:rPr>
            </w:pPr>
          </w:p>
        </w:tc>
        <w:tc>
          <w:tcPr>
            <w:tcW w:w="2320" w:type="dxa"/>
            <w:tcBorders>
              <w:left w:val="single" w:color="auto" w:sz="4" w:space="0"/>
            </w:tcBorders>
            <w:noWrap w:val="0"/>
            <w:vAlign w:val="center"/>
          </w:tcPr>
          <w:p>
            <w:pPr>
              <w:spacing w:line="460" w:lineRule="exact"/>
              <w:rPr>
                <w:rFonts w:hint="eastAsia" w:ascii="仿宋" w:hAnsi="仿宋" w:eastAsia="仿宋" w:cs="仿宋"/>
                <w:color w:val="000000"/>
                <w:sz w:val="24"/>
                <w:szCs w:val="24"/>
              </w:rPr>
            </w:pPr>
          </w:p>
        </w:tc>
        <w:tc>
          <w:tcPr>
            <w:tcW w:w="2183" w:type="dxa"/>
            <w:tcBorders>
              <w:right w:val="single" w:color="auto" w:sz="4" w:space="0"/>
            </w:tcBorders>
            <w:noWrap w:val="0"/>
            <w:vAlign w:val="center"/>
          </w:tcPr>
          <w:p>
            <w:pPr>
              <w:spacing w:line="460" w:lineRule="exact"/>
              <w:jc w:val="center"/>
              <w:rPr>
                <w:rFonts w:hint="eastAsia" w:ascii="仿宋" w:hAnsi="仿宋" w:eastAsia="仿宋" w:cs="仿宋"/>
                <w:color w:val="000000"/>
                <w:sz w:val="24"/>
                <w:szCs w:val="24"/>
              </w:rPr>
            </w:pPr>
          </w:p>
        </w:tc>
        <w:tc>
          <w:tcPr>
            <w:tcW w:w="1842" w:type="dxa"/>
            <w:tcBorders>
              <w:left w:val="single" w:color="auto" w:sz="4" w:space="0"/>
              <w:right w:val="double" w:color="auto" w:sz="4" w:space="0"/>
            </w:tcBorders>
            <w:noWrap w:val="0"/>
            <w:vAlign w:val="center"/>
          </w:tcPr>
          <w:p>
            <w:pPr>
              <w:spacing w:line="460" w:lineRule="exact"/>
              <w:jc w:val="center"/>
              <w:rPr>
                <w:rFonts w:hint="eastAsia" w:ascii="仿宋" w:hAnsi="仿宋" w:eastAsia="仿宋" w:cs="仿宋"/>
                <w:color w:val="000000"/>
                <w:sz w:val="24"/>
                <w:szCs w:val="24"/>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37" w:hRule="atLeast"/>
        </w:trPr>
        <w:tc>
          <w:tcPr>
            <w:tcW w:w="809" w:type="dxa"/>
            <w:tcBorders>
              <w:left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2264" w:type="dxa"/>
            <w:tcBorders>
              <w:right w:val="single" w:color="auto" w:sz="4" w:space="0"/>
            </w:tcBorders>
            <w:noWrap w:val="0"/>
            <w:vAlign w:val="center"/>
          </w:tcPr>
          <w:p>
            <w:pPr>
              <w:pStyle w:val="51"/>
              <w:spacing w:line="460" w:lineRule="exact"/>
              <w:ind w:firstLine="0" w:firstLineChars="0"/>
              <w:rPr>
                <w:rFonts w:hint="eastAsia" w:ascii="仿宋" w:hAnsi="仿宋" w:eastAsia="仿宋" w:cs="仿宋"/>
                <w:color w:val="000000"/>
                <w:sz w:val="24"/>
                <w:szCs w:val="24"/>
              </w:rPr>
            </w:pPr>
          </w:p>
        </w:tc>
        <w:tc>
          <w:tcPr>
            <w:tcW w:w="2320" w:type="dxa"/>
            <w:tcBorders>
              <w:left w:val="single" w:color="auto" w:sz="4" w:space="0"/>
            </w:tcBorders>
            <w:noWrap w:val="0"/>
            <w:vAlign w:val="center"/>
          </w:tcPr>
          <w:p>
            <w:pPr>
              <w:pStyle w:val="51"/>
              <w:spacing w:line="460" w:lineRule="exact"/>
              <w:ind w:firstLine="0" w:firstLineChars="0"/>
              <w:rPr>
                <w:rFonts w:hint="eastAsia" w:ascii="仿宋" w:hAnsi="仿宋" w:eastAsia="仿宋" w:cs="仿宋"/>
                <w:color w:val="000000"/>
                <w:sz w:val="24"/>
                <w:szCs w:val="24"/>
              </w:rPr>
            </w:pPr>
          </w:p>
        </w:tc>
        <w:tc>
          <w:tcPr>
            <w:tcW w:w="2183" w:type="dxa"/>
            <w:tcBorders>
              <w:right w:val="single" w:color="auto" w:sz="4" w:space="0"/>
            </w:tcBorders>
            <w:noWrap w:val="0"/>
            <w:vAlign w:val="center"/>
          </w:tcPr>
          <w:p>
            <w:pPr>
              <w:pStyle w:val="51"/>
              <w:spacing w:line="460" w:lineRule="exact"/>
              <w:ind w:firstLine="440"/>
              <w:jc w:val="center"/>
              <w:rPr>
                <w:rFonts w:hint="eastAsia" w:ascii="仿宋" w:hAnsi="仿宋" w:eastAsia="仿宋" w:cs="仿宋"/>
                <w:color w:val="000000"/>
                <w:sz w:val="24"/>
                <w:szCs w:val="24"/>
              </w:rPr>
            </w:pPr>
          </w:p>
        </w:tc>
        <w:tc>
          <w:tcPr>
            <w:tcW w:w="1842" w:type="dxa"/>
            <w:tcBorders>
              <w:left w:val="single" w:color="auto" w:sz="4" w:space="0"/>
              <w:right w:val="double" w:color="auto" w:sz="4" w:space="0"/>
            </w:tcBorders>
            <w:noWrap w:val="0"/>
            <w:vAlign w:val="center"/>
          </w:tcPr>
          <w:p>
            <w:pPr>
              <w:spacing w:line="460" w:lineRule="exact"/>
              <w:jc w:val="center"/>
              <w:rPr>
                <w:rFonts w:hint="eastAsia" w:ascii="仿宋" w:hAnsi="仿宋" w:eastAsia="仿宋" w:cs="仿宋"/>
                <w:color w:val="000000"/>
                <w:sz w:val="24"/>
                <w:szCs w:val="24"/>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37" w:hRule="atLeast"/>
        </w:trPr>
        <w:tc>
          <w:tcPr>
            <w:tcW w:w="809" w:type="dxa"/>
            <w:tcBorders>
              <w:left w:val="double" w:color="auto" w:sz="4" w:space="0"/>
              <w:bottom w:val="sing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2264" w:type="dxa"/>
            <w:tcBorders>
              <w:bottom w:val="single" w:color="auto" w:sz="4" w:space="0"/>
              <w:right w:val="single" w:color="auto" w:sz="4" w:space="0"/>
            </w:tcBorders>
            <w:noWrap w:val="0"/>
            <w:vAlign w:val="center"/>
          </w:tcPr>
          <w:p>
            <w:pPr>
              <w:spacing w:line="460" w:lineRule="exact"/>
              <w:rPr>
                <w:rFonts w:hint="eastAsia" w:ascii="仿宋" w:hAnsi="仿宋" w:eastAsia="仿宋" w:cs="仿宋"/>
                <w:color w:val="000000"/>
                <w:sz w:val="24"/>
                <w:szCs w:val="24"/>
              </w:rPr>
            </w:pPr>
          </w:p>
        </w:tc>
        <w:tc>
          <w:tcPr>
            <w:tcW w:w="2320" w:type="dxa"/>
            <w:tcBorders>
              <w:left w:val="single" w:color="auto" w:sz="4" w:space="0"/>
              <w:bottom w:val="single" w:color="auto" w:sz="4" w:space="0"/>
            </w:tcBorders>
            <w:noWrap w:val="0"/>
            <w:vAlign w:val="center"/>
          </w:tcPr>
          <w:p>
            <w:pPr>
              <w:spacing w:line="460" w:lineRule="exact"/>
              <w:rPr>
                <w:rFonts w:hint="eastAsia" w:ascii="仿宋" w:hAnsi="仿宋" w:eastAsia="仿宋" w:cs="仿宋"/>
                <w:color w:val="000000"/>
                <w:sz w:val="24"/>
                <w:szCs w:val="24"/>
              </w:rPr>
            </w:pPr>
          </w:p>
        </w:tc>
        <w:tc>
          <w:tcPr>
            <w:tcW w:w="2183" w:type="dxa"/>
            <w:tcBorders>
              <w:bottom w:val="single" w:color="auto" w:sz="4" w:space="0"/>
              <w:right w:val="single" w:color="auto" w:sz="4" w:space="0"/>
            </w:tcBorders>
            <w:noWrap w:val="0"/>
            <w:vAlign w:val="center"/>
          </w:tcPr>
          <w:p>
            <w:pPr>
              <w:spacing w:line="460" w:lineRule="exact"/>
              <w:jc w:val="center"/>
              <w:rPr>
                <w:rFonts w:hint="eastAsia" w:ascii="仿宋" w:hAnsi="仿宋" w:eastAsia="仿宋" w:cs="仿宋"/>
                <w:color w:val="000000"/>
                <w:sz w:val="24"/>
                <w:szCs w:val="24"/>
              </w:rPr>
            </w:pPr>
          </w:p>
        </w:tc>
        <w:tc>
          <w:tcPr>
            <w:tcW w:w="1842" w:type="dxa"/>
            <w:tcBorders>
              <w:left w:val="single" w:color="auto" w:sz="4" w:space="0"/>
              <w:bottom w:val="single" w:color="auto" w:sz="4" w:space="0"/>
              <w:right w:val="double" w:color="auto" w:sz="4" w:space="0"/>
            </w:tcBorders>
            <w:noWrap w:val="0"/>
            <w:vAlign w:val="center"/>
          </w:tcPr>
          <w:p>
            <w:pPr>
              <w:spacing w:line="460" w:lineRule="exact"/>
              <w:jc w:val="center"/>
              <w:rPr>
                <w:rFonts w:hint="eastAsia" w:ascii="仿宋" w:hAnsi="仿宋" w:eastAsia="仿宋" w:cs="仿宋"/>
                <w:color w:val="000000"/>
                <w:sz w:val="24"/>
                <w:szCs w:val="24"/>
              </w:rPr>
            </w:pPr>
          </w:p>
        </w:tc>
      </w:tr>
      <w:tr>
        <w:tblPrEx>
          <w:tblBorders>
            <w:top w:val="single" w:color="000000" w:sz="18" w:space="0"/>
            <w:left w:val="single" w:color="000000" w:sz="18" w:space="0"/>
            <w:bottom w:val="single" w:color="000000" w:sz="18" w:space="0"/>
            <w:right w:val="single" w:color="000000" w:sz="18" w:space="0"/>
            <w:insideH w:val="single" w:color="000000" w:sz="6" w:space="0"/>
            <w:insideV w:val="single" w:color="000000" w:sz="6" w:space="0"/>
          </w:tblBorders>
          <w:tblCellMar>
            <w:top w:w="0" w:type="dxa"/>
            <w:left w:w="108" w:type="dxa"/>
            <w:bottom w:w="0" w:type="dxa"/>
            <w:right w:w="108" w:type="dxa"/>
          </w:tblCellMar>
        </w:tblPrEx>
        <w:trPr>
          <w:trHeight w:val="861" w:hRule="atLeast"/>
        </w:trPr>
        <w:tc>
          <w:tcPr>
            <w:tcW w:w="809" w:type="dxa"/>
            <w:tcBorders>
              <w:top w:val="single" w:color="auto" w:sz="4" w:space="0"/>
              <w:left w:val="double" w:color="auto" w:sz="4" w:space="0"/>
              <w:bottom w:val="double" w:color="auto" w:sz="4" w:space="0"/>
            </w:tcBorders>
            <w:noWrap w:val="0"/>
            <w:vAlign w:val="center"/>
          </w:tcPr>
          <w:p>
            <w:pPr>
              <w:spacing w:line="460" w:lineRule="exact"/>
              <w:jc w:val="center"/>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2264" w:type="dxa"/>
            <w:tcBorders>
              <w:top w:val="single" w:color="auto" w:sz="4" w:space="0"/>
              <w:bottom w:val="double" w:color="auto" w:sz="4" w:space="0"/>
              <w:right w:val="single" w:color="auto" w:sz="4" w:space="0"/>
            </w:tcBorders>
            <w:noWrap w:val="0"/>
            <w:vAlign w:val="center"/>
          </w:tcPr>
          <w:p>
            <w:pPr>
              <w:spacing w:line="460" w:lineRule="exact"/>
              <w:rPr>
                <w:rFonts w:hint="eastAsia" w:ascii="仿宋" w:hAnsi="仿宋" w:eastAsia="仿宋" w:cs="仿宋"/>
                <w:color w:val="000000"/>
                <w:sz w:val="24"/>
                <w:szCs w:val="24"/>
              </w:rPr>
            </w:pPr>
          </w:p>
        </w:tc>
        <w:tc>
          <w:tcPr>
            <w:tcW w:w="2320" w:type="dxa"/>
            <w:tcBorders>
              <w:top w:val="single" w:color="auto" w:sz="4" w:space="0"/>
              <w:left w:val="single" w:color="auto" w:sz="4" w:space="0"/>
              <w:bottom w:val="double" w:color="auto" w:sz="4" w:space="0"/>
            </w:tcBorders>
            <w:noWrap w:val="0"/>
            <w:vAlign w:val="center"/>
          </w:tcPr>
          <w:p>
            <w:pPr>
              <w:spacing w:line="460" w:lineRule="exact"/>
              <w:rPr>
                <w:rFonts w:hint="eastAsia" w:ascii="仿宋" w:hAnsi="仿宋" w:eastAsia="仿宋" w:cs="仿宋"/>
                <w:color w:val="000000"/>
                <w:sz w:val="24"/>
                <w:szCs w:val="24"/>
              </w:rPr>
            </w:pPr>
          </w:p>
        </w:tc>
        <w:tc>
          <w:tcPr>
            <w:tcW w:w="2183" w:type="dxa"/>
            <w:tcBorders>
              <w:top w:val="single" w:color="auto" w:sz="4" w:space="0"/>
              <w:bottom w:val="double" w:color="auto" w:sz="4" w:space="0"/>
              <w:right w:val="single" w:color="auto" w:sz="4" w:space="0"/>
            </w:tcBorders>
            <w:noWrap w:val="0"/>
            <w:vAlign w:val="center"/>
          </w:tcPr>
          <w:p>
            <w:pPr>
              <w:spacing w:line="460" w:lineRule="exact"/>
              <w:jc w:val="center"/>
              <w:rPr>
                <w:rFonts w:hint="eastAsia" w:ascii="仿宋" w:hAnsi="仿宋" w:eastAsia="仿宋" w:cs="仿宋"/>
                <w:color w:val="000000"/>
                <w:sz w:val="24"/>
                <w:szCs w:val="24"/>
              </w:rPr>
            </w:pPr>
          </w:p>
        </w:tc>
        <w:tc>
          <w:tcPr>
            <w:tcW w:w="1842" w:type="dxa"/>
            <w:tcBorders>
              <w:top w:val="single" w:color="auto" w:sz="4" w:space="0"/>
              <w:left w:val="single" w:color="auto" w:sz="4" w:space="0"/>
              <w:bottom w:val="double" w:color="auto" w:sz="4" w:space="0"/>
              <w:right w:val="double" w:color="auto" w:sz="4" w:space="0"/>
            </w:tcBorders>
            <w:noWrap w:val="0"/>
            <w:vAlign w:val="center"/>
          </w:tcPr>
          <w:p>
            <w:pPr>
              <w:spacing w:line="460" w:lineRule="exact"/>
              <w:jc w:val="center"/>
              <w:rPr>
                <w:rFonts w:hint="eastAsia" w:ascii="仿宋" w:hAnsi="仿宋" w:eastAsia="仿宋" w:cs="仿宋"/>
                <w:color w:val="000000"/>
                <w:sz w:val="24"/>
                <w:szCs w:val="24"/>
              </w:rPr>
            </w:pPr>
          </w:p>
        </w:tc>
      </w:tr>
    </w:tbl>
    <w:p>
      <w:pPr>
        <w:widowControl/>
        <w:spacing w:line="360" w:lineRule="atLeast"/>
        <w:jc w:val="left"/>
        <w:rPr>
          <w:rFonts w:ascii="仿宋" w:hAnsi="仿宋" w:eastAsia="仿宋"/>
          <w:color w:val="000000" w:themeColor="text1"/>
          <w:sz w:val="24"/>
          <w14:textFill>
            <w14:solidFill>
              <w14:schemeClr w14:val="tx1"/>
            </w14:solidFill>
          </w14:textFill>
        </w:rPr>
      </w:pPr>
    </w:p>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注：1、本表只填写投标文件中与招标文件中有偏离（包括正偏离和负偏离）的内容，投标文件中</w:t>
      </w:r>
      <w:r>
        <w:rPr>
          <w:rFonts w:hint="eastAsia" w:ascii="仿宋" w:hAnsi="仿宋" w:eastAsia="仿宋" w:cs="仿宋"/>
          <w:bCs/>
          <w:color w:val="000000"/>
          <w:sz w:val="21"/>
          <w:szCs w:val="21"/>
          <w:lang w:val="en-US" w:eastAsia="zh-CN"/>
        </w:rPr>
        <w:t>商务</w:t>
      </w:r>
      <w:r>
        <w:rPr>
          <w:rFonts w:hint="eastAsia" w:ascii="仿宋" w:hAnsi="仿宋" w:eastAsia="仿宋" w:cs="仿宋"/>
          <w:bCs/>
          <w:color w:val="000000"/>
          <w:sz w:val="21"/>
          <w:szCs w:val="21"/>
        </w:rPr>
        <w:t>条款响应与招标文件要求完全一致的，可以不用在此表中列出。</w:t>
      </w:r>
    </w:p>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2、供应商必须据实填写，不得虚假响应，否则将取消其投标或中标资格。</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after="0" w:line="360" w:lineRule="auto"/>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bookmarkStart w:id="145" w:name="_Toc217446088"/>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7</w:t>
      </w:r>
    </w:p>
    <w:p>
      <w:pPr>
        <w:widowControl/>
        <w:spacing w:after="0" w:line="360" w:lineRule="atLeast"/>
        <w:jc w:val="center"/>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六、投标人基本情况表</w:t>
      </w:r>
      <w:bookmarkEnd w:id="145"/>
    </w:p>
    <w:tbl>
      <w:tblPr>
        <w:tblStyle w:val="28"/>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联系方式</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000000" w:themeColor="text1"/>
                <w14:textFill>
                  <w14:solidFill>
                    <w14:schemeClr w14:val="tx1"/>
                  </w14:solidFill>
                </w14:textFill>
              </w:rPr>
            </w:pP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497" w:type="dxa"/>
            <w:gridSpan w:val="5"/>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after="0"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spacing w:line="360" w:lineRule="auto"/>
        <w:rPr>
          <w:rFonts w:hint="eastAsia" w:ascii="仿宋" w:hAnsi="仿宋" w:eastAsia="仿宋"/>
          <w:b/>
          <w:color w:val="000000" w:themeColor="text1"/>
          <w:sz w:val="32"/>
          <w:szCs w:val="32"/>
          <w:lang w:eastAsia="zh-CN"/>
          <w14:textFill>
            <w14:solidFill>
              <w14:schemeClr w14:val="tx1"/>
            </w14:solidFill>
          </w14:textFill>
        </w:rPr>
      </w:pPr>
      <w:bookmarkStart w:id="146" w:name="_Toc217446089"/>
      <w:r>
        <w:rPr>
          <w:rFonts w:hint="eastAsia" w:ascii="仿宋" w:hAnsi="仿宋" w:eastAsia="仿宋"/>
          <w:b/>
          <w:color w:val="000000" w:themeColor="text1"/>
          <w:sz w:val="36"/>
          <w:szCs w:val="36"/>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8</w:t>
      </w:r>
    </w:p>
    <w:p>
      <w:pPr>
        <w:widowControl/>
        <w:spacing w:line="360" w:lineRule="atLeast"/>
        <w:jc w:val="center"/>
        <w:outlineLvl w:val="2"/>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七、类似项目业绩一览表</w:t>
      </w:r>
      <w:bookmarkEnd w:id="146"/>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tbl>
      <w:tblPr>
        <w:tblStyle w:val="2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年份</w:t>
            </w:r>
          </w:p>
        </w:tc>
        <w:tc>
          <w:tcPr>
            <w:tcW w:w="144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用户名称</w:t>
            </w:r>
          </w:p>
        </w:tc>
        <w:tc>
          <w:tcPr>
            <w:tcW w:w="132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1161"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完成时间</w:t>
            </w:r>
          </w:p>
        </w:tc>
        <w:tc>
          <w:tcPr>
            <w:tcW w:w="1260" w:type="dxa"/>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tc>
      </w:tr>
    </w:tbl>
    <w:p>
      <w:pPr>
        <w:widowControl/>
        <w:spacing w:line="360" w:lineRule="atLeas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rPr>
          <w:rFonts w:hint="eastAsia"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bookmarkStart w:id="147" w:name="_Toc217446090"/>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9</w:t>
      </w:r>
    </w:p>
    <w:p>
      <w:pPr>
        <w:widowControl/>
        <w:spacing w:line="360" w:lineRule="atLeast"/>
        <w:jc w:val="center"/>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14:textFill>
            <w14:solidFill>
              <w14:schemeClr w14:val="tx1"/>
            </w14:solidFill>
          </w14:textFill>
        </w:rPr>
        <w:t>八、技术、服务</w:t>
      </w:r>
      <w:bookmarkEnd w:id="147"/>
      <w:r>
        <w:rPr>
          <w:rFonts w:hint="eastAsia" w:ascii="仿宋" w:hAnsi="仿宋" w:eastAsia="仿宋" w:cs="Times New Roman"/>
          <w:b/>
          <w:color w:val="000000" w:themeColor="text1"/>
          <w:sz w:val="32"/>
          <w:szCs w:val="32"/>
          <w:lang w:val="en-US" w:eastAsia="zh-CN"/>
          <w14:textFill>
            <w14:solidFill>
              <w14:schemeClr w14:val="tx1"/>
            </w14:solidFill>
          </w14:textFill>
        </w:rPr>
        <w:t>偏离表</w:t>
      </w:r>
    </w:p>
    <w:p>
      <w:pPr>
        <w:widowControl/>
        <w:spacing w:line="360" w:lineRule="atLeast"/>
        <w:jc w:val="left"/>
        <w:rPr>
          <w:rFonts w:ascii="仿宋" w:hAnsi="仿宋" w:eastAsia="仿宋"/>
          <w:color w:val="000000" w:themeColor="text1"/>
          <w:sz w:val="24"/>
          <w14:textFill>
            <w14:solidFill>
              <w14:schemeClr w14:val="tx1"/>
            </w14:solidFill>
          </w14:textFill>
        </w:rPr>
      </w:pPr>
    </w:p>
    <w:tbl>
      <w:tblPr>
        <w:tblStyle w:val="28"/>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39"/>
        <w:gridCol w:w="2094"/>
        <w:gridCol w:w="2545"/>
        <w:gridCol w:w="2410"/>
        <w:gridCol w:w="1647"/>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序号</w:t>
            </w:r>
          </w:p>
        </w:tc>
        <w:tc>
          <w:tcPr>
            <w:tcW w:w="2094" w:type="dxa"/>
            <w:noWrap w:val="0"/>
            <w:vAlign w:val="center"/>
          </w:tcPr>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招标文件条目号</w:t>
            </w:r>
          </w:p>
        </w:tc>
        <w:tc>
          <w:tcPr>
            <w:tcW w:w="2545" w:type="dxa"/>
            <w:noWrap w:val="0"/>
            <w:vAlign w:val="center"/>
          </w:tcPr>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招标文件要求</w:t>
            </w:r>
          </w:p>
        </w:tc>
        <w:tc>
          <w:tcPr>
            <w:tcW w:w="2410" w:type="dxa"/>
            <w:noWrap w:val="0"/>
            <w:vAlign w:val="center"/>
          </w:tcPr>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 xml:space="preserve">  投标文件的应答</w:t>
            </w:r>
          </w:p>
        </w:tc>
        <w:tc>
          <w:tcPr>
            <w:tcW w:w="1647" w:type="dxa"/>
            <w:noWrap w:val="0"/>
            <w:vAlign w:val="center"/>
          </w:tcPr>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偏离说明</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1</w:t>
            </w:r>
          </w:p>
        </w:tc>
        <w:tc>
          <w:tcPr>
            <w:tcW w:w="2094"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545"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410"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1647"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2</w:t>
            </w:r>
          </w:p>
        </w:tc>
        <w:tc>
          <w:tcPr>
            <w:tcW w:w="2094"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545"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410"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1647"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3</w:t>
            </w:r>
          </w:p>
        </w:tc>
        <w:tc>
          <w:tcPr>
            <w:tcW w:w="2094"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545"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410"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1647"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4</w:t>
            </w:r>
          </w:p>
        </w:tc>
        <w:tc>
          <w:tcPr>
            <w:tcW w:w="2094"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545"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410"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1647"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95" w:hRule="atLeast"/>
          <w:jc w:val="center"/>
        </w:trPr>
        <w:tc>
          <w:tcPr>
            <w:tcW w:w="839" w:type="dxa"/>
            <w:noWrap w:val="0"/>
            <w:vAlign w:val="center"/>
          </w:tcPr>
          <w:p>
            <w:pPr>
              <w:adjustRightInd w:val="0"/>
              <w:spacing w:line="400" w:lineRule="exact"/>
              <w:jc w:val="center"/>
              <w:rPr>
                <w:rFonts w:hint="eastAsia" w:ascii="仿宋" w:hAnsi="仿宋" w:eastAsia="仿宋" w:cs="仿宋"/>
                <w:bCs/>
                <w:color w:val="000000"/>
                <w:sz w:val="21"/>
                <w:szCs w:val="21"/>
              </w:rPr>
            </w:pPr>
            <w:r>
              <w:rPr>
                <w:rFonts w:hint="eastAsia" w:ascii="仿宋" w:hAnsi="仿宋" w:eastAsia="仿宋" w:cs="仿宋"/>
                <w:bCs/>
                <w:color w:val="000000"/>
                <w:sz w:val="21"/>
                <w:szCs w:val="21"/>
              </w:rPr>
              <w:t>5</w:t>
            </w:r>
          </w:p>
        </w:tc>
        <w:tc>
          <w:tcPr>
            <w:tcW w:w="2094"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545"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2410"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c>
          <w:tcPr>
            <w:tcW w:w="1647" w:type="dxa"/>
            <w:noWrap w:val="0"/>
            <w:vAlign w:val="top"/>
          </w:tcPr>
          <w:p>
            <w:pPr>
              <w:adjustRightInd w:val="0"/>
              <w:spacing w:line="400" w:lineRule="exact"/>
              <w:ind w:firstLine="367" w:firstLineChars="175"/>
              <w:jc w:val="left"/>
              <w:rPr>
                <w:rFonts w:hint="eastAsia" w:ascii="仿宋" w:hAnsi="仿宋" w:eastAsia="仿宋" w:cs="仿宋"/>
                <w:bCs/>
                <w:color w:val="000000"/>
                <w:sz w:val="21"/>
                <w:szCs w:val="21"/>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注：1、本表只填写投标文件中与招标文件中有偏离（包括正偏离和负偏离）的内容，投标文件中</w:t>
      </w:r>
      <w:r>
        <w:rPr>
          <w:rFonts w:hint="eastAsia" w:ascii="仿宋" w:hAnsi="仿宋" w:eastAsia="仿宋" w:cs="仿宋"/>
          <w:bCs/>
          <w:color w:val="000000"/>
          <w:sz w:val="21"/>
          <w:szCs w:val="21"/>
          <w:lang w:val="en-US" w:eastAsia="zh-CN"/>
        </w:rPr>
        <w:t>技术</w:t>
      </w:r>
      <w:r>
        <w:rPr>
          <w:rFonts w:hint="eastAsia" w:ascii="仿宋" w:hAnsi="仿宋" w:eastAsia="仿宋" w:cs="仿宋"/>
          <w:bCs/>
          <w:color w:val="000000"/>
          <w:sz w:val="21"/>
          <w:szCs w:val="21"/>
        </w:rPr>
        <w:t>条款响应与招标文件要求完全一致的，可以不用在此表中列出。</w:t>
      </w:r>
    </w:p>
    <w:p>
      <w:pPr>
        <w:adjustRightInd w:val="0"/>
        <w:spacing w:line="400" w:lineRule="exact"/>
        <w:ind w:firstLine="367" w:firstLineChars="175"/>
        <w:jc w:val="left"/>
        <w:rPr>
          <w:rFonts w:hint="eastAsia" w:ascii="仿宋" w:hAnsi="仿宋" w:eastAsia="仿宋" w:cs="仿宋"/>
          <w:bCs/>
          <w:color w:val="000000"/>
          <w:sz w:val="21"/>
          <w:szCs w:val="21"/>
        </w:rPr>
      </w:pPr>
      <w:r>
        <w:rPr>
          <w:rFonts w:hint="eastAsia" w:ascii="仿宋" w:hAnsi="仿宋" w:eastAsia="仿宋" w:cs="仿宋"/>
          <w:bCs/>
          <w:color w:val="000000"/>
          <w:sz w:val="21"/>
          <w:szCs w:val="21"/>
        </w:rPr>
        <w:t>2、供应商必须据实填写，不得虚假响应，否则将取消其投标或中标资格。</w:t>
      </w:r>
    </w:p>
    <w:p>
      <w:pPr>
        <w:widowControl/>
        <w:spacing w:line="360" w:lineRule="atLeast"/>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spacing w:line="360" w:lineRule="auto"/>
        <w:rPr>
          <w:rFonts w:hint="default" w:ascii="仿宋" w:hAnsi="仿宋" w:eastAsia="仿宋"/>
          <w:b/>
          <w:color w:val="000000" w:themeColor="text1"/>
          <w:sz w:val="32"/>
          <w:szCs w:val="32"/>
          <w:lang w:val="en-US" w:eastAsia="zh-CN"/>
          <w14:textFill>
            <w14:solidFill>
              <w14:schemeClr w14:val="tx1"/>
            </w14:solidFill>
          </w14:textFill>
        </w:rPr>
      </w:pPr>
      <w:bookmarkStart w:id="148" w:name="_Toc217446091"/>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10</w:t>
      </w:r>
    </w:p>
    <w:p>
      <w:pPr>
        <w:widowControl/>
        <w:spacing w:line="360" w:lineRule="atLeast"/>
        <w:jc w:val="center"/>
        <w:outlineLvl w:val="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九、投标人本项目管理、技术、服务人员情况表</w:t>
      </w:r>
      <w:bookmarkEnd w:id="148"/>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082"/>
        <w:gridCol w:w="2082"/>
        <w:gridCol w:w="2082"/>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double" w:color="auto" w:sz="4" w:space="0"/>
              <w:left w:val="double" w:color="auto" w:sz="4" w:space="0"/>
              <w:bottom w:val="single" w:color="auto" w:sz="4" w:space="0"/>
              <w:right w:val="single" w:color="auto" w:sz="4" w:space="0"/>
            </w:tcBorders>
            <w:noWrap w:val="0"/>
            <w:vAlign w:val="center"/>
          </w:tcPr>
          <w:p>
            <w:pPr>
              <w:autoSpaceDE w:val="0"/>
              <w:autoSpaceDN w:val="0"/>
              <w:adjustRightInd w:val="0"/>
              <w:spacing w:after="120"/>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序 号</w:t>
            </w:r>
          </w:p>
        </w:tc>
        <w:tc>
          <w:tcPr>
            <w:tcW w:w="2082" w:type="dxa"/>
            <w:tcBorders>
              <w:top w:val="doub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after="120"/>
              <w:ind w:firstLine="210" w:firstLineChars="100"/>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姓 名</w:t>
            </w:r>
          </w:p>
        </w:tc>
        <w:tc>
          <w:tcPr>
            <w:tcW w:w="2082" w:type="dxa"/>
            <w:tcBorders>
              <w:top w:val="doub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after="120"/>
              <w:ind w:firstLine="210" w:firstLineChars="100"/>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职  务</w:t>
            </w:r>
          </w:p>
        </w:tc>
        <w:tc>
          <w:tcPr>
            <w:tcW w:w="2082" w:type="dxa"/>
            <w:tcBorders>
              <w:top w:val="doub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after="120"/>
              <w:ind w:firstLine="210" w:firstLineChars="100"/>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证件名称</w:t>
            </w:r>
          </w:p>
        </w:tc>
        <w:tc>
          <w:tcPr>
            <w:tcW w:w="2083" w:type="dxa"/>
            <w:tcBorders>
              <w:top w:val="double" w:color="auto" w:sz="4" w:space="0"/>
              <w:left w:val="single" w:color="auto" w:sz="4" w:space="0"/>
              <w:bottom w:val="single" w:color="auto" w:sz="4" w:space="0"/>
              <w:right w:val="double" w:color="auto" w:sz="4" w:space="0"/>
            </w:tcBorders>
            <w:noWrap w:val="0"/>
            <w:vAlign w:val="center"/>
          </w:tcPr>
          <w:p>
            <w:pPr>
              <w:autoSpaceDE w:val="0"/>
              <w:autoSpaceDN w:val="0"/>
              <w:adjustRightInd w:val="0"/>
              <w:spacing w:after="120"/>
              <w:ind w:firstLine="210" w:firstLineChars="100"/>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发证时间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sing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59" w:type="dxa"/>
            <w:tcBorders>
              <w:top w:val="single" w:color="auto" w:sz="4" w:space="0"/>
              <w:left w:val="double" w:color="auto" w:sz="4" w:space="0"/>
              <w:bottom w:val="doub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doub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doub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2" w:type="dxa"/>
            <w:tcBorders>
              <w:top w:val="single" w:color="auto" w:sz="4" w:space="0"/>
              <w:left w:val="single" w:color="auto" w:sz="4" w:space="0"/>
              <w:bottom w:val="double" w:color="auto" w:sz="4" w:space="0"/>
              <w:right w:val="sing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c>
          <w:tcPr>
            <w:tcW w:w="2083" w:type="dxa"/>
            <w:tcBorders>
              <w:top w:val="single" w:color="auto" w:sz="4" w:space="0"/>
              <w:left w:val="single" w:color="auto" w:sz="4" w:space="0"/>
              <w:bottom w:val="double" w:color="auto" w:sz="4" w:space="0"/>
              <w:right w:val="double" w:color="auto" w:sz="4" w:space="0"/>
            </w:tcBorders>
            <w:noWrap w:val="0"/>
            <w:vAlign w:val="top"/>
          </w:tcPr>
          <w:p>
            <w:pPr>
              <w:autoSpaceDE w:val="0"/>
              <w:autoSpaceDN w:val="0"/>
              <w:adjustRightInd w:val="0"/>
              <w:spacing w:after="120"/>
              <w:ind w:firstLine="480"/>
              <w:jc w:val="left"/>
              <w:rPr>
                <w:rFonts w:hint="eastAsia" w:ascii="仿宋" w:hAnsi="仿宋" w:eastAsia="仿宋" w:cs="仿宋"/>
                <w:color w:val="auto"/>
                <w:highlight w:val="none"/>
                <w:lang w:val="zh-CN"/>
              </w:rPr>
            </w:pPr>
          </w:p>
        </w:tc>
      </w:tr>
    </w:tbl>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rPr>
          <w:rFonts w:ascii="仿宋" w:hAnsi="仿宋" w:eastAsia="仿宋"/>
          <w:b/>
          <w:color w:val="000000" w:themeColor="text1"/>
          <w:sz w:val="24"/>
          <w14:textFill>
            <w14:solidFill>
              <w14:schemeClr w14:val="tx1"/>
            </w14:solidFill>
          </w14:textFill>
        </w:rPr>
      </w:pPr>
    </w:p>
    <w:p>
      <w:pPr>
        <w:pStyle w:val="2"/>
      </w:pPr>
    </w:p>
    <w:p>
      <w:pPr>
        <w:pStyle w:val="40"/>
        <w:rPr>
          <w:rFonts w:ascii="仿宋" w:hAnsi="仿宋" w:eastAsia="仿宋"/>
          <w:b/>
          <w:color w:val="000000" w:themeColor="text1"/>
          <w:sz w:val="24"/>
          <w14:textFill>
            <w14:solidFill>
              <w14:schemeClr w14:val="tx1"/>
            </w14:solidFill>
          </w14:textFill>
        </w:rPr>
      </w:pPr>
    </w:p>
    <w:p>
      <w:pPr>
        <w:pStyle w:val="40"/>
        <w:rPr>
          <w:rFonts w:ascii="仿宋" w:hAnsi="仿宋" w:eastAsia="仿宋"/>
          <w:b/>
          <w:color w:val="000000" w:themeColor="text1"/>
          <w:sz w:val="24"/>
          <w14:textFill>
            <w14:solidFill>
              <w14:schemeClr w14:val="tx1"/>
            </w14:solidFill>
          </w14:textFill>
        </w:rPr>
      </w:pPr>
    </w:p>
    <w:p>
      <w:pPr>
        <w:pStyle w:val="4"/>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r>
        <w:rPr>
          <w:rFonts w:hint="eastAsia" w:ascii="仿宋" w:hAnsi="仿宋" w:eastAsia="仿宋"/>
          <w:b/>
          <w:color w:val="000000" w:themeColor="text1"/>
          <w:sz w:val="32"/>
          <w:szCs w:val="32"/>
          <w:lang w:val="en-US" w:eastAsia="zh-CN"/>
          <w14:textFill>
            <w14:solidFill>
              <w14:schemeClr w14:val="tx1"/>
            </w14:solidFill>
          </w14:textFill>
        </w:rPr>
        <w:t>1</w:t>
      </w:r>
    </w:p>
    <w:p>
      <w:pPr>
        <w:widowControl/>
        <w:spacing w:line="360" w:lineRule="atLeast"/>
        <w:jc w:val="center"/>
        <w:outlineLvl w:val="2"/>
        <w:rPr>
          <w:rFonts w:hint="eastAsia" w:ascii="仿宋" w:hAnsi="仿宋" w:eastAsia="仿宋" w:cs="Times New Roman"/>
          <w:b/>
          <w:color w:val="000000" w:themeColor="text1"/>
          <w:sz w:val="32"/>
          <w:szCs w:val="32"/>
          <w14:textFill>
            <w14:solidFill>
              <w14:schemeClr w14:val="tx1"/>
            </w14:solidFill>
          </w14:textFill>
        </w:rPr>
      </w:pPr>
      <w:r>
        <w:rPr>
          <w:rFonts w:hint="eastAsia" w:ascii="仿宋" w:hAnsi="仿宋" w:eastAsia="仿宋" w:cs="Times New Roman"/>
          <w:b/>
          <w:color w:val="000000" w:themeColor="text1"/>
          <w:sz w:val="32"/>
          <w:szCs w:val="32"/>
          <w:lang w:val="en-US" w:eastAsia="zh-CN"/>
          <w14:textFill>
            <w14:solidFill>
              <w14:schemeClr w14:val="tx1"/>
            </w14:solidFill>
          </w14:textFill>
        </w:rPr>
        <w:t>十、</w:t>
      </w:r>
      <w:r>
        <w:rPr>
          <w:rFonts w:hint="eastAsia" w:ascii="仿宋" w:hAnsi="仿宋" w:eastAsia="仿宋" w:cs="Times New Roman"/>
          <w:b/>
          <w:color w:val="000000" w:themeColor="text1"/>
          <w:sz w:val="32"/>
          <w:szCs w:val="32"/>
          <w14:textFill>
            <w14:solidFill>
              <w14:schemeClr w14:val="tx1"/>
            </w14:solidFill>
          </w14:textFill>
        </w:rPr>
        <w:t>声明函</w:t>
      </w:r>
    </w:p>
    <w:p>
      <w:pPr>
        <w:wordWrap w:val="0"/>
        <w:topLinePunct/>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成都文瀚建设工程咨询有限公司：</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作为</w:t>
      </w:r>
      <w:r>
        <w:rPr>
          <w:rFonts w:hint="eastAsia" w:ascii="仿宋" w:hAnsi="仿宋" w:eastAsia="仿宋" w:cs="仿宋"/>
          <w:sz w:val="24"/>
          <w:szCs w:val="24"/>
          <w:lang w:val="en-US" w:eastAsia="zh-CN"/>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eastAsia="zh-CN"/>
        </w:rPr>
        <w:t>采购项目</w:t>
      </w:r>
      <w:r>
        <w:rPr>
          <w:rFonts w:hint="eastAsia" w:ascii="仿宋" w:hAnsi="仿宋" w:eastAsia="仿宋" w:cs="仿宋"/>
          <w:sz w:val="24"/>
          <w:szCs w:val="24"/>
        </w:rPr>
        <w:t>的投标供应商，我方声明如下：</w:t>
      </w:r>
    </w:p>
    <w:p>
      <w:pPr>
        <w:wordWrap w:val="0"/>
        <w:topLinePunct/>
        <w:spacing w:line="360" w:lineRule="auto"/>
        <w:ind w:firstLine="0" w:firstLineChars="0"/>
        <w:rPr>
          <w:rFonts w:hint="eastAsia" w:ascii="仿宋" w:hAnsi="仿宋" w:eastAsia="仿宋" w:cs="仿宋"/>
          <w:sz w:val="24"/>
          <w:szCs w:val="24"/>
        </w:rPr>
      </w:pPr>
      <w:r>
        <w:rPr>
          <w:rFonts w:hint="eastAsia" w:ascii="仿宋" w:hAnsi="仿宋" w:eastAsia="仿宋" w:cs="仿宋"/>
          <w:sz w:val="24"/>
          <w:szCs w:val="24"/>
        </w:rPr>
        <w:t xml:space="preserve">    我单位在参加本次政府采购活动前一年内，</w:t>
      </w:r>
      <w:r>
        <w:rPr>
          <w:rFonts w:hint="eastAsia" w:ascii="仿宋" w:hAnsi="仿宋" w:eastAsia="仿宋" w:cs="仿宋"/>
          <w:sz w:val="24"/>
          <w:szCs w:val="24"/>
          <w:u w:val="single"/>
        </w:rPr>
        <w:t xml:space="preserve">            （填写“有”或“没有”）</w:t>
      </w:r>
      <w:r>
        <w:rPr>
          <w:rFonts w:hint="eastAsia" w:ascii="仿宋" w:hAnsi="仿宋" w:eastAsia="仿宋" w:cs="仿宋"/>
          <w:sz w:val="24"/>
          <w:szCs w:val="24"/>
        </w:rPr>
        <w:t>因失信行为记入诚信档案，共</w:t>
      </w:r>
      <w:r>
        <w:rPr>
          <w:rFonts w:hint="eastAsia" w:ascii="仿宋" w:hAnsi="仿宋" w:eastAsia="仿宋" w:cs="仿宋"/>
          <w:sz w:val="24"/>
          <w:szCs w:val="24"/>
          <w:u w:val="single"/>
        </w:rPr>
        <w:t xml:space="preserve">      </w:t>
      </w:r>
      <w:r>
        <w:rPr>
          <w:rFonts w:hint="eastAsia" w:ascii="仿宋" w:hAnsi="仿宋" w:eastAsia="仿宋" w:cs="仿宋"/>
          <w:sz w:val="24"/>
          <w:szCs w:val="24"/>
        </w:rPr>
        <w:t>次（填写失信行为的次数时，建议使用大写数字，如零、壹、贰、叁、肆等）计入诚信档案。</w:t>
      </w:r>
    </w:p>
    <w:p>
      <w:pPr>
        <w:wordWrap w:val="0"/>
        <w:topLinePunct/>
        <w:spacing w:line="360" w:lineRule="auto"/>
        <w:ind w:firstLine="480"/>
        <w:rPr>
          <w:rFonts w:hint="eastAsia" w:ascii="仿宋" w:hAnsi="仿宋" w:eastAsia="仿宋" w:cs="仿宋"/>
          <w:sz w:val="24"/>
          <w:szCs w:val="24"/>
        </w:rPr>
      </w:pPr>
      <w:r>
        <w:rPr>
          <w:rFonts w:hint="eastAsia" w:ascii="仿宋" w:hAnsi="仿宋" w:eastAsia="仿宋" w:cs="仿宋"/>
          <w:sz w:val="24"/>
          <w:szCs w:val="24"/>
        </w:rPr>
        <w:t>特此声明。</w:t>
      </w:r>
    </w:p>
    <w:p>
      <w:pPr>
        <w:pStyle w:val="40"/>
        <w:rPr>
          <w:rFonts w:ascii="仿宋" w:hAnsi="仿宋" w:eastAsia="仿宋"/>
          <w:b/>
          <w:color w:val="000000" w:themeColor="text1"/>
          <w:sz w:val="24"/>
          <w14:textFill>
            <w14:solidFill>
              <w14:schemeClr w14:val="tx1"/>
            </w14:solidFill>
          </w14:textFill>
        </w:rPr>
      </w:pPr>
    </w:p>
    <w:p>
      <w:pPr>
        <w:pStyle w:val="40"/>
        <w:rPr>
          <w:rFonts w:ascii="仿宋" w:hAnsi="仿宋" w:eastAsia="仿宋"/>
          <w:b/>
          <w:color w:val="000000" w:themeColor="text1"/>
          <w:sz w:val="24"/>
          <w14:textFill>
            <w14:solidFill>
              <w14:schemeClr w14:val="tx1"/>
            </w14:solidFill>
          </w14:textFill>
        </w:rPr>
      </w:pPr>
    </w:p>
    <w:p>
      <w:pPr>
        <w:pStyle w:val="40"/>
        <w:rPr>
          <w:rFonts w:ascii="仿宋" w:hAnsi="仿宋" w:eastAsia="仿宋"/>
          <w:b/>
          <w:color w:val="000000" w:themeColor="text1"/>
          <w:sz w:val="24"/>
          <w14:textFill>
            <w14:solidFill>
              <w14:schemeClr w14:val="tx1"/>
            </w14:solidFill>
          </w14:textFill>
        </w:rPr>
      </w:pPr>
    </w:p>
    <w:p>
      <w:pPr>
        <w:pStyle w:val="40"/>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pStyle w:val="40"/>
        <w:rPr>
          <w:rFonts w:ascii="仿宋" w:hAnsi="仿宋" w:eastAsia="仿宋"/>
          <w:b/>
          <w:color w:val="000000" w:themeColor="text1"/>
          <w:sz w:val="24"/>
          <w14:textFill>
            <w14:solidFill>
              <w14:schemeClr w14:val="tx1"/>
            </w14:solidFill>
          </w14:textFill>
        </w:rPr>
      </w:pPr>
    </w:p>
    <w:p>
      <w:pPr>
        <w:spacing w:after="0" w:line="360" w:lineRule="auto"/>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br w:type="page"/>
      </w:r>
    </w:p>
    <w:p>
      <w:pPr>
        <w:numPr>
          <w:ilvl w:val="0"/>
          <w:numId w:val="0"/>
        </w:numPr>
        <w:jc w:val="both"/>
        <w:outlineLvl w:val="1"/>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12</w:t>
      </w:r>
    </w:p>
    <w:p>
      <w:pPr>
        <w:widowControl/>
        <w:spacing w:line="360" w:lineRule="atLeast"/>
        <w:jc w:val="center"/>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lang w:val="en-US" w:eastAsia="zh-CN"/>
          <w14:textFill>
            <w14:solidFill>
              <w14:schemeClr w14:val="tx1"/>
            </w14:solidFill>
          </w14:textFill>
        </w:rPr>
        <w:t>十一、项目整体方案</w:t>
      </w:r>
    </w:p>
    <w:p>
      <w:pPr>
        <w:wordWrap w:val="0"/>
        <w:topLinePunct/>
        <w:spacing w:line="360" w:lineRule="auto"/>
        <w:ind w:firstLine="0" w:firstLineChars="0"/>
        <w:rPr>
          <w:rFonts w:hint="eastAsia" w:ascii="仿宋" w:hAnsi="仿宋" w:eastAsia="仿宋" w:cs="仿宋"/>
          <w:sz w:val="24"/>
          <w:szCs w:val="24"/>
          <w:lang w:val="en-US" w:eastAsia="zh-CN"/>
        </w:rPr>
      </w:pPr>
    </w:p>
    <w:p>
      <w:pPr>
        <w:wordWrap w:val="0"/>
        <w:topLinePunct/>
        <w:spacing w:line="360" w:lineRule="auto"/>
        <w:ind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说明：本项格式自拟。</w:t>
      </w:r>
    </w:p>
    <w:p>
      <w:pPr>
        <w:widowControl/>
        <w:spacing w:line="360" w:lineRule="atLeast"/>
        <w:jc w:val="both"/>
        <w:outlineLvl w:val="2"/>
        <w:rPr>
          <w:rFonts w:hint="eastAsia" w:ascii="仿宋" w:hAnsi="仿宋" w:eastAsia="仿宋"/>
          <w:b/>
          <w:color w:val="000000" w:themeColor="text1"/>
          <w:sz w:val="32"/>
          <w:szCs w:val="32"/>
          <w:lang w:val="en-US" w:eastAsia="zh-CN"/>
          <w14:textFill>
            <w14:solidFill>
              <w14:schemeClr w14:val="tx1"/>
            </w14:solidFill>
          </w14:textFill>
        </w:rPr>
      </w:pPr>
    </w:p>
    <w:p>
      <w:pPr>
        <w:pStyle w:val="2"/>
        <w:rPr>
          <w:rFonts w:hint="eastAsia"/>
          <w:lang w:val="en-US" w:eastAsia="zh-CN"/>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pStyle w:val="40"/>
        <w:rPr>
          <w:rFonts w:hint="eastAsia" w:ascii="仿宋" w:hAnsi="仿宋" w:eastAsia="仿宋"/>
          <w:b/>
          <w:color w:val="000000" w:themeColor="text1"/>
          <w:sz w:val="32"/>
          <w:szCs w:val="32"/>
          <w:lang w:val="en-US" w:eastAsia="zh-CN"/>
          <w14:textFill>
            <w14:solidFill>
              <w14:schemeClr w14:val="tx1"/>
            </w14:solidFill>
          </w14:textFill>
        </w:rPr>
      </w:pPr>
    </w:p>
    <w:p>
      <w:pPr>
        <w:numPr>
          <w:ilvl w:val="0"/>
          <w:numId w:val="0"/>
        </w:numPr>
        <w:jc w:val="both"/>
        <w:outlineLvl w:val="1"/>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13</w:t>
      </w:r>
    </w:p>
    <w:p>
      <w:pPr>
        <w:widowControl/>
        <w:numPr>
          <w:ilvl w:val="0"/>
          <w:numId w:val="0"/>
        </w:numPr>
        <w:spacing w:line="360" w:lineRule="atLeast"/>
        <w:jc w:val="center"/>
        <w:outlineLvl w:val="2"/>
        <w:rPr>
          <w:rFonts w:hint="eastAsia"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lang w:val="en-US" w:eastAsia="zh-CN"/>
          <w14:textFill>
            <w14:solidFill>
              <w14:schemeClr w14:val="tx1"/>
            </w14:solidFill>
          </w14:textFill>
        </w:rPr>
        <w:t>十二、</w:t>
      </w:r>
      <w:r>
        <w:rPr>
          <w:rFonts w:hint="eastAsia" w:ascii="仿宋" w:hAnsi="仿宋" w:eastAsia="仿宋" w:cs="Times New Roman"/>
          <w:b/>
          <w:color w:val="000000" w:themeColor="text1"/>
          <w:sz w:val="32"/>
          <w:szCs w:val="32"/>
          <w:lang w:val="zh-CN" w:eastAsia="zh-CN"/>
          <w14:textFill>
            <w14:solidFill>
              <w14:schemeClr w14:val="tx1"/>
            </w14:solidFill>
          </w14:textFill>
        </w:rPr>
        <w:t>知识产权的声明函</w:t>
      </w:r>
    </w:p>
    <w:p>
      <w:pPr>
        <w:pStyle w:val="40"/>
        <w:rPr>
          <w:rFonts w:hint="eastAsia"/>
          <w:lang w:val="en-US" w:eastAsia="zh-CN"/>
        </w:rPr>
      </w:pPr>
    </w:p>
    <w:p>
      <w:pPr>
        <w:pStyle w:val="40"/>
        <w:rPr>
          <w:rFonts w:hint="eastAsia"/>
          <w:lang w:val="en-US" w:eastAsia="zh-CN"/>
        </w:rPr>
      </w:pPr>
    </w:p>
    <w:p>
      <w:pPr>
        <w:spacing w:line="360" w:lineRule="auto"/>
        <w:rPr>
          <w:rFonts w:hint="eastAsia" w:ascii="仿宋" w:hAnsi="仿宋" w:eastAsia="仿宋" w:cs="仿宋"/>
          <w:color w:val="auto"/>
          <w:sz w:val="24"/>
          <w:highlight w:val="none"/>
        </w:rPr>
      </w:pPr>
      <w:r>
        <w:rPr>
          <w:rFonts w:hint="eastAsia" w:ascii="仿宋" w:hAnsi="仿宋" w:eastAsia="仿宋" w:cs="仿宋"/>
          <w:sz w:val="24"/>
          <w:szCs w:val="24"/>
        </w:rPr>
        <w:t>成都文瀚建设工程咨询有限公司</w:t>
      </w:r>
      <w:r>
        <w:rPr>
          <w:rFonts w:hint="eastAsia" w:ascii="仿宋" w:hAnsi="仿宋" w:eastAsia="仿宋" w:cs="仿宋"/>
          <w:color w:val="auto"/>
          <w:sz w:val="24"/>
          <w:highlight w:val="none"/>
        </w:rPr>
        <w:t>：</w:t>
      </w:r>
    </w:p>
    <w:p>
      <w:pPr>
        <w:spacing w:line="48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我方作为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项目的供应商声明如下：</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1、我单位保证在本项目中使用的任何产品和服务（包括部分使用），不会产生因第三方提出侵犯其专利权、商标权或其它知识产权而引起的法律和经济纠纷，如因专利权、商标权或其它知识产权而引起法律和经济纠纷，由我单位承担所有相关责任。</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2、采购人享有本项目实施过程中产生的知识成果及知识产权。</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3、如我单位将在采购项目实施过程中采用自有或者第三方知识成果的，在响应文件中载明，并提供相关知识产权证明文件。使用该知识成果后，我单位将提供开发接口和开发手册等技术资料，并承诺提供无限期支持，采购人享有使用权（含采购人委托第三方在该项目后续开发的使用权）。</w:t>
      </w:r>
    </w:p>
    <w:p>
      <w:pPr>
        <w:widowControl/>
        <w:spacing w:line="360" w:lineRule="atLeast"/>
        <w:ind w:firstLine="470" w:firstLineChars="196"/>
        <w:jc w:val="left"/>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4、如采用我单位所不拥有的知识产权，则在报价中包括合法获取该知识产权的相关费用。</w:t>
      </w:r>
    </w:p>
    <w:p>
      <w:pPr>
        <w:pStyle w:val="40"/>
        <w:rPr>
          <w:rFonts w:hint="eastAsia"/>
          <w:lang w:val="en-US" w:eastAsia="zh-CN"/>
        </w:rPr>
      </w:pPr>
    </w:p>
    <w:p>
      <w:pPr>
        <w:widowControl/>
        <w:spacing w:line="360" w:lineRule="atLeast"/>
        <w:ind w:firstLine="411" w:firstLineChars="196"/>
        <w:jc w:val="left"/>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加盖单位公章或电子印章</w:t>
      </w:r>
      <w:r>
        <w:rPr>
          <w:rFonts w:hint="eastAsia" w:ascii="仿宋" w:hAnsi="仿宋" w:eastAsia="仿宋" w:cs="仿宋"/>
          <w:color w:val="auto"/>
          <w:highlight w:val="none"/>
        </w:rPr>
        <w:t>)</w:t>
      </w:r>
      <w:r>
        <w:rPr>
          <w:rFonts w:hint="eastAsia" w:ascii="仿宋" w:hAnsi="仿宋" w:eastAsia="仿宋"/>
          <w:color w:val="000000" w:themeColor="text1"/>
          <w:sz w:val="24"/>
          <w14:textFill>
            <w14:solidFill>
              <w14:schemeClr w14:val="tx1"/>
            </w14:solidFill>
          </w14:textFill>
        </w:rPr>
        <w:t>。</w:t>
      </w:r>
    </w:p>
    <w:p>
      <w:pPr>
        <w:widowControl/>
        <w:spacing w:line="360" w:lineRule="atLeast"/>
        <w:ind w:firstLine="470" w:firstLineChars="196"/>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 XXXX。</w:t>
      </w: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pStyle w:val="40"/>
        <w:rPr>
          <w:rFonts w:hint="eastAsia"/>
          <w:lang w:val="en-US" w:eastAsia="zh-CN"/>
        </w:rPr>
      </w:pPr>
    </w:p>
    <w:p>
      <w:pPr>
        <w:numPr>
          <w:ilvl w:val="0"/>
          <w:numId w:val="0"/>
        </w:numPr>
        <w:jc w:val="both"/>
        <w:outlineLvl w:val="1"/>
        <w:rPr>
          <w:rFonts w:hint="eastAsia"/>
          <w:lang w:val="en-US" w:eastAsia="zh-CN"/>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14</w:t>
      </w:r>
    </w:p>
    <w:p>
      <w:pPr>
        <w:pStyle w:val="4"/>
        <w:spacing w:line="240" w:lineRule="auto"/>
        <w:jc w:val="center"/>
        <w:rPr>
          <w:rFonts w:hint="eastAsia" w:ascii="仿宋" w:hAnsi="仿宋" w:eastAsia="仿宋" w:cs="仿宋"/>
          <w:i w:val="0"/>
          <w:caps w:val="0"/>
          <w:color w:val="auto"/>
          <w:spacing w:val="0"/>
          <w:kern w:val="0"/>
          <w:sz w:val="24"/>
          <w:szCs w:val="24"/>
          <w:highlight w:val="none"/>
          <w:u w:val="none"/>
          <w:lang w:val="en-US" w:eastAsia="zh-CN" w:bidi="ar"/>
        </w:rPr>
      </w:pPr>
      <w:r>
        <w:rPr>
          <w:rFonts w:hint="eastAsia" w:ascii="仿宋" w:hAnsi="仿宋" w:eastAsia="仿宋" w:cs="仿宋"/>
          <w:color w:val="auto"/>
          <w:sz w:val="24"/>
          <w:szCs w:val="24"/>
          <w:highlight w:val="none"/>
          <w:lang w:val="en-US" w:eastAsia="zh-CN"/>
        </w:rPr>
        <w:t>十三</w:t>
      </w:r>
      <w:r>
        <w:rPr>
          <w:rFonts w:hint="eastAsia" w:ascii="仿宋" w:hAnsi="仿宋" w:eastAsia="仿宋" w:cs="仿宋"/>
          <w:color w:val="auto"/>
          <w:sz w:val="24"/>
          <w:szCs w:val="24"/>
          <w:highlight w:val="none"/>
        </w:rPr>
        <w:t>、中小企业声明函</w:t>
      </w:r>
    </w:p>
    <w:p>
      <w:pPr>
        <w:spacing w:beforeLines="0" w:afterLines="0" w:line="24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郑重声明，根据《政府采购促进中小企业发展管理办法》（财库﹝2020﹞46 号）的规定，本公司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参加</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采购活动，服务全部由符合政策要求的中小企业承接。相关企业（含联合体中的中小企业、签订分包意向协议的中小企业）的具体情况如下：</w:t>
      </w:r>
    </w:p>
    <w:p>
      <w:pPr>
        <w:pStyle w:val="58"/>
        <w:numPr>
          <w:ilvl w:val="0"/>
          <w:numId w:val="4"/>
        </w:numPr>
        <w:spacing w:line="24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58"/>
        <w:spacing w:line="240" w:lineRule="auto"/>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，从业人员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人，营业收入为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58"/>
        <w:spacing w:line="240" w:lineRule="auto"/>
        <w:ind w:firstLine="48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p>
      <w:pPr>
        <w:spacing w:beforeLines="0" w:afterLines="0" w:line="24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spacing w:beforeLines="0" w:afterLines="0" w:line="24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spacing w:beforeLines="0" w:afterLines="0" w:line="240" w:lineRule="auto"/>
        <w:jc w:val="both"/>
        <w:rPr>
          <w:rFonts w:hint="eastAsia" w:ascii="仿宋" w:hAnsi="仿宋" w:eastAsia="仿宋" w:cs="仿宋"/>
          <w:color w:val="auto"/>
          <w:sz w:val="24"/>
          <w:szCs w:val="24"/>
          <w:highlight w:val="none"/>
        </w:rPr>
      </w:pPr>
    </w:p>
    <w:p>
      <w:pPr>
        <w:spacing w:beforeLines="0" w:afterLines="0" w:line="24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企业名称（</w:t>
      </w:r>
      <w:r>
        <w:rPr>
          <w:rFonts w:hint="eastAsia" w:ascii="仿宋" w:hAnsi="仿宋" w:eastAsia="仿宋" w:cs="仿宋"/>
          <w:color w:val="auto"/>
          <w:sz w:val="24"/>
          <w:szCs w:val="24"/>
          <w:highlight w:val="none"/>
          <w:lang w:eastAsia="zh-CN"/>
        </w:rPr>
        <w:t>加盖公章或电子印章</w:t>
      </w:r>
      <w:r>
        <w:rPr>
          <w:rFonts w:hint="eastAsia" w:ascii="仿宋" w:hAnsi="仿宋" w:eastAsia="仿宋" w:cs="仿宋"/>
          <w:color w:val="auto"/>
          <w:sz w:val="24"/>
          <w:szCs w:val="24"/>
          <w:highlight w:val="none"/>
        </w:rPr>
        <w:t>）：</w:t>
      </w:r>
    </w:p>
    <w:p>
      <w:pPr>
        <w:spacing w:beforeLines="0" w:afterLines="0" w:line="240"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spacing w:line="240" w:lineRule="auto"/>
        <w:jc w:val="both"/>
        <w:rPr>
          <w:rFonts w:hint="eastAsia" w:ascii="仿宋" w:hAnsi="仿宋" w:eastAsia="仿宋" w:cs="仿宋"/>
          <w:color w:val="auto"/>
          <w:sz w:val="24"/>
          <w:szCs w:val="24"/>
          <w:highlight w:val="none"/>
          <w:lang w:val="en-US" w:eastAsia="zh-CN"/>
        </w:rPr>
      </w:pPr>
    </w:p>
    <w:p>
      <w:pPr>
        <w:spacing w:beforeLines="0" w:afterLines="0" w:line="24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注：1.从业人员、营业收入、资产总额填报上一年度数据，无上一年度数据的新成立企业可不填报。</w:t>
      </w:r>
    </w:p>
    <w:p>
      <w:pPr>
        <w:spacing w:beforeLines="0" w:afterLines="0" w:line="240" w:lineRule="auto"/>
        <w:ind w:firstLine="480" w:firstLineChars="200"/>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2.中小企业划分按照《中小企业划型标准规定》（工信部联企业〔2011〕300号）执行。服务全部由一家单位提供的，本声明第“2”条可自行删除或不作填写。</w:t>
      </w:r>
    </w:p>
    <w:p>
      <w:pPr>
        <w:spacing w:beforeLines="0" w:afterLines="0" w:line="240" w:lineRule="auto"/>
        <w:ind w:firstLine="480" w:firstLineChars="200"/>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3.未提供中小企业声明函，则不享受相关</w:t>
      </w:r>
      <w:r>
        <w:rPr>
          <w:rFonts w:hint="eastAsia" w:ascii="仿宋" w:hAnsi="仿宋" w:eastAsia="仿宋" w:cs="仿宋"/>
          <w:color w:val="auto"/>
          <w:kern w:val="0"/>
          <w:sz w:val="24"/>
          <w:szCs w:val="24"/>
          <w:highlight w:val="none"/>
        </w:rPr>
        <w:t>价格扣除政策</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不影响投标文件有效性。</w:t>
      </w:r>
    </w:p>
    <w:p>
      <w:pPr>
        <w:spacing w:line="588" w:lineRule="exact"/>
        <w:rPr>
          <w:rFonts w:hint="eastAsia" w:ascii="仿宋" w:hAnsi="仿宋" w:eastAsia="仿宋" w:cs="仿宋"/>
          <w:b/>
          <w:bCs/>
          <w:color w:val="auto"/>
          <w:sz w:val="30"/>
          <w:szCs w:val="32"/>
          <w:highlight w:val="none"/>
          <w:lang w:val="en-US" w:eastAsia="zh-CN"/>
        </w:rPr>
      </w:pPr>
      <w:r>
        <w:rPr>
          <w:rFonts w:hint="eastAsia" w:ascii="宋体" w:hAnsi="宋体" w:cs="宋体"/>
          <w:color w:val="auto"/>
          <w:highlight w:val="none"/>
        </w:rPr>
        <w:br w:type="page"/>
      </w:r>
      <w:r>
        <w:rPr>
          <w:rFonts w:hint="eastAsia" w:ascii="仿宋" w:hAnsi="仿宋" w:eastAsia="仿宋" w:cs="仿宋"/>
          <w:b/>
          <w:color w:val="auto"/>
          <w:sz w:val="32"/>
          <w:szCs w:val="32"/>
          <w:highlight w:val="none"/>
        </w:rPr>
        <w:t>格式2-1</w:t>
      </w:r>
      <w:r>
        <w:rPr>
          <w:rFonts w:hint="eastAsia" w:ascii="仿宋" w:hAnsi="仿宋" w:eastAsia="仿宋" w:cs="仿宋"/>
          <w:b/>
          <w:color w:val="auto"/>
          <w:sz w:val="32"/>
          <w:szCs w:val="32"/>
          <w:highlight w:val="none"/>
          <w:lang w:val="en-US" w:eastAsia="zh-CN"/>
        </w:rPr>
        <w:t>5</w:t>
      </w:r>
    </w:p>
    <w:p>
      <w:pPr>
        <w:spacing w:line="588" w:lineRule="exact"/>
        <w:jc w:val="center"/>
        <w:rPr>
          <w:rFonts w:hint="eastAsia" w:ascii="仿宋" w:hAnsi="仿宋" w:eastAsia="仿宋" w:cs="仿宋"/>
          <w:b/>
          <w:bCs/>
          <w:color w:val="auto"/>
          <w:sz w:val="30"/>
          <w:szCs w:val="32"/>
          <w:highlight w:val="none"/>
        </w:rPr>
      </w:pPr>
      <w:r>
        <w:rPr>
          <w:rFonts w:hint="eastAsia" w:ascii="仿宋" w:hAnsi="仿宋" w:eastAsia="仿宋" w:cs="仿宋"/>
          <w:b/>
          <w:bCs/>
          <w:color w:val="auto"/>
          <w:sz w:val="30"/>
          <w:szCs w:val="32"/>
          <w:highlight w:val="none"/>
          <w:lang w:val="en-US" w:eastAsia="zh-CN"/>
        </w:rPr>
        <w:t>十四</w:t>
      </w:r>
      <w:r>
        <w:rPr>
          <w:rFonts w:hint="eastAsia" w:ascii="仿宋" w:hAnsi="仿宋" w:eastAsia="仿宋" w:cs="仿宋"/>
          <w:b/>
          <w:bCs/>
          <w:color w:val="auto"/>
          <w:sz w:val="30"/>
          <w:szCs w:val="32"/>
          <w:highlight w:val="none"/>
        </w:rPr>
        <w:t>、监狱企业证明文件</w:t>
      </w:r>
    </w:p>
    <w:p>
      <w:pPr>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监狱企业参加政府采购活动时，应当提供由省级以上监狱管理局、戒毒管理局（含新疆生产建设兵团）出具的属于《监狱企业证明》文件原件。</w:t>
      </w:r>
    </w:p>
    <w:p>
      <w:pPr>
        <w:pStyle w:val="11"/>
        <w:rPr>
          <w:rFonts w:hint="eastAsia" w:ascii="仿宋" w:hAnsi="仿宋" w:eastAsia="仿宋" w:cs="仿宋"/>
          <w:color w:val="auto"/>
          <w:sz w:val="24"/>
          <w:highlight w:val="none"/>
        </w:rPr>
      </w:pPr>
    </w:p>
    <w:p>
      <w:pPr>
        <w:pStyle w:val="11"/>
        <w:rPr>
          <w:rFonts w:hint="eastAsia" w:ascii="仿宋" w:hAnsi="仿宋" w:eastAsia="仿宋" w:cs="仿宋"/>
          <w:color w:val="auto"/>
          <w:sz w:val="24"/>
          <w:highlight w:val="none"/>
        </w:rPr>
      </w:pPr>
    </w:p>
    <w:p>
      <w:pPr>
        <w:pStyle w:val="11"/>
        <w:rPr>
          <w:rFonts w:hint="eastAsia" w:ascii="仿宋" w:hAnsi="仿宋" w:eastAsia="仿宋" w:cs="仿宋"/>
          <w:color w:val="auto"/>
          <w:sz w:val="24"/>
          <w:highlight w:val="none"/>
        </w:rPr>
      </w:pPr>
    </w:p>
    <w:p>
      <w:pPr>
        <w:pStyle w:val="11"/>
        <w:rPr>
          <w:rFonts w:hint="eastAsia" w:ascii="仿宋" w:hAnsi="仿宋" w:eastAsia="仿宋" w:cs="仿宋"/>
          <w:color w:val="auto"/>
          <w:kern w:val="0"/>
          <w:sz w:val="24"/>
          <w:highlight w:val="none"/>
        </w:rPr>
      </w:pPr>
    </w:p>
    <w:p>
      <w:pPr>
        <w:pStyle w:val="11"/>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注：1、在政府采购活动中，监狱企业视同小型、微型企业，享受评审中价格扣除等促进中小企业发展的政府采购政策。</w:t>
      </w:r>
    </w:p>
    <w:p>
      <w:pPr>
        <w:pStyle w:val="11"/>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2、投标人为非监狱企业可不提供此证明，不影响投标文件的有效性。</w:t>
      </w:r>
    </w:p>
    <w:p>
      <w:pPr>
        <w:ind w:firstLine="1050" w:firstLineChars="500"/>
        <w:rPr>
          <w:rFonts w:hint="eastAsia" w:ascii="仿宋" w:hAnsi="仿宋" w:eastAsia="仿宋" w:cs="仿宋"/>
          <w:color w:val="auto"/>
          <w:highlight w:val="none"/>
        </w:rPr>
      </w:pPr>
    </w:p>
    <w:p>
      <w:pPr>
        <w:pStyle w:val="6"/>
        <w:rPr>
          <w:rFonts w:hint="eastAsia" w:ascii="仿宋" w:hAnsi="仿宋" w:eastAsia="仿宋" w:cs="仿宋"/>
          <w:color w:val="auto"/>
          <w:sz w:val="32"/>
          <w:szCs w:val="32"/>
          <w:highlight w:val="none"/>
        </w:rPr>
      </w:pPr>
      <w:r>
        <w:rPr>
          <w:rFonts w:hint="eastAsia" w:ascii="仿宋" w:hAnsi="仿宋" w:eastAsia="仿宋" w:cs="仿宋"/>
          <w:color w:val="auto"/>
          <w:highlight w:val="none"/>
        </w:rPr>
        <w:br w:type="page"/>
      </w:r>
      <w:r>
        <w:rPr>
          <w:rFonts w:hint="eastAsia" w:ascii="仿宋" w:hAnsi="仿宋" w:eastAsia="仿宋" w:cs="仿宋"/>
          <w:color w:val="auto"/>
          <w:sz w:val="32"/>
          <w:szCs w:val="32"/>
          <w:highlight w:val="none"/>
        </w:rPr>
        <w:t>格式</w:t>
      </w:r>
      <w:r>
        <w:rPr>
          <w:rFonts w:hint="eastAsia" w:ascii="仿宋" w:hAnsi="仿宋" w:eastAsia="仿宋" w:cs="仿宋"/>
          <w:b/>
          <w:color w:val="auto"/>
          <w:sz w:val="32"/>
          <w:szCs w:val="32"/>
          <w:highlight w:val="none"/>
        </w:rPr>
        <w:t>2-1</w:t>
      </w:r>
      <w:r>
        <w:rPr>
          <w:rFonts w:hint="eastAsia" w:ascii="仿宋" w:hAnsi="仿宋" w:eastAsia="仿宋" w:cs="仿宋"/>
          <w:b/>
          <w:color w:val="auto"/>
          <w:sz w:val="32"/>
          <w:szCs w:val="32"/>
          <w:highlight w:val="none"/>
          <w:lang w:val="en-US" w:eastAsia="zh-CN"/>
        </w:rPr>
        <w:t>6</w:t>
      </w:r>
    </w:p>
    <w:p>
      <w:pPr>
        <w:pStyle w:val="6"/>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lang w:val="en-US" w:eastAsia="zh-CN"/>
        </w:rPr>
        <w:t>十五</w:t>
      </w:r>
      <w:r>
        <w:rPr>
          <w:rFonts w:hint="eastAsia" w:ascii="仿宋" w:hAnsi="仿宋" w:eastAsia="仿宋" w:cs="仿宋"/>
          <w:bCs/>
          <w:color w:val="auto"/>
          <w:sz w:val="32"/>
          <w:szCs w:val="32"/>
          <w:highlight w:val="none"/>
        </w:rPr>
        <w:t>、残疾人福利性单位声明函</w:t>
      </w:r>
    </w:p>
    <w:p>
      <w:pPr>
        <w:pStyle w:val="6"/>
        <w:jc w:val="center"/>
        <w:rPr>
          <w:rFonts w:hint="eastAsia" w:ascii="仿宋" w:hAnsi="仿宋" w:eastAsia="仿宋" w:cs="仿宋"/>
          <w:b w:val="0"/>
          <w:color w:val="auto"/>
          <w:sz w:val="24"/>
          <w:highlight w:val="none"/>
        </w:rPr>
      </w:pPr>
      <w:r>
        <w:rPr>
          <w:rFonts w:hint="eastAsia" w:ascii="仿宋" w:hAnsi="仿宋" w:eastAsia="仿宋" w:cs="仿宋"/>
          <w:bCs/>
          <w:color w:val="auto"/>
          <w:sz w:val="32"/>
          <w:szCs w:val="32"/>
          <w:highlight w:val="none"/>
          <w:lang w:eastAsia="zh-CN"/>
        </w:rPr>
        <w:t>（</w:t>
      </w:r>
      <w:r>
        <w:rPr>
          <w:rFonts w:hint="eastAsia" w:ascii="仿宋" w:hAnsi="仿宋" w:eastAsia="仿宋" w:cs="仿宋"/>
          <w:bCs/>
          <w:color w:val="auto"/>
          <w:sz w:val="32"/>
          <w:szCs w:val="32"/>
          <w:highlight w:val="none"/>
          <w:lang w:val="en-US" w:eastAsia="zh-CN"/>
        </w:rPr>
        <w:t>注：非</w:t>
      </w:r>
      <w:r>
        <w:rPr>
          <w:rFonts w:hint="eastAsia" w:ascii="仿宋" w:hAnsi="仿宋" w:eastAsia="仿宋" w:cs="仿宋"/>
          <w:bCs/>
          <w:color w:val="auto"/>
          <w:sz w:val="32"/>
          <w:szCs w:val="32"/>
          <w:highlight w:val="none"/>
        </w:rPr>
        <w:t>残疾人福利性单位</w:t>
      </w:r>
      <w:r>
        <w:rPr>
          <w:rFonts w:hint="eastAsia" w:ascii="仿宋" w:hAnsi="仿宋" w:eastAsia="仿宋" w:cs="仿宋"/>
          <w:bCs/>
          <w:color w:val="auto"/>
          <w:sz w:val="32"/>
          <w:szCs w:val="32"/>
          <w:highlight w:val="none"/>
          <w:lang w:val="en-US" w:eastAsia="zh-CN"/>
        </w:rPr>
        <w:t>不提供此声明函或不作填写</w:t>
      </w:r>
      <w:r>
        <w:rPr>
          <w:rFonts w:hint="eastAsia" w:ascii="仿宋" w:hAnsi="仿宋" w:eastAsia="仿宋" w:cs="仿宋"/>
          <w:bCs/>
          <w:color w:val="auto"/>
          <w:sz w:val="32"/>
          <w:szCs w:val="32"/>
          <w:highlight w:val="none"/>
          <w:lang w:eastAsia="zh-CN"/>
        </w:rPr>
        <w:t>）</w:t>
      </w:r>
    </w:p>
    <w:p>
      <w:pPr>
        <w:pStyle w:val="6"/>
        <w:spacing w:line="480" w:lineRule="auto"/>
        <w:ind w:firstLine="480" w:firstLineChars="200"/>
        <w:jc w:val="lef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b w:val="0"/>
          <w:color w:val="auto"/>
          <w:sz w:val="24"/>
          <w:highlight w:val="none"/>
          <w:u w:val="single"/>
        </w:rPr>
        <w:t xml:space="preserve">         </w:t>
      </w:r>
      <w:r>
        <w:rPr>
          <w:rFonts w:hint="eastAsia" w:ascii="仿宋" w:hAnsi="仿宋" w:eastAsia="仿宋" w:cs="仿宋"/>
          <w:b w:val="0"/>
          <w:color w:val="auto"/>
          <w:sz w:val="24"/>
          <w:highlight w:val="none"/>
        </w:rPr>
        <w:t>单位的</w:t>
      </w:r>
      <w:r>
        <w:rPr>
          <w:rFonts w:hint="eastAsia" w:ascii="仿宋" w:hAnsi="仿宋" w:eastAsia="仿宋" w:cs="仿宋"/>
          <w:b w:val="0"/>
          <w:color w:val="auto"/>
          <w:sz w:val="24"/>
          <w:highlight w:val="none"/>
          <w:u w:val="single"/>
        </w:rPr>
        <w:t xml:space="preserve">         </w:t>
      </w:r>
      <w:r>
        <w:rPr>
          <w:rFonts w:hint="eastAsia" w:ascii="仿宋" w:hAnsi="仿宋" w:eastAsia="仿宋" w:cs="仿宋"/>
          <w:b w:val="0"/>
          <w:color w:val="auto"/>
          <w:sz w:val="24"/>
          <w:highlight w:val="none"/>
        </w:rPr>
        <w:t>项目采购活动提供本单位制造的货物（由本单位承担工程/提供服务），或者提供其他残疾人福利性单位制造的货物（不包括使用非残疾人福利性单位注册商标的货物）。</w:t>
      </w:r>
    </w:p>
    <w:p>
      <w:pPr>
        <w:spacing w:line="480" w:lineRule="auto"/>
        <w:ind w:firstLine="480" w:firstLineChars="200"/>
        <w:rPr>
          <w:rFonts w:hint="eastAsia" w:ascii="仿宋" w:hAnsi="仿宋" w:eastAsia="仿宋" w:cs="仿宋"/>
          <w:color w:val="auto"/>
          <w:sz w:val="24"/>
          <w:highlight w:val="none"/>
        </w:rPr>
      </w:pP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本公司对上述声明内容事项真实性负责。如经查实上述声明的内容事项存在虚假，我公司愿意接受以提供虚假材料谋取中标追究法律责任。</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spacing w:line="48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投标人名称：XXXX（</w:t>
      </w:r>
      <w:r>
        <w:rPr>
          <w:rFonts w:hint="eastAsia" w:ascii="仿宋" w:hAnsi="仿宋" w:eastAsia="仿宋" w:cs="仿宋"/>
          <w:color w:val="auto"/>
          <w:sz w:val="24"/>
          <w:highlight w:val="none"/>
          <w:lang w:eastAsia="zh-CN"/>
        </w:rPr>
        <w:t>加盖公章或电子印章</w:t>
      </w:r>
      <w:r>
        <w:rPr>
          <w:rFonts w:hint="eastAsia" w:ascii="仿宋" w:hAnsi="仿宋" w:eastAsia="仿宋" w:cs="仿宋"/>
          <w:color w:val="auto"/>
          <w:sz w:val="24"/>
          <w:highlight w:val="none"/>
        </w:rPr>
        <w:t>）</w:t>
      </w:r>
    </w:p>
    <w:p>
      <w:pPr>
        <w:spacing w:line="48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highlight w:val="none"/>
        </w:rPr>
        <w:t>日期: XXXX。</w:t>
      </w:r>
    </w:p>
    <w:p>
      <w:pPr>
        <w:widowControl/>
        <w:spacing w:line="360" w:lineRule="atLeast"/>
        <w:jc w:val="center"/>
        <w:outlineLvl w:val="2"/>
        <w:rPr>
          <w:rFonts w:hint="eastAsia" w:ascii="仿宋" w:hAnsi="仿宋" w:eastAsia="仿宋" w:cs="Times New Roman"/>
          <w:b/>
          <w:color w:val="000000" w:themeColor="text1"/>
          <w:sz w:val="32"/>
          <w:szCs w:val="32"/>
          <w:lang w:val="zh-CN" w:eastAsia="zh-CN"/>
          <w14:textFill>
            <w14:solidFill>
              <w14:schemeClr w14:val="tx1"/>
            </w14:solidFill>
          </w14:textFill>
        </w:rPr>
      </w:pPr>
      <w:r>
        <w:rPr>
          <w:rFonts w:hint="eastAsia" w:ascii="仿宋" w:hAnsi="仿宋" w:eastAsia="仿宋" w:cs="仿宋"/>
          <w:b/>
          <w:color w:val="auto"/>
          <w:sz w:val="24"/>
          <w:highlight w:val="none"/>
        </w:rPr>
        <w:br w:type="page"/>
      </w:r>
      <w:r>
        <w:rPr>
          <w:rFonts w:hint="eastAsia" w:ascii="仿宋" w:hAnsi="仿宋" w:eastAsia="仿宋" w:cs="Times New Roman"/>
          <w:b/>
          <w:color w:val="000000" w:themeColor="text1"/>
          <w:sz w:val="32"/>
          <w:szCs w:val="32"/>
          <w:lang w:val="en-US" w:eastAsia="zh-CN"/>
          <w14:textFill>
            <w14:solidFill>
              <w14:schemeClr w14:val="tx1"/>
            </w14:solidFill>
          </w14:textFill>
        </w:rPr>
        <w:t>十六、</w:t>
      </w:r>
      <w:r>
        <w:rPr>
          <w:rFonts w:hint="eastAsia" w:ascii="仿宋" w:hAnsi="仿宋" w:eastAsia="仿宋" w:cs="Times New Roman"/>
          <w:b/>
          <w:color w:val="000000" w:themeColor="text1"/>
          <w:sz w:val="32"/>
          <w:szCs w:val="32"/>
          <w:lang w:val="zh-CN" w:eastAsia="zh-CN"/>
          <w14:textFill>
            <w14:solidFill>
              <w14:schemeClr w14:val="tx1"/>
            </w14:solidFill>
          </w14:textFill>
        </w:rPr>
        <w:t>投标人认为需要提供的其他材料</w:t>
      </w:r>
    </w:p>
    <w:p>
      <w:pPr>
        <w:pStyle w:val="4"/>
        <w:spacing w:line="360" w:lineRule="exact"/>
        <w:jc w:val="both"/>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注：如有，则格式自拟。</w:t>
      </w:r>
    </w:p>
    <w:p>
      <w:pPr>
        <w:pStyle w:val="2"/>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pPr>
    </w:p>
    <w:p>
      <w:pPr>
        <w:pStyle w:val="40"/>
        <w:rPr>
          <w:rFonts w:hint="eastAsia" w:ascii="仿宋" w:hAnsi="仿宋" w:eastAsia="仿宋"/>
          <w:b/>
          <w:color w:val="000000" w:themeColor="text1"/>
          <w:sz w:val="24"/>
          <w14:textFill>
            <w14:solidFill>
              <w14:schemeClr w14:val="tx1"/>
            </w14:solidFill>
          </w14:textFill>
        </w:rPr>
      </w:pPr>
    </w:p>
    <w:p>
      <w:pPr>
        <w:pStyle w:val="40"/>
        <w:rPr>
          <w:rFonts w:hint="eastAsia" w:ascii="仿宋" w:hAnsi="仿宋" w:eastAsia="仿宋"/>
          <w:b/>
          <w:color w:val="000000" w:themeColor="text1"/>
          <w:sz w:val="24"/>
          <w14:textFill>
            <w14:solidFill>
              <w14:schemeClr w14:val="tx1"/>
            </w14:solidFill>
          </w14:textFill>
        </w:rPr>
      </w:pPr>
    </w:p>
    <w:bookmarkEnd w:id="126"/>
    <w:p>
      <w:pPr>
        <w:pStyle w:val="3"/>
        <w:jc w:val="center"/>
        <w:rPr>
          <w:rFonts w:ascii="仿宋" w:hAnsi="仿宋" w:eastAsia="仿宋"/>
          <w:color w:val="000000" w:themeColor="text1"/>
          <w:sz w:val="36"/>
          <w:szCs w:val="36"/>
          <w14:textFill>
            <w14:solidFill>
              <w14:schemeClr w14:val="tx1"/>
            </w14:solidFill>
          </w14:textFill>
        </w:rPr>
      </w:pPr>
      <w:bookmarkStart w:id="149" w:name="_Toc74312828"/>
      <w:bookmarkStart w:id="150" w:name="_Toc28495"/>
      <w:bookmarkStart w:id="151" w:name="PO_默认文件内容_26"/>
      <w:r>
        <w:rPr>
          <w:rFonts w:hint="eastAsia" w:ascii="仿宋" w:hAnsi="仿宋" w:eastAsia="仿宋"/>
          <w:color w:val="000000" w:themeColor="text1"/>
          <w:sz w:val="36"/>
          <w:szCs w:val="36"/>
          <w14:textFill>
            <w14:solidFill>
              <w14:schemeClr w14:val="tx1"/>
            </w14:solidFill>
          </w14:textFill>
        </w:rPr>
        <w:t>第四章  投标人和投标产品的资格、资质性及其他类似效力要求</w:t>
      </w:r>
      <w:bookmarkEnd w:id="149"/>
      <w:bookmarkEnd w:id="150"/>
    </w:p>
    <w:p>
      <w:pPr>
        <w:pStyle w:val="5"/>
        <w:spacing w:line="240" w:lineRule="auto"/>
        <w:ind w:firstLine="482"/>
        <w:rPr>
          <w:rFonts w:hint="eastAsia" w:ascii="宋体" w:hAnsi="宋体" w:cs="宋体"/>
          <w:sz w:val="28"/>
          <w:szCs w:val="28"/>
        </w:rPr>
      </w:pPr>
      <w:bookmarkStart w:id="152" w:name="_Toc19880"/>
      <w:bookmarkStart w:id="153" w:name="_Toc11707"/>
      <w:bookmarkStart w:id="154" w:name="_Toc6701"/>
      <w:bookmarkStart w:id="155" w:name="_Toc27620"/>
      <w:bookmarkStart w:id="156" w:name="_Toc470867106"/>
      <w:r>
        <w:rPr>
          <w:rFonts w:hint="eastAsia" w:ascii="宋体" w:hAnsi="宋体" w:cs="宋体"/>
          <w:sz w:val="28"/>
          <w:szCs w:val="28"/>
        </w:rPr>
        <w:t>（1）资格要求</w:t>
      </w:r>
      <w:bookmarkEnd w:id="152"/>
      <w:bookmarkEnd w:id="153"/>
      <w:bookmarkEnd w:id="154"/>
      <w:bookmarkEnd w:id="155"/>
      <w:bookmarkEnd w:id="156"/>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bookmarkStart w:id="157" w:name="_Toc20053"/>
      <w:bookmarkStart w:id="158" w:name="_Toc470867107"/>
      <w:bookmarkStart w:id="159" w:name="_Toc20925"/>
      <w:r>
        <w:rPr>
          <w:rFonts w:hint="eastAsia" w:ascii="仿宋" w:hAnsi="仿宋" w:eastAsia="仿宋" w:cs="Times New Roman"/>
          <w:color w:val="000000" w:themeColor="text1"/>
          <w:sz w:val="24"/>
          <w14:textFill>
            <w14:solidFill>
              <w14:schemeClr w14:val="tx1"/>
            </w14:solidFill>
          </w14:textFill>
        </w:rPr>
        <w:t>1、具有独立承担民事责任的能力；</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2、具有良好的商业信誉和健全的财务会计制度；</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3、具有履行合同所必需的设备和专业技术能力；</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4、具有依法缴纳税收和社会保障资金的良好记录；</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5、参加本次政府采购活动前三年内，在经营活动中没有重大违法记录；</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6、法律、行政法规规定的其他条件；</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7、本项目不接受联合体投标。</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8、根据采购项目提出的特殊条件：</w:t>
      </w:r>
    </w:p>
    <w:p>
      <w:pPr>
        <w:pStyle w:val="54"/>
        <w:spacing w:after="0" w:line="276" w:lineRule="auto"/>
        <w:ind w:firstLine="0" w:firstLineChars="0"/>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8.1</w:t>
      </w:r>
      <w:r>
        <w:rPr>
          <w:rFonts w:hint="eastAsia" w:ascii="仿宋" w:hAnsi="仿宋" w:eastAsia="仿宋" w:cs="Times New Roman"/>
          <w:color w:val="000000" w:themeColor="text1"/>
          <w:sz w:val="24"/>
          <w:lang w:eastAsia="zh-CN"/>
          <w14:textFill>
            <w14:solidFill>
              <w14:schemeClr w14:val="tx1"/>
            </w14:solidFill>
          </w14:textFill>
        </w:rPr>
        <w:t>供应商单位及现任法定代表人、主要负责人不得具有行贿犯罪记录</w:t>
      </w:r>
      <w:r>
        <w:rPr>
          <w:rFonts w:hint="eastAsia" w:ascii="仿宋" w:hAnsi="仿宋" w:eastAsia="仿宋" w:cs="Times New Roman"/>
          <w:color w:val="000000" w:themeColor="text1"/>
          <w:sz w:val="24"/>
          <w:lang w:val="zh-CN" w:eastAsia="zh-CN"/>
          <w14:textFill>
            <w14:solidFill>
              <w14:schemeClr w14:val="tx1"/>
            </w14:solidFill>
          </w14:textFill>
        </w:rPr>
        <w:t>；</w:t>
      </w:r>
    </w:p>
    <w:p>
      <w:pPr>
        <w:pStyle w:val="54"/>
        <w:spacing w:after="0" w:line="276" w:lineRule="auto"/>
        <w:ind w:firstLine="0" w:firstLineChars="0"/>
        <w:rPr>
          <w:rFonts w:hint="eastAsia" w:ascii="仿宋" w:hAnsi="仿宋" w:eastAsia="仿宋" w:cs="Times New Roman"/>
          <w:color w:val="000000" w:themeColor="text1"/>
          <w:sz w:val="24"/>
          <w:lang w:val="zh-CN"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8.2本项目按照《政府采购促进中小企业发展管理办法》的要求，若供应商非中小企业，供应商应承诺将中标总额的30%以上专门面向中小微企业进行分包，承担分包的中小微企业必须满足本项目的技术商务相关条件。</w:t>
      </w:r>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说明：本次政府采购活动不接受联合体投标。</w:t>
      </w:r>
    </w:p>
    <w:p>
      <w:pPr>
        <w:pStyle w:val="5"/>
        <w:spacing w:line="240" w:lineRule="auto"/>
        <w:ind w:firstLine="482"/>
        <w:rPr>
          <w:rFonts w:hint="eastAsia" w:ascii="宋体" w:hAnsi="宋体" w:eastAsia="宋体" w:cs="宋体"/>
          <w:sz w:val="28"/>
          <w:szCs w:val="28"/>
        </w:rPr>
      </w:pPr>
      <w:bookmarkStart w:id="160" w:name="_Toc28554"/>
      <w:bookmarkStart w:id="161" w:name="_Toc18145"/>
      <w:r>
        <w:rPr>
          <w:rFonts w:hint="eastAsia" w:ascii="宋体" w:hAnsi="宋体" w:eastAsia="宋体" w:cs="宋体"/>
          <w:sz w:val="28"/>
          <w:szCs w:val="28"/>
        </w:rPr>
        <w:t>（2）资质要求</w:t>
      </w:r>
      <w:bookmarkEnd w:id="157"/>
      <w:bookmarkEnd w:id="158"/>
      <w:bookmarkEnd w:id="159"/>
      <w:bookmarkEnd w:id="160"/>
      <w:bookmarkEnd w:id="161"/>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bookmarkStart w:id="162" w:name="_Toc16818"/>
      <w:r>
        <w:rPr>
          <w:rFonts w:hint="eastAsia" w:ascii="仿宋" w:hAnsi="仿宋" w:eastAsia="仿宋" w:cs="Times New Roman"/>
          <w:color w:val="000000" w:themeColor="text1"/>
          <w:sz w:val="24"/>
          <w14:textFill>
            <w14:solidFill>
              <w14:schemeClr w14:val="tx1"/>
            </w14:solidFill>
          </w14:textFill>
        </w:rPr>
        <w:t>无。</w:t>
      </w:r>
    </w:p>
    <w:p>
      <w:pPr>
        <w:pStyle w:val="5"/>
        <w:spacing w:line="240" w:lineRule="auto"/>
        <w:ind w:firstLine="482"/>
        <w:rPr>
          <w:rFonts w:hint="eastAsia" w:ascii="宋体" w:hAnsi="宋体" w:eastAsia="宋体" w:cs="宋体"/>
          <w:sz w:val="28"/>
          <w:szCs w:val="28"/>
        </w:rPr>
      </w:pPr>
      <w:bookmarkStart w:id="163" w:name="_Toc3224"/>
      <w:bookmarkStart w:id="164" w:name="_Toc4053"/>
      <w:bookmarkStart w:id="165" w:name="_Toc470867108"/>
      <w:bookmarkStart w:id="166" w:name="_Toc23403"/>
      <w:r>
        <w:rPr>
          <w:rFonts w:hint="eastAsia" w:ascii="宋体" w:hAnsi="宋体" w:eastAsia="宋体" w:cs="宋体"/>
          <w:sz w:val="28"/>
          <w:szCs w:val="28"/>
        </w:rPr>
        <w:t>（3）其他类似效力要求</w:t>
      </w:r>
      <w:bookmarkEnd w:id="162"/>
      <w:bookmarkEnd w:id="163"/>
      <w:bookmarkEnd w:id="164"/>
      <w:bookmarkEnd w:id="165"/>
      <w:bookmarkEnd w:id="166"/>
    </w:p>
    <w:p>
      <w:pPr>
        <w:pStyle w:val="54"/>
        <w:spacing w:after="0" w:line="276" w:lineRule="auto"/>
        <w:ind w:firstLine="0" w:firstLineChars="0"/>
        <w:rPr>
          <w:rFonts w:hint="eastAsia" w:ascii="仿宋" w:hAnsi="仿宋" w:eastAsia="仿宋" w:cs="Times New Roman"/>
          <w:color w:val="000000" w:themeColor="text1"/>
          <w:sz w:val="24"/>
          <w14:textFill>
            <w14:solidFill>
              <w14:schemeClr w14:val="tx1"/>
            </w14:solidFill>
          </w14:textFill>
        </w:rPr>
      </w:pPr>
      <w:r>
        <w:rPr>
          <w:rFonts w:hint="eastAsia" w:ascii="仿宋" w:hAnsi="仿宋" w:eastAsia="仿宋" w:cs="Times New Roman"/>
          <w:color w:val="000000" w:themeColor="text1"/>
          <w:sz w:val="24"/>
          <w14:textFill>
            <w14:solidFill>
              <w14:schemeClr w14:val="tx1"/>
            </w14:solidFill>
          </w14:textFill>
        </w:rPr>
        <w:t>授权参加本次采购活动的供应商代表证明材料。</w:t>
      </w:r>
    </w:p>
    <w:p>
      <w:pPr>
        <w:rPr>
          <w:rFonts w:ascii="仿宋" w:hAnsi="仿宋" w:eastAsia="仿宋"/>
          <w:b/>
          <w:bCs/>
          <w:color w:val="000000" w:themeColor="text1"/>
          <w:sz w:val="24"/>
          <w14:textFill>
            <w14:solidFill>
              <w14:schemeClr w14:val="tx1"/>
            </w14:solidFill>
          </w14:textFill>
        </w:rPr>
      </w:pPr>
    </w:p>
    <w:p>
      <w:pPr>
        <w:pStyle w:val="54"/>
        <w:spacing w:line="420" w:lineRule="exact"/>
        <w:ind w:firstLine="0" w:firstLineChars="0"/>
        <w:rPr>
          <w:rFonts w:ascii="仿宋" w:hAnsi="仿宋" w:eastAsia="仿宋"/>
          <w:b/>
          <w:color w:val="000000" w:themeColor="text1"/>
          <w:sz w:val="24"/>
          <w14:textFill>
            <w14:solidFill>
              <w14:schemeClr w14:val="tx1"/>
            </w14:solidFill>
          </w14:textFill>
        </w:rPr>
      </w:pPr>
    </w:p>
    <w:p>
      <w:pPr>
        <w:pStyle w:val="3"/>
        <w:spacing w:line="360" w:lineRule="auto"/>
        <w:jc w:val="center"/>
        <w:rPr>
          <w:rFonts w:ascii="仿宋" w:hAnsi="仿宋" w:eastAsia="仿宋"/>
          <w:color w:val="000000" w:themeColor="text1"/>
          <w:sz w:val="36"/>
          <w:szCs w:val="36"/>
          <w14:textFill>
            <w14:solidFill>
              <w14:schemeClr w14:val="tx1"/>
            </w14:solidFill>
          </w14:textFill>
        </w:rPr>
      </w:pPr>
      <w:bookmarkStart w:id="167" w:name="_Toc1588"/>
      <w:r>
        <w:rPr>
          <w:rFonts w:hint="eastAsia" w:ascii="仿宋" w:hAnsi="仿宋" w:eastAsia="仿宋"/>
          <w:color w:val="000000" w:themeColor="text1"/>
          <w:sz w:val="36"/>
          <w:szCs w:val="36"/>
          <w14:textFill>
            <w14:solidFill>
              <w14:schemeClr w14:val="tx1"/>
            </w14:solidFill>
          </w14:textFill>
        </w:rPr>
        <w:br w:type="page"/>
      </w:r>
      <w:bookmarkStart w:id="168" w:name="_Toc74312829"/>
      <w:r>
        <w:rPr>
          <w:rFonts w:hint="eastAsia" w:ascii="仿宋" w:hAnsi="仿宋" w:eastAsia="仿宋" w:cs="Times New Roman"/>
          <w:color w:val="000000" w:themeColor="text1"/>
          <w:sz w:val="36"/>
          <w:szCs w:val="36"/>
          <w14:textFill>
            <w14:solidFill>
              <w14:schemeClr w14:val="tx1"/>
            </w14:solidFill>
          </w14:textFill>
        </w:rPr>
        <w:t xml:space="preserve">第五章  </w:t>
      </w:r>
      <w:bookmarkEnd w:id="167"/>
      <w:bookmarkEnd w:id="168"/>
      <w:r>
        <w:rPr>
          <w:rFonts w:hint="eastAsia" w:ascii="仿宋" w:hAnsi="仿宋" w:eastAsia="仿宋" w:cs="Times New Roman"/>
          <w:color w:val="000000" w:themeColor="text1"/>
          <w:sz w:val="36"/>
          <w:szCs w:val="36"/>
          <w14:textFill>
            <w14:solidFill>
              <w14:schemeClr w14:val="tx1"/>
            </w14:solidFill>
          </w14:textFill>
        </w:rPr>
        <w:t>投标人应当提供的资格、资质性及其他类似效力要求的相关证明材料</w:t>
      </w:r>
    </w:p>
    <w:p>
      <w:pPr>
        <w:pStyle w:val="5"/>
        <w:ind w:firstLine="482"/>
        <w:rPr>
          <w:rFonts w:hint="eastAsia" w:ascii="宋体" w:hAnsi="宋体" w:cs="宋体"/>
          <w:sz w:val="28"/>
          <w:szCs w:val="28"/>
        </w:rPr>
      </w:pPr>
      <w:bookmarkStart w:id="169" w:name="_Toc15025"/>
      <w:bookmarkStart w:id="170" w:name="_Toc7397"/>
      <w:bookmarkStart w:id="171" w:name="_Toc19915"/>
      <w:bookmarkStart w:id="172" w:name="_Toc470867114"/>
      <w:r>
        <w:rPr>
          <w:rFonts w:hint="eastAsia" w:ascii="宋体" w:hAnsi="宋体" w:cs="宋体"/>
          <w:sz w:val="28"/>
          <w:szCs w:val="28"/>
        </w:rPr>
        <w:t>一、投标人的资格、资质性及其他类似效力要求的相关证明材料</w:t>
      </w:r>
      <w:bookmarkEnd w:id="169"/>
      <w:bookmarkEnd w:id="170"/>
      <w:bookmarkEnd w:id="171"/>
      <w:bookmarkEnd w:id="172"/>
    </w:p>
    <w:p>
      <w:pPr>
        <w:ind w:firstLine="482"/>
        <w:rPr>
          <w:rFonts w:hint="eastAsia" w:ascii="宋体" w:hAnsi="宋体" w:eastAsia="宋体" w:cs="宋体"/>
          <w:b/>
          <w:bCs/>
        </w:rPr>
      </w:pPr>
      <w:bookmarkStart w:id="173" w:name="_Toc6789"/>
      <w:bookmarkStart w:id="174" w:name="_Toc2734"/>
      <w:bookmarkStart w:id="175" w:name="_Toc1550"/>
      <w:bookmarkStart w:id="176" w:name="_Toc20640"/>
      <w:bookmarkStart w:id="177" w:name="_Toc470867115"/>
      <w:r>
        <w:rPr>
          <w:rFonts w:hint="eastAsia" w:ascii="宋体" w:hAnsi="宋体" w:eastAsia="宋体" w:cs="宋体"/>
          <w:b/>
          <w:bCs/>
        </w:rPr>
        <w:t>（1）投标人资格性要求相关证明材料</w:t>
      </w:r>
      <w:bookmarkEnd w:id="173"/>
      <w:bookmarkEnd w:id="174"/>
      <w:bookmarkEnd w:id="175"/>
      <w:bookmarkEnd w:id="176"/>
      <w:bookmarkEnd w:id="177"/>
    </w:p>
    <w:p>
      <w:pPr>
        <w:ind w:firstLine="482"/>
        <w:rPr>
          <w:rFonts w:hint="eastAsia" w:ascii="宋体" w:hAnsi="宋体" w:cs="宋体"/>
        </w:rPr>
      </w:pPr>
      <w:r>
        <w:rPr>
          <w:rFonts w:hint="eastAsia" w:ascii="宋体" w:hAnsi="宋体" w:cs="宋体"/>
          <w:b/>
          <w:bCs/>
        </w:rPr>
        <w:t>供应商参加本次政府采购活动，应当在投标文件中提交以下证明材料：</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 xml:space="preserve">1、具有独立承担民事责任的能力需提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 </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2、具有良好的商业信誉和健全的财务会计制度的证明材料：</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2.1具有良好的商业信誉提供：具有良好的商业信誉的承诺函（格式见本招标文件第三章</w:t>
      </w:r>
      <w:r>
        <w:rPr>
          <w:rFonts w:hint="eastAsia" w:ascii="仿宋" w:hAnsi="仿宋" w:eastAsia="仿宋" w:cs="Times New Roman"/>
          <w:color w:val="000000" w:themeColor="text1"/>
          <w:sz w:val="24"/>
          <w:lang w:val="en-US" w:eastAsia="zh-CN"/>
          <w14:textFill>
            <w14:solidFill>
              <w14:schemeClr w14:val="tx1"/>
            </w14:solidFill>
          </w14:textFill>
        </w:rPr>
        <w:t xml:space="preserve"> 格式1-4</w:t>
      </w:r>
      <w:r>
        <w:rPr>
          <w:rFonts w:hint="eastAsia" w:ascii="仿宋" w:hAnsi="仿宋" w:eastAsia="仿宋" w:cs="Times New Roman"/>
          <w:color w:val="000000" w:themeColor="text1"/>
          <w:sz w:val="24"/>
          <w:lang w:eastAsia="zh-CN"/>
          <w14:textFill>
            <w14:solidFill>
              <w14:schemeClr w14:val="tx1"/>
            </w14:solidFill>
          </w14:textFill>
        </w:rPr>
        <w:t>）；</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2.2具有健全的财务会计制度提供：｛注：①可提供2019或2020年度资产负债表复印件，②也可提供截至响应文件递交截止日一年内银行出具的资信证明（复印件），③供应商注册时间截至响应文件递交截止日不足一年的，也可提供在工商备案的公司章程（复印件），④如果供应商为事业单位，根据实际情况提供证明材料。｝</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3、有依法缴纳税收和社会保障资金的良好记录的证明材料：（①提供20</w:t>
      </w:r>
      <w:r>
        <w:rPr>
          <w:rFonts w:hint="eastAsia" w:ascii="仿宋" w:hAnsi="仿宋" w:eastAsia="仿宋" w:cs="Times New Roman"/>
          <w:color w:val="000000" w:themeColor="text1"/>
          <w:sz w:val="24"/>
          <w:lang w:val="en-US" w:eastAsia="zh-CN"/>
          <w14:textFill>
            <w14:solidFill>
              <w14:schemeClr w14:val="tx1"/>
            </w14:solidFill>
          </w14:textFill>
        </w:rPr>
        <w:t>20</w:t>
      </w:r>
      <w:r>
        <w:rPr>
          <w:rFonts w:hint="eastAsia" w:ascii="仿宋" w:hAnsi="仿宋" w:eastAsia="仿宋" w:cs="Times New Roman"/>
          <w:color w:val="000000" w:themeColor="text1"/>
          <w:sz w:val="24"/>
          <w:lang w:eastAsia="zh-CN"/>
          <w14:textFill>
            <w14:solidFill>
              <w14:schemeClr w14:val="tx1"/>
            </w14:solidFill>
          </w14:textFill>
        </w:rPr>
        <w:t>年以来任意一个月缴纳税收和社保资金的证明材料复印件。税收提供税务部门开具的收据或网银转帐回执单等有效证明材料；社保资金提供社保部门开具的收据或网银转帐回执单或社保部门出具的已缴费证明等有效证明材料。②</w:t>
      </w:r>
      <w:r>
        <w:rPr>
          <w:rFonts w:hint="eastAsia" w:ascii="仿宋" w:hAnsi="仿宋" w:eastAsia="仿宋" w:cs="Times New Roman"/>
          <w:color w:val="000000" w:themeColor="text1"/>
          <w:sz w:val="24"/>
          <w:lang w:val="zh-CN" w:eastAsia="zh-CN"/>
          <w14:textFill>
            <w14:solidFill>
              <w14:schemeClr w14:val="tx1"/>
            </w14:solidFill>
          </w14:textFill>
        </w:rPr>
        <w:t>依法免税或不需要缴纳社会保障资金的供应商，应提供相应文件证明其依法免税或不需要缴纳社会保障资金</w:t>
      </w:r>
      <w:r>
        <w:rPr>
          <w:rFonts w:hint="eastAsia" w:ascii="仿宋" w:hAnsi="仿宋" w:eastAsia="仿宋" w:cs="Times New Roman"/>
          <w:color w:val="000000" w:themeColor="text1"/>
          <w:sz w:val="24"/>
          <w:lang w:eastAsia="zh-CN"/>
          <w14:textFill>
            <w14:solidFill>
              <w14:schemeClr w14:val="tx1"/>
            </w14:solidFill>
          </w14:textFill>
        </w:rPr>
        <w:t>。）</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4、具有履行合同所必需的设备和专业技术能力的证明材料：提供有效的营业执照或法人证书等类似证明材料即可；</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5、参加本次政府采购活动前三年内，在经营活动中没有重大违法记录的承诺函（原件，格式见招标文件第三章</w:t>
      </w:r>
      <w:r>
        <w:rPr>
          <w:rFonts w:hint="eastAsia" w:ascii="仿宋" w:hAnsi="仿宋" w:eastAsia="仿宋" w:cs="Times New Roman"/>
          <w:color w:val="000000" w:themeColor="text1"/>
          <w:sz w:val="24"/>
          <w:lang w:val="en-US" w:eastAsia="zh-CN"/>
          <w14:textFill>
            <w14:solidFill>
              <w14:schemeClr w14:val="tx1"/>
            </w14:solidFill>
          </w14:textFill>
        </w:rPr>
        <w:t xml:space="preserve"> 格式1-4</w:t>
      </w:r>
      <w:r>
        <w:rPr>
          <w:rFonts w:hint="eastAsia" w:ascii="仿宋" w:hAnsi="仿宋" w:eastAsia="仿宋" w:cs="Times New Roman"/>
          <w:color w:val="000000" w:themeColor="text1"/>
          <w:sz w:val="24"/>
          <w:lang w:eastAsia="zh-CN"/>
          <w14:textFill>
            <w14:solidFill>
              <w14:schemeClr w14:val="tx1"/>
            </w14:solidFill>
          </w14:textFill>
        </w:rPr>
        <w:t xml:space="preserve">）； </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6、</w:t>
      </w:r>
      <w:bookmarkStart w:id="178" w:name="_Toc8451"/>
      <w:bookmarkStart w:id="179" w:name="_Toc6759"/>
      <w:r>
        <w:rPr>
          <w:rFonts w:hint="eastAsia" w:ascii="仿宋" w:hAnsi="仿宋" w:eastAsia="仿宋" w:cs="Times New Roman"/>
          <w:color w:val="000000" w:themeColor="text1"/>
          <w:sz w:val="24"/>
          <w:lang w:eastAsia="zh-CN"/>
          <w14:textFill>
            <w14:solidFill>
              <w14:schemeClr w14:val="tx1"/>
            </w14:solidFill>
          </w14:textFill>
        </w:rPr>
        <w:t>供应商单位及现任法定代表人、主要负责人无行贿犯罪记录提供：（</w:t>
      </w:r>
      <w:r>
        <w:rPr>
          <w:rFonts w:hint="eastAsia" w:ascii="仿宋" w:hAnsi="仿宋" w:eastAsia="仿宋" w:cs="Times New Roman"/>
          <w:color w:val="000000" w:themeColor="text1"/>
          <w:sz w:val="24"/>
          <w:lang w:val="en-US" w:eastAsia="zh-CN"/>
          <w14:textFill>
            <w14:solidFill>
              <w14:schemeClr w14:val="tx1"/>
            </w14:solidFill>
          </w14:textFill>
        </w:rPr>
        <w:t>承诺函</w:t>
      </w:r>
      <w:r>
        <w:rPr>
          <w:rFonts w:hint="eastAsia" w:ascii="仿宋" w:hAnsi="仿宋" w:eastAsia="仿宋" w:cs="Times New Roman"/>
          <w:color w:val="000000" w:themeColor="text1"/>
          <w:sz w:val="24"/>
          <w:lang w:eastAsia="zh-CN"/>
          <w14:textFill>
            <w14:solidFill>
              <w14:schemeClr w14:val="tx1"/>
            </w14:solidFill>
          </w14:textFill>
        </w:rPr>
        <w:t>原件，格式见招标文件第三章</w:t>
      </w:r>
      <w:r>
        <w:rPr>
          <w:rFonts w:hint="eastAsia" w:ascii="仿宋" w:hAnsi="仿宋" w:eastAsia="仿宋" w:cs="Times New Roman"/>
          <w:color w:val="000000" w:themeColor="text1"/>
          <w:sz w:val="24"/>
          <w:lang w:val="en-US" w:eastAsia="zh-CN"/>
          <w14:textFill>
            <w14:solidFill>
              <w14:schemeClr w14:val="tx1"/>
            </w14:solidFill>
          </w14:textFill>
        </w:rPr>
        <w:t xml:space="preserve"> 格式1-4</w:t>
      </w:r>
      <w:r>
        <w:rPr>
          <w:rFonts w:hint="eastAsia" w:ascii="仿宋" w:hAnsi="仿宋" w:eastAsia="仿宋" w:cs="Times New Roman"/>
          <w:color w:val="000000" w:themeColor="text1"/>
          <w:sz w:val="24"/>
          <w:lang w:eastAsia="zh-CN"/>
          <w14:textFill>
            <w14:solidFill>
              <w14:schemeClr w14:val="tx1"/>
            </w14:solidFill>
          </w14:textFill>
        </w:rPr>
        <w:t>）；</w:t>
      </w:r>
    </w:p>
    <w:p>
      <w:pPr>
        <w:pStyle w:val="54"/>
        <w:spacing w:after="0" w:line="276" w:lineRule="auto"/>
        <w:ind w:firstLine="0" w:firstLineChars="0"/>
        <w:rPr>
          <w:rFonts w:hint="eastAsia" w:ascii="仿宋" w:hAnsi="仿宋" w:eastAsia="仿宋" w:cs="Times New Roman"/>
          <w:color w:val="000000" w:themeColor="text1"/>
          <w:sz w:val="24"/>
          <w:lang w:val="en-US"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7、本项目按照《政府采购促进中小企业发展管理办法》的要求，若供应商非中小企业，供应商应承诺将中标总额的30%以上专门面向中小微企业进行分包，承担分包的中小微企业必须满足本项目的技术商务相关条件。（承诺函原件，格式见招标文件第三章 格式1-5）</w:t>
      </w:r>
    </w:p>
    <w:p>
      <w:pPr>
        <w:pStyle w:val="5"/>
        <w:ind w:firstLine="281" w:firstLineChars="100"/>
        <w:rPr>
          <w:rFonts w:hint="eastAsia" w:ascii="宋体" w:hAnsi="宋体" w:cs="宋体"/>
          <w:sz w:val="28"/>
          <w:szCs w:val="28"/>
        </w:rPr>
      </w:pPr>
      <w:bookmarkStart w:id="180" w:name="_Toc17174"/>
      <w:bookmarkStart w:id="181" w:name="_Toc470867116"/>
      <w:bookmarkStart w:id="182" w:name="_Toc19705"/>
      <w:r>
        <w:rPr>
          <w:rFonts w:hint="eastAsia" w:ascii="宋体" w:hAnsi="宋体" w:cs="宋体"/>
          <w:sz w:val="28"/>
          <w:szCs w:val="28"/>
        </w:rPr>
        <w:t>（2）资质性要求相关证明材料</w:t>
      </w:r>
      <w:bookmarkEnd w:id="178"/>
      <w:bookmarkEnd w:id="179"/>
      <w:bookmarkEnd w:id="180"/>
      <w:bookmarkEnd w:id="181"/>
      <w:bookmarkEnd w:id="182"/>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val="en-US" w:eastAsia="zh-CN"/>
          <w14:textFill>
            <w14:solidFill>
              <w14:schemeClr w14:val="tx1"/>
            </w14:solidFill>
          </w14:textFill>
        </w:rPr>
        <w:t>无</w:t>
      </w:r>
      <w:r>
        <w:rPr>
          <w:rFonts w:hint="eastAsia" w:ascii="仿宋" w:hAnsi="仿宋" w:eastAsia="仿宋" w:cs="Times New Roman"/>
          <w:color w:val="000000" w:themeColor="text1"/>
          <w:sz w:val="24"/>
          <w:lang w:eastAsia="zh-CN"/>
          <w14:textFill>
            <w14:solidFill>
              <w14:schemeClr w14:val="tx1"/>
            </w14:solidFill>
          </w14:textFill>
        </w:rPr>
        <w:t xml:space="preserve">。 </w:t>
      </w:r>
    </w:p>
    <w:p>
      <w:pPr>
        <w:pStyle w:val="5"/>
        <w:ind w:firstLine="482"/>
        <w:rPr>
          <w:rFonts w:hint="eastAsia" w:ascii="宋体" w:hAnsi="宋体" w:cs="宋体"/>
          <w:sz w:val="28"/>
          <w:szCs w:val="28"/>
        </w:rPr>
      </w:pPr>
      <w:bookmarkStart w:id="183" w:name="_Toc13909"/>
      <w:bookmarkStart w:id="184" w:name="_Toc10361"/>
      <w:bookmarkStart w:id="185" w:name="_Toc9342"/>
      <w:bookmarkStart w:id="186" w:name="_Toc10304"/>
      <w:bookmarkStart w:id="187" w:name="_Toc470867117"/>
      <w:r>
        <w:rPr>
          <w:rFonts w:hint="eastAsia" w:ascii="宋体" w:hAnsi="宋体" w:cs="宋体"/>
          <w:sz w:val="28"/>
          <w:szCs w:val="28"/>
        </w:rPr>
        <w:t>（3）其他类似效力要求相关证明材料</w:t>
      </w:r>
      <w:bookmarkEnd w:id="183"/>
      <w:bookmarkEnd w:id="184"/>
      <w:bookmarkEnd w:id="185"/>
      <w:bookmarkEnd w:id="186"/>
      <w:bookmarkEnd w:id="187"/>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（1）法定代表人/单位负责人身份证明材料复印件。</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2）法定代表人/单位负责人授权书原件及代理人身份证明材料复印件（注：①法定代表人/单位负责人授权书原件需加盖公章或电子印章；②如投标文件均由供应商法定代表人/单位负责人的且法定代表人/单位负责人本人参与</w:t>
      </w:r>
      <w:r>
        <w:rPr>
          <w:rFonts w:hint="eastAsia" w:ascii="仿宋" w:hAnsi="仿宋" w:eastAsia="仿宋" w:cs="Times New Roman"/>
          <w:color w:val="000000" w:themeColor="text1"/>
          <w:sz w:val="24"/>
          <w:lang w:val="en-US" w:eastAsia="zh-CN"/>
          <w14:textFill>
            <w14:solidFill>
              <w14:schemeClr w14:val="tx1"/>
            </w14:solidFill>
          </w14:textFill>
        </w:rPr>
        <w:t>投标</w:t>
      </w:r>
      <w:r>
        <w:rPr>
          <w:rFonts w:hint="eastAsia" w:ascii="仿宋" w:hAnsi="仿宋" w:eastAsia="仿宋" w:cs="Times New Roman"/>
          <w:color w:val="000000" w:themeColor="text1"/>
          <w:sz w:val="24"/>
          <w:lang w:eastAsia="zh-CN"/>
          <w14:textFill>
            <w14:solidFill>
              <w14:schemeClr w14:val="tx1"/>
            </w14:solidFill>
          </w14:textFill>
        </w:rPr>
        <w:t>的，则提供法定代表人/单位负责人证明书。）</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注：1、提供的证件材料如有有效期要求的，必须在有效期内。</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 xml:space="preserve">    2、以上证明材料须加盖投标人</w:t>
      </w:r>
      <w:r>
        <w:rPr>
          <w:rFonts w:hint="eastAsia" w:ascii="仿宋" w:hAnsi="仿宋" w:eastAsia="仿宋" w:cs="Times New Roman"/>
          <w:color w:val="000000" w:themeColor="text1"/>
          <w:sz w:val="24"/>
          <w:lang w:val="en-US" w:eastAsia="zh-CN"/>
          <w14:textFill>
            <w14:solidFill>
              <w14:schemeClr w14:val="tx1"/>
            </w14:solidFill>
          </w14:textFill>
        </w:rPr>
        <w:t>公章或</w:t>
      </w:r>
      <w:r>
        <w:rPr>
          <w:rFonts w:hint="eastAsia" w:ascii="仿宋" w:hAnsi="仿宋" w:eastAsia="仿宋" w:cs="Times New Roman"/>
          <w:color w:val="000000" w:themeColor="text1"/>
          <w:sz w:val="24"/>
          <w:lang w:eastAsia="zh-CN"/>
          <w14:textFill>
            <w14:solidFill>
              <w14:schemeClr w14:val="tx1"/>
            </w14:solidFill>
          </w14:textFill>
        </w:rPr>
        <w:t xml:space="preserve">电子印章有效。 </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 xml:space="preserve">    3、本项目在评标前进行资格审查。供应商应在投标文件中按招标文件的规定和要求附上所有的资格证明文件。 </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r>
        <w:rPr>
          <w:rFonts w:hint="eastAsia" w:ascii="仿宋" w:hAnsi="仿宋" w:eastAsia="仿宋" w:cs="Times New Roman"/>
          <w:color w:val="000000" w:themeColor="text1"/>
          <w:sz w:val="24"/>
          <w:lang w:eastAsia="zh-CN"/>
          <w14:textFill>
            <w14:solidFill>
              <w14:schemeClr w14:val="tx1"/>
            </w14:solidFill>
          </w14:textFill>
        </w:rPr>
        <w:t>4、投标人相关资质证书（或资格证明材料）处于年检、换证、升级、变更等期间，若提供了相关法律法规或发证机构（或相关主管部门）书面材料，则视为该资质（或资格证明材料）有效，否则一律不予认可。</w:t>
      </w:r>
    </w:p>
    <w:p>
      <w:pPr>
        <w:pStyle w:val="54"/>
        <w:spacing w:after="0" w:line="276" w:lineRule="auto"/>
        <w:ind w:firstLine="0" w:firstLineChars="0"/>
        <w:rPr>
          <w:rFonts w:hint="eastAsia" w:ascii="仿宋" w:hAnsi="仿宋" w:eastAsia="仿宋" w:cs="Times New Roman"/>
          <w:color w:val="000000" w:themeColor="text1"/>
          <w:sz w:val="24"/>
          <w:lang w:eastAsia="zh-CN"/>
          <w14:textFill>
            <w14:solidFill>
              <w14:schemeClr w14:val="tx1"/>
            </w14:solidFill>
          </w14:textFill>
        </w:rPr>
      </w:pPr>
    </w:p>
    <w:bookmarkEnd w:id="151"/>
    <w:p>
      <w:pPr>
        <w:spacing w:line="360" w:lineRule="auto"/>
        <w:rPr>
          <w:rFonts w:ascii="仿宋" w:hAnsi="仿宋" w:eastAsia="仿宋"/>
          <w:color w:val="000000" w:themeColor="text1"/>
          <w:sz w:val="36"/>
          <w:szCs w:val="36"/>
          <w14:textFill>
            <w14:solidFill>
              <w14:schemeClr w14:val="tx1"/>
            </w14:solidFill>
          </w14:textFill>
        </w:rPr>
        <w:sectPr>
          <w:footerReference r:id="rId8" w:type="default"/>
          <w:pgSz w:w="11906" w:h="16838"/>
          <w:pgMar w:top="1440" w:right="1800" w:bottom="1440" w:left="1800" w:header="851" w:footer="992" w:gutter="0"/>
          <w:cols w:space="720" w:num="1"/>
          <w:docGrid w:type="lines" w:linePitch="312" w:charSpace="0"/>
        </w:sectPr>
      </w:pPr>
      <w:bookmarkStart w:id="188" w:name="_Toc217446093"/>
    </w:p>
    <w:p>
      <w:pPr>
        <w:pStyle w:val="3"/>
        <w:jc w:val="center"/>
        <w:rPr>
          <w:rFonts w:ascii="仿宋" w:hAnsi="仿宋" w:eastAsia="仿宋"/>
          <w:color w:val="000000" w:themeColor="text1"/>
          <w:sz w:val="36"/>
          <w:szCs w:val="36"/>
          <w14:textFill>
            <w14:solidFill>
              <w14:schemeClr w14:val="tx1"/>
            </w14:solidFill>
          </w14:textFill>
        </w:rPr>
      </w:pPr>
      <w:bookmarkStart w:id="189" w:name="_Toc74312830"/>
      <w:bookmarkStart w:id="190" w:name="PO_默认文件内容_32"/>
      <w:r>
        <w:rPr>
          <w:rFonts w:hint="eastAsia" w:ascii="仿宋" w:hAnsi="仿宋" w:eastAsia="仿宋"/>
          <w:color w:val="000000" w:themeColor="text1"/>
          <w:sz w:val="36"/>
          <w:szCs w:val="36"/>
          <w14:textFill>
            <w14:solidFill>
              <w14:schemeClr w14:val="tx1"/>
            </w14:solidFill>
          </w14:textFill>
        </w:rPr>
        <w:t>第六章  招标项目技术、服务、政府采购合同内容条款及其他商务要求</w:t>
      </w:r>
      <w:bookmarkEnd w:id="189"/>
    </w:p>
    <w:bookmarkEnd w:id="188"/>
    <w:p>
      <w:pPr>
        <w:rPr>
          <w:rFonts w:hint="eastAsia" w:ascii="仿宋" w:hAnsi="仿宋" w:eastAsia="仿宋" w:cs="仿宋"/>
          <w:b/>
          <w:bCs/>
          <w:sz w:val="24"/>
          <w:szCs w:val="24"/>
          <w:lang w:eastAsia="zh-CN"/>
        </w:rPr>
      </w:pPr>
      <w:bookmarkStart w:id="191" w:name="_Toc217446095"/>
      <w:bookmarkEnd w:id="191"/>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一</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项目概述</w:t>
      </w:r>
    </w:p>
    <w:p>
      <w:pPr>
        <w:pStyle w:val="26"/>
        <w:shd w:val="clear" w:color="auto" w:fill="FFFFFF"/>
        <w:spacing w:line="560" w:lineRule="exact"/>
        <w:ind w:firstLine="560"/>
        <w:jc w:val="both"/>
        <w:rPr>
          <w:rFonts w:ascii="Times New Roman" w:hAnsi="Times New Roman" w:eastAsia="仿宋"/>
          <w:sz w:val="24"/>
          <w:szCs w:val="24"/>
        </w:rPr>
      </w:pPr>
      <w:r>
        <w:rPr>
          <w:rFonts w:ascii="Times New Roman" w:hAnsi="Times New Roman" w:eastAsia="仿宋"/>
          <w:sz w:val="24"/>
          <w:szCs w:val="24"/>
        </w:rPr>
        <w:t>持续深化安全发展示范城市建设，守牢安全生产红线底线，紧紧围绕“从根本上消除事故隐患”和“从根本上解决问题”，坚决遏制较大及以上生产安全事故，促进全区安全生产形势持续稳定向好。通过深化安全发展示范城市建设，构建横向到边、纵向到底的安全生产责任体系，进一步强化新都区城市安全与应急管理体系建设，巩固省级安全发展示范城市创建成果，进一步推动全区常态化、专业化巡查督查等安全生产各项制度和工作措施落地落实，切实将责任压实到最小工作单元，以实战为导向筑牢城市安全屏障，有效推动城市安全健康稳定发展。</w:t>
      </w:r>
    </w:p>
    <w:p>
      <w:pPr>
        <w:rPr>
          <w:rFonts w:ascii="Times New Roman" w:hAnsi="Times New Roman" w:eastAsia="仿宋"/>
          <w:b/>
          <w:bCs/>
          <w:sz w:val="24"/>
        </w:rPr>
      </w:pPr>
      <w:r>
        <w:rPr>
          <w:rFonts w:ascii="Times New Roman" w:hAnsi="Times New Roman" w:eastAsia="仿宋"/>
          <w:b/>
          <w:bCs/>
          <w:sz w:val="24"/>
        </w:rPr>
        <w:t>（二）项目服务要求</w:t>
      </w:r>
    </w:p>
    <w:p>
      <w:pPr>
        <w:pStyle w:val="26"/>
        <w:shd w:val="clear" w:color="auto" w:fill="FFFFFF"/>
        <w:spacing w:line="560" w:lineRule="exact"/>
        <w:ind w:firstLine="560"/>
        <w:jc w:val="both"/>
        <w:rPr>
          <w:rFonts w:ascii="Times New Roman" w:hAnsi="Times New Roman" w:eastAsia="仿宋"/>
          <w:sz w:val="24"/>
          <w:szCs w:val="24"/>
        </w:rPr>
      </w:pPr>
      <w:bookmarkStart w:id="192" w:name="_Toc426399938"/>
      <w:bookmarkStart w:id="193" w:name="_Toc7691"/>
      <w:bookmarkStart w:id="194" w:name="_Toc491614701"/>
      <w:r>
        <w:rPr>
          <w:rFonts w:ascii="Times New Roman" w:hAnsi="Times New Roman" w:eastAsia="仿宋"/>
          <w:sz w:val="24"/>
          <w:szCs w:val="24"/>
        </w:rPr>
        <w:t>1.持续深化省级安全发展示范城市建设。一是针对新都区城市安全仍存在短板的现状，协助各相关部门做好创建工作反馈问题整改，持续走深走实城市安全各项工作，完善城市安全发展体系建设。根据省级安全发展示范城市创建标准及三年“复评”等评价与管理要求，持续深化、巩固提升省级安全发展示范城市创建成果，持续做好成都市创建国家安全发展示范城市的部署任务。二是强化应急救援行动能力。梳理摸排，建设全区仓储重点安全风险“一张图”，梳理应急物资分布情况，提升应急物资管控能力，并实现信息化管控。提高重点应急预案可操作性，协助开展应急专业技能培训、比武。</w:t>
      </w:r>
    </w:p>
    <w:p>
      <w:pPr>
        <w:pStyle w:val="26"/>
        <w:shd w:val="clear" w:color="auto" w:fill="FFFFFF"/>
        <w:spacing w:line="560" w:lineRule="exact"/>
        <w:ind w:firstLine="560"/>
        <w:jc w:val="both"/>
        <w:rPr>
          <w:rFonts w:ascii="Times New Roman" w:hAnsi="Times New Roman" w:eastAsia="仿宋"/>
          <w:sz w:val="24"/>
          <w:szCs w:val="24"/>
        </w:rPr>
      </w:pPr>
      <w:r>
        <w:rPr>
          <w:rFonts w:ascii="Times New Roman" w:hAnsi="Times New Roman" w:eastAsia="仿宋"/>
          <w:sz w:val="24"/>
          <w:szCs w:val="24"/>
        </w:rPr>
        <w:t>2.全面推进安全生产清单制管理提档升级。按照省、市安委会最新要求，全面推动新都区清单制管理工作提档升级：一是优化升级重点行业领域安全生产清单（2.0版）。指导新都区重点行业按照“行业共性+企业个性”的原则，进一步优化责任清单。二是构建完善全区包保责任和对口联系机制。建立全区各级安全包保责任机制，理清全区各个层级对企业包片监管责任分工，形成对口联系清单。三是完善政府层面和企业层面履职尽责督导，建立推行常态化抓落实督导机制，梳理完善各级领导干部职责，全面实行领导干部履行安全生产工作职责年度登记报告制度。四是推动落实企业安全承诺，指导督促辖区重点行业领域企业建立安全生产承诺事项清单，同步推行企业安全生产年度承诺公示制度，接受员工和社会监督，把安全责任落实到企业车间、班组、操作一线最小工作单元。。五是全面深化打造“清单制+信息化”系统，支持政企各方便捷使用，建成支撑“清单履职、监管执法、风险防控、应急救援”等重点工作的综合系统。</w:t>
      </w:r>
    </w:p>
    <w:p>
      <w:pPr>
        <w:pStyle w:val="26"/>
        <w:shd w:val="clear" w:color="auto" w:fill="FFFFFF"/>
        <w:spacing w:line="560" w:lineRule="exact"/>
        <w:ind w:firstLine="560"/>
        <w:jc w:val="both"/>
        <w:rPr>
          <w:rFonts w:ascii="Times New Roman" w:hAnsi="Times New Roman" w:eastAsia="仿宋"/>
          <w:sz w:val="24"/>
          <w:szCs w:val="24"/>
        </w:rPr>
      </w:pPr>
      <w:r>
        <w:rPr>
          <w:rFonts w:ascii="Times New Roman" w:hAnsi="Times New Roman" w:eastAsia="仿宋"/>
          <w:sz w:val="24"/>
          <w:szCs w:val="24"/>
        </w:rPr>
        <w:t>3.构建</w:t>
      </w:r>
      <w:bookmarkStart w:id="195" w:name="_Hlk77168055"/>
      <w:r>
        <w:rPr>
          <w:rFonts w:ascii="Times New Roman" w:hAnsi="Times New Roman" w:eastAsia="仿宋"/>
          <w:sz w:val="24"/>
          <w:szCs w:val="24"/>
        </w:rPr>
        <w:t>排险除患长效机制，压实最小工作单元</w:t>
      </w:r>
      <w:bookmarkEnd w:id="195"/>
      <w:r>
        <w:rPr>
          <w:rFonts w:ascii="Times New Roman" w:hAnsi="Times New Roman" w:eastAsia="仿宋"/>
          <w:sz w:val="24"/>
          <w:szCs w:val="24"/>
        </w:rPr>
        <w:t>责任。构建实施四级包保责任机制“区党政领导→属地镇街、行业监管部门→村社区→最小单元（网格）”，融合运用“专业化+信息化”，着重提高基层一线隐患排查治理能力，构建完善排险除患长效管控机制，全面强化企业主体责任落实，打造履职全流程可控可追溯，将政企各方责任压实到最小工作单元。</w:t>
      </w:r>
    </w:p>
    <w:p>
      <w:pPr>
        <w:pStyle w:val="26"/>
        <w:shd w:val="clear" w:color="auto" w:fill="FFFFFF"/>
        <w:spacing w:line="560" w:lineRule="exact"/>
        <w:ind w:firstLine="560"/>
        <w:jc w:val="both"/>
        <w:rPr>
          <w:rFonts w:ascii="Times New Roman" w:hAnsi="Times New Roman" w:eastAsia="仿宋"/>
          <w:sz w:val="24"/>
          <w:szCs w:val="24"/>
        </w:rPr>
      </w:pPr>
      <w:r>
        <w:rPr>
          <w:rFonts w:ascii="Times New Roman" w:hAnsi="Times New Roman" w:eastAsia="仿宋"/>
          <w:sz w:val="24"/>
          <w:szCs w:val="24"/>
        </w:rPr>
        <w:t>4.为完成全面推动安全生产清单制管理提档升级、深化建设安全发展示范城市、将安全生产责任压实到最小工作单元等工作，协同采购人开展相关工作，供应商应具有安全、化工、信息化等相关专业技术职称人员。</w:t>
      </w:r>
    </w:p>
    <w:p>
      <w:pPr>
        <w:ind w:firstLine="482" w:firstLineChars="200"/>
        <w:rPr>
          <w:rFonts w:ascii="Times New Roman" w:hAnsi="Times New Roman" w:eastAsia="仿宋"/>
          <w:b/>
          <w:bCs/>
          <w:sz w:val="24"/>
        </w:rPr>
      </w:pPr>
      <w:r>
        <w:rPr>
          <w:rFonts w:ascii="Times New Roman" w:hAnsi="Times New Roman" w:eastAsia="仿宋"/>
          <w:b/>
          <w:bCs/>
          <w:sz w:val="24"/>
        </w:rPr>
        <w:t>（三）其他要求</w:t>
      </w:r>
    </w:p>
    <w:p>
      <w:pPr>
        <w:pStyle w:val="26"/>
        <w:shd w:val="clear" w:color="auto" w:fill="FFFFFF"/>
        <w:spacing w:line="560" w:lineRule="exact"/>
        <w:ind w:firstLine="560"/>
        <w:jc w:val="both"/>
        <w:rPr>
          <w:rFonts w:ascii="Times New Roman" w:hAnsi="Times New Roman" w:eastAsia="仿宋"/>
          <w:sz w:val="24"/>
          <w:szCs w:val="24"/>
        </w:rPr>
      </w:pPr>
      <w:bookmarkStart w:id="196" w:name="_Toc2727"/>
      <w:bookmarkStart w:id="197" w:name="_Toc276"/>
      <w:r>
        <w:rPr>
          <w:rFonts w:ascii="Times New Roman" w:hAnsi="Times New Roman" w:eastAsia="仿宋"/>
          <w:sz w:val="24"/>
          <w:szCs w:val="24"/>
        </w:rPr>
        <w:t>1.供应商应能提供适用于本项目且科学有效的对新都区各属地镇街、各行业领域的重大风险点位进行数据采集和分析的相关设备，以及相应分析处理能力。</w:t>
      </w:r>
    </w:p>
    <w:bookmarkEnd w:id="196"/>
    <w:bookmarkEnd w:id="197"/>
    <w:p>
      <w:pPr>
        <w:pStyle w:val="26"/>
        <w:shd w:val="clear" w:color="auto" w:fill="FFFFFF"/>
        <w:spacing w:line="560" w:lineRule="exact"/>
        <w:ind w:firstLine="560"/>
        <w:jc w:val="both"/>
        <w:rPr>
          <w:rFonts w:ascii="Times New Roman" w:hAnsi="Times New Roman" w:eastAsia="仿宋"/>
          <w:sz w:val="24"/>
          <w:szCs w:val="24"/>
        </w:rPr>
      </w:pPr>
      <w:bookmarkStart w:id="198" w:name="_Toc13248"/>
      <w:bookmarkStart w:id="199" w:name="_Toc18461"/>
      <w:r>
        <w:rPr>
          <w:rFonts w:ascii="Times New Roman" w:hAnsi="Times New Roman" w:eastAsia="仿宋"/>
          <w:sz w:val="24"/>
          <w:szCs w:val="24"/>
        </w:rPr>
        <w:t>2.供应商根据本项目实际情况，提供切实可行的项目实施服务方案，方案内容至少现状分析、服务内容、进度安排；人员安排；项目保障措施；制度保障；应急处置等。</w:t>
      </w:r>
      <w:bookmarkEnd w:id="192"/>
      <w:bookmarkEnd w:id="193"/>
      <w:bookmarkEnd w:id="194"/>
      <w:bookmarkEnd w:id="198"/>
      <w:bookmarkEnd w:id="199"/>
      <w:bookmarkStart w:id="200" w:name="_Toc426399939"/>
      <w:bookmarkStart w:id="201" w:name="_Toc491614702"/>
    </w:p>
    <w:bookmarkEnd w:id="200"/>
    <w:bookmarkEnd w:id="201"/>
    <w:p>
      <w:pPr>
        <w:rPr>
          <w:rFonts w:ascii="Times New Roman" w:hAnsi="Times New Roman" w:eastAsia="仿宋"/>
          <w:b/>
          <w:bCs/>
          <w:sz w:val="24"/>
        </w:rPr>
      </w:pPr>
      <w:r>
        <w:rPr>
          <w:rFonts w:hint="eastAsia" w:ascii="宋体" w:hAnsi="宋体" w:cs="宋体"/>
          <w:b/>
          <w:bCs/>
          <w:sz w:val="24"/>
        </w:rPr>
        <w:t>★</w:t>
      </w:r>
      <w:r>
        <w:rPr>
          <w:rFonts w:ascii="Times New Roman" w:hAnsi="Times New Roman" w:eastAsia="仿宋"/>
          <w:b/>
          <w:bCs/>
          <w:sz w:val="24"/>
        </w:rPr>
        <w:t>（四）商务要求：</w:t>
      </w:r>
    </w:p>
    <w:p>
      <w:pPr>
        <w:pStyle w:val="26"/>
        <w:shd w:val="clear" w:color="auto" w:fill="FFFFFF"/>
        <w:spacing w:line="560" w:lineRule="exact"/>
        <w:ind w:firstLine="560"/>
        <w:jc w:val="both"/>
        <w:rPr>
          <w:rFonts w:ascii="Times New Roman" w:hAnsi="Times New Roman" w:eastAsia="仿宋"/>
          <w:sz w:val="24"/>
          <w:szCs w:val="24"/>
        </w:rPr>
      </w:pPr>
      <w:bookmarkStart w:id="202" w:name="_Toc2651"/>
      <w:bookmarkStart w:id="203" w:name="_Toc154"/>
      <w:r>
        <w:rPr>
          <w:rFonts w:ascii="Times New Roman" w:hAnsi="Times New Roman" w:eastAsia="仿宋"/>
          <w:sz w:val="24"/>
          <w:szCs w:val="24"/>
        </w:rPr>
        <w:t>1、服务期限：合同签订之日起至2022年4月30日。</w:t>
      </w:r>
      <w:bookmarkEnd w:id="202"/>
      <w:bookmarkEnd w:id="203"/>
    </w:p>
    <w:p>
      <w:pPr>
        <w:pStyle w:val="26"/>
        <w:shd w:val="clear" w:color="auto" w:fill="FFFFFF"/>
        <w:spacing w:line="560" w:lineRule="exact"/>
        <w:ind w:firstLine="560"/>
        <w:jc w:val="both"/>
        <w:rPr>
          <w:rFonts w:ascii="Times New Roman" w:hAnsi="Times New Roman" w:eastAsia="仿宋"/>
          <w:sz w:val="24"/>
          <w:szCs w:val="24"/>
        </w:rPr>
      </w:pPr>
      <w:bookmarkStart w:id="204" w:name="_Toc12707"/>
      <w:bookmarkStart w:id="205" w:name="_Toc19009"/>
      <w:r>
        <w:rPr>
          <w:rFonts w:ascii="Times New Roman" w:hAnsi="Times New Roman" w:eastAsia="仿宋"/>
          <w:sz w:val="24"/>
          <w:szCs w:val="24"/>
        </w:rPr>
        <w:t>2、履约地点：采购人指定地点。</w:t>
      </w:r>
      <w:bookmarkEnd w:id="204"/>
      <w:bookmarkEnd w:id="205"/>
    </w:p>
    <w:p>
      <w:pPr>
        <w:pStyle w:val="26"/>
        <w:shd w:val="clear" w:color="auto" w:fill="FFFFFF"/>
        <w:spacing w:line="560" w:lineRule="exact"/>
        <w:ind w:firstLine="560"/>
        <w:jc w:val="both"/>
        <w:rPr>
          <w:rFonts w:ascii="Times New Roman" w:hAnsi="Times New Roman" w:eastAsia="仿宋"/>
          <w:sz w:val="24"/>
          <w:szCs w:val="24"/>
        </w:rPr>
      </w:pPr>
      <w:bookmarkStart w:id="206" w:name="_Toc20122"/>
      <w:bookmarkStart w:id="207" w:name="_Toc7495"/>
      <w:r>
        <w:rPr>
          <w:rFonts w:ascii="Times New Roman" w:hAnsi="Times New Roman" w:eastAsia="仿宋"/>
          <w:sz w:val="24"/>
          <w:szCs w:val="24"/>
        </w:rPr>
        <w:t>3、付款方式：合同签订后支付50%；完成合同主体工作内容后，经采购人认可后支付40%；项目验收合格后支付10%。</w:t>
      </w:r>
      <w:bookmarkEnd w:id="206"/>
      <w:bookmarkEnd w:id="207"/>
    </w:p>
    <w:p>
      <w:pPr>
        <w:pStyle w:val="26"/>
        <w:shd w:val="clear" w:color="auto" w:fill="FFFFFF"/>
        <w:spacing w:line="560" w:lineRule="exact"/>
        <w:ind w:firstLine="560"/>
        <w:jc w:val="both"/>
        <w:rPr>
          <w:rFonts w:ascii="Times New Roman" w:hAnsi="Times New Roman" w:eastAsia="仿宋"/>
          <w:sz w:val="24"/>
          <w:szCs w:val="24"/>
        </w:rPr>
      </w:pPr>
      <w:bookmarkStart w:id="208" w:name="_Toc4686"/>
      <w:bookmarkStart w:id="209" w:name="_Toc30301"/>
      <w:r>
        <w:rPr>
          <w:rFonts w:ascii="Times New Roman" w:hAnsi="Times New Roman" w:eastAsia="仿宋"/>
          <w:sz w:val="24"/>
          <w:szCs w:val="24"/>
        </w:rPr>
        <w:t>4、验收</w:t>
      </w:r>
      <w:bookmarkEnd w:id="208"/>
      <w:bookmarkEnd w:id="209"/>
    </w:p>
    <w:p>
      <w:pPr>
        <w:pStyle w:val="26"/>
        <w:shd w:val="clear" w:color="auto" w:fill="FFFFFF"/>
        <w:spacing w:line="560" w:lineRule="exact"/>
        <w:ind w:firstLine="560"/>
        <w:jc w:val="both"/>
        <w:rPr>
          <w:rFonts w:ascii="Times New Roman" w:hAnsi="Times New Roman" w:eastAsia="仿宋"/>
          <w:sz w:val="24"/>
          <w:szCs w:val="24"/>
        </w:rPr>
      </w:pPr>
      <w:bookmarkStart w:id="210" w:name="_Toc11987"/>
      <w:bookmarkStart w:id="211" w:name="_Toc7644"/>
      <w:r>
        <w:rPr>
          <w:rFonts w:ascii="Times New Roman" w:hAnsi="Times New Roman" w:eastAsia="仿宋"/>
          <w:sz w:val="24"/>
          <w:szCs w:val="24"/>
        </w:rPr>
        <w:t>（1）验收办法：中标供应商与采购人应参照《财政部关于进一步加强政府采购需求和履约验收管理的指导意见》（财库〔2016〕205号）的要求进行验收；</w:t>
      </w:r>
    </w:p>
    <w:p>
      <w:pPr>
        <w:pStyle w:val="26"/>
        <w:shd w:val="clear" w:color="auto" w:fill="FFFFFF"/>
        <w:spacing w:line="560" w:lineRule="exact"/>
        <w:ind w:firstLine="560"/>
        <w:jc w:val="both"/>
        <w:rPr>
          <w:rFonts w:ascii="Times New Roman" w:hAnsi="Times New Roman" w:eastAsia="仿宋"/>
          <w:sz w:val="24"/>
          <w:szCs w:val="24"/>
        </w:rPr>
      </w:pPr>
      <w:r>
        <w:rPr>
          <w:rFonts w:ascii="Times New Roman" w:hAnsi="Times New Roman" w:eastAsia="仿宋"/>
          <w:sz w:val="24"/>
          <w:szCs w:val="24"/>
        </w:rPr>
        <w:t>（2）验收标准：按国家有关规定、招标文件的质量要求和中标供应商的投标文件及承诺进行验收。</w:t>
      </w:r>
      <w:bookmarkEnd w:id="210"/>
      <w:bookmarkEnd w:id="211"/>
    </w:p>
    <w:p>
      <w:pPr>
        <w:keepNext w:val="0"/>
        <w:keepLines w:val="0"/>
        <w:widowControl/>
        <w:suppressLineNumbers w:val="0"/>
        <w:jc w:val="left"/>
        <w:rPr>
          <w:rFonts w:hint="eastAsia" w:ascii="仿宋" w:hAnsi="仿宋" w:eastAsia="仿宋" w:cs="仿宋"/>
          <w:b/>
          <w:bCs/>
          <w:color w:val="auto"/>
          <w:highlight w:val="none"/>
        </w:rPr>
      </w:pPr>
      <w:r>
        <w:rPr>
          <w:rFonts w:hint="eastAsia" w:ascii="仿宋" w:hAnsi="仿宋" w:eastAsia="仿宋" w:cs="仿宋"/>
          <w:b/>
          <w:bCs/>
          <w:color w:val="auto"/>
          <w:highlight w:val="none"/>
        </w:rPr>
        <w:t>注：</w:t>
      </w:r>
      <w:r>
        <w:rPr>
          <w:rFonts w:hint="eastAsia" w:ascii="仿宋" w:hAnsi="仿宋" w:eastAsia="仿宋" w:cs="仿宋"/>
          <w:b/>
          <w:bCs/>
          <w:color w:val="auto"/>
          <w:highlight w:val="none"/>
          <w:lang w:val="en-US" w:eastAsia="zh-CN"/>
        </w:rPr>
        <w:t>★为</w:t>
      </w:r>
      <w:r>
        <w:rPr>
          <w:rFonts w:hint="eastAsia" w:ascii="仿宋" w:hAnsi="仿宋" w:eastAsia="仿宋" w:cs="仿宋"/>
          <w:b/>
          <w:bCs/>
          <w:color w:val="auto"/>
          <w:highlight w:val="none"/>
        </w:rPr>
        <w:t>本项目实质性条款，不允许负偏离。</w:t>
      </w:r>
    </w:p>
    <w:p>
      <w:pPr>
        <w:pStyle w:val="8"/>
        <w:spacing w:after="0"/>
        <w:ind w:left="0" w:leftChars="0" w:firstLine="0" w:firstLineChars="0"/>
        <w:jc w:val="left"/>
        <w:rPr>
          <w:rFonts w:ascii="仿宋" w:hAnsi="仿宋" w:eastAsia="仿宋"/>
          <w:color w:val="000000" w:themeColor="text1"/>
          <w:sz w:val="24"/>
          <w14:textFill>
            <w14:solidFill>
              <w14:schemeClr w14:val="tx1"/>
            </w14:solidFill>
          </w14:textFill>
        </w:rPr>
      </w:pPr>
    </w:p>
    <w:p>
      <w:pPr>
        <w:pStyle w:val="8"/>
        <w:spacing w:line="400" w:lineRule="exact"/>
        <w:ind w:firstLine="482"/>
        <w:rPr>
          <w:rFonts w:ascii="仿宋" w:hAnsi="仿宋" w:eastAsia="仿宋"/>
          <w:b/>
          <w:bCs/>
          <w:color w:val="000000" w:themeColor="text1"/>
          <w:sz w:val="24"/>
          <w14:textFill>
            <w14:solidFill>
              <w14:schemeClr w14:val="tx1"/>
            </w14:solidFill>
          </w14:textFill>
        </w:rPr>
      </w:pPr>
    </w:p>
    <w:p>
      <w:pPr>
        <w:pStyle w:val="3"/>
        <w:spacing w:line="400" w:lineRule="exact"/>
        <w:jc w:val="center"/>
        <w:rPr>
          <w:rFonts w:ascii="仿宋" w:hAnsi="仿宋" w:eastAsia="仿宋"/>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bookmarkStart w:id="212" w:name="_Toc24786"/>
    </w:p>
    <w:p>
      <w:pPr>
        <w:pStyle w:val="3"/>
        <w:spacing w:line="400" w:lineRule="exact"/>
        <w:jc w:val="center"/>
        <w:rPr>
          <w:rFonts w:ascii="仿宋" w:hAnsi="仿宋" w:eastAsia="仿宋"/>
          <w:color w:val="000000" w:themeColor="text1"/>
          <w:sz w:val="36"/>
          <w:szCs w:val="36"/>
          <w14:textFill>
            <w14:solidFill>
              <w14:schemeClr w14:val="tx1"/>
            </w14:solidFill>
          </w14:textFill>
        </w:rPr>
      </w:pPr>
      <w:bookmarkStart w:id="213" w:name="_Toc74312831"/>
      <w:r>
        <w:rPr>
          <w:rFonts w:hint="eastAsia" w:ascii="仿宋" w:hAnsi="仿宋" w:eastAsia="仿宋"/>
          <w:color w:val="000000" w:themeColor="text1"/>
          <w:sz w:val="36"/>
          <w:szCs w:val="36"/>
          <w14:textFill>
            <w14:solidFill>
              <w14:schemeClr w14:val="tx1"/>
            </w14:solidFill>
          </w14:textFill>
        </w:rPr>
        <w:t>第七章  评标办法</w:t>
      </w:r>
      <w:bookmarkEnd w:id="212"/>
      <w:bookmarkEnd w:id="213"/>
      <w:bookmarkStart w:id="214" w:name="_Hlt101846155"/>
      <w:bookmarkEnd w:id="214"/>
      <w:bookmarkStart w:id="215" w:name="_Toc217446097"/>
      <w:bookmarkStart w:id="216" w:name="_Toc183582280"/>
      <w:bookmarkStart w:id="217" w:name="_Toc208849007"/>
      <w:bookmarkStart w:id="218" w:name="_Toc183682415"/>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 总则</w:t>
      </w:r>
      <w:bookmarkEnd w:id="215"/>
      <w:bookmarkEnd w:id="216"/>
      <w:bookmarkEnd w:id="217"/>
      <w:bookmarkEnd w:id="218"/>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color w:val="000000" w:themeColor="text1"/>
          <w:sz w:val="24"/>
          <w14:textFill>
            <w14:solidFill>
              <w14:schemeClr w14:val="tx1"/>
            </w14:solidFill>
          </w14:textFill>
        </w:rPr>
        <w:t>进行审查</w:t>
      </w:r>
      <w:r>
        <w:rPr>
          <w:rFonts w:hint="eastAsia" w:ascii="仿宋" w:hAnsi="仿宋" w:eastAsia="仿宋"/>
          <w:color w:val="000000" w:themeColor="text1"/>
          <w:sz w:val="24"/>
          <w14:textFill>
            <w14:solidFill>
              <w14:schemeClr w14:val="tx1"/>
            </w14:solidFill>
          </w14:textFill>
        </w:rPr>
        <w:t>，以确定投标供应商是否具备投标资格。</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 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 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219" w:name="_Toc217446098"/>
      <w:r>
        <w:rPr>
          <w:rFonts w:hint="eastAsia" w:ascii="仿宋" w:hAnsi="仿宋" w:eastAsia="仿宋"/>
          <w:color w:val="000000" w:themeColor="text1"/>
          <w:sz w:val="24"/>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（五）起草评标报告并进行签署；</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 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2.评标</w:t>
      </w:r>
      <w:bookmarkEnd w:id="219"/>
      <w:r>
        <w:rPr>
          <w:rFonts w:hint="eastAsia" w:ascii="仿宋" w:hAnsi="仿宋" w:eastAsia="仿宋"/>
          <w:color w:val="000000" w:themeColor="text1"/>
          <w:sz w:val="24"/>
          <w:szCs w:val="24"/>
          <w14:textFill>
            <w14:solidFill>
              <w14:schemeClr w14:val="tx1"/>
            </w14:solidFill>
          </w14:textFill>
        </w:rPr>
        <w:t>方法</w:t>
      </w:r>
    </w:p>
    <w:p>
      <w:pPr>
        <w:spacing w:line="360" w:lineRule="auto"/>
        <w:ind w:firstLine="480" w:firstLineChars="200"/>
        <w:rPr>
          <w:rFonts w:ascii="仿宋" w:hAnsi="仿宋" w:eastAsia="仿宋"/>
          <w:color w:val="000000" w:themeColor="text1"/>
          <w:sz w:val="24"/>
          <w14:textFill>
            <w14:solidFill>
              <w14:schemeClr w14:val="tx1"/>
            </w14:solidFill>
          </w14:textFill>
        </w:rPr>
      </w:pPr>
      <w:bookmarkStart w:id="220" w:name="_Toc217446103"/>
      <w:bookmarkStart w:id="221" w:name="_Toc217446099"/>
      <w:r>
        <w:rPr>
          <w:rFonts w:hint="eastAsia" w:ascii="仿宋" w:hAnsi="仿宋" w:eastAsia="仿宋"/>
          <w:color w:val="000000" w:themeColor="text1"/>
          <w:sz w:val="24"/>
          <w14:textFill>
            <w14:solidFill>
              <w14:schemeClr w14:val="tx1"/>
            </w14:solidFill>
          </w14:textFill>
        </w:rPr>
        <w:t>2.1本项目评标方法为：</w:t>
      </w:r>
      <w:r>
        <w:rPr>
          <w:rFonts w:hint="eastAsia" w:ascii="仿宋" w:hAnsi="仿宋" w:eastAsia="仿宋"/>
          <w:b/>
          <w:bCs/>
          <w:color w:val="000000" w:themeColor="text1"/>
          <w:sz w:val="24"/>
          <w14:textFill>
            <w14:solidFill>
              <w14:schemeClr w14:val="tx1"/>
            </w14:solidFill>
          </w14:textFill>
        </w:rPr>
        <w:t>综合评分法</w:t>
      </w:r>
      <w:r>
        <w:rPr>
          <w:rFonts w:hint="eastAsia" w:ascii="仿宋" w:hAnsi="仿宋" w:eastAsia="仿宋"/>
          <w:color w:val="000000" w:themeColor="text1"/>
          <w:sz w:val="24"/>
          <w14:textFill>
            <w14:solidFill>
              <w14:schemeClr w14:val="tx1"/>
            </w14:solidFill>
          </w14:textFill>
        </w:rPr>
        <w:t>。</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3.评标程序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3.2.1评标委员会依据本招标文件的</w:t>
      </w:r>
      <w:r>
        <w:rPr>
          <w:rFonts w:hint="eastAsia" w:ascii="仿宋" w:hAnsi="仿宋" w:eastAsia="仿宋"/>
          <w:b/>
          <w:bCs/>
          <w:color w:val="000000" w:themeColor="text1"/>
          <w:sz w:val="24"/>
          <w14:textFill>
            <w14:solidFill>
              <w14:schemeClr w14:val="tx1"/>
            </w14:solidFill>
          </w14:textFill>
        </w:rPr>
        <w:t>实质性要求及无效投标情形</w:t>
      </w:r>
      <w:r>
        <w:rPr>
          <w:rFonts w:hint="eastAsia" w:ascii="仿宋" w:hAnsi="仿宋" w:eastAsia="仿宋"/>
          <w:color w:val="000000" w:themeColor="text1"/>
          <w:sz w:val="24"/>
          <w14:textFill>
            <w14:solidFill>
              <w14:schemeClr w14:val="tx1"/>
            </w14:solidFill>
          </w14:textFill>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8"/>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01"/>
        <w:gridCol w:w="4912"/>
        <w:gridCol w:w="11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noWrap w:val="0"/>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序号</w:t>
            </w:r>
          </w:p>
        </w:tc>
        <w:tc>
          <w:tcPr>
            <w:tcW w:w="2601" w:type="dxa"/>
            <w:noWrap w:val="0"/>
            <w:vAlign w:val="center"/>
          </w:tcPr>
          <w:p>
            <w:pPr>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符合性审查项</w:t>
            </w:r>
          </w:p>
        </w:tc>
        <w:tc>
          <w:tcPr>
            <w:tcW w:w="4912" w:type="dxa"/>
            <w:noWrap w:val="0"/>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通过条件</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r>
              <w:rPr>
                <w:rFonts w:hint="eastAsia" w:ascii="仿宋" w:hAnsi="仿宋" w:eastAsia="仿宋" w:cs="仿宋"/>
                <w:b/>
                <w:bCs/>
                <w:kern w:val="0"/>
                <w:sz w:val="24"/>
                <w:szCs w:val="24"/>
              </w:rPr>
              <w:t>结论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5" w:type="dxa"/>
            <w:noWrap w:val="0"/>
            <w:vAlign w:val="center"/>
          </w:tcPr>
          <w:p>
            <w:pPr>
              <w:ind w:firstLine="0" w:firstLineChars="0"/>
              <w:jc w:val="center"/>
              <w:rPr>
                <w:rFonts w:hint="eastAsia" w:ascii="仿宋" w:hAnsi="仿宋" w:eastAsia="仿宋" w:cs="仿宋"/>
                <w:bCs/>
                <w:kern w:val="0"/>
                <w:sz w:val="24"/>
                <w:szCs w:val="24"/>
                <w:lang w:eastAsia="zh-CN"/>
              </w:rPr>
            </w:pPr>
            <w:r>
              <w:rPr>
                <w:rFonts w:hint="eastAsia" w:ascii="仿宋" w:hAnsi="仿宋" w:eastAsia="仿宋" w:cs="仿宋"/>
                <w:bCs/>
                <w:kern w:val="0"/>
                <w:sz w:val="24"/>
                <w:szCs w:val="24"/>
                <w:lang w:val="en-US" w:eastAsia="zh-CN"/>
              </w:rPr>
              <w:t>1</w:t>
            </w:r>
          </w:p>
        </w:tc>
        <w:tc>
          <w:tcPr>
            <w:tcW w:w="2601" w:type="dxa"/>
            <w:noWrap w:val="0"/>
            <w:vAlign w:val="center"/>
          </w:tcPr>
          <w:p>
            <w:pPr>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投标文件盖章</w:t>
            </w:r>
          </w:p>
        </w:tc>
        <w:tc>
          <w:tcPr>
            <w:tcW w:w="4912" w:type="dxa"/>
            <w:noWrap w:val="0"/>
            <w:vAlign w:val="center"/>
          </w:tcPr>
          <w:p>
            <w:pPr>
              <w:ind w:firstLine="0" w:firstLineChars="0"/>
              <w:jc w:val="left"/>
              <w:rPr>
                <w:rFonts w:hint="eastAsia" w:ascii="仿宋" w:hAnsi="仿宋" w:eastAsia="仿宋" w:cs="仿宋"/>
                <w:bCs/>
                <w:kern w:val="0"/>
                <w:sz w:val="24"/>
                <w:szCs w:val="24"/>
              </w:rPr>
            </w:pPr>
            <w:r>
              <w:rPr>
                <w:rFonts w:hint="eastAsia" w:ascii="仿宋" w:hAnsi="仿宋" w:eastAsia="仿宋" w:cs="仿宋"/>
                <w:sz w:val="24"/>
                <w:szCs w:val="24"/>
              </w:rPr>
              <w:t xml:space="preserve">投标文件均按招标文件要求盖章（评分标准中要求提供的证明材料除外）。 </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5" w:type="dxa"/>
            <w:noWrap w:val="0"/>
            <w:vAlign w:val="center"/>
          </w:tcPr>
          <w:p>
            <w:pPr>
              <w:ind w:firstLine="0" w:firstLineChars="0"/>
              <w:jc w:val="center"/>
              <w:rPr>
                <w:rFonts w:hint="default"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2</w:t>
            </w:r>
          </w:p>
        </w:tc>
        <w:tc>
          <w:tcPr>
            <w:tcW w:w="2601" w:type="dxa"/>
            <w:noWrap w:val="0"/>
            <w:vAlign w:val="center"/>
          </w:tcPr>
          <w:p>
            <w:pPr>
              <w:widowControl/>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投标文件的计量单位、语言、报价货币、投标有效期、知识产权</w:t>
            </w:r>
          </w:p>
        </w:tc>
        <w:tc>
          <w:tcPr>
            <w:tcW w:w="4912" w:type="dxa"/>
            <w:noWrap w:val="0"/>
            <w:vAlign w:val="center"/>
          </w:tcPr>
          <w:p>
            <w:pPr>
              <w:ind w:firstLine="0" w:firstLineChars="0"/>
              <w:rPr>
                <w:rFonts w:hint="eastAsia" w:ascii="仿宋" w:hAnsi="仿宋" w:eastAsia="仿宋" w:cs="仿宋"/>
                <w:bCs/>
                <w:kern w:val="0"/>
                <w:sz w:val="24"/>
                <w:szCs w:val="24"/>
              </w:rPr>
            </w:pPr>
            <w:r>
              <w:rPr>
                <w:rFonts w:hint="eastAsia" w:ascii="仿宋" w:hAnsi="仿宋" w:eastAsia="仿宋" w:cs="仿宋"/>
                <w:sz w:val="24"/>
                <w:szCs w:val="24"/>
              </w:rPr>
              <w:t>计量单位、语言、报价货币、投标有效期、知识产权均符合招标文件的要求。</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75" w:type="dxa"/>
            <w:noWrap w:val="0"/>
            <w:vAlign w:val="center"/>
          </w:tcPr>
          <w:p>
            <w:pPr>
              <w:ind w:firstLine="0" w:firstLineChars="0"/>
              <w:jc w:val="center"/>
              <w:rPr>
                <w:rFonts w:hint="eastAsia" w:ascii="仿宋" w:hAnsi="仿宋" w:eastAsia="仿宋" w:cs="仿宋"/>
                <w:bCs/>
                <w:kern w:val="0"/>
                <w:sz w:val="24"/>
                <w:szCs w:val="24"/>
                <w:lang w:eastAsia="zh-CN"/>
              </w:rPr>
            </w:pPr>
            <w:r>
              <w:rPr>
                <w:rFonts w:hint="eastAsia" w:ascii="仿宋" w:hAnsi="仿宋" w:eastAsia="仿宋" w:cs="仿宋"/>
                <w:bCs/>
                <w:kern w:val="0"/>
                <w:sz w:val="24"/>
                <w:szCs w:val="24"/>
                <w:lang w:val="en-US" w:eastAsia="zh-CN"/>
              </w:rPr>
              <w:t>3</w:t>
            </w:r>
          </w:p>
        </w:tc>
        <w:tc>
          <w:tcPr>
            <w:tcW w:w="2601" w:type="dxa"/>
            <w:noWrap w:val="0"/>
            <w:vAlign w:val="center"/>
          </w:tcPr>
          <w:p>
            <w:pPr>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投标报价</w:t>
            </w:r>
          </w:p>
        </w:tc>
        <w:tc>
          <w:tcPr>
            <w:tcW w:w="4912" w:type="dxa"/>
            <w:noWrap w:val="0"/>
            <w:vAlign w:val="center"/>
          </w:tcPr>
          <w:p>
            <w:pPr>
              <w:ind w:firstLine="0" w:firstLineChars="0"/>
              <w:jc w:val="left"/>
              <w:rPr>
                <w:rFonts w:hint="eastAsia" w:ascii="仿宋" w:hAnsi="仿宋" w:eastAsia="仿宋" w:cs="仿宋"/>
                <w:b/>
                <w:bCs/>
                <w:kern w:val="0"/>
                <w:sz w:val="24"/>
                <w:szCs w:val="24"/>
              </w:rPr>
            </w:pPr>
            <w:r>
              <w:rPr>
                <w:rFonts w:hint="eastAsia" w:ascii="仿宋" w:hAnsi="仿宋" w:eastAsia="仿宋" w:cs="仿宋"/>
                <w:bCs/>
                <w:kern w:val="0"/>
                <w:sz w:val="24"/>
                <w:szCs w:val="24"/>
              </w:rPr>
              <w:t>1、符合招标文件第二章须知前附表第1</w:t>
            </w:r>
            <w:r>
              <w:rPr>
                <w:rFonts w:hint="eastAsia" w:ascii="仿宋" w:hAnsi="仿宋" w:eastAsia="仿宋" w:cs="仿宋"/>
                <w:bCs/>
                <w:kern w:val="0"/>
                <w:sz w:val="24"/>
                <w:szCs w:val="24"/>
                <w:lang w:eastAsia="zh-CN"/>
              </w:rPr>
              <w:t>、</w:t>
            </w:r>
            <w:r>
              <w:rPr>
                <w:rFonts w:hint="eastAsia" w:ascii="仿宋" w:hAnsi="仿宋" w:eastAsia="仿宋" w:cs="仿宋"/>
                <w:bCs/>
                <w:kern w:val="0"/>
                <w:sz w:val="24"/>
                <w:szCs w:val="24"/>
                <w:lang w:val="en-US" w:eastAsia="zh-CN"/>
              </w:rPr>
              <w:t>2</w:t>
            </w:r>
            <w:r>
              <w:rPr>
                <w:rFonts w:hint="eastAsia" w:ascii="仿宋" w:hAnsi="仿宋" w:eastAsia="仿宋" w:cs="仿宋"/>
                <w:bCs/>
                <w:kern w:val="0"/>
                <w:sz w:val="24"/>
                <w:szCs w:val="24"/>
              </w:rPr>
              <w:t>项的规定；2、按招标文件第二章须知前附表第</w:t>
            </w:r>
            <w:r>
              <w:rPr>
                <w:rFonts w:hint="eastAsia" w:ascii="仿宋" w:hAnsi="仿宋" w:eastAsia="仿宋" w:cs="仿宋"/>
                <w:bCs/>
                <w:kern w:val="0"/>
                <w:sz w:val="24"/>
                <w:szCs w:val="24"/>
                <w:lang w:val="en-US" w:eastAsia="zh-CN"/>
              </w:rPr>
              <w:t>3</w:t>
            </w:r>
            <w:r>
              <w:rPr>
                <w:rFonts w:hint="eastAsia" w:ascii="仿宋" w:hAnsi="仿宋" w:eastAsia="仿宋" w:cs="仿宋"/>
                <w:bCs/>
                <w:kern w:val="0"/>
                <w:sz w:val="24"/>
                <w:szCs w:val="24"/>
              </w:rPr>
              <w:t>项的规定，不属于以低于成本价竞争；【注：（1）</w:t>
            </w:r>
            <w:r>
              <w:rPr>
                <w:rFonts w:hint="eastAsia" w:ascii="仿宋" w:hAnsi="仿宋" w:eastAsia="仿宋" w:cs="仿宋"/>
                <w:sz w:val="24"/>
                <w:szCs w:val="24"/>
              </w:rPr>
              <w:t>报价唯一（说明：投标报价出现下列情况的，按以下原则处理，并以修正后的价格作为投标人的投标报价：</w:t>
            </w:r>
            <w:r>
              <w:rPr>
                <w:rFonts w:hint="eastAsia" w:ascii="仿宋" w:hAnsi="仿宋" w:eastAsia="仿宋" w:cs="仿宋"/>
                <w:kern w:val="0"/>
                <w:sz w:val="24"/>
                <w:szCs w:val="24"/>
              </w:rPr>
              <w:t>①</w:t>
            </w:r>
            <w:r>
              <w:rPr>
                <w:rFonts w:hint="eastAsia" w:ascii="仿宋" w:hAnsi="仿宋" w:eastAsia="仿宋" w:cs="仿宋"/>
                <w:sz w:val="24"/>
                <w:szCs w:val="24"/>
              </w:rPr>
              <w:t>投标文件中的大写金额和小写金额不一致的，以大写金额为准，但大写金额出现文字错误，导致金额无法判断的除外；②总价金额与按单价汇总金额不一致的，以单价汇总金额计算结果为准，但单价金额出现计算错误、明显人为工作失误的除外；③单价金额小数点有明显错位的，应以总价为准，并修改单价；（2）投标报价应包含本次招标要求的所有货物及服务的费用】。</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5" w:type="dxa"/>
            <w:noWrap w:val="0"/>
            <w:vAlign w:val="center"/>
          </w:tcPr>
          <w:p>
            <w:pPr>
              <w:ind w:firstLine="0" w:firstLineChars="0"/>
              <w:jc w:val="center"/>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4</w:t>
            </w:r>
          </w:p>
        </w:tc>
        <w:tc>
          <w:tcPr>
            <w:tcW w:w="2601" w:type="dxa"/>
            <w:noWrap w:val="0"/>
            <w:vAlign w:val="center"/>
          </w:tcPr>
          <w:p>
            <w:pPr>
              <w:ind w:firstLine="0" w:firstLineChars="0"/>
              <w:jc w:val="center"/>
              <w:rPr>
                <w:rFonts w:hint="eastAsia" w:ascii="仿宋" w:hAnsi="仿宋" w:eastAsia="仿宋" w:cs="仿宋"/>
                <w:bCs/>
                <w:kern w:val="0"/>
                <w:sz w:val="24"/>
                <w:szCs w:val="24"/>
              </w:rPr>
            </w:pPr>
            <w:r>
              <w:rPr>
                <w:rFonts w:hint="eastAsia" w:ascii="仿宋" w:hAnsi="仿宋" w:eastAsia="仿宋" w:cs="仿宋"/>
                <w:bCs/>
                <w:kern w:val="0"/>
                <w:sz w:val="24"/>
                <w:szCs w:val="24"/>
              </w:rPr>
              <w:t>第6章列为实质性条款的</w:t>
            </w:r>
            <w:r>
              <w:rPr>
                <w:rFonts w:hint="eastAsia" w:ascii="仿宋" w:hAnsi="仿宋" w:eastAsia="仿宋" w:cs="仿宋"/>
                <w:bCs/>
                <w:kern w:val="0"/>
                <w:sz w:val="24"/>
                <w:szCs w:val="24"/>
                <w:lang w:val="en-US" w:eastAsia="zh-CN"/>
              </w:rPr>
              <w:t>技术</w:t>
            </w:r>
            <w:r>
              <w:rPr>
                <w:rFonts w:hint="eastAsia" w:ascii="仿宋" w:hAnsi="仿宋" w:eastAsia="仿宋" w:cs="仿宋"/>
                <w:bCs/>
                <w:kern w:val="0"/>
                <w:sz w:val="24"/>
                <w:szCs w:val="24"/>
              </w:rPr>
              <w:t>、商务和其他要求</w:t>
            </w:r>
          </w:p>
        </w:tc>
        <w:tc>
          <w:tcPr>
            <w:tcW w:w="4912" w:type="dxa"/>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投标文件均实质性响应招标文件中列为实质性条款的</w:t>
            </w:r>
            <w:r>
              <w:rPr>
                <w:rFonts w:hint="eastAsia" w:ascii="仿宋" w:hAnsi="仿宋" w:eastAsia="仿宋" w:cs="仿宋"/>
                <w:sz w:val="24"/>
                <w:szCs w:val="24"/>
                <w:lang w:val="en-US" w:eastAsia="zh-CN"/>
              </w:rPr>
              <w:t>技术</w:t>
            </w:r>
            <w:r>
              <w:rPr>
                <w:rFonts w:hint="eastAsia" w:ascii="仿宋" w:hAnsi="仿宋" w:eastAsia="仿宋" w:cs="仿宋"/>
                <w:sz w:val="24"/>
                <w:szCs w:val="24"/>
              </w:rPr>
              <w:t>、商务和其他要求。</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75" w:type="dxa"/>
            <w:noWrap w:val="0"/>
            <w:vAlign w:val="center"/>
          </w:tcPr>
          <w:p>
            <w:pPr>
              <w:ind w:firstLine="0" w:firstLineChars="0"/>
              <w:jc w:val="center"/>
              <w:rPr>
                <w:rFonts w:hint="eastAsia" w:ascii="仿宋" w:hAnsi="仿宋" w:eastAsia="仿宋" w:cs="仿宋"/>
                <w:bCs/>
                <w:kern w:val="0"/>
                <w:sz w:val="24"/>
                <w:szCs w:val="24"/>
                <w:lang w:eastAsia="zh-CN"/>
              </w:rPr>
            </w:pPr>
            <w:r>
              <w:rPr>
                <w:rFonts w:hint="eastAsia" w:ascii="仿宋" w:hAnsi="仿宋" w:eastAsia="仿宋" w:cs="仿宋"/>
                <w:bCs/>
                <w:kern w:val="0"/>
                <w:sz w:val="24"/>
                <w:szCs w:val="24"/>
                <w:lang w:val="en-US" w:eastAsia="zh-CN"/>
              </w:rPr>
              <w:t>5</w:t>
            </w:r>
          </w:p>
        </w:tc>
        <w:tc>
          <w:tcPr>
            <w:tcW w:w="2601" w:type="dxa"/>
            <w:noWrap w:val="0"/>
            <w:vAlign w:val="center"/>
          </w:tcPr>
          <w:p>
            <w:pPr>
              <w:ind w:firstLine="0" w:firstLineChars="0"/>
              <w:jc w:val="left"/>
              <w:rPr>
                <w:rFonts w:hint="eastAsia" w:ascii="仿宋" w:hAnsi="仿宋" w:eastAsia="仿宋" w:cs="仿宋"/>
                <w:bCs/>
                <w:kern w:val="0"/>
                <w:sz w:val="24"/>
                <w:szCs w:val="24"/>
              </w:rPr>
            </w:pPr>
            <w:r>
              <w:rPr>
                <w:rFonts w:hint="eastAsia" w:ascii="仿宋" w:hAnsi="仿宋" w:eastAsia="仿宋" w:cs="仿宋"/>
                <w:bCs/>
                <w:kern w:val="0"/>
                <w:sz w:val="24"/>
                <w:szCs w:val="24"/>
              </w:rPr>
              <w:t>招标文件规定的无效情形</w:t>
            </w:r>
          </w:p>
        </w:tc>
        <w:tc>
          <w:tcPr>
            <w:tcW w:w="4912" w:type="dxa"/>
            <w:noWrap w:val="0"/>
            <w:vAlign w:val="center"/>
          </w:tcPr>
          <w:p>
            <w:pPr>
              <w:ind w:firstLine="0" w:firstLineChars="0"/>
              <w:jc w:val="left"/>
              <w:rPr>
                <w:rFonts w:hint="eastAsia" w:ascii="仿宋" w:hAnsi="仿宋" w:eastAsia="仿宋" w:cs="仿宋"/>
                <w:bCs/>
                <w:kern w:val="0"/>
                <w:sz w:val="24"/>
                <w:szCs w:val="24"/>
                <w:lang w:val="en-US" w:eastAsia="zh-CN"/>
              </w:rPr>
            </w:pPr>
            <w:r>
              <w:rPr>
                <w:rFonts w:hint="eastAsia" w:ascii="仿宋" w:hAnsi="仿宋" w:eastAsia="仿宋" w:cs="仿宋"/>
                <w:bCs/>
                <w:kern w:val="0"/>
                <w:sz w:val="24"/>
                <w:szCs w:val="24"/>
                <w:lang w:val="en-US" w:eastAsia="zh-CN"/>
              </w:rPr>
              <w:t>1.投标人串通投标；2.投标人非法干预评标过程；3.招标文件规定的其他无效情形。</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188" w:type="dxa"/>
            <w:gridSpan w:val="3"/>
            <w:noWrap w:val="0"/>
            <w:vAlign w:val="center"/>
          </w:tcPr>
          <w:p>
            <w:pPr>
              <w:widowControl/>
              <w:ind w:firstLine="0" w:firstLineChars="0"/>
              <w:jc w:val="center"/>
              <w:rPr>
                <w:rFonts w:hint="eastAsia" w:ascii="仿宋" w:hAnsi="仿宋" w:eastAsia="仿宋" w:cs="仿宋"/>
                <w:bCs/>
                <w:kern w:val="0"/>
                <w:sz w:val="24"/>
                <w:szCs w:val="24"/>
              </w:rPr>
            </w:pPr>
            <w:r>
              <w:rPr>
                <w:rFonts w:hint="eastAsia" w:ascii="仿宋" w:hAnsi="仿宋" w:eastAsia="仿宋" w:cs="仿宋"/>
                <w:bCs/>
                <w:kern w:val="0"/>
                <w:sz w:val="24"/>
                <w:szCs w:val="24"/>
              </w:rPr>
              <w:t>结论</w:t>
            </w:r>
          </w:p>
        </w:tc>
        <w:tc>
          <w:tcPr>
            <w:tcW w:w="1134" w:type="dxa"/>
            <w:noWrap w:val="0"/>
            <w:vAlign w:val="center"/>
          </w:tcPr>
          <w:p>
            <w:pPr>
              <w:widowControl/>
              <w:ind w:firstLine="0" w:firstLineChars="0"/>
              <w:jc w:val="center"/>
              <w:rPr>
                <w:rFonts w:hint="eastAsia" w:ascii="仿宋" w:hAnsi="仿宋" w:eastAsia="仿宋" w:cs="仿宋"/>
                <w:b/>
                <w:bCs/>
                <w:kern w:val="0"/>
                <w:sz w:val="24"/>
                <w:szCs w:val="24"/>
              </w:rPr>
            </w:pPr>
          </w:p>
        </w:tc>
      </w:tr>
    </w:tbl>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3.8.2</w:t>
      </w:r>
      <w:r>
        <w:rPr>
          <w:rFonts w:hint="eastAsia" w:ascii="仿宋" w:hAnsi="仿宋" w:eastAsia="仿宋"/>
          <w:color w:val="000000" w:themeColor="text1"/>
          <w:sz w:val="24"/>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000000" w:themeColor="text1"/>
          <w:sz w:val="24"/>
          <w14:textFill>
            <w14:solidFill>
              <w14:schemeClr w14:val="tx1"/>
            </w14:solidFill>
          </w14:textFill>
        </w:rPr>
        <w:t>澄清、说明或者更正不影响投标文件的效力，有效的澄清、说明或者更正材料，是投标文件的组成部分。</w:t>
      </w:r>
      <w:r>
        <w:rPr>
          <w:rFonts w:hint="eastAsia" w:ascii="仿宋" w:hAnsi="仿宋" w:eastAsia="仿宋"/>
          <w:color w:val="000000" w:themeColor="text1"/>
          <w:sz w:val="24"/>
          <w:lang w:val="zh-CN"/>
          <w14:textFill>
            <w14:solidFill>
              <w14:schemeClr w14:val="tx1"/>
            </w14:solidFill>
          </w14:textFill>
        </w:rPr>
        <w:t>如因系统故障</w:t>
      </w:r>
      <w:r>
        <w:rPr>
          <w:rFonts w:hint="eastAsia" w:ascii="仿宋" w:hAnsi="仿宋" w:eastAsia="仿宋" w:cs="仿宋"/>
          <w:bCs/>
          <w:color w:val="000000" w:themeColor="text1"/>
          <w:sz w:val="24"/>
          <w:lang w:val="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包括组织场所停电、断网等）</w:t>
      </w:r>
      <w:r>
        <w:rPr>
          <w:rFonts w:hint="eastAsia" w:ascii="仿宋" w:hAnsi="仿宋" w:eastAsia="仿宋"/>
          <w:color w:val="000000" w:themeColor="text1"/>
          <w:sz w:val="24"/>
          <w:lang w:val="zh-CN"/>
          <w14:textFill>
            <w14:solidFill>
              <w14:schemeClr w14:val="tx1"/>
            </w14:solidFill>
          </w14:textFill>
        </w:rPr>
        <w:t>导致系统无法使用的，由投标人按评标委员会的要求进行澄清或者说明。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3.8.4 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注：</w:t>
      </w:r>
      <w:r>
        <w:rPr>
          <w:rFonts w:hint="eastAsia" w:ascii="仿宋" w:hAnsi="仿宋" w:eastAsia="仿宋"/>
          <w:b/>
          <w:bCs/>
          <w:color w:val="000000" w:themeColor="text1"/>
          <w:lang w:val="zh-CN"/>
          <w14:textFill>
            <w14:solidFill>
              <w14:schemeClr w14:val="tx1"/>
            </w14:solidFill>
          </w14:textFill>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000000" w:themeColor="text1"/>
          <w14:textFill>
            <w14:solidFill>
              <w14:schemeClr w14:val="tx1"/>
            </w14:solidFill>
          </w14:textFill>
        </w:rPr>
        <w:t>30分钟，供应商已明确表示澄清、说明完毕的除外</w:t>
      </w:r>
      <w:r>
        <w:rPr>
          <w:rFonts w:hint="eastAsia" w:ascii="仿宋" w:hAnsi="仿宋" w:eastAsia="仿宋"/>
          <w:b/>
          <w:bCs/>
          <w:color w:val="000000" w:themeColor="text1"/>
          <w:lang w:val="zh-CN"/>
          <w14:textFill>
            <w14:solidFill>
              <w14:schemeClr w14:val="tx1"/>
            </w14:solidFill>
          </w14:textFill>
        </w:rPr>
        <w:t>）。如因系统故障（</w:t>
      </w:r>
      <w:r>
        <w:rPr>
          <w:rFonts w:hint="eastAsia" w:ascii="仿宋" w:hAnsi="仿宋" w:eastAsia="仿宋"/>
          <w:b/>
          <w:bCs/>
          <w:color w:val="000000" w:themeColor="text1"/>
          <w14:textFill>
            <w14:solidFill>
              <w14:schemeClr w14:val="tx1"/>
            </w14:solidFill>
          </w14:textFill>
        </w:rPr>
        <w:t>包括组织场所停电、断网等）</w:t>
      </w:r>
      <w:r>
        <w:rPr>
          <w:rFonts w:hint="eastAsia" w:ascii="仿宋" w:hAnsi="仿宋" w:eastAsia="仿宋"/>
          <w:b/>
          <w:bCs/>
          <w:color w:val="000000" w:themeColor="text1"/>
          <w:lang w:val="zh-CN"/>
          <w14:textFill>
            <w14:solidFill>
              <w14:schemeClr w14:val="tx1"/>
            </w14:solidFill>
          </w14:textFill>
        </w:rPr>
        <w:t>导致系统无法使用的，由投标人按评标委员会的要求进行澄清或者说明。</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3.10招标采购单位现场复核评标结果。</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3.10.2有下列情形之一的，不得修改评标结果或者重新评审：</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 xml:space="preserve">3.10.3出现下列情形之一的，应当中止电子化采购活动，并保留相关证明材料备查： </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（一）系统发生故障（包括感染病毒、应用或数据库出错）而无法正常使用的；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（二）因组织场所停电、断网等原因，导致采购活动无法继续通过交易系统实施的；</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（三）其他无法保证电子化交易的公平、公正和安全的情况。</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出现前款规定的情形，不影响采购公平、公正的，待上述情形消除后继续组织采购活动；影响或者可能影响采购公平、公正的，应当依法废标或者终止采购活动。</w:t>
      </w:r>
    </w:p>
    <w:p>
      <w:pPr>
        <w:pStyle w:val="4"/>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4.评标细则及标准</w:t>
      </w:r>
      <w:bookmarkEnd w:id="22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4.1本项目采用综合评分法，评分因素详见综合评分明细表。</w:t>
      </w:r>
    </w:p>
    <w:p>
      <w:pPr>
        <w:pStyle w:val="52"/>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4.3综合评分明细表</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4.3.2 综合评分明细表按须知表中的相关要求进行价格调整，再参与价格分评审。</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4.3.3综合评分明细表</w:t>
      </w:r>
    </w:p>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5"/>
        <w:gridCol w:w="1474"/>
        <w:gridCol w:w="996"/>
        <w:gridCol w:w="5653"/>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spacing w:line="360" w:lineRule="exact"/>
              <w:ind w:firstLine="0" w:firstLineChars="0"/>
              <w:jc w:val="center"/>
              <w:rPr>
                <w:rFonts w:hint="eastAsia" w:ascii="仿宋" w:hAnsi="仿宋" w:eastAsia="仿宋" w:cs="仿宋"/>
                <w:b/>
                <w:bCs/>
              </w:rPr>
            </w:pPr>
            <w:r>
              <w:rPr>
                <w:rFonts w:hint="eastAsia" w:ascii="仿宋" w:hAnsi="仿宋" w:eastAsia="仿宋" w:cs="仿宋"/>
                <w:b/>
                <w:bCs/>
              </w:rPr>
              <w:t>序号</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spacing w:line="360" w:lineRule="exact"/>
              <w:ind w:firstLine="0" w:firstLineChars="0"/>
              <w:jc w:val="center"/>
              <w:rPr>
                <w:rFonts w:hint="eastAsia" w:ascii="仿宋" w:hAnsi="仿宋" w:eastAsia="仿宋" w:cs="仿宋"/>
                <w:b/>
                <w:bCs/>
              </w:rPr>
            </w:pPr>
            <w:r>
              <w:rPr>
                <w:rFonts w:hint="eastAsia" w:ascii="仿宋" w:hAnsi="仿宋" w:eastAsia="仿宋" w:cs="仿宋"/>
                <w:b/>
                <w:bCs/>
              </w:rPr>
              <w:t>评分因素及权重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spacing w:line="360" w:lineRule="exact"/>
              <w:ind w:firstLine="0" w:firstLineChars="0"/>
              <w:jc w:val="center"/>
              <w:rPr>
                <w:rFonts w:hint="eastAsia" w:ascii="仿宋" w:hAnsi="仿宋" w:eastAsia="仿宋" w:cs="仿宋"/>
                <w:b/>
                <w:bCs/>
              </w:rPr>
            </w:pPr>
            <w:r>
              <w:rPr>
                <w:rFonts w:hint="eastAsia" w:ascii="仿宋" w:hAnsi="仿宋" w:eastAsia="仿宋" w:cs="仿宋"/>
                <w:b/>
                <w:bCs/>
              </w:rPr>
              <w:t>分值</w:t>
            </w:r>
          </w:p>
        </w:tc>
        <w:tc>
          <w:tcPr>
            <w:tcW w:w="6083"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spacing w:line="360" w:lineRule="exact"/>
              <w:ind w:firstLine="0" w:firstLineChars="0"/>
              <w:jc w:val="center"/>
              <w:rPr>
                <w:rFonts w:hint="eastAsia" w:ascii="仿宋" w:hAnsi="仿宋" w:eastAsia="仿宋" w:cs="仿宋"/>
                <w:b/>
                <w:bCs/>
              </w:rPr>
            </w:pPr>
            <w:r>
              <w:rPr>
                <w:rFonts w:hint="eastAsia" w:ascii="仿宋" w:hAnsi="仿宋" w:eastAsia="仿宋" w:cs="仿宋"/>
                <w:b/>
                <w:bCs/>
              </w:rPr>
              <w:t>评分标准</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spacing w:line="360" w:lineRule="exact"/>
              <w:ind w:firstLine="0" w:firstLineChars="0"/>
              <w:jc w:val="center"/>
              <w:rPr>
                <w:rFonts w:hint="eastAsia" w:ascii="仿宋" w:hAnsi="仿宋" w:eastAsia="仿宋" w:cs="仿宋"/>
                <w:b/>
                <w:bCs/>
              </w:rPr>
            </w:pPr>
            <w:r>
              <w:rPr>
                <w:rFonts w:hint="eastAsia" w:ascii="仿宋" w:hAnsi="仿宋" w:eastAsia="仿宋" w:cs="仿宋"/>
                <w:b/>
                <w:bCs/>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1</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报价10%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10分</w:t>
            </w:r>
          </w:p>
        </w:tc>
        <w:tc>
          <w:tcPr>
            <w:tcW w:w="6083"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5"/>
              </w:numPr>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以满足招标文件要求且价格最低的供应商报价为基准价，其价格分为满分。其他供应商的价格分统一按照下列公式计算：投标报价得分=(基准价／投标报价)×</w:t>
            </w:r>
            <w:r>
              <w:rPr>
                <w:rFonts w:hint="eastAsia" w:ascii="仿宋" w:hAnsi="仿宋" w:eastAsia="仿宋" w:cs="仿宋"/>
                <w:kern w:val="0"/>
                <w:lang w:val="en-US" w:eastAsia="zh-CN"/>
              </w:rPr>
              <w:t>1</w:t>
            </w:r>
            <w:r>
              <w:rPr>
                <w:rFonts w:hint="eastAsia" w:ascii="仿宋" w:hAnsi="仿宋" w:eastAsia="仿宋" w:cs="仿宋"/>
                <w:kern w:val="0"/>
              </w:rPr>
              <w:t>0。</w:t>
            </w:r>
          </w:p>
          <w:p>
            <w:pPr>
              <w:widowControl/>
              <w:numPr>
                <w:ilvl w:val="0"/>
                <w:numId w:val="0"/>
              </w:numPr>
              <w:spacing w:line="360" w:lineRule="exact"/>
              <w:jc w:val="left"/>
              <w:rPr>
                <w:rFonts w:hint="eastAsia" w:ascii="仿宋" w:hAnsi="仿宋" w:eastAsia="仿宋" w:cs="仿宋"/>
                <w:kern w:val="0"/>
              </w:rPr>
            </w:pPr>
            <w:r>
              <w:rPr>
                <w:rFonts w:hint="eastAsia" w:ascii="仿宋" w:hAnsi="仿宋" w:eastAsia="仿宋" w:cs="仿宋"/>
                <w:kern w:val="0"/>
              </w:rPr>
              <w:t>2.对小型和微型企业、监狱企业、残疾人福利性单位的投标价格（如涉及）给予10%的扣除，用扣除后的价格参与评审。</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2</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项目实施方案</w:t>
            </w:r>
            <w:r>
              <w:rPr>
                <w:rFonts w:hint="eastAsia" w:ascii="仿宋" w:hAnsi="仿宋" w:eastAsia="仿宋" w:cs="仿宋"/>
                <w:kern w:val="0"/>
                <w:lang w:val="en-US" w:eastAsia="zh-CN"/>
              </w:rPr>
              <w:t>45</w:t>
            </w:r>
            <w:r>
              <w:rPr>
                <w:rFonts w:hint="eastAsia" w:ascii="仿宋" w:hAnsi="仿宋" w:eastAsia="仿宋" w:cs="仿宋"/>
                <w:kern w:val="0"/>
              </w:rPr>
              <w:t>%</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lang w:val="en-US" w:eastAsia="zh-CN"/>
              </w:rPr>
              <w:t>45</w:t>
            </w:r>
            <w:r>
              <w:rPr>
                <w:rFonts w:hint="eastAsia" w:ascii="仿宋" w:hAnsi="仿宋" w:eastAsia="仿宋" w:cs="仿宋"/>
                <w:kern w:val="0"/>
              </w:rPr>
              <w:t>分</w:t>
            </w:r>
          </w:p>
        </w:tc>
        <w:tc>
          <w:tcPr>
            <w:tcW w:w="60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1.完全满足招标文件中“</w:t>
            </w:r>
            <w:r>
              <w:rPr>
                <w:rFonts w:hint="eastAsia" w:ascii="仿宋" w:hAnsi="仿宋" w:eastAsia="仿宋" w:cs="仿宋"/>
                <w:kern w:val="0"/>
                <w:lang w:val="en-US" w:eastAsia="zh-CN"/>
              </w:rPr>
              <w:t>项目服务要求</w:t>
            </w:r>
            <w:r>
              <w:rPr>
                <w:rFonts w:hint="eastAsia" w:ascii="仿宋" w:hAnsi="仿宋" w:eastAsia="仿宋" w:cs="仿宋"/>
                <w:kern w:val="0"/>
              </w:rPr>
              <w:t>”没有负偏离的得12分，有缺项或负偏离，每有一条扣3分。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2.根据供应商提供的项目技术服务方案：①服务内容②进度安排③人员安排④项目保障措施⑤制度保障⑥应急处置详细阐述；以上内容完善、措施合理、制度可行的得3</w:t>
            </w:r>
            <w:r>
              <w:rPr>
                <w:rFonts w:hint="eastAsia" w:ascii="仿宋" w:hAnsi="仿宋" w:eastAsia="仿宋" w:cs="仿宋"/>
                <w:kern w:val="0"/>
                <w:lang w:val="en-US" w:eastAsia="zh-CN"/>
              </w:rPr>
              <w:t>3</w:t>
            </w:r>
            <w:r>
              <w:rPr>
                <w:rFonts w:hint="eastAsia" w:ascii="仿宋" w:hAnsi="仿宋" w:eastAsia="仿宋" w:cs="仿宋"/>
                <w:kern w:val="0"/>
              </w:rPr>
              <w:t>分，每有一项缺失的扣5</w:t>
            </w:r>
            <w:r>
              <w:rPr>
                <w:rFonts w:hint="eastAsia" w:ascii="仿宋" w:hAnsi="仿宋" w:eastAsia="仿宋" w:cs="仿宋"/>
                <w:kern w:val="0"/>
                <w:lang w:val="en-US" w:eastAsia="zh-CN"/>
              </w:rPr>
              <w:t>.5</w:t>
            </w:r>
            <w:r>
              <w:rPr>
                <w:rFonts w:hint="eastAsia" w:ascii="仿宋" w:hAnsi="仿宋" w:eastAsia="仿宋" w:cs="仿宋"/>
                <w:kern w:val="0"/>
              </w:rPr>
              <w:t>分，每有一项不完善或操作性不强的扣2</w:t>
            </w:r>
            <w:r>
              <w:rPr>
                <w:rFonts w:hint="eastAsia" w:ascii="仿宋" w:hAnsi="仿宋" w:eastAsia="仿宋" w:cs="仿宋"/>
                <w:kern w:val="0"/>
                <w:lang w:val="en-US" w:eastAsia="zh-CN"/>
              </w:rPr>
              <w:t>.5</w:t>
            </w:r>
            <w:r>
              <w:rPr>
                <w:rFonts w:hint="eastAsia" w:ascii="仿宋" w:hAnsi="仿宋" w:eastAsia="仿宋" w:cs="仿宋"/>
                <w:kern w:val="0"/>
              </w:rPr>
              <w:t>分，此项最多得3</w:t>
            </w:r>
            <w:r>
              <w:rPr>
                <w:rFonts w:hint="eastAsia" w:ascii="仿宋" w:hAnsi="仿宋" w:eastAsia="仿宋" w:cs="仿宋"/>
                <w:kern w:val="0"/>
                <w:lang w:val="en-US" w:eastAsia="zh-CN"/>
              </w:rPr>
              <w:t>3</w:t>
            </w:r>
            <w:r>
              <w:rPr>
                <w:rFonts w:hint="eastAsia" w:ascii="仿宋" w:hAnsi="仿宋" w:eastAsia="仿宋" w:cs="仿宋"/>
                <w:kern w:val="0"/>
              </w:rPr>
              <w:t>分。</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8" w:hRule="atLeast"/>
        </w:trPr>
        <w:tc>
          <w:tcPr>
            <w:tcW w:w="0" w:type="auto"/>
            <w:tcBorders>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3</w:t>
            </w:r>
          </w:p>
        </w:tc>
        <w:tc>
          <w:tcPr>
            <w:tcW w:w="1564" w:type="dxa"/>
            <w:tcBorders>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技术人员配备1</w:t>
            </w:r>
            <w:r>
              <w:rPr>
                <w:rFonts w:hint="eastAsia" w:ascii="仿宋" w:hAnsi="仿宋" w:eastAsia="仿宋" w:cs="仿宋"/>
                <w:kern w:val="0"/>
                <w:lang w:val="en-US" w:eastAsia="zh-CN"/>
              </w:rPr>
              <w:t>2</w:t>
            </w:r>
            <w:r>
              <w:rPr>
                <w:rFonts w:hint="eastAsia" w:ascii="仿宋" w:hAnsi="仿宋" w:eastAsia="仿宋" w:cs="仿宋"/>
                <w:kern w:val="0"/>
              </w:rPr>
              <w:t>%</w:t>
            </w:r>
          </w:p>
        </w:tc>
        <w:tc>
          <w:tcPr>
            <w:tcW w:w="1050" w:type="dxa"/>
            <w:tcBorders>
              <w:top w:val="single" w:color="000000" w:sz="4" w:space="0"/>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1</w:t>
            </w:r>
            <w:r>
              <w:rPr>
                <w:rFonts w:hint="eastAsia" w:ascii="仿宋" w:hAnsi="仿宋" w:eastAsia="仿宋" w:cs="仿宋"/>
                <w:kern w:val="0"/>
                <w:lang w:val="en-US" w:eastAsia="zh-CN"/>
              </w:rPr>
              <w:t>2</w:t>
            </w:r>
            <w:r>
              <w:rPr>
                <w:rFonts w:hint="eastAsia" w:ascii="仿宋" w:hAnsi="仿宋" w:eastAsia="仿宋" w:cs="仿宋"/>
                <w:kern w:val="0"/>
              </w:rPr>
              <w:t>分</w:t>
            </w:r>
          </w:p>
        </w:tc>
        <w:tc>
          <w:tcPr>
            <w:tcW w:w="6083"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1.供应商为本项目配备的项目负责人具备正高级</w:t>
            </w:r>
            <w:r>
              <w:rPr>
                <w:rFonts w:hint="eastAsia" w:ascii="仿宋" w:hAnsi="仿宋" w:eastAsia="仿宋" w:cs="仿宋"/>
                <w:kern w:val="0"/>
                <w:lang w:val="en-US" w:eastAsia="zh-CN"/>
              </w:rPr>
              <w:t>及以上</w:t>
            </w:r>
            <w:r>
              <w:rPr>
                <w:rFonts w:hint="eastAsia" w:ascii="仿宋" w:hAnsi="仿宋" w:eastAsia="仿宋" w:cs="仿宋"/>
                <w:kern w:val="0"/>
              </w:rPr>
              <w:t>工程师职称</w:t>
            </w:r>
            <w:r>
              <w:rPr>
                <w:rFonts w:hint="eastAsia" w:ascii="仿宋" w:hAnsi="仿宋" w:eastAsia="仿宋" w:cs="仿宋"/>
                <w:kern w:val="0"/>
                <w:lang w:val="en-US" w:eastAsia="zh-CN"/>
              </w:rPr>
              <w:t>得3分；</w:t>
            </w:r>
            <w:r>
              <w:rPr>
                <w:rFonts w:hint="eastAsia" w:ascii="仿宋" w:hAnsi="仿宋" w:eastAsia="仿宋" w:cs="仿宋"/>
                <w:kern w:val="0"/>
              </w:rPr>
              <w:t>高级</w:t>
            </w:r>
            <w:r>
              <w:rPr>
                <w:rFonts w:hint="eastAsia" w:ascii="仿宋" w:hAnsi="仿宋" w:eastAsia="仿宋" w:cs="仿宋"/>
                <w:kern w:val="0"/>
                <w:lang w:val="en-US" w:eastAsia="zh-CN"/>
              </w:rPr>
              <w:t>及以上</w:t>
            </w:r>
            <w:r>
              <w:rPr>
                <w:rFonts w:hint="eastAsia" w:ascii="仿宋" w:hAnsi="仿宋" w:eastAsia="仿宋" w:cs="仿宋"/>
                <w:kern w:val="0"/>
              </w:rPr>
              <w:t>工程师职称</w:t>
            </w:r>
            <w:r>
              <w:rPr>
                <w:rFonts w:hint="eastAsia" w:ascii="仿宋" w:hAnsi="仿宋" w:eastAsia="仿宋" w:cs="仿宋"/>
                <w:kern w:val="0"/>
                <w:lang w:val="en-US" w:eastAsia="zh-CN"/>
              </w:rPr>
              <w:t>得1分。具备</w:t>
            </w:r>
            <w:r>
              <w:rPr>
                <w:rFonts w:hint="eastAsia" w:ascii="仿宋" w:hAnsi="仿宋" w:eastAsia="仿宋" w:cs="仿宋"/>
                <w:kern w:val="0"/>
              </w:rPr>
              <w:t>一级安全评价师资格得</w:t>
            </w:r>
            <w:r>
              <w:rPr>
                <w:rFonts w:hint="eastAsia" w:ascii="仿宋" w:hAnsi="仿宋" w:eastAsia="仿宋" w:cs="仿宋"/>
                <w:kern w:val="0"/>
                <w:lang w:val="en-US" w:eastAsia="zh-CN"/>
              </w:rPr>
              <w:t>1</w:t>
            </w:r>
            <w:r>
              <w:rPr>
                <w:rFonts w:hint="eastAsia" w:ascii="仿宋" w:hAnsi="仿宋" w:eastAsia="仿宋" w:cs="仿宋"/>
                <w:kern w:val="0"/>
              </w:rPr>
              <w:t>分</w:t>
            </w:r>
            <w:r>
              <w:rPr>
                <w:rFonts w:hint="eastAsia" w:ascii="仿宋" w:hAnsi="仿宋" w:eastAsia="仿宋" w:cs="仿宋"/>
                <w:kern w:val="0"/>
                <w:lang w:eastAsia="zh-CN"/>
              </w:rPr>
              <w:t>。</w:t>
            </w:r>
            <w:r>
              <w:rPr>
                <w:rFonts w:hint="eastAsia" w:ascii="仿宋" w:hAnsi="仿宋" w:eastAsia="仿宋" w:cs="仿宋"/>
                <w:kern w:val="0"/>
              </w:rPr>
              <w:t>本项最高得</w:t>
            </w:r>
            <w:r>
              <w:rPr>
                <w:rFonts w:hint="eastAsia" w:ascii="仿宋" w:hAnsi="仿宋" w:eastAsia="仿宋" w:cs="仿宋"/>
                <w:kern w:val="0"/>
                <w:lang w:val="en-US" w:eastAsia="zh-CN"/>
              </w:rPr>
              <w:t>4</w:t>
            </w:r>
            <w:r>
              <w:rPr>
                <w:rFonts w:hint="eastAsia" w:ascii="仿宋" w:hAnsi="仿宋" w:eastAsia="仿宋" w:cs="仿宋"/>
                <w:kern w:val="0"/>
              </w:rPr>
              <w:t>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2.供应商为本项目配备的技术负责人为安全生产专家（应急管理专家）、具备高级工程师职称，每有一项得</w:t>
            </w:r>
            <w:r>
              <w:rPr>
                <w:rFonts w:hint="eastAsia" w:ascii="仿宋" w:hAnsi="仿宋" w:eastAsia="仿宋" w:cs="仿宋"/>
                <w:kern w:val="0"/>
                <w:lang w:val="en-US" w:eastAsia="zh-CN"/>
              </w:rPr>
              <w:t>1.5</w:t>
            </w:r>
            <w:r>
              <w:rPr>
                <w:rFonts w:hint="eastAsia" w:ascii="仿宋" w:hAnsi="仿宋" w:eastAsia="仿宋" w:cs="仿宋"/>
                <w:kern w:val="0"/>
              </w:rPr>
              <w:t>分，本项最高得</w:t>
            </w:r>
            <w:r>
              <w:rPr>
                <w:rFonts w:hint="eastAsia" w:ascii="仿宋" w:hAnsi="仿宋" w:eastAsia="仿宋" w:cs="仿宋"/>
                <w:kern w:val="0"/>
                <w:lang w:val="en-US" w:eastAsia="zh-CN"/>
              </w:rPr>
              <w:t>3</w:t>
            </w:r>
            <w:r>
              <w:rPr>
                <w:rFonts w:hint="eastAsia" w:ascii="仿宋" w:hAnsi="仿宋" w:eastAsia="仿宋" w:cs="仿宋"/>
                <w:kern w:val="0"/>
              </w:rPr>
              <w:t>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3.供应商为本项目配备的安全生产专家（应急管理专家）应具备高级工程师职称，每有一个得1分，最多得5分；具备中级工程师职称的，每有一个得0.5分，最多得3分，本项最高得5分。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注：以上人员不重复计分。</w:t>
            </w:r>
          </w:p>
        </w:tc>
        <w:tc>
          <w:tcPr>
            <w:tcW w:w="984"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提供相关证明材料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3" w:hRule="atLeast"/>
        </w:trPr>
        <w:tc>
          <w:tcPr>
            <w:tcW w:w="0" w:type="auto"/>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4</w:t>
            </w:r>
          </w:p>
        </w:tc>
        <w:tc>
          <w:tcPr>
            <w:tcW w:w="1564" w:type="dxa"/>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专业设备及软件14%</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14分</w:t>
            </w:r>
          </w:p>
        </w:tc>
        <w:tc>
          <w:tcPr>
            <w:tcW w:w="608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1.为切实有效的对新都区重大危险源、重要基础设施、危险构筑物、防汛重点区域进行精准数据采集及分析，提供专业安全诊断，供应商拟需投入以下设备包括固定式三维激光扫描仪、无人机载三维激光扫描仪、车载三维激光扫描仪、高精度全站仪（1秒级精度及以上）</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①具有固定式三维激光扫描仪得2分；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②具有无人机载三维激光扫描仪的得2分；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③具有车载三维激光扫描仪的得2分；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④具有高精度全站仪（1秒级精度及以上）的得2分。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2.同时还应提供以下数据处理软件包括地理信息系统软件、遥感影像处理软件、三维激光扫描数据处理软件。</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①具有地理信息系统软件的得2分；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②具备遥感影像处理软件得2分；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③具有三维激光扫描数据处理软件的得2分。</w:t>
            </w:r>
          </w:p>
        </w:tc>
        <w:tc>
          <w:tcPr>
            <w:tcW w:w="98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注：提供设备的资产证明和软件购置证明材料或租赁证明。</w:t>
            </w:r>
          </w:p>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资产证明是指购置资产时的发票或资产评估报告。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trPr>
        <w:tc>
          <w:tcPr>
            <w:tcW w:w="0" w:type="auto"/>
            <w:vMerge w:val="restart"/>
            <w:tcBorders>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5</w:t>
            </w:r>
          </w:p>
        </w:tc>
        <w:tc>
          <w:tcPr>
            <w:tcW w:w="1564" w:type="dxa"/>
            <w:vMerge w:val="restart"/>
            <w:tcBorders>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履约能力19%</w:t>
            </w:r>
          </w:p>
        </w:tc>
        <w:tc>
          <w:tcPr>
            <w:tcW w:w="1050" w:type="dxa"/>
            <w:vMerge w:val="restart"/>
            <w:tcBorders>
              <w:top w:val="single" w:color="000000" w:sz="4" w:space="0"/>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r>
              <w:rPr>
                <w:rFonts w:hint="eastAsia" w:ascii="仿宋" w:hAnsi="仿宋" w:eastAsia="仿宋" w:cs="仿宋"/>
                <w:kern w:val="0"/>
              </w:rPr>
              <w:t>19分</w:t>
            </w:r>
          </w:p>
        </w:tc>
        <w:tc>
          <w:tcPr>
            <w:tcW w:w="6083"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供应商提供2018年至今的类似项目业绩，每提供1个得2分，最多得16分，不提供不得分；</w:t>
            </w:r>
          </w:p>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提供合同复印件。</w:t>
            </w:r>
          </w:p>
        </w:tc>
        <w:tc>
          <w:tcPr>
            <w:tcW w:w="984" w:type="dxa"/>
            <w:vMerge w:val="restart"/>
            <w:tcBorders>
              <w:top w:val="single" w:color="000000" w:sz="4" w:space="0"/>
              <w:left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 w:hRule="atLeast"/>
        </w:trPr>
        <w:tc>
          <w:tcPr>
            <w:tcW w:w="0" w:type="auto"/>
            <w:vMerge w:val="continue"/>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c>
          <w:tcPr>
            <w:tcW w:w="1564" w:type="dxa"/>
            <w:vMerge w:val="continue"/>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c>
          <w:tcPr>
            <w:tcW w:w="1050" w:type="dxa"/>
            <w:vMerge w:val="continue"/>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c>
          <w:tcPr>
            <w:tcW w:w="6083" w:type="dxa"/>
            <w:tcBorders>
              <w:top w:val="single" w:color="auto" w:sz="4" w:space="0"/>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left"/>
              <w:rPr>
                <w:rFonts w:hint="eastAsia" w:ascii="仿宋" w:hAnsi="仿宋" w:eastAsia="仿宋" w:cs="仿宋"/>
                <w:kern w:val="0"/>
              </w:rPr>
            </w:pPr>
            <w:r>
              <w:rPr>
                <w:rFonts w:hint="eastAsia" w:ascii="仿宋" w:hAnsi="仿宋" w:eastAsia="仿宋" w:cs="仿宋"/>
                <w:kern w:val="0"/>
              </w:rPr>
              <w:t>建有风险防控领域的工程技术研究中心或重点实验室得3分。提供工程技术研究中心或重点实验室授牌相关文件复印件并加盖投标人公章。</w:t>
            </w:r>
          </w:p>
        </w:tc>
        <w:tc>
          <w:tcPr>
            <w:tcW w:w="984" w:type="dxa"/>
            <w:vMerge w:val="continue"/>
            <w:tcBorders>
              <w:left w:val="single" w:color="000000" w:sz="4" w:space="0"/>
              <w:bottom w:val="single" w:color="000000" w:sz="4" w:space="0"/>
              <w:right w:val="single" w:color="000000" w:sz="4" w:space="0"/>
            </w:tcBorders>
            <w:noWrap w:val="0"/>
            <w:vAlign w:val="center"/>
          </w:tcPr>
          <w:p>
            <w:pPr>
              <w:widowControl/>
              <w:spacing w:line="360" w:lineRule="exact"/>
              <w:ind w:firstLine="0" w:firstLineChars="0"/>
              <w:jc w:val="center"/>
              <w:rPr>
                <w:rFonts w:hint="eastAsia" w:ascii="仿宋" w:hAnsi="仿宋" w:eastAsia="仿宋" w:cs="仿宋"/>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3" w:type="dxa"/>
            <w:tcBorders>
              <w:top w:val="single" w:color="000000" w:sz="4" w:space="0"/>
              <w:left w:val="single" w:color="000000" w:sz="4" w:space="0"/>
              <w:bottom w:val="single" w:color="000000" w:sz="4" w:space="0"/>
              <w:right w:val="single" w:color="000000" w:sz="4" w:space="0"/>
            </w:tcBorders>
            <w:noWrap w:val="0"/>
            <w:vAlign w:val="center"/>
          </w:tcPr>
          <w:p>
            <w:pPr>
              <w:spacing w:line="0" w:lineRule="atLeast"/>
              <w:ind w:firstLine="0" w:firstLineChars="0"/>
              <w:rPr>
                <w:rFonts w:hint="eastAsia" w:ascii="仿宋" w:hAnsi="仿宋" w:eastAsia="仿宋" w:cs="仿宋"/>
                <w:kern w:val="0"/>
              </w:rPr>
            </w:pPr>
            <w:r>
              <w:rPr>
                <w:rFonts w:hint="eastAsia" w:ascii="仿宋" w:hAnsi="仿宋" w:eastAsia="仿宋" w:cs="仿宋"/>
              </w:rPr>
              <w:t>合计</w:t>
            </w:r>
          </w:p>
        </w:tc>
        <w:tc>
          <w:tcPr>
            <w:tcW w:w="968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0" w:lineRule="atLeast"/>
              <w:ind w:firstLine="0" w:firstLineChars="0"/>
              <w:rPr>
                <w:rFonts w:hint="eastAsia" w:ascii="仿宋" w:hAnsi="仿宋" w:eastAsia="仿宋" w:cs="仿宋"/>
                <w:kern w:val="0"/>
              </w:rPr>
            </w:pPr>
            <w:r>
              <w:rPr>
                <w:rFonts w:hint="eastAsia" w:ascii="仿宋" w:hAnsi="仿宋" w:eastAsia="仿宋" w:cs="仿宋"/>
              </w:rPr>
              <w:t>100分（说明：供应商失信行为记入诚信档案且在有效期内的扣5分/次予以惩戒，供应商失信行为惩戒实行无限制累加制，直到总分100分扣完为止）</w:t>
            </w:r>
          </w:p>
        </w:tc>
      </w:tr>
    </w:tbl>
    <w:p>
      <w:pPr>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注：评分的取值按四舍五入法，保留小数点后两位。</w:t>
      </w:r>
    </w:p>
    <w:p>
      <w:pPr>
        <w:pStyle w:val="10"/>
        <w:ind w:firstLine="420" w:firstLineChars="175"/>
        <w:rPr>
          <w:rFonts w:ascii="仿宋" w:hAnsi="仿宋" w:eastAsia="仿宋"/>
          <w:color w:val="000000" w:themeColor="text1"/>
          <w:sz w:val="24"/>
          <w14:textFill>
            <w14:solidFill>
              <w14:schemeClr w14:val="tx1"/>
            </w14:solidFill>
          </w14:textFill>
        </w:rPr>
      </w:pPr>
      <w:bookmarkStart w:id="222" w:name="_Toc217446059"/>
      <w:r>
        <w:rPr>
          <w:rFonts w:hint="eastAsia" w:ascii="仿宋" w:hAnsi="仿宋" w:eastAsia="仿宋"/>
          <w:color w:val="000000" w:themeColor="text1"/>
          <w:sz w:val="24"/>
          <w14:textFill>
            <w14:solidFill>
              <w14:schemeClr w14:val="tx1"/>
            </w14:solidFill>
          </w14:textFill>
        </w:rPr>
        <w:t xml:space="preserve">4.3.4 本次综合评分法由评标委员会各成员独立对通过初审（资格检查和符合性检查）的投标人的投标文件进行评审和打分，    </w:t>
      </w:r>
    </w:p>
    <w:p>
      <w:pPr>
        <w:pStyle w:val="1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10"/>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为政策合同类评委（法律类专家）人数；D1、D2……Dn 分别为评审委员会每个成员的打分（共同评分类），N</w:t>
      </w:r>
      <w:r>
        <w:rPr>
          <w:rFonts w:hint="eastAsia"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为评标委员会人</w:t>
      </w:r>
      <w:r>
        <w:rPr>
          <w:rFonts w:hint="eastAsia" w:ascii="仿宋" w:hAnsi="仿宋" w:eastAsia="仿宋"/>
          <w:bCs/>
          <w:color w:val="000000" w:themeColor="text1"/>
          <w:sz w:val="24"/>
          <w14:textFill>
            <w14:solidFill>
              <w14:schemeClr w14:val="tx1"/>
            </w14:solidFill>
          </w14:textFill>
        </w:rPr>
        <w:t>数。</w:t>
      </w:r>
    </w:p>
    <w:bookmarkEnd w:id="222"/>
    <w:p>
      <w:pPr>
        <w:pStyle w:val="4"/>
        <w:numPr>
          <w:ilvl w:val="0"/>
          <w:numId w:val="6"/>
        </w:numPr>
        <w:spacing w:line="400" w:lineRule="exact"/>
        <w:ind w:firstLine="470" w:firstLineChars="196"/>
        <w:rPr>
          <w:rFonts w:ascii="仿宋" w:hAnsi="仿宋" w:eastAsia="仿宋"/>
          <w:color w:val="000000" w:themeColor="text1"/>
          <w:sz w:val="24"/>
          <w:szCs w:val="24"/>
          <w14:textFill>
            <w14:solidFill>
              <w14:schemeClr w14:val="tx1"/>
            </w14:solidFill>
          </w14:textFill>
        </w:rPr>
      </w:pPr>
      <w:bookmarkStart w:id="223" w:name="_Toc217446060"/>
      <w:r>
        <w:rPr>
          <w:rFonts w:hint="eastAsia" w:ascii="仿宋" w:hAnsi="仿宋" w:eastAsia="仿宋"/>
          <w:color w:val="000000" w:themeColor="text1"/>
          <w:sz w:val="24"/>
          <w:szCs w:val="24"/>
          <w14:textFill>
            <w14:solidFill>
              <w14:schemeClr w14:val="tx1"/>
            </w14:solidFill>
          </w14:textFill>
        </w:rPr>
        <w:t>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pStyle w:val="4"/>
        <w:spacing w:line="400" w:lineRule="exact"/>
        <w:ind w:firstLine="470"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6.定标</w:t>
      </w:r>
      <w:bookmarkEnd w:id="223"/>
      <w:bookmarkStart w:id="224" w:name="_Toc2174460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6.1. 定标原则</w:t>
      </w:r>
      <w:bookmarkEnd w:id="224"/>
      <w:r>
        <w:rPr>
          <w:rFonts w:hint="eastAsia" w:ascii="仿宋" w:hAnsi="仿宋" w:eastAsia="仿宋"/>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225" w:name="_Toc217446062"/>
      <w:r>
        <w:rPr>
          <w:rFonts w:hint="eastAsia" w:ascii="仿宋" w:hAnsi="仿宋" w:eastAsia="仿宋"/>
          <w:color w:val="000000" w:themeColor="text1"/>
          <w:sz w:val="24"/>
          <w14:textFill>
            <w14:solidFill>
              <w14:schemeClr w14:val="tx1"/>
            </w14:solidFill>
          </w14:textFill>
        </w:rPr>
        <w:t>6.2. 定标程序</w:t>
      </w:r>
      <w:bookmarkEnd w:id="225"/>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6.2.1 评标委员会将评标情况写出书面报告，推荐中标候选供应商。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6.2.2 采购代理机构在评标结束后2个工作日内将评标报告送采购人。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6.2.5 招标采购单位不退回投标人投标文件和其他投标资料。</w:t>
      </w:r>
    </w:p>
    <w:bookmarkEnd w:id="221"/>
    <w:p>
      <w:pPr>
        <w:pStyle w:val="4"/>
        <w:spacing w:line="400" w:lineRule="exact"/>
        <w:ind w:firstLine="480"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8.评标专家在政府采购活动中应当遵守以下工作纪律：</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000000" w:themeColor="text1"/>
          <w14:textFill>
            <w14:solidFill>
              <w14:schemeClr w14:val="tx1"/>
            </w14:solidFill>
          </w14:textFill>
        </w:rPr>
      </w:pPr>
      <w:bookmarkStart w:id="226" w:name="_Toc23042"/>
      <w:r>
        <w:rPr>
          <w:rFonts w:hint="eastAsia" w:ascii="仿宋" w:hAnsi="仿宋" w:eastAsia="仿宋"/>
          <w:color w:val="000000" w:themeColor="text1"/>
          <w:sz w:val="36"/>
          <w:szCs w:val="36"/>
          <w14:textFill>
            <w14:solidFill>
              <w14:schemeClr w14:val="tx1"/>
            </w14:solidFill>
          </w14:textFill>
        </w:rPr>
        <w:br w:type="page"/>
      </w:r>
      <w:bookmarkEnd w:id="226"/>
      <w:bookmarkStart w:id="227" w:name="_Toc74312832"/>
      <w:r>
        <w:rPr>
          <w:rFonts w:hint="eastAsia" w:ascii="仿宋" w:hAnsi="仿宋" w:eastAsia="仿宋"/>
          <w:color w:val="000000" w:themeColor="text1"/>
          <w:sz w:val="36"/>
          <w:szCs w:val="36"/>
          <w14:textFill>
            <w14:solidFill>
              <w14:schemeClr w14:val="tx1"/>
            </w14:solidFill>
          </w14:textFill>
        </w:rPr>
        <w:t>第八章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政府采购合同</w:t>
      </w:r>
      <w:bookmarkEnd w:id="227"/>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合同编号：XXXX。</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签订地点：XXXX。</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签订时间：XXXX年XX月XX日。</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采购人（甲方）：</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供应商（乙方）：</w:t>
      </w:r>
    </w:p>
    <w:p>
      <w:pPr>
        <w:wordWrap w:val="0"/>
        <w:ind w:firstLine="480"/>
        <w:rPr>
          <w:rFonts w:hint="eastAsia" w:ascii="仿宋" w:hAnsi="仿宋" w:eastAsia="仿宋" w:cs="仿宋"/>
          <w:sz w:val="24"/>
          <w:szCs w:val="24"/>
        </w:rPr>
      </w:pPr>
      <w:r>
        <w:rPr>
          <w:rFonts w:hint="eastAsia" w:ascii="仿宋" w:hAnsi="仿宋" w:eastAsia="仿宋" w:cs="仿宋"/>
          <w:kern w:val="0"/>
          <w:sz w:val="24"/>
          <w:szCs w:val="24"/>
          <w:lang w:bidi="ar"/>
        </w:rPr>
        <w:t>根据《中华人民共和国政府采购法》、《中华人民共和国</w:t>
      </w:r>
      <w:r>
        <w:rPr>
          <w:rFonts w:hint="eastAsia" w:ascii="仿宋" w:hAnsi="仿宋" w:eastAsia="仿宋" w:cs="仿宋"/>
          <w:kern w:val="0"/>
          <w:sz w:val="24"/>
          <w:szCs w:val="24"/>
          <w:lang w:val="en-US" w:eastAsia="zh-CN" w:bidi="ar"/>
        </w:rPr>
        <w:t>民法典</w:t>
      </w:r>
      <w:r>
        <w:rPr>
          <w:rFonts w:hint="eastAsia" w:ascii="仿宋" w:hAnsi="仿宋" w:eastAsia="仿宋" w:cs="仿宋"/>
          <w:kern w:val="0"/>
          <w:sz w:val="24"/>
          <w:szCs w:val="24"/>
          <w:lang w:bidi="ar"/>
        </w:rPr>
        <w:t>》及“</w:t>
      </w:r>
      <w:r>
        <w:rPr>
          <w:rFonts w:hint="eastAsia" w:ascii="仿宋" w:hAnsi="仿宋" w:eastAsia="仿宋" w:cs="仿宋"/>
          <w:kern w:val="0"/>
          <w:sz w:val="24"/>
          <w:szCs w:val="24"/>
          <w:lang w:val="en-US" w:eastAsia="zh-CN" w:bidi="ar"/>
        </w:rPr>
        <w:t xml:space="preserve">      </w:t>
      </w:r>
      <w:r>
        <w:rPr>
          <w:rFonts w:hint="eastAsia" w:ascii="仿宋" w:hAnsi="仿宋" w:eastAsia="仿宋" w:cs="仿宋"/>
          <w:kern w:val="0"/>
          <w:sz w:val="24"/>
          <w:szCs w:val="24"/>
          <w:lang w:bidi="ar"/>
        </w:rPr>
        <w:t>采购项目”（招标编号：   ）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7"/>
        </w:numPr>
        <w:ind w:left="420" w:leftChars="200" w:firstLine="0" w:firstLineChars="0"/>
        <w:outlineLvl w:val="1"/>
        <w:rPr>
          <w:rFonts w:hint="eastAsia" w:ascii="仿宋" w:hAnsi="仿宋" w:eastAsia="仿宋" w:cs="仿宋"/>
          <w:b/>
          <w:sz w:val="24"/>
          <w:szCs w:val="24"/>
        </w:rPr>
      </w:pPr>
      <w:bookmarkStart w:id="228" w:name="_Toc28004"/>
      <w:r>
        <w:rPr>
          <w:rFonts w:hint="eastAsia" w:ascii="仿宋" w:hAnsi="仿宋" w:eastAsia="仿宋" w:cs="仿宋"/>
          <w:b/>
          <w:sz w:val="24"/>
          <w:szCs w:val="24"/>
        </w:rPr>
        <w:t xml:space="preserve"> 项目基本情况</w:t>
      </w:r>
      <w:bookmarkEnd w:id="228"/>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持续深化安全发展示范城市建设，守牢安全生产红线底线，紧紧围绕“从根本上消除事故隐患”和“从根本上解决问题”，坚决遏制较大及以上生产安全事故，促进全区安全生产形势持续稳定向好。通过深化安全发展示范城市建设，构建横向到边、纵向到底的安全生产责任体系，进一步强化新都区城市安全与应急管理体系建设，巩固省级安全发展示范城市创建成果，进一步推动全区常态化、专业化巡查督查等安全生产各项制度和工作措施落地落实，切实将</w:t>
      </w:r>
      <w:r>
        <w:rPr>
          <w:rFonts w:hint="eastAsia" w:ascii="仿宋" w:hAnsi="仿宋" w:eastAsia="仿宋" w:cs="仿宋"/>
          <w:sz w:val="24"/>
          <w:szCs w:val="24"/>
          <w:lang w:eastAsia="zh-CN"/>
        </w:rPr>
        <w:t>责任压实</w:t>
      </w:r>
      <w:r>
        <w:rPr>
          <w:rFonts w:hint="eastAsia" w:ascii="仿宋" w:hAnsi="仿宋" w:eastAsia="仿宋" w:cs="仿宋"/>
          <w:sz w:val="24"/>
          <w:szCs w:val="24"/>
        </w:rPr>
        <w:t>到最小工作单元，以实战为导向筑牢城市安全屏障，有效推动城市安全健康稳定发展</w:t>
      </w:r>
      <w:r>
        <w:rPr>
          <w:rFonts w:hint="eastAsia" w:ascii="仿宋" w:hAnsi="仿宋" w:eastAsia="仿宋" w:cs="仿宋"/>
          <w:sz w:val="24"/>
          <w:szCs w:val="24"/>
          <w:lang w:val="en-US" w:eastAsia="zh-CN"/>
        </w:rPr>
        <w:t>。</w:t>
      </w:r>
    </w:p>
    <w:p>
      <w:pPr>
        <w:numPr>
          <w:ilvl w:val="0"/>
          <w:numId w:val="7"/>
        </w:numPr>
        <w:ind w:left="420" w:leftChars="200" w:firstLine="0" w:firstLineChars="0"/>
        <w:outlineLvl w:val="1"/>
        <w:rPr>
          <w:rFonts w:hint="eastAsia" w:ascii="仿宋" w:hAnsi="仿宋" w:eastAsia="仿宋" w:cs="仿宋"/>
          <w:b/>
          <w:sz w:val="24"/>
          <w:szCs w:val="24"/>
        </w:rPr>
      </w:pPr>
      <w:bookmarkStart w:id="229" w:name="_Toc23417"/>
      <w:r>
        <w:rPr>
          <w:rFonts w:hint="eastAsia" w:ascii="仿宋" w:hAnsi="仿宋" w:eastAsia="仿宋" w:cs="仿宋"/>
          <w:b/>
          <w:sz w:val="24"/>
          <w:szCs w:val="24"/>
        </w:rPr>
        <w:t xml:space="preserve"> 合同期限</w:t>
      </w:r>
      <w:bookmarkEnd w:id="229"/>
    </w:p>
    <w:p>
      <w:pPr>
        <w:pStyle w:val="11"/>
        <w:ind w:firstLine="480"/>
        <w:rPr>
          <w:rFonts w:hint="eastAsia" w:ascii="仿宋" w:hAnsi="仿宋" w:eastAsia="仿宋" w:cs="仿宋"/>
          <w:sz w:val="24"/>
          <w:szCs w:val="24"/>
        </w:rPr>
      </w:pPr>
    </w:p>
    <w:p>
      <w:pPr>
        <w:numPr>
          <w:ilvl w:val="0"/>
          <w:numId w:val="7"/>
        </w:numPr>
        <w:ind w:left="420" w:leftChars="200" w:firstLine="0" w:firstLineChars="0"/>
        <w:outlineLvl w:val="1"/>
        <w:rPr>
          <w:rFonts w:hint="eastAsia" w:ascii="仿宋" w:hAnsi="仿宋" w:eastAsia="仿宋" w:cs="仿宋"/>
          <w:sz w:val="24"/>
          <w:szCs w:val="24"/>
        </w:rPr>
      </w:pPr>
      <w:bookmarkStart w:id="230" w:name="_Toc10624"/>
      <w:bookmarkStart w:id="231" w:name="_Toc211911348"/>
      <w:bookmarkStart w:id="232" w:name="_Toc238984975"/>
      <w:bookmarkStart w:id="233" w:name="_Toc247334841"/>
      <w:bookmarkStart w:id="234" w:name="_Toc225654644"/>
      <w:bookmarkStart w:id="235" w:name="_Toc286993786"/>
      <w:bookmarkStart w:id="236" w:name="_Toc225244852"/>
      <w:bookmarkStart w:id="237" w:name="_Toc239233914"/>
      <w:bookmarkStart w:id="238" w:name="_Toc283019214"/>
      <w:bookmarkStart w:id="239" w:name="_Toc239568418"/>
      <w:bookmarkStart w:id="240" w:name="_Toc241833903"/>
      <w:bookmarkStart w:id="241" w:name="_Toc225670751"/>
      <w:bookmarkStart w:id="242" w:name="_Toc282696226"/>
      <w:bookmarkStart w:id="243" w:name="_Toc185395249"/>
      <w:bookmarkStart w:id="244" w:name="_Toc237145406"/>
      <w:bookmarkStart w:id="245" w:name="_Toc232492928"/>
      <w:bookmarkStart w:id="246" w:name="_Toc251768862"/>
      <w:bookmarkStart w:id="247" w:name="_Toc212019594"/>
      <w:bookmarkStart w:id="248" w:name="_Toc211854449"/>
      <w:r>
        <w:rPr>
          <w:rFonts w:hint="eastAsia" w:ascii="仿宋" w:hAnsi="仿宋" w:eastAsia="仿宋" w:cs="仿宋"/>
          <w:b/>
          <w:sz w:val="24"/>
          <w:szCs w:val="24"/>
        </w:rPr>
        <w:t>服务内容及要求</w:t>
      </w:r>
      <w:bookmarkEnd w:id="230"/>
    </w:p>
    <w:p>
      <w:pPr>
        <w:tabs>
          <w:tab w:val="left" w:pos="1440"/>
        </w:tabs>
        <w:ind w:firstLine="480"/>
        <w:rPr>
          <w:rFonts w:hint="eastAsia" w:ascii="仿宋" w:hAnsi="仿宋" w:eastAsia="仿宋" w:cs="仿宋"/>
          <w:sz w:val="24"/>
          <w:szCs w:val="24"/>
        </w:rPr>
      </w:pPr>
      <w:bookmarkStart w:id="249" w:name="_Toc393"/>
      <w:r>
        <w:rPr>
          <w:rFonts w:hint="eastAsia" w:ascii="仿宋" w:hAnsi="仿宋" w:eastAsia="仿宋" w:cs="仿宋"/>
          <w:sz w:val="24"/>
          <w:szCs w:val="24"/>
        </w:rPr>
        <w:t>1.持续深化省级安全发展示范城市建设。一是针对新都区城市安全仍存在短板的现状，协助各相关部门做好创建工作反馈问题整改，持续走深走实城市安全各项工作，完善城市安全发展体系建设。根据省级安全发展示范城市创建标准及三年“复评”等评价与管理要求，持续深化、巩固提升省级安全发展示范城市创建成果，持续做好成都市创建国家安全发展示范城市的部署任务。二是强化应急救援行动能力。梳理摸排，建设全区仓储重点安全风险“一张图”，梳理应急物资分布情况，提升应急物资管控能力，并实现信息化管控。提高重点应急预案可操作性，协助开展应急专业技能培训、比武。</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2.全面推进安全生产清单制管理提档升级。按照省、市安委会最新要求，全面推动新都区清单制管理工作提档升级：一是优化升级重点行业领域安全生产清单（2.0版）。指导新都区重点行业按照“行业共性+企业个性”的原则，进一步优化责任清单。二是构建完善全区包保责任和对口联系机制。建立全区各级安全包保责任机制，理清全区各个层级对企业包片监管责任分工，形成对口联系清单。三是完善政府层面和企业层面履职尽责督导，建立推行常态化抓落实督导机制，梳理完善各级领导干部职责，全面实行领导干部履行安全生产工作职责年度登记报告制度。四是推动落实企业安全承诺，指导督促辖区重点行业领域企业建立安全生产承诺事项清单，同步推行企业安全生产年度承诺公示制度，接受员工和社会监督，把安全责任落实到企业车间、班组、操作一线最小工作单元。。五是全面深化打造“清单制+信息化”系统，支持政企各方便捷使用，建成支撑“清单履职、监管执法、风险防控、应急救援”等重点工作的综合系统。</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3.构建排险除患长效机制，压实最小工作单元责任。构建实施四级包保责任机制“区党政领导→属地镇街、行业监管部门→村社区→最小单元（网格）”，融合运用“专业化+信息化”，着重提高基层一线隐患排查治理能力，构建完善排险除患长效管控机制，全面强化企业主体责任落实，打造履职全流程可控可追溯，将政企各方责任压实到最小工作单元。</w:t>
      </w:r>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4.为完成全面推动安全生产清单制管理提档升级、深化建设安全发展示范城市、将安全生产责任压实到最小工作单元等工作，协同采购人开展相关工作，供应商应具有安全、化工、信息化等相关专业技术职称人员。</w:t>
      </w:r>
    </w:p>
    <w:p>
      <w:pPr>
        <w:ind w:left="420" w:leftChars="200" w:firstLine="0" w:firstLineChars="0"/>
        <w:outlineLvl w:val="1"/>
        <w:rPr>
          <w:rFonts w:hint="eastAsia" w:ascii="仿宋" w:hAnsi="仿宋" w:eastAsia="仿宋" w:cs="仿宋"/>
          <w:b/>
          <w:sz w:val="24"/>
          <w:szCs w:val="24"/>
        </w:rPr>
      </w:pPr>
      <w:r>
        <w:rPr>
          <w:rFonts w:hint="eastAsia" w:ascii="仿宋" w:hAnsi="仿宋" w:eastAsia="仿宋" w:cs="仿宋"/>
          <w:b/>
          <w:sz w:val="24"/>
          <w:szCs w:val="24"/>
        </w:rPr>
        <w:t>第四条  服务费用及支付方式</w:t>
      </w:r>
      <w:bookmarkEnd w:id="249"/>
    </w:p>
    <w:p>
      <w:pPr>
        <w:numPr>
          <w:ilvl w:val="0"/>
          <w:numId w:val="8"/>
        </w:numPr>
        <w:ind w:left="0" w:firstLine="482"/>
        <w:outlineLvl w:val="2"/>
        <w:rPr>
          <w:rFonts w:hint="eastAsia" w:ascii="仿宋" w:hAnsi="仿宋" w:eastAsia="仿宋" w:cs="仿宋"/>
          <w:b/>
          <w:sz w:val="24"/>
          <w:szCs w:val="24"/>
        </w:rPr>
      </w:pPr>
      <w:bookmarkStart w:id="250" w:name="_Toc21059"/>
      <w:r>
        <w:rPr>
          <w:rFonts w:hint="eastAsia" w:ascii="仿宋" w:hAnsi="仿宋" w:eastAsia="仿宋" w:cs="仿宋"/>
          <w:b/>
          <w:sz w:val="24"/>
          <w:szCs w:val="24"/>
        </w:rPr>
        <w:t>本项目服务费用由以下组成：</w:t>
      </w:r>
      <w:bookmarkEnd w:id="250"/>
    </w:p>
    <w:p>
      <w:pPr>
        <w:ind w:firstLine="480"/>
        <w:rPr>
          <w:rFonts w:hint="eastAsia" w:ascii="仿宋" w:hAnsi="仿宋" w:eastAsia="仿宋" w:cs="仿宋"/>
          <w:sz w:val="24"/>
          <w:szCs w:val="24"/>
        </w:rPr>
      </w:pPr>
      <w:r>
        <w:rPr>
          <w:rFonts w:hint="eastAsia" w:ascii="仿宋" w:hAnsi="仿宋" w:eastAsia="仿宋" w:cs="仿宋"/>
          <w:sz w:val="24"/>
          <w:szCs w:val="24"/>
        </w:rPr>
        <w:t>1、XX万元；</w:t>
      </w:r>
    </w:p>
    <w:p>
      <w:pPr>
        <w:ind w:firstLine="480"/>
        <w:rPr>
          <w:rFonts w:hint="eastAsia" w:ascii="仿宋" w:hAnsi="仿宋" w:eastAsia="仿宋" w:cs="仿宋"/>
          <w:sz w:val="24"/>
          <w:szCs w:val="24"/>
        </w:rPr>
      </w:pPr>
      <w:r>
        <w:rPr>
          <w:rFonts w:hint="eastAsia" w:ascii="仿宋" w:hAnsi="仿宋" w:eastAsia="仿宋" w:cs="仿宋"/>
          <w:sz w:val="24"/>
          <w:szCs w:val="24"/>
        </w:rPr>
        <w:t>2、XX万元；</w:t>
      </w:r>
    </w:p>
    <w:p>
      <w:pPr>
        <w:ind w:firstLine="480"/>
        <w:rPr>
          <w:rFonts w:hint="eastAsia" w:ascii="仿宋" w:hAnsi="仿宋" w:eastAsia="仿宋" w:cs="仿宋"/>
          <w:sz w:val="24"/>
          <w:szCs w:val="24"/>
        </w:rPr>
      </w:pPr>
      <w:r>
        <w:rPr>
          <w:rFonts w:hint="eastAsia" w:ascii="仿宋" w:hAnsi="仿宋" w:eastAsia="仿宋" w:cs="仿宋"/>
          <w:sz w:val="24"/>
          <w:szCs w:val="24"/>
        </w:rPr>
        <w:t>3、XX万元。</w:t>
      </w:r>
    </w:p>
    <w:p>
      <w:pPr>
        <w:ind w:firstLine="480"/>
        <w:rPr>
          <w:rFonts w:hint="eastAsia" w:ascii="仿宋" w:hAnsi="仿宋" w:eastAsia="仿宋" w:cs="仿宋"/>
          <w:sz w:val="24"/>
          <w:szCs w:val="24"/>
        </w:rPr>
      </w:pPr>
      <w:r>
        <w:rPr>
          <w:rFonts w:hint="eastAsia" w:ascii="仿宋" w:hAnsi="仿宋" w:eastAsia="仿宋" w:cs="仿宋"/>
          <w:sz w:val="24"/>
          <w:szCs w:val="24"/>
        </w:rPr>
        <w:t>……</w:t>
      </w:r>
    </w:p>
    <w:p>
      <w:pPr>
        <w:ind w:firstLine="482"/>
        <w:outlineLvl w:val="2"/>
        <w:rPr>
          <w:rFonts w:hint="eastAsia" w:ascii="仿宋" w:hAnsi="仿宋" w:eastAsia="仿宋" w:cs="仿宋"/>
          <w:b/>
          <w:sz w:val="24"/>
          <w:szCs w:val="24"/>
        </w:rPr>
      </w:pPr>
      <w:bookmarkStart w:id="251" w:name="_Toc14338"/>
      <w:r>
        <w:rPr>
          <w:rFonts w:hint="eastAsia" w:ascii="仿宋" w:hAnsi="仿宋" w:eastAsia="仿宋" w:cs="仿宋"/>
          <w:b/>
          <w:sz w:val="24"/>
          <w:szCs w:val="24"/>
        </w:rPr>
        <w:t>（二）服务费付款方式和时间：</w:t>
      </w:r>
      <w:bookmarkEnd w:id="251"/>
    </w:p>
    <w:p>
      <w:pPr>
        <w:ind w:firstLine="482"/>
        <w:outlineLvl w:val="1"/>
        <w:rPr>
          <w:rFonts w:hint="eastAsia" w:ascii="仿宋" w:hAnsi="仿宋" w:eastAsia="仿宋" w:cs="仿宋"/>
          <w:b/>
          <w:sz w:val="24"/>
          <w:szCs w:val="24"/>
        </w:rPr>
      </w:pPr>
      <w:bookmarkStart w:id="252" w:name="_Toc6058"/>
      <w:r>
        <w:rPr>
          <w:rFonts w:hint="eastAsia" w:ascii="仿宋" w:hAnsi="仿宋" w:eastAsia="仿宋" w:cs="仿宋"/>
          <w:b/>
          <w:sz w:val="24"/>
          <w:szCs w:val="24"/>
        </w:rPr>
        <w:t>第五条  知识产权</w:t>
      </w:r>
      <w:bookmarkEnd w:id="252"/>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乙方应保证所提供的服务或其任何一部分均不会侵犯任何第三方的专利权、商标权或著作权。</w:t>
      </w:r>
    </w:p>
    <w:p>
      <w:pPr>
        <w:ind w:firstLine="482"/>
        <w:outlineLvl w:val="1"/>
        <w:rPr>
          <w:rFonts w:hint="eastAsia" w:ascii="仿宋" w:hAnsi="仿宋" w:eastAsia="仿宋" w:cs="仿宋"/>
          <w:b/>
          <w:sz w:val="24"/>
          <w:szCs w:val="24"/>
        </w:rPr>
      </w:pPr>
      <w:bookmarkStart w:id="253" w:name="_Toc15349"/>
      <w:r>
        <w:rPr>
          <w:rFonts w:hint="eastAsia" w:ascii="仿宋" w:hAnsi="仿宋" w:eastAsia="仿宋" w:cs="仿宋"/>
          <w:b/>
          <w:sz w:val="24"/>
          <w:szCs w:val="24"/>
        </w:rPr>
        <w:t>第六条  无产权瑕疵条款</w:t>
      </w:r>
      <w:bookmarkEnd w:id="253"/>
    </w:p>
    <w:p>
      <w:pPr>
        <w:tabs>
          <w:tab w:val="left" w:pos="1440"/>
        </w:tabs>
        <w:ind w:firstLine="480"/>
        <w:rPr>
          <w:rFonts w:hint="eastAsia" w:ascii="仿宋" w:hAnsi="仿宋" w:eastAsia="仿宋" w:cs="仿宋"/>
          <w:sz w:val="24"/>
          <w:szCs w:val="24"/>
        </w:rPr>
      </w:pPr>
      <w:r>
        <w:rPr>
          <w:rFonts w:hint="eastAsia" w:ascii="仿宋" w:hAnsi="仿宋" w:eastAsia="仿宋" w:cs="仿宋"/>
          <w:sz w:val="24"/>
          <w:szCs w:val="24"/>
        </w:rPr>
        <w:t>乙方保证所提供的服务的所有权完全属于乙方且无任何抵押、查封等产权瑕疵。如有产权瑕疵的，视为乙方违约。乙方应负担由此而产生的一切损失。</w:t>
      </w:r>
    </w:p>
    <w:p>
      <w:pPr>
        <w:ind w:left="420" w:leftChars="200" w:firstLine="0" w:firstLineChars="0"/>
        <w:outlineLvl w:val="1"/>
        <w:rPr>
          <w:rFonts w:hint="eastAsia" w:ascii="仿宋" w:hAnsi="仿宋" w:eastAsia="仿宋" w:cs="仿宋"/>
          <w:b/>
          <w:sz w:val="24"/>
          <w:szCs w:val="24"/>
        </w:rPr>
      </w:pPr>
      <w:bookmarkStart w:id="254" w:name="_Toc25470"/>
      <w:r>
        <w:rPr>
          <w:rFonts w:hint="eastAsia" w:ascii="仿宋" w:hAnsi="仿宋" w:eastAsia="仿宋" w:cs="仿宋"/>
          <w:b/>
          <w:sz w:val="24"/>
          <w:szCs w:val="24"/>
        </w:rPr>
        <w:t>第七条  履约保证金</w:t>
      </w:r>
      <w:bookmarkEnd w:id="254"/>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lang w:eastAsia="zh-CN"/>
        </w:rPr>
        <w:t>本项目不缴纳</w:t>
      </w:r>
      <w:r>
        <w:rPr>
          <w:rFonts w:hint="eastAsia" w:ascii="仿宋" w:hAnsi="仿宋" w:eastAsia="仿宋" w:cs="仿宋"/>
          <w:bCs/>
          <w:sz w:val="24"/>
          <w:szCs w:val="24"/>
        </w:rPr>
        <w:t>履约保证金。</w:t>
      </w:r>
    </w:p>
    <w:p>
      <w:pPr>
        <w:ind w:left="420" w:leftChars="200" w:firstLine="0" w:firstLineChars="0"/>
        <w:outlineLvl w:val="1"/>
        <w:rPr>
          <w:rFonts w:hint="eastAsia" w:ascii="仿宋" w:hAnsi="仿宋" w:eastAsia="仿宋" w:cs="仿宋"/>
          <w:b/>
          <w:sz w:val="24"/>
          <w:szCs w:val="24"/>
        </w:rPr>
      </w:pPr>
      <w:bookmarkStart w:id="255" w:name="_Toc21781"/>
      <w:r>
        <w:rPr>
          <w:rFonts w:hint="eastAsia" w:ascii="仿宋" w:hAnsi="仿宋" w:eastAsia="仿宋" w:cs="仿宋"/>
          <w:b/>
          <w:sz w:val="24"/>
          <w:szCs w:val="24"/>
        </w:rPr>
        <w:t>第八条  甲方的权利和义务</w:t>
      </w:r>
      <w:bookmarkEnd w:id="255"/>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2、甲方有权依据双方签订的考评办法对乙方提供的服务进行定期考评。当考评结果未达到标准时，有权依据考评办法约定的数额扣除服务费。</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3、负责检查监督乙方管理工作的实施及制度的执行情况。</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4、根据本合同规定，按时向乙方支付应付服务费用。</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5、国家法律、法规所规定由甲方承担的其它责任。</w:t>
      </w:r>
    </w:p>
    <w:p>
      <w:pPr>
        <w:ind w:firstLine="482"/>
        <w:outlineLvl w:val="1"/>
        <w:rPr>
          <w:rFonts w:hint="eastAsia" w:ascii="仿宋" w:hAnsi="仿宋" w:eastAsia="仿宋" w:cs="仿宋"/>
          <w:b/>
          <w:sz w:val="24"/>
          <w:szCs w:val="24"/>
        </w:rPr>
      </w:pPr>
      <w:bookmarkStart w:id="256" w:name="_Toc5997"/>
      <w:r>
        <w:rPr>
          <w:rFonts w:hint="eastAsia" w:ascii="仿宋" w:hAnsi="仿宋" w:eastAsia="仿宋" w:cs="仿宋"/>
          <w:b/>
          <w:sz w:val="24"/>
          <w:szCs w:val="24"/>
        </w:rPr>
        <w:t>第九条  乙方的权利和义务</w:t>
      </w:r>
      <w:bookmarkEnd w:id="256"/>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1、对本合同规定的委托服务范围内的项目享有管理权及服务义务。</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2、根据本合同的规定向甲方收取相关服务费用，并有权在本项目管理范围内管理及合理使用。</w:t>
      </w:r>
    </w:p>
    <w:p>
      <w:pPr>
        <w:adjustRightInd w:val="0"/>
        <w:ind w:firstLine="480"/>
        <w:jc w:val="left"/>
        <w:textAlignment w:val="baseline"/>
        <w:rPr>
          <w:rFonts w:hint="eastAsia" w:ascii="仿宋" w:hAnsi="仿宋" w:eastAsia="仿宋" w:cs="仿宋"/>
          <w:sz w:val="24"/>
          <w:szCs w:val="24"/>
        </w:rPr>
      </w:pPr>
      <w:r>
        <w:rPr>
          <w:rFonts w:hint="eastAsia" w:ascii="仿宋" w:hAnsi="仿宋" w:eastAsia="仿宋" w:cs="仿宋"/>
          <w:sz w:val="24"/>
          <w:szCs w:val="24"/>
        </w:rPr>
        <w:t>3、及时向甲方通告本项目服务范围内有关服务的重大事项，及时配合处理投诉。</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sz w:val="24"/>
          <w:szCs w:val="24"/>
        </w:rPr>
        <w:t>4、</w:t>
      </w:r>
      <w:r>
        <w:rPr>
          <w:rFonts w:hint="eastAsia" w:ascii="仿宋" w:hAnsi="仿宋" w:eastAsia="仿宋" w:cs="仿宋"/>
          <w:bCs/>
          <w:sz w:val="24"/>
          <w:szCs w:val="24"/>
        </w:rPr>
        <w:t>接受项目行业管理部门及政府有关部门的指导，接受甲方的监督。</w:t>
      </w:r>
    </w:p>
    <w:p>
      <w:pPr>
        <w:adjustRightInd w:val="0"/>
        <w:ind w:firstLine="480"/>
        <w:jc w:val="left"/>
        <w:textAlignment w:val="baseline"/>
        <w:rPr>
          <w:rFonts w:hint="eastAsia" w:ascii="仿宋" w:hAnsi="仿宋" w:eastAsia="仿宋" w:cs="仿宋"/>
          <w:bCs/>
          <w:sz w:val="24"/>
          <w:szCs w:val="24"/>
        </w:rPr>
      </w:pPr>
      <w:r>
        <w:rPr>
          <w:rFonts w:hint="eastAsia" w:ascii="仿宋" w:hAnsi="仿宋" w:eastAsia="仿宋" w:cs="仿宋"/>
          <w:bCs/>
          <w:sz w:val="24"/>
          <w:szCs w:val="24"/>
        </w:rPr>
        <w:t>5、国家法律、法规所规定由乙方承担的其它责任。</w:t>
      </w:r>
    </w:p>
    <w:p>
      <w:pPr>
        <w:ind w:left="420" w:leftChars="200" w:firstLine="0" w:firstLineChars="0"/>
        <w:outlineLvl w:val="1"/>
        <w:rPr>
          <w:rFonts w:hint="eastAsia" w:ascii="仿宋" w:hAnsi="仿宋" w:eastAsia="仿宋" w:cs="仿宋"/>
          <w:b/>
          <w:sz w:val="24"/>
          <w:szCs w:val="24"/>
        </w:rPr>
      </w:pPr>
      <w:bookmarkStart w:id="257" w:name="_Toc23543"/>
      <w:r>
        <w:rPr>
          <w:rFonts w:hint="eastAsia" w:ascii="仿宋" w:hAnsi="仿宋" w:eastAsia="仿宋" w:cs="仿宋"/>
          <w:b/>
          <w:sz w:val="24"/>
          <w:szCs w:val="24"/>
        </w:rPr>
        <w:t>第十条  违约责任</w:t>
      </w:r>
      <w:bookmarkEnd w:id="257"/>
    </w:p>
    <w:p>
      <w:pPr>
        <w:ind w:firstLine="480"/>
        <w:rPr>
          <w:rFonts w:hint="eastAsia" w:ascii="仿宋" w:hAnsi="仿宋" w:eastAsia="仿宋" w:cs="仿宋"/>
          <w:sz w:val="24"/>
          <w:szCs w:val="24"/>
        </w:rPr>
      </w:pPr>
      <w:r>
        <w:rPr>
          <w:rFonts w:hint="eastAsia" w:ascii="仿宋" w:hAnsi="仿宋" w:eastAsia="仿宋" w:cs="仿宋"/>
          <w:sz w:val="24"/>
          <w:szCs w:val="24"/>
        </w:rPr>
        <w:t>1.双方必须遵守本合同并执行合同中的各项规定，保证合同的正常履行。</w:t>
      </w:r>
    </w:p>
    <w:p>
      <w:pPr>
        <w:ind w:firstLine="480"/>
        <w:rPr>
          <w:rFonts w:hint="eastAsia" w:ascii="仿宋" w:hAnsi="仿宋" w:eastAsia="仿宋" w:cs="仿宋"/>
          <w:bCs/>
          <w:sz w:val="24"/>
          <w:szCs w:val="24"/>
        </w:rPr>
      </w:pPr>
      <w:r>
        <w:rPr>
          <w:rFonts w:hint="eastAsia" w:ascii="仿宋" w:hAnsi="仿宋" w:eastAsia="仿宋" w:cs="仿宋"/>
          <w:sz w:val="24"/>
          <w:szCs w:val="24"/>
        </w:rPr>
        <w:t>2.如因供应商工作人员在履行职务过程中的的疏忽、失职、过错等故意或者过失原因给采购方造成损失或侵害，包括但不限于采购方本身的财产损失、由此而导致的采购方对任何第三方的法律责任等，供应商对此均应承担全部的赔偿责任。</w:t>
      </w:r>
    </w:p>
    <w:p>
      <w:pPr>
        <w:ind w:left="420" w:leftChars="200" w:firstLine="0" w:firstLineChars="0"/>
        <w:outlineLvl w:val="1"/>
        <w:rPr>
          <w:rFonts w:hint="eastAsia" w:ascii="仿宋" w:hAnsi="仿宋" w:eastAsia="仿宋" w:cs="仿宋"/>
          <w:b/>
          <w:sz w:val="24"/>
          <w:szCs w:val="24"/>
        </w:rPr>
      </w:pPr>
      <w:bookmarkStart w:id="258" w:name="_Toc14548"/>
      <w:r>
        <w:rPr>
          <w:rFonts w:hint="eastAsia" w:ascii="仿宋" w:hAnsi="仿宋" w:eastAsia="仿宋" w:cs="仿宋"/>
          <w:b/>
          <w:sz w:val="24"/>
          <w:szCs w:val="24"/>
        </w:rPr>
        <w:t>第十一条 不可抗力事件处理</w:t>
      </w:r>
      <w:bookmarkEnd w:id="258"/>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1、在合同有效期内，任何一方因不可抗力事件导致不能履行合同，则合同履行期可延长，其延长期与不可抗力影响期相同。</w:t>
      </w:r>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2、不可抗力事件发生后，应立即通知对方，并寄送有关权威机构出具的证明。</w:t>
      </w:r>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3、不可抗力事件延续XX天以上，双方应通过友好协商，确定是否继续履行合同。</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Pr>
        <w:ind w:left="420" w:leftChars="200" w:firstLine="0" w:firstLineChars="0"/>
        <w:outlineLvl w:val="1"/>
        <w:rPr>
          <w:rFonts w:hint="eastAsia" w:ascii="仿宋" w:hAnsi="仿宋" w:eastAsia="仿宋" w:cs="仿宋"/>
          <w:b/>
          <w:sz w:val="24"/>
          <w:szCs w:val="24"/>
        </w:rPr>
      </w:pPr>
      <w:bookmarkStart w:id="259" w:name="_Toc232492933"/>
      <w:bookmarkStart w:id="260" w:name="_Toc225244857"/>
      <w:bookmarkStart w:id="261" w:name="_Toc247334846"/>
      <w:bookmarkStart w:id="262" w:name="_Toc212019599"/>
      <w:bookmarkStart w:id="263" w:name="_Toc239568423"/>
      <w:bookmarkStart w:id="264" w:name="_Toc239233919"/>
      <w:bookmarkStart w:id="265" w:name="_Toc286993792"/>
      <w:bookmarkStart w:id="266" w:name="_Toc31549"/>
      <w:bookmarkStart w:id="267" w:name="_Toc238984980"/>
      <w:bookmarkStart w:id="268" w:name="_Toc211911353"/>
      <w:bookmarkStart w:id="269" w:name="_Toc237145411"/>
      <w:bookmarkStart w:id="270" w:name="_Toc251768867"/>
      <w:bookmarkStart w:id="271" w:name="_Toc225654649"/>
      <w:bookmarkStart w:id="272" w:name="_Toc225670756"/>
      <w:bookmarkStart w:id="273" w:name="_Toc241833908"/>
      <w:bookmarkStart w:id="274" w:name="_Toc185395254"/>
      <w:bookmarkStart w:id="275" w:name="_Toc211854454"/>
      <w:r>
        <w:rPr>
          <w:rFonts w:hint="eastAsia" w:ascii="仿宋" w:hAnsi="仿宋" w:eastAsia="仿宋" w:cs="仿宋"/>
          <w:b/>
          <w:sz w:val="24"/>
          <w:szCs w:val="24"/>
        </w:rPr>
        <w:t>第十二条  解决合同纠纷的方式</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1、在执行本合同中发生的或与本合同有关的争端，双方应通过友好协商解决，经协商在XX天内不能达成协议时，应提交成都仲裁委员会仲裁。</w:t>
      </w:r>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2、仲裁裁决应为最终决定，并对双方具有约束力。</w:t>
      </w:r>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 xml:space="preserve">3、除另有裁决外，仲裁费应由败诉方负担。 </w:t>
      </w:r>
    </w:p>
    <w:p>
      <w:pPr>
        <w:tabs>
          <w:tab w:val="left" w:pos="0"/>
        </w:tabs>
        <w:ind w:firstLine="480"/>
        <w:rPr>
          <w:rFonts w:hint="eastAsia" w:ascii="仿宋" w:hAnsi="仿宋" w:eastAsia="仿宋" w:cs="仿宋"/>
          <w:sz w:val="24"/>
          <w:szCs w:val="24"/>
        </w:rPr>
      </w:pPr>
      <w:r>
        <w:rPr>
          <w:rFonts w:hint="eastAsia" w:ascii="仿宋" w:hAnsi="仿宋" w:eastAsia="仿宋" w:cs="仿宋"/>
          <w:sz w:val="24"/>
          <w:szCs w:val="24"/>
        </w:rPr>
        <w:t xml:space="preserve">4、在仲裁期间，除正在进行仲裁部分外，合同其他部分继续执行。  </w:t>
      </w:r>
    </w:p>
    <w:p>
      <w:pPr>
        <w:ind w:left="420" w:leftChars="200" w:firstLine="0" w:firstLineChars="0"/>
        <w:outlineLvl w:val="1"/>
        <w:rPr>
          <w:rFonts w:hint="eastAsia" w:ascii="仿宋" w:hAnsi="仿宋" w:eastAsia="仿宋" w:cs="仿宋"/>
          <w:b/>
          <w:sz w:val="24"/>
          <w:szCs w:val="24"/>
        </w:rPr>
      </w:pPr>
      <w:bookmarkStart w:id="276" w:name="_Toc211911354"/>
      <w:bookmarkStart w:id="277" w:name="_Toc251768868"/>
      <w:bookmarkStart w:id="278" w:name="_Toc232492934"/>
      <w:bookmarkStart w:id="279" w:name="_Toc211854455"/>
      <w:bookmarkStart w:id="280" w:name="_Toc241833909"/>
      <w:bookmarkStart w:id="281" w:name="_Toc225654650"/>
      <w:bookmarkStart w:id="282" w:name="_Toc247334847"/>
      <w:bookmarkStart w:id="283" w:name="_Toc238984981"/>
      <w:bookmarkStart w:id="284" w:name="_Toc185395255"/>
      <w:bookmarkStart w:id="285" w:name="_Toc239233920"/>
      <w:bookmarkStart w:id="286" w:name="_Toc282696231"/>
      <w:bookmarkStart w:id="287" w:name="_Toc225244858"/>
      <w:bookmarkStart w:id="288" w:name="_Toc286993793"/>
      <w:bookmarkStart w:id="289" w:name="_Toc239568424"/>
      <w:bookmarkStart w:id="290" w:name="_Toc237145412"/>
      <w:bookmarkStart w:id="291" w:name="_Toc212019600"/>
      <w:bookmarkStart w:id="292" w:name="_Toc225670757"/>
      <w:bookmarkStart w:id="293" w:name="_Toc283019219"/>
      <w:bookmarkStart w:id="294" w:name="_Toc24505"/>
      <w:r>
        <w:rPr>
          <w:rFonts w:hint="eastAsia" w:ascii="仿宋" w:hAnsi="仿宋" w:eastAsia="仿宋" w:cs="仿宋"/>
          <w:b/>
          <w:sz w:val="24"/>
          <w:szCs w:val="24"/>
        </w:rPr>
        <w:t>第十三条  合同</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rFonts w:hint="eastAsia" w:ascii="仿宋" w:hAnsi="仿宋" w:eastAsia="仿宋" w:cs="仿宋"/>
          <w:b/>
          <w:sz w:val="24"/>
          <w:szCs w:val="24"/>
        </w:rPr>
        <w:t>生效及其他</w:t>
      </w:r>
      <w:bookmarkEnd w:id="294"/>
    </w:p>
    <w:p>
      <w:pPr>
        <w:pStyle w:val="87"/>
        <w:ind w:firstLine="480"/>
        <w:rPr>
          <w:rFonts w:hint="eastAsia" w:ascii="仿宋" w:hAnsi="仿宋" w:eastAsia="仿宋" w:cs="仿宋"/>
          <w:sz w:val="24"/>
          <w:szCs w:val="24"/>
        </w:rPr>
      </w:pPr>
      <w:r>
        <w:rPr>
          <w:rFonts w:hint="eastAsia" w:ascii="仿宋" w:hAnsi="仿宋" w:eastAsia="仿宋" w:cs="仿宋"/>
          <w:sz w:val="24"/>
          <w:szCs w:val="24"/>
        </w:rPr>
        <w:t>1、合同经双方法定代表人或授权委托代理人签字并加盖单位公章后生效。</w:t>
      </w:r>
    </w:p>
    <w:p>
      <w:pPr>
        <w:pStyle w:val="87"/>
        <w:ind w:firstLine="480"/>
        <w:rPr>
          <w:rFonts w:hint="eastAsia" w:ascii="仿宋" w:hAnsi="仿宋" w:eastAsia="仿宋" w:cs="仿宋"/>
          <w:sz w:val="24"/>
          <w:szCs w:val="24"/>
        </w:rPr>
      </w:pPr>
      <w:r>
        <w:rPr>
          <w:rFonts w:hint="eastAsia" w:ascii="仿宋" w:hAnsi="仿宋" w:eastAsia="仿宋" w:cs="仿宋"/>
          <w:sz w:val="24"/>
          <w:szCs w:val="24"/>
        </w:rPr>
        <w:t>2、合同执行中涉及采购资金和采购内容修改或补充的，须经政府采购监管部门审批，并签书面补充协议报政府采购监督管理部门备案，方可作为主合同不可分割的一部分。</w:t>
      </w:r>
    </w:p>
    <w:p>
      <w:pPr>
        <w:pStyle w:val="87"/>
        <w:ind w:firstLine="480"/>
        <w:rPr>
          <w:rFonts w:hint="eastAsia" w:ascii="仿宋" w:hAnsi="仿宋" w:eastAsia="仿宋" w:cs="仿宋"/>
          <w:sz w:val="24"/>
          <w:szCs w:val="24"/>
        </w:rPr>
      </w:pPr>
      <w:r>
        <w:rPr>
          <w:rFonts w:hint="eastAsia" w:ascii="仿宋" w:hAnsi="仿宋" w:eastAsia="仿宋" w:cs="仿宋"/>
          <w:sz w:val="24"/>
          <w:szCs w:val="24"/>
        </w:rPr>
        <w:t>3、本合同一式XX份，自双方签章之日起起效。甲方XX份，乙方XX份，政府采购代理机构XX份，同级财政部门备案XX份，具有同等法律效力。</w:t>
      </w:r>
    </w:p>
    <w:p>
      <w:pPr>
        <w:ind w:left="420" w:leftChars="200" w:firstLine="0" w:firstLineChars="0"/>
        <w:outlineLvl w:val="1"/>
        <w:rPr>
          <w:rFonts w:hint="eastAsia" w:ascii="仿宋" w:hAnsi="仿宋" w:eastAsia="仿宋" w:cs="仿宋"/>
          <w:b/>
          <w:sz w:val="24"/>
          <w:szCs w:val="24"/>
        </w:rPr>
      </w:pPr>
      <w:bookmarkStart w:id="295" w:name="_Toc19217"/>
      <w:r>
        <w:rPr>
          <w:rFonts w:hint="eastAsia" w:ascii="仿宋" w:hAnsi="仿宋" w:eastAsia="仿宋" w:cs="仿宋"/>
          <w:b/>
          <w:sz w:val="24"/>
          <w:szCs w:val="24"/>
        </w:rPr>
        <w:t>第十四条  附件</w:t>
      </w:r>
      <w:bookmarkEnd w:id="295"/>
    </w:p>
    <w:p>
      <w:pPr>
        <w:pStyle w:val="87"/>
        <w:ind w:firstLine="480"/>
        <w:rPr>
          <w:rFonts w:hint="eastAsia" w:ascii="仿宋" w:hAnsi="仿宋" w:eastAsia="仿宋" w:cs="仿宋"/>
          <w:sz w:val="24"/>
          <w:szCs w:val="24"/>
        </w:rPr>
      </w:pPr>
      <w:r>
        <w:rPr>
          <w:rFonts w:hint="eastAsia" w:ascii="仿宋" w:hAnsi="仿宋" w:eastAsia="仿宋" w:cs="仿宋"/>
          <w:sz w:val="24"/>
          <w:szCs w:val="24"/>
        </w:rPr>
        <w:t>1、项目招标文件</w:t>
      </w:r>
    </w:p>
    <w:p>
      <w:pPr>
        <w:pStyle w:val="87"/>
        <w:ind w:firstLine="480"/>
        <w:rPr>
          <w:rFonts w:hint="eastAsia" w:ascii="仿宋" w:hAnsi="仿宋" w:eastAsia="仿宋" w:cs="仿宋"/>
          <w:sz w:val="24"/>
          <w:szCs w:val="24"/>
        </w:rPr>
      </w:pPr>
      <w:r>
        <w:rPr>
          <w:rFonts w:hint="eastAsia" w:ascii="仿宋" w:hAnsi="仿宋" w:eastAsia="仿宋" w:cs="仿宋"/>
          <w:sz w:val="24"/>
          <w:szCs w:val="24"/>
        </w:rPr>
        <w:t>2、项目修改澄清文件</w:t>
      </w:r>
    </w:p>
    <w:p>
      <w:pPr>
        <w:pStyle w:val="87"/>
        <w:ind w:firstLine="480"/>
        <w:rPr>
          <w:rFonts w:hint="eastAsia" w:ascii="仿宋" w:hAnsi="仿宋" w:eastAsia="仿宋" w:cs="仿宋"/>
          <w:sz w:val="24"/>
          <w:szCs w:val="24"/>
        </w:rPr>
      </w:pPr>
      <w:r>
        <w:rPr>
          <w:rFonts w:hint="eastAsia" w:ascii="仿宋" w:hAnsi="仿宋" w:eastAsia="仿宋" w:cs="仿宋"/>
          <w:sz w:val="24"/>
          <w:szCs w:val="24"/>
        </w:rPr>
        <w:t>3、项目投标文件</w:t>
      </w:r>
    </w:p>
    <w:p>
      <w:pPr>
        <w:pStyle w:val="87"/>
        <w:ind w:firstLine="480"/>
        <w:rPr>
          <w:rFonts w:hint="eastAsia" w:ascii="仿宋" w:hAnsi="仿宋" w:eastAsia="仿宋" w:cs="仿宋"/>
          <w:sz w:val="24"/>
          <w:szCs w:val="24"/>
        </w:rPr>
      </w:pPr>
      <w:r>
        <w:rPr>
          <w:rFonts w:hint="eastAsia" w:ascii="仿宋" w:hAnsi="仿宋" w:eastAsia="仿宋" w:cs="仿宋"/>
          <w:sz w:val="24"/>
          <w:szCs w:val="24"/>
        </w:rPr>
        <w:t>4、中标通知书</w:t>
      </w:r>
    </w:p>
    <w:p>
      <w:pPr>
        <w:pStyle w:val="87"/>
        <w:ind w:firstLine="48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5、分包意向协议（非中小企业适用）</w:t>
      </w:r>
    </w:p>
    <w:p>
      <w:pPr>
        <w:pStyle w:val="87"/>
        <w:ind w:firstLine="48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、其他</w:t>
      </w:r>
    </w:p>
    <w:p>
      <w:pPr>
        <w:pStyle w:val="87"/>
        <w:ind w:firstLine="480"/>
        <w:rPr>
          <w:rFonts w:hint="eastAsia" w:ascii="仿宋" w:hAnsi="仿宋" w:eastAsia="仿宋" w:cs="仿宋"/>
          <w:sz w:val="24"/>
          <w:szCs w:val="24"/>
        </w:rPr>
      </w:pPr>
    </w:p>
    <w:p>
      <w:pPr>
        <w:ind w:firstLine="480"/>
        <w:rPr>
          <w:rFonts w:hint="eastAsia" w:ascii="仿宋" w:hAnsi="仿宋" w:eastAsia="仿宋" w:cs="仿宋"/>
          <w:sz w:val="24"/>
          <w:szCs w:val="24"/>
        </w:rPr>
      </w:pPr>
      <w:r>
        <w:rPr>
          <w:rFonts w:hint="eastAsia" w:ascii="仿宋" w:hAnsi="仿宋" w:eastAsia="仿宋" w:cs="仿宋"/>
          <w:sz w:val="24"/>
          <w:szCs w:val="24"/>
        </w:rPr>
        <w:t xml:space="preserve">甲方：   （盖章）   </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 xml:space="preserve">       乙方：   （盖章）</w:t>
      </w:r>
    </w:p>
    <w:p>
      <w:pPr>
        <w:ind w:firstLine="480"/>
        <w:rPr>
          <w:rFonts w:hint="eastAsia" w:ascii="仿宋" w:hAnsi="仿宋" w:eastAsia="仿宋" w:cs="仿宋"/>
          <w:sz w:val="24"/>
          <w:szCs w:val="24"/>
        </w:rPr>
      </w:pPr>
      <w:r>
        <w:rPr>
          <w:rFonts w:hint="eastAsia" w:ascii="仿宋" w:hAnsi="仿宋" w:eastAsia="仿宋" w:cs="仿宋"/>
          <w:sz w:val="24"/>
          <w:szCs w:val="24"/>
        </w:rPr>
        <w:t>法定代表人（授权代表）：           法定代表人（授权代表）：</w:t>
      </w:r>
    </w:p>
    <w:p>
      <w:pPr>
        <w:ind w:firstLine="480"/>
        <w:rPr>
          <w:rFonts w:hint="eastAsia" w:ascii="仿宋" w:hAnsi="仿宋" w:eastAsia="仿宋" w:cs="仿宋"/>
          <w:sz w:val="24"/>
          <w:szCs w:val="24"/>
        </w:rPr>
      </w:pPr>
      <w:r>
        <w:rPr>
          <w:rFonts w:hint="eastAsia" w:ascii="仿宋" w:hAnsi="仿宋" w:eastAsia="仿宋" w:cs="仿宋"/>
          <w:sz w:val="24"/>
          <w:szCs w:val="24"/>
        </w:rPr>
        <w:t>地    址：                         地    址：</w:t>
      </w:r>
    </w:p>
    <w:p>
      <w:pPr>
        <w:ind w:firstLine="480"/>
        <w:rPr>
          <w:rFonts w:hint="eastAsia" w:ascii="仿宋" w:hAnsi="仿宋" w:eastAsia="仿宋" w:cs="仿宋"/>
          <w:sz w:val="24"/>
          <w:szCs w:val="24"/>
        </w:rPr>
      </w:pPr>
      <w:r>
        <w:rPr>
          <w:rFonts w:hint="eastAsia" w:ascii="仿宋" w:hAnsi="仿宋" w:eastAsia="仿宋" w:cs="仿宋"/>
          <w:sz w:val="24"/>
          <w:szCs w:val="24"/>
        </w:rPr>
        <w:t>开户银行：                         开户银行：</w:t>
      </w:r>
    </w:p>
    <w:p>
      <w:pPr>
        <w:ind w:firstLine="480"/>
        <w:rPr>
          <w:rFonts w:hint="eastAsia" w:ascii="仿宋" w:hAnsi="仿宋" w:eastAsia="仿宋" w:cs="仿宋"/>
          <w:sz w:val="24"/>
          <w:szCs w:val="24"/>
        </w:rPr>
      </w:pPr>
      <w:r>
        <w:rPr>
          <w:rFonts w:hint="eastAsia" w:ascii="仿宋" w:hAnsi="仿宋" w:eastAsia="仿宋" w:cs="仿宋"/>
          <w:sz w:val="24"/>
          <w:szCs w:val="24"/>
        </w:rPr>
        <w:t>账号：                             账号：</w:t>
      </w:r>
    </w:p>
    <w:p>
      <w:pPr>
        <w:ind w:firstLine="480"/>
        <w:rPr>
          <w:rFonts w:hint="eastAsia" w:ascii="仿宋" w:hAnsi="仿宋" w:eastAsia="仿宋" w:cs="仿宋"/>
          <w:sz w:val="24"/>
          <w:szCs w:val="24"/>
        </w:rPr>
      </w:pPr>
      <w:r>
        <w:rPr>
          <w:rFonts w:hint="eastAsia" w:ascii="仿宋" w:hAnsi="仿宋" w:eastAsia="仿宋" w:cs="仿宋"/>
          <w:sz w:val="24"/>
          <w:szCs w:val="24"/>
        </w:rPr>
        <w:t>电    话：                         电    话：</w:t>
      </w:r>
    </w:p>
    <w:p>
      <w:pPr>
        <w:ind w:firstLine="480"/>
        <w:rPr>
          <w:rFonts w:hint="eastAsia" w:ascii="仿宋" w:hAnsi="仿宋" w:eastAsia="仿宋" w:cs="仿宋"/>
          <w:sz w:val="24"/>
          <w:szCs w:val="24"/>
        </w:rPr>
      </w:pPr>
      <w:r>
        <w:rPr>
          <w:rFonts w:hint="eastAsia" w:ascii="仿宋" w:hAnsi="仿宋" w:eastAsia="仿宋" w:cs="仿宋"/>
          <w:sz w:val="24"/>
          <w:szCs w:val="24"/>
        </w:rPr>
        <w:t>传    真：                         传    真：</w:t>
      </w:r>
    </w:p>
    <w:p>
      <w:pPr>
        <w:ind w:firstLine="480"/>
        <w:rPr>
          <w:rFonts w:hint="eastAsia" w:ascii="仿宋" w:hAnsi="仿宋" w:eastAsia="仿宋" w:cs="仿宋"/>
          <w:sz w:val="24"/>
          <w:szCs w:val="24"/>
        </w:rPr>
      </w:pPr>
      <w:r>
        <w:rPr>
          <w:rFonts w:hint="eastAsia" w:ascii="仿宋" w:hAnsi="仿宋" w:eastAsia="仿宋" w:cs="仿宋"/>
          <w:sz w:val="24"/>
          <w:szCs w:val="24"/>
        </w:rPr>
        <w:t xml:space="preserve">签约日期：XX年XX月XX日 </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rPr>
        <w:t>签约日期：XX年XX月XX日</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br w:type="page"/>
      </w:r>
    </w:p>
    <w:p>
      <w:pPr>
        <w:spacing w:line="360" w:lineRule="auto"/>
        <w:outlineLvl w:val="1"/>
        <w:rPr>
          <w:rFonts w:ascii="宋体" w:hAnsi="宋体" w:cs="宋体"/>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附件一：《四川省财政厅关于推进四川省政府采购供应商信用融资工作的通知》</w:t>
      </w:r>
      <w:bookmarkEnd w:id="190"/>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14:textFill>
            <w14:solidFill>
              <w14:schemeClr w14:val="tx1"/>
            </w14:solidFill>
          </w14:textFill>
        </w:rPr>
      </w:pPr>
    </w:p>
    <w:p>
      <w:pPr>
        <w:spacing w:line="400" w:lineRule="exact"/>
        <w:rPr>
          <w:rFonts w:ascii="宋体" w:hAnsi="宋体" w:cs="Tahoma"/>
          <w:b/>
          <w:color w:val="000000" w:themeColor="text1"/>
          <w:sz w:val="30"/>
          <w:szCs w:val="30"/>
          <w14:textFill>
            <w14:solidFill>
              <w14:schemeClr w14:val="tx1"/>
            </w14:solidFill>
          </w14:textFill>
        </w:rPr>
      </w:pPr>
    </w:p>
    <w:p>
      <w:pPr>
        <w:spacing w:line="400" w:lineRule="exact"/>
        <w:outlineLvl w:val="1"/>
        <w:rPr>
          <w:rFonts w:ascii="仿宋_GB2312" w:hAnsi="仿宋_GB2312" w:eastAsia="仿宋_GB2312" w:cs="仿宋_GB2312"/>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附件二：《成都市中小企业政府采购信用融资暂行办法》和《成都市级支持中小企业政府采购信用融资实施方案》</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000000" w:themeColor="text1"/>
          <w14:textFill>
            <w14:solidFill>
              <w14:schemeClr w14:val="tx1"/>
            </w14:solidFill>
          </w14:textFill>
        </w:rPr>
      </w:pPr>
      <w:r>
        <w:drawing>
          <wp:inline distT="0" distB="0" distL="114300" distR="114300">
            <wp:extent cx="5670550" cy="8153400"/>
            <wp:effectExtent l="0" t="0" r="635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38"/>
                    <a:stretch>
                      <a:fillRect/>
                    </a:stretch>
                  </pic:blipFill>
                  <pic:spPr>
                    <a:xfrm>
                      <a:off x="0" y="0"/>
                      <a:ext cx="5670550" cy="8153400"/>
                    </a:xfrm>
                    <a:prstGeom prst="rect">
                      <a:avLst/>
                    </a:prstGeom>
                    <a:noFill/>
                    <a:ln>
                      <a:noFill/>
                    </a:ln>
                  </pic:spPr>
                </pic:pic>
              </a:graphicData>
            </a:graphic>
          </wp:inline>
        </w:drawing>
      </w:r>
      <w:r>
        <w:drawing>
          <wp:inline distT="0" distB="0" distL="114300" distR="114300">
            <wp:extent cx="5579745" cy="7658100"/>
            <wp:effectExtent l="0" t="0" r="1905"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9"/>
                    <a:stretch>
                      <a:fillRect/>
                    </a:stretch>
                  </pic:blipFill>
                  <pic:spPr>
                    <a:xfrm>
                      <a:off x="0" y="0"/>
                      <a:ext cx="5579745" cy="7658100"/>
                    </a:xfrm>
                    <a:prstGeom prst="rect">
                      <a:avLst/>
                    </a:prstGeom>
                    <a:noFill/>
                    <a:ln>
                      <a:noFill/>
                    </a:ln>
                  </pic:spPr>
                </pic:pic>
              </a:graphicData>
            </a:graphic>
          </wp:inline>
        </w:drawing>
      </w:r>
      <w:r>
        <w:drawing>
          <wp:inline distT="0" distB="0" distL="114300" distR="114300">
            <wp:extent cx="5793740" cy="8038465"/>
            <wp:effectExtent l="0" t="0" r="1651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0"/>
                    <a:stretch>
                      <a:fillRect/>
                    </a:stretch>
                  </pic:blipFill>
                  <pic:spPr>
                    <a:xfrm>
                      <a:off x="0" y="0"/>
                      <a:ext cx="5793740" cy="8038465"/>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sectPr>
          <w:footerReference r:id="rId9" w:type="default"/>
          <w:footerReference r:id="rId10"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附件三：政府采购云平台使用介绍</w:t>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1.输入网址：</w:t>
      </w:r>
      <w:r>
        <w:fldChar w:fldCharType="begin"/>
      </w:r>
      <w:r>
        <w:instrText xml:space="preserve"> HYPERLINK "https://www.zcygov.cn" </w:instrText>
      </w:r>
      <w:r>
        <w:fldChar w:fldCharType="separate"/>
      </w:r>
      <w:r>
        <w:rPr>
          <w:rStyle w:val="35"/>
          <w:rFonts w:hint="eastAsia" w:ascii="宋体" w:hAnsi="宋体" w:cs="宋体"/>
          <w:b/>
          <w:bCs/>
          <w:color w:val="000000" w:themeColor="text1"/>
          <w:sz w:val="24"/>
          <w:szCs w:val="32"/>
          <w14:textFill>
            <w14:solidFill>
              <w14:schemeClr w14:val="tx1"/>
            </w14:solidFill>
          </w14:textFill>
        </w:rPr>
        <w:t>https://www.zcygov.cn</w:t>
      </w:r>
      <w:r>
        <w:rPr>
          <w:rStyle w:val="35"/>
          <w:rFonts w:hint="eastAsia" w:ascii="宋体" w:hAnsi="宋体" w:cs="宋体"/>
          <w:b/>
          <w:bCs/>
          <w:color w:val="000000" w:themeColor="text1"/>
          <w:sz w:val="24"/>
          <w:szCs w:val="32"/>
          <w14:textFill>
            <w14:solidFill>
              <w14:schemeClr w14:val="tx1"/>
            </w14:solidFill>
          </w14:textFill>
        </w:rPr>
        <w:fldChar w:fldCharType="end"/>
      </w:r>
    </w:p>
    <w:p>
      <w:p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2.选择与项目对应的行政区域如：四川省-成都市-成都市本级</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653915" cy="2910840"/>
                    </a:xfrm>
                    <a:prstGeom prst="rect">
                      <a:avLst/>
                    </a:prstGeom>
                    <a:noFill/>
                    <a:ln>
                      <a:noFill/>
                    </a:ln>
                  </pic:spPr>
                </pic:pic>
              </a:graphicData>
            </a:graphic>
          </wp:inline>
        </w:drawing>
      </w:r>
    </w:p>
    <w:p>
      <w:pPr>
        <w:rPr>
          <w:color w:val="000000" w:themeColor="text1"/>
          <w14:textFill>
            <w14:solidFill>
              <w14:schemeClr w14:val="tx1"/>
            </w14:solidFill>
          </w14:textFill>
        </w:rPr>
      </w:pPr>
    </w:p>
    <w:p>
      <w:pPr>
        <w:numPr>
          <w:ilvl w:val="0"/>
          <w:numId w:val="9"/>
        </w:numPr>
        <w:rPr>
          <w:rFonts w:ascii="宋体" w:hAnsi="宋体" w:cs="宋体"/>
          <w:b/>
          <w:bCs/>
          <w:color w:val="000000" w:themeColor="text1"/>
          <w:sz w:val="24"/>
          <w:szCs w:val="32"/>
          <w14:textFill>
            <w14:solidFill>
              <w14:schemeClr w14:val="tx1"/>
            </w14:solidFill>
          </w14:textFill>
        </w:rPr>
      </w:pPr>
      <w:r>
        <w:rPr>
          <w:rFonts w:hint="eastAsia" w:ascii="宋体" w:hAnsi="宋体" w:cs="宋体"/>
          <w:b/>
          <w:bCs/>
          <w:color w:val="000000" w:themeColor="text1"/>
          <w:sz w:val="24"/>
          <w:szCs w:val="32"/>
          <w14:textFill>
            <w14:solidFill>
              <w14:schemeClr w14:val="tx1"/>
            </w14:solidFill>
          </w14:textFill>
        </w:rPr>
        <w:t>点击操作指南-供应商</w:t>
      </w:r>
    </w:p>
    <w:p>
      <w:pPr>
        <w:rPr>
          <w:b/>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4.进入政采云供应商学习专题页面</w:t>
      </w:r>
      <w:r>
        <w:rPr>
          <w:rFonts w:hint="eastAsia"/>
          <w:b/>
          <w:bCs/>
          <w:color w:val="000000" w:themeColor="text1"/>
          <w14:textFill>
            <w14:solidFill>
              <w14:schemeClr w14:val="tx1"/>
            </w14:solidFill>
          </w14:textFill>
        </w:rPr>
        <w:t>（https://edu.zcygov.cn/luban/xxzt-chengdu-gys?utm=a0017.b1347.cl50.5.0917bc90b7bb11eb807c353645758db6）</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color w:val="000000" w:themeColor="text1"/>
          <w:sz w:val="24"/>
          <w:szCs w:val="32"/>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5.供应商资讯服务渠道</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6.入驻政府采购云平台（注册）</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br w:type="page"/>
      </w:r>
      <w:r>
        <w:rPr>
          <w:rFonts w:hint="eastAsia" w:ascii="宋体" w:hAnsi="宋体" w:cs="宋体"/>
          <w:b/>
          <w:bCs/>
          <w:color w:val="000000" w:themeColor="text1"/>
          <w:sz w:val="24"/>
          <w:szCs w:val="32"/>
          <w14:textFill>
            <w14:solidFill>
              <w14:schemeClr w14:val="tx1"/>
            </w14:solidFill>
          </w14:textFill>
        </w:rPr>
        <w:t>7.下载《供应商政府采购项目电子交易操作指南》</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6"/>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2"/>
      </w:rPr>
    </w:pPr>
    <w:r>
      <w:fldChar w:fldCharType="begin"/>
    </w:r>
    <w:r>
      <w:rPr>
        <w:rStyle w:val="32"/>
      </w:rPr>
      <w:instrText xml:space="preserve">PAGE  </w:instrText>
    </w:r>
    <w:r>
      <w:fldChar w:fldCharType="separate"/>
    </w:r>
    <w:r>
      <w:rPr>
        <w:rStyle w:val="32"/>
      </w:rPr>
      <w:t>21</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2"/>
      </w:rPr>
    </w:pPr>
    <w:r>
      <w:fldChar w:fldCharType="begin"/>
    </w:r>
    <w:r>
      <w:rPr>
        <w:rStyle w:val="32"/>
      </w:rPr>
      <w:instrText xml:space="preserve">PAGE  </w:instrText>
    </w:r>
    <w:r>
      <w:fldChar w:fldCharType="separate"/>
    </w:r>
    <w:r>
      <w:rPr>
        <w:rStyle w:val="32"/>
      </w:rPr>
      <w:t>20</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2"/>
      </w:rPr>
    </w:pPr>
    <w:r>
      <w:fldChar w:fldCharType="begin"/>
    </w:r>
    <w:r>
      <w:rPr>
        <w:rStyle w:val="32"/>
      </w:rPr>
      <w:instrText xml:space="preserve">PAGE  </w:instrText>
    </w:r>
    <w:r>
      <w:fldChar w:fldCharType="separate"/>
    </w:r>
    <w:r>
      <w:rPr>
        <w:rStyle w:val="32"/>
      </w:rPr>
      <w:t>53</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2"/>
      </w:rPr>
    </w:pPr>
    <w:r>
      <w:fldChar w:fldCharType="begin"/>
    </w:r>
    <w:r>
      <w:rPr>
        <w:rStyle w:val="32"/>
      </w:rPr>
      <w:instrText xml:space="preserve">PAGE  </w:instrText>
    </w:r>
    <w:r>
      <w:fldChar w:fldCharType="separate"/>
    </w:r>
    <w:r>
      <w:rPr>
        <w:rStyle w:val="32"/>
      </w:rPr>
      <w:t>117</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2"/>
      </w:rPr>
    </w:pPr>
    <w:r>
      <w:fldChar w:fldCharType="begin"/>
    </w:r>
    <w:r>
      <w:rPr>
        <w:rStyle w:val="32"/>
      </w:rPr>
      <w:instrText xml:space="preserve">PAGE  </w:instrText>
    </w:r>
    <w:r>
      <w:fldChar w:fldCharType="separate"/>
    </w:r>
    <w:r>
      <w:rPr>
        <w:rStyle w:val="32"/>
      </w:rPr>
      <w:t>116</w:t>
    </w:r>
    <w:r>
      <w:fldChar w:fldCharType="end"/>
    </w:r>
  </w:p>
  <w:p>
    <w:pPr>
      <w:pStyle w:val="18"/>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ADDD9"/>
    <w:multiLevelType w:val="singleLevel"/>
    <w:tmpl w:val="95EADDD9"/>
    <w:lvl w:ilvl="0" w:tentative="0">
      <w:start w:val="5"/>
      <w:numFmt w:val="decimal"/>
      <w:suff w:val="space"/>
      <w:lvlText w:val="%1."/>
      <w:lvlJc w:val="left"/>
    </w:lvl>
  </w:abstractNum>
  <w:abstractNum w:abstractNumId="1">
    <w:nsid w:val="CA240A61"/>
    <w:multiLevelType w:val="singleLevel"/>
    <w:tmpl w:val="CA240A61"/>
    <w:lvl w:ilvl="0" w:tentative="0">
      <w:start w:val="1"/>
      <w:numFmt w:val="chineseCounting"/>
      <w:pStyle w:val="78"/>
      <w:suff w:val="nothing"/>
      <w:lvlText w:val="(%1)"/>
      <w:lvlJc w:val="left"/>
      <w:pPr>
        <w:ind w:left="0" w:firstLine="0"/>
      </w:pPr>
      <w:rPr>
        <w:rFonts w:hint="eastAsia"/>
      </w:rPr>
    </w:lvl>
  </w:abstractNum>
  <w:abstractNum w:abstractNumId="2">
    <w:nsid w:val="CDBDE5F7"/>
    <w:multiLevelType w:val="singleLevel"/>
    <w:tmpl w:val="CDBDE5F7"/>
    <w:lvl w:ilvl="0" w:tentative="0">
      <w:start w:val="1"/>
      <w:numFmt w:val="decimal"/>
      <w:lvlText w:val="%1."/>
      <w:lvlJc w:val="left"/>
      <w:pPr>
        <w:tabs>
          <w:tab w:val="left" w:pos="312"/>
        </w:tabs>
      </w:pPr>
    </w:lvl>
  </w:abstractNum>
  <w:abstractNum w:abstractNumId="3">
    <w:nsid w:val="FFCDD67F"/>
    <w:multiLevelType w:val="singleLevel"/>
    <w:tmpl w:val="FFCDD67F"/>
    <w:lvl w:ilvl="0" w:tentative="0">
      <w:start w:val="1"/>
      <w:numFmt w:val="decimal"/>
      <w:suff w:val="space"/>
      <w:lvlText w:val="%1."/>
      <w:lvlJc w:val="left"/>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1C571919"/>
    <w:multiLevelType w:val="singleLevel"/>
    <w:tmpl w:val="1C571919"/>
    <w:lvl w:ilvl="0" w:tentative="0">
      <w:start w:val="1"/>
      <w:numFmt w:val="chineseCounting"/>
      <w:suff w:val="space"/>
      <w:lvlText w:val="第%1条"/>
      <w:lvlJc w:val="left"/>
      <w:rPr>
        <w:rFonts w:hint="eastAsia"/>
      </w:rPr>
    </w:lvl>
  </w:abstractNum>
  <w:abstractNum w:abstractNumId="6">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44C50F90"/>
    <w:multiLevelType w:val="multilevel"/>
    <w:tmpl w:val="44C50F90"/>
    <w:lvl w:ilvl="0" w:tentative="0">
      <w:start w:val="1"/>
      <w:numFmt w:val="lowerLetter"/>
      <w:lvlText w:val="%1)"/>
      <w:lvlJc w:val="left"/>
      <w:pPr>
        <w:tabs>
          <w:tab w:val="left" w:pos="987"/>
        </w:tabs>
        <w:ind w:left="986" w:hanging="419"/>
      </w:pPr>
      <w:rPr>
        <w:rFonts w:hint="eastAsia" w:ascii="宋体" w:hAnsi="Times New Roman" w:eastAsia="宋体" w:cs="Times New Roman"/>
        <w:b w:val="0"/>
        <w:i w:val="0"/>
        <w:sz w:val="21"/>
        <w:szCs w:val="21"/>
      </w:rPr>
    </w:lvl>
    <w:lvl w:ilvl="1" w:tentative="0">
      <w:start w:val="1"/>
      <w:numFmt w:val="decimal"/>
      <w:lvlText w:val="%2)"/>
      <w:lvlJc w:val="left"/>
      <w:pPr>
        <w:tabs>
          <w:tab w:val="left" w:pos="1302"/>
        </w:tabs>
        <w:ind w:left="1301" w:hanging="419"/>
      </w:pPr>
      <w:rPr>
        <w:rFonts w:cs="Times New Roman"/>
      </w:rPr>
    </w:lvl>
    <w:lvl w:ilvl="2" w:tentative="0">
      <w:start w:val="1"/>
      <w:numFmt w:val="decimal"/>
      <w:pStyle w:val="83"/>
      <w:lvlText w:val="(%3)"/>
      <w:lvlJc w:val="left"/>
      <w:pPr>
        <w:tabs>
          <w:tab w:val="left" w:pos="42"/>
        </w:tabs>
        <w:ind w:left="1721" w:hanging="420"/>
      </w:pPr>
      <w:rPr>
        <w:rFonts w:hint="eastAsia" w:ascii="宋体" w:hAnsi="Times New Roman" w:eastAsia="宋体" w:cs="Times New Roman"/>
        <w:b w:val="0"/>
        <w:i w:val="0"/>
        <w:sz w:val="21"/>
        <w:szCs w:val="21"/>
      </w:rPr>
    </w:lvl>
    <w:lvl w:ilvl="3" w:tentative="0">
      <w:start w:val="1"/>
      <w:numFmt w:val="decimal"/>
      <w:lvlText w:val="%4."/>
      <w:lvlJc w:val="left"/>
      <w:pPr>
        <w:tabs>
          <w:tab w:val="left" w:pos="2142"/>
        </w:tabs>
        <w:ind w:left="2141" w:hanging="419"/>
      </w:pPr>
      <w:rPr>
        <w:rFonts w:cs="Times New Roman"/>
      </w:rPr>
    </w:lvl>
    <w:lvl w:ilvl="4" w:tentative="0">
      <w:start w:val="1"/>
      <w:numFmt w:val="lowerLetter"/>
      <w:lvlText w:val="%5)"/>
      <w:lvlJc w:val="left"/>
      <w:pPr>
        <w:tabs>
          <w:tab w:val="left" w:pos="2562"/>
        </w:tabs>
        <w:ind w:left="2561" w:hanging="419"/>
      </w:pPr>
      <w:rPr>
        <w:rFonts w:cs="Times New Roman"/>
      </w:rPr>
    </w:lvl>
    <w:lvl w:ilvl="5" w:tentative="0">
      <w:start w:val="1"/>
      <w:numFmt w:val="lowerRoman"/>
      <w:lvlText w:val="%6."/>
      <w:lvlJc w:val="right"/>
      <w:pPr>
        <w:tabs>
          <w:tab w:val="left" w:pos="2982"/>
        </w:tabs>
        <w:ind w:left="2981" w:hanging="419"/>
      </w:pPr>
      <w:rPr>
        <w:rFonts w:cs="Times New Roman"/>
      </w:rPr>
    </w:lvl>
    <w:lvl w:ilvl="6" w:tentative="0">
      <w:start w:val="1"/>
      <w:numFmt w:val="decimal"/>
      <w:lvlText w:val="%7."/>
      <w:lvlJc w:val="left"/>
      <w:pPr>
        <w:tabs>
          <w:tab w:val="left" w:pos="3402"/>
        </w:tabs>
        <w:ind w:left="3401" w:hanging="419"/>
      </w:pPr>
      <w:rPr>
        <w:rFonts w:cs="Times New Roman"/>
      </w:rPr>
    </w:lvl>
    <w:lvl w:ilvl="7" w:tentative="0">
      <w:start w:val="1"/>
      <w:numFmt w:val="lowerLetter"/>
      <w:lvlText w:val="%8)"/>
      <w:lvlJc w:val="left"/>
      <w:pPr>
        <w:tabs>
          <w:tab w:val="left" w:pos="3822"/>
        </w:tabs>
        <w:ind w:left="3821" w:hanging="419"/>
      </w:pPr>
      <w:rPr>
        <w:rFonts w:cs="Times New Roman"/>
      </w:rPr>
    </w:lvl>
    <w:lvl w:ilvl="8" w:tentative="0">
      <w:start w:val="1"/>
      <w:numFmt w:val="lowerRoman"/>
      <w:lvlText w:val="%9."/>
      <w:lvlJc w:val="right"/>
      <w:pPr>
        <w:tabs>
          <w:tab w:val="left" w:pos="4242"/>
        </w:tabs>
        <w:ind w:left="4241" w:hanging="419"/>
      </w:pPr>
      <w:rPr>
        <w:rFonts w:cs="Times New Roman"/>
      </w:rPr>
    </w:lvl>
  </w:abstractNum>
  <w:num w:numId="1">
    <w:abstractNumId w:val="7"/>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0"/>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5680"/>
    <w:rsid w:val="00026152"/>
    <w:rsid w:val="00031B04"/>
    <w:rsid w:val="00034908"/>
    <w:rsid w:val="00034D48"/>
    <w:rsid w:val="00036751"/>
    <w:rsid w:val="00036D0A"/>
    <w:rsid w:val="00036EEF"/>
    <w:rsid w:val="00060755"/>
    <w:rsid w:val="00060BF7"/>
    <w:rsid w:val="00062AA7"/>
    <w:rsid w:val="00063B2E"/>
    <w:rsid w:val="000642D2"/>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4F4D"/>
    <w:rsid w:val="000D717B"/>
    <w:rsid w:val="000E06D5"/>
    <w:rsid w:val="000F1224"/>
    <w:rsid w:val="000F35B9"/>
    <w:rsid w:val="000F7505"/>
    <w:rsid w:val="00101471"/>
    <w:rsid w:val="001040AB"/>
    <w:rsid w:val="00105EB6"/>
    <w:rsid w:val="001068FD"/>
    <w:rsid w:val="001069C1"/>
    <w:rsid w:val="00107A0B"/>
    <w:rsid w:val="00114138"/>
    <w:rsid w:val="0011592E"/>
    <w:rsid w:val="001169EC"/>
    <w:rsid w:val="001272D6"/>
    <w:rsid w:val="001300AD"/>
    <w:rsid w:val="001324D0"/>
    <w:rsid w:val="00136C6E"/>
    <w:rsid w:val="0014031B"/>
    <w:rsid w:val="00140525"/>
    <w:rsid w:val="001406AF"/>
    <w:rsid w:val="0014129A"/>
    <w:rsid w:val="001437C2"/>
    <w:rsid w:val="001567DA"/>
    <w:rsid w:val="001635E5"/>
    <w:rsid w:val="00164C62"/>
    <w:rsid w:val="0016546D"/>
    <w:rsid w:val="00170FCA"/>
    <w:rsid w:val="0017673A"/>
    <w:rsid w:val="00176F15"/>
    <w:rsid w:val="00177C67"/>
    <w:rsid w:val="00181D0E"/>
    <w:rsid w:val="00182E27"/>
    <w:rsid w:val="00190666"/>
    <w:rsid w:val="0019289D"/>
    <w:rsid w:val="00194D30"/>
    <w:rsid w:val="00194FCB"/>
    <w:rsid w:val="00197444"/>
    <w:rsid w:val="0019755D"/>
    <w:rsid w:val="001A34F3"/>
    <w:rsid w:val="001A4014"/>
    <w:rsid w:val="001A6131"/>
    <w:rsid w:val="001B171B"/>
    <w:rsid w:val="001B1735"/>
    <w:rsid w:val="001B3EC5"/>
    <w:rsid w:val="001B6CE3"/>
    <w:rsid w:val="001C03A0"/>
    <w:rsid w:val="001C2626"/>
    <w:rsid w:val="001C6ECA"/>
    <w:rsid w:val="001D39C4"/>
    <w:rsid w:val="001D3E8C"/>
    <w:rsid w:val="001D4748"/>
    <w:rsid w:val="001D4C75"/>
    <w:rsid w:val="001E4CD3"/>
    <w:rsid w:val="001E69D8"/>
    <w:rsid w:val="001E7BA3"/>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3F46"/>
    <w:rsid w:val="00225D67"/>
    <w:rsid w:val="00227213"/>
    <w:rsid w:val="00227396"/>
    <w:rsid w:val="00233756"/>
    <w:rsid w:val="002345F1"/>
    <w:rsid w:val="00234CA2"/>
    <w:rsid w:val="0023577B"/>
    <w:rsid w:val="00237A7C"/>
    <w:rsid w:val="00262ACE"/>
    <w:rsid w:val="002636ED"/>
    <w:rsid w:val="002648FE"/>
    <w:rsid w:val="00266675"/>
    <w:rsid w:val="002703ED"/>
    <w:rsid w:val="002703F8"/>
    <w:rsid w:val="00275EC7"/>
    <w:rsid w:val="002768E4"/>
    <w:rsid w:val="002967CE"/>
    <w:rsid w:val="00297306"/>
    <w:rsid w:val="00297E79"/>
    <w:rsid w:val="002A3283"/>
    <w:rsid w:val="002A46C5"/>
    <w:rsid w:val="002B0731"/>
    <w:rsid w:val="002B1E39"/>
    <w:rsid w:val="002B2897"/>
    <w:rsid w:val="002B3F90"/>
    <w:rsid w:val="002B734E"/>
    <w:rsid w:val="002C07E7"/>
    <w:rsid w:val="002C195F"/>
    <w:rsid w:val="002C3860"/>
    <w:rsid w:val="002C4135"/>
    <w:rsid w:val="002C44EA"/>
    <w:rsid w:val="002C48FA"/>
    <w:rsid w:val="002D042C"/>
    <w:rsid w:val="002D4ECA"/>
    <w:rsid w:val="002D52B6"/>
    <w:rsid w:val="002E328B"/>
    <w:rsid w:val="002E4062"/>
    <w:rsid w:val="002E649C"/>
    <w:rsid w:val="002F7821"/>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1055"/>
    <w:rsid w:val="00346B52"/>
    <w:rsid w:val="00347D55"/>
    <w:rsid w:val="00351DDE"/>
    <w:rsid w:val="00354F55"/>
    <w:rsid w:val="00361FF8"/>
    <w:rsid w:val="00363398"/>
    <w:rsid w:val="0036414E"/>
    <w:rsid w:val="003651A1"/>
    <w:rsid w:val="00367B8E"/>
    <w:rsid w:val="00370B3A"/>
    <w:rsid w:val="003717D2"/>
    <w:rsid w:val="003733EE"/>
    <w:rsid w:val="003738E0"/>
    <w:rsid w:val="003739B7"/>
    <w:rsid w:val="00374A00"/>
    <w:rsid w:val="003759E8"/>
    <w:rsid w:val="00376884"/>
    <w:rsid w:val="00384D95"/>
    <w:rsid w:val="00394D48"/>
    <w:rsid w:val="00397CB0"/>
    <w:rsid w:val="003A079A"/>
    <w:rsid w:val="003A30C2"/>
    <w:rsid w:val="003A32A6"/>
    <w:rsid w:val="003A3336"/>
    <w:rsid w:val="003A6A7E"/>
    <w:rsid w:val="003B11F4"/>
    <w:rsid w:val="003B65C9"/>
    <w:rsid w:val="003C1380"/>
    <w:rsid w:val="003C1555"/>
    <w:rsid w:val="003C6641"/>
    <w:rsid w:val="003C6FC6"/>
    <w:rsid w:val="003D09DE"/>
    <w:rsid w:val="003D16E2"/>
    <w:rsid w:val="003D2186"/>
    <w:rsid w:val="003D3C37"/>
    <w:rsid w:val="003E03F4"/>
    <w:rsid w:val="003E0BB3"/>
    <w:rsid w:val="003E15DF"/>
    <w:rsid w:val="003E1ABC"/>
    <w:rsid w:val="003F07BA"/>
    <w:rsid w:val="003F38EE"/>
    <w:rsid w:val="0040717F"/>
    <w:rsid w:val="00412E7A"/>
    <w:rsid w:val="00414E18"/>
    <w:rsid w:val="00415F60"/>
    <w:rsid w:val="00416E45"/>
    <w:rsid w:val="00416ED9"/>
    <w:rsid w:val="00431D6C"/>
    <w:rsid w:val="00434342"/>
    <w:rsid w:val="00437902"/>
    <w:rsid w:val="00445E84"/>
    <w:rsid w:val="004476A3"/>
    <w:rsid w:val="00447BA7"/>
    <w:rsid w:val="00450051"/>
    <w:rsid w:val="0045177D"/>
    <w:rsid w:val="004557B0"/>
    <w:rsid w:val="00460537"/>
    <w:rsid w:val="00462067"/>
    <w:rsid w:val="00473408"/>
    <w:rsid w:val="0047571F"/>
    <w:rsid w:val="00480291"/>
    <w:rsid w:val="00482AB7"/>
    <w:rsid w:val="004836E9"/>
    <w:rsid w:val="0048654E"/>
    <w:rsid w:val="00493260"/>
    <w:rsid w:val="00493894"/>
    <w:rsid w:val="00494396"/>
    <w:rsid w:val="00496602"/>
    <w:rsid w:val="004A0508"/>
    <w:rsid w:val="004A30DB"/>
    <w:rsid w:val="004A69C4"/>
    <w:rsid w:val="004B0037"/>
    <w:rsid w:val="004B30A1"/>
    <w:rsid w:val="004B4A5A"/>
    <w:rsid w:val="004C42FC"/>
    <w:rsid w:val="004D09A1"/>
    <w:rsid w:val="004D1262"/>
    <w:rsid w:val="004D1906"/>
    <w:rsid w:val="004D288D"/>
    <w:rsid w:val="004D3115"/>
    <w:rsid w:val="004D491F"/>
    <w:rsid w:val="004D7DA4"/>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6C89"/>
    <w:rsid w:val="00534BB2"/>
    <w:rsid w:val="00534D59"/>
    <w:rsid w:val="00535A0F"/>
    <w:rsid w:val="005414A8"/>
    <w:rsid w:val="00542838"/>
    <w:rsid w:val="00550AED"/>
    <w:rsid w:val="00551D4E"/>
    <w:rsid w:val="00553CAF"/>
    <w:rsid w:val="00556240"/>
    <w:rsid w:val="00561BDA"/>
    <w:rsid w:val="00562C92"/>
    <w:rsid w:val="005717CE"/>
    <w:rsid w:val="0057225C"/>
    <w:rsid w:val="005724DC"/>
    <w:rsid w:val="00572826"/>
    <w:rsid w:val="00575FAE"/>
    <w:rsid w:val="00576A9F"/>
    <w:rsid w:val="00580755"/>
    <w:rsid w:val="00583F6C"/>
    <w:rsid w:val="00584A71"/>
    <w:rsid w:val="00586BFF"/>
    <w:rsid w:val="005915B1"/>
    <w:rsid w:val="005922B6"/>
    <w:rsid w:val="005929D6"/>
    <w:rsid w:val="0059308F"/>
    <w:rsid w:val="00593607"/>
    <w:rsid w:val="00594AC4"/>
    <w:rsid w:val="005962C4"/>
    <w:rsid w:val="005A2C8E"/>
    <w:rsid w:val="005A3B30"/>
    <w:rsid w:val="005A5D20"/>
    <w:rsid w:val="005A6B70"/>
    <w:rsid w:val="005A74A6"/>
    <w:rsid w:val="005A7E31"/>
    <w:rsid w:val="005B2A38"/>
    <w:rsid w:val="005B383D"/>
    <w:rsid w:val="005B5331"/>
    <w:rsid w:val="005B547C"/>
    <w:rsid w:val="005C0B34"/>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2418"/>
    <w:rsid w:val="0060296D"/>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4460"/>
    <w:rsid w:val="0066396F"/>
    <w:rsid w:val="006659EE"/>
    <w:rsid w:val="00665C6C"/>
    <w:rsid w:val="00666BD2"/>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4DF8"/>
    <w:rsid w:val="006C59C5"/>
    <w:rsid w:val="006C5A79"/>
    <w:rsid w:val="006D6C86"/>
    <w:rsid w:val="006D76E4"/>
    <w:rsid w:val="006E0B95"/>
    <w:rsid w:val="006E2549"/>
    <w:rsid w:val="006E4C50"/>
    <w:rsid w:val="006E6822"/>
    <w:rsid w:val="006F1ACB"/>
    <w:rsid w:val="006F2FC8"/>
    <w:rsid w:val="006F52E3"/>
    <w:rsid w:val="006F6F3F"/>
    <w:rsid w:val="007014F1"/>
    <w:rsid w:val="00702CFF"/>
    <w:rsid w:val="00702FC0"/>
    <w:rsid w:val="00704120"/>
    <w:rsid w:val="00704D34"/>
    <w:rsid w:val="00706260"/>
    <w:rsid w:val="0070720E"/>
    <w:rsid w:val="00707412"/>
    <w:rsid w:val="00710224"/>
    <w:rsid w:val="00714713"/>
    <w:rsid w:val="00715A2F"/>
    <w:rsid w:val="007171DF"/>
    <w:rsid w:val="0071749F"/>
    <w:rsid w:val="00721BDE"/>
    <w:rsid w:val="00727510"/>
    <w:rsid w:val="00727DEF"/>
    <w:rsid w:val="00731235"/>
    <w:rsid w:val="00732B25"/>
    <w:rsid w:val="007343BC"/>
    <w:rsid w:val="00737C32"/>
    <w:rsid w:val="00740C5A"/>
    <w:rsid w:val="0075240E"/>
    <w:rsid w:val="00754DF3"/>
    <w:rsid w:val="00760C67"/>
    <w:rsid w:val="007716C1"/>
    <w:rsid w:val="00771E82"/>
    <w:rsid w:val="00774AB9"/>
    <w:rsid w:val="00775E7A"/>
    <w:rsid w:val="007766DC"/>
    <w:rsid w:val="00776BF1"/>
    <w:rsid w:val="00777F10"/>
    <w:rsid w:val="0078341B"/>
    <w:rsid w:val="00791BFB"/>
    <w:rsid w:val="007935F3"/>
    <w:rsid w:val="0079593C"/>
    <w:rsid w:val="007A18B5"/>
    <w:rsid w:val="007A5D3E"/>
    <w:rsid w:val="007A683D"/>
    <w:rsid w:val="007A6B50"/>
    <w:rsid w:val="007A6B90"/>
    <w:rsid w:val="007B008A"/>
    <w:rsid w:val="007B6747"/>
    <w:rsid w:val="007C4FFF"/>
    <w:rsid w:val="007C7DE9"/>
    <w:rsid w:val="007C7FFE"/>
    <w:rsid w:val="007D02E0"/>
    <w:rsid w:val="007D0FB9"/>
    <w:rsid w:val="007D1567"/>
    <w:rsid w:val="007D7C0B"/>
    <w:rsid w:val="007E2E12"/>
    <w:rsid w:val="007E4426"/>
    <w:rsid w:val="007E61D1"/>
    <w:rsid w:val="007F0453"/>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4453"/>
    <w:rsid w:val="00855FB8"/>
    <w:rsid w:val="00863B65"/>
    <w:rsid w:val="00863FD7"/>
    <w:rsid w:val="00864238"/>
    <w:rsid w:val="00876DBD"/>
    <w:rsid w:val="0088578D"/>
    <w:rsid w:val="00885B24"/>
    <w:rsid w:val="00890768"/>
    <w:rsid w:val="00890EF4"/>
    <w:rsid w:val="008915CC"/>
    <w:rsid w:val="0089237C"/>
    <w:rsid w:val="00893DAE"/>
    <w:rsid w:val="008A2AF9"/>
    <w:rsid w:val="008A3E70"/>
    <w:rsid w:val="008B1E46"/>
    <w:rsid w:val="008B5C9C"/>
    <w:rsid w:val="008C1264"/>
    <w:rsid w:val="008D6A9F"/>
    <w:rsid w:val="008E02F9"/>
    <w:rsid w:val="008E349C"/>
    <w:rsid w:val="008E36B3"/>
    <w:rsid w:val="008E489D"/>
    <w:rsid w:val="008E4AB1"/>
    <w:rsid w:val="008E5771"/>
    <w:rsid w:val="008F1DDF"/>
    <w:rsid w:val="008F3893"/>
    <w:rsid w:val="008F69DC"/>
    <w:rsid w:val="008F73E8"/>
    <w:rsid w:val="009022D8"/>
    <w:rsid w:val="009035AC"/>
    <w:rsid w:val="009049F6"/>
    <w:rsid w:val="00904A04"/>
    <w:rsid w:val="009069BA"/>
    <w:rsid w:val="00906B19"/>
    <w:rsid w:val="00906BFF"/>
    <w:rsid w:val="00906E67"/>
    <w:rsid w:val="00906EFC"/>
    <w:rsid w:val="00907E27"/>
    <w:rsid w:val="00911B93"/>
    <w:rsid w:val="00912412"/>
    <w:rsid w:val="00912979"/>
    <w:rsid w:val="00913E3F"/>
    <w:rsid w:val="009164B3"/>
    <w:rsid w:val="009168D9"/>
    <w:rsid w:val="00916F97"/>
    <w:rsid w:val="00922E74"/>
    <w:rsid w:val="0092479C"/>
    <w:rsid w:val="009251C5"/>
    <w:rsid w:val="009257B9"/>
    <w:rsid w:val="00926601"/>
    <w:rsid w:val="00931E9C"/>
    <w:rsid w:val="00935B9F"/>
    <w:rsid w:val="00940945"/>
    <w:rsid w:val="0094114F"/>
    <w:rsid w:val="00944128"/>
    <w:rsid w:val="00944F84"/>
    <w:rsid w:val="00947BCD"/>
    <w:rsid w:val="00950563"/>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9E8"/>
    <w:rsid w:val="009C23E6"/>
    <w:rsid w:val="009C385E"/>
    <w:rsid w:val="009C613A"/>
    <w:rsid w:val="009C6271"/>
    <w:rsid w:val="009D17DF"/>
    <w:rsid w:val="009D5489"/>
    <w:rsid w:val="009D5C1C"/>
    <w:rsid w:val="009D60C2"/>
    <w:rsid w:val="009E31BE"/>
    <w:rsid w:val="009E5664"/>
    <w:rsid w:val="009E66AF"/>
    <w:rsid w:val="009F0956"/>
    <w:rsid w:val="009F0D87"/>
    <w:rsid w:val="009F2BDF"/>
    <w:rsid w:val="009F4AFF"/>
    <w:rsid w:val="009F72AD"/>
    <w:rsid w:val="00A00504"/>
    <w:rsid w:val="00A0098A"/>
    <w:rsid w:val="00A01D50"/>
    <w:rsid w:val="00A02542"/>
    <w:rsid w:val="00A02ADE"/>
    <w:rsid w:val="00A0428C"/>
    <w:rsid w:val="00A0608C"/>
    <w:rsid w:val="00A10F5F"/>
    <w:rsid w:val="00A12EDC"/>
    <w:rsid w:val="00A20D61"/>
    <w:rsid w:val="00A214F2"/>
    <w:rsid w:val="00A23584"/>
    <w:rsid w:val="00A25138"/>
    <w:rsid w:val="00A26847"/>
    <w:rsid w:val="00A30A91"/>
    <w:rsid w:val="00A30D68"/>
    <w:rsid w:val="00A34123"/>
    <w:rsid w:val="00A41976"/>
    <w:rsid w:val="00A43E09"/>
    <w:rsid w:val="00A44B42"/>
    <w:rsid w:val="00A44C13"/>
    <w:rsid w:val="00A50D9D"/>
    <w:rsid w:val="00A51A72"/>
    <w:rsid w:val="00A52300"/>
    <w:rsid w:val="00A53201"/>
    <w:rsid w:val="00A53BCB"/>
    <w:rsid w:val="00A55B4C"/>
    <w:rsid w:val="00A57FAB"/>
    <w:rsid w:val="00A61AC1"/>
    <w:rsid w:val="00A63261"/>
    <w:rsid w:val="00A632E6"/>
    <w:rsid w:val="00A64A7B"/>
    <w:rsid w:val="00A66FE3"/>
    <w:rsid w:val="00A71C7A"/>
    <w:rsid w:val="00A72A4A"/>
    <w:rsid w:val="00A73275"/>
    <w:rsid w:val="00A73AA3"/>
    <w:rsid w:val="00A73C7A"/>
    <w:rsid w:val="00A75066"/>
    <w:rsid w:val="00A77BAE"/>
    <w:rsid w:val="00A82873"/>
    <w:rsid w:val="00A82D03"/>
    <w:rsid w:val="00A95415"/>
    <w:rsid w:val="00A97C5E"/>
    <w:rsid w:val="00AA07C9"/>
    <w:rsid w:val="00AA1C81"/>
    <w:rsid w:val="00AA2049"/>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3DB9"/>
    <w:rsid w:val="00B150CC"/>
    <w:rsid w:val="00B2007F"/>
    <w:rsid w:val="00B238C8"/>
    <w:rsid w:val="00B243DE"/>
    <w:rsid w:val="00B253EC"/>
    <w:rsid w:val="00B27E55"/>
    <w:rsid w:val="00B30B38"/>
    <w:rsid w:val="00B32D8D"/>
    <w:rsid w:val="00B36461"/>
    <w:rsid w:val="00B4327E"/>
    <w:rsid w:val="00B47C4D"/>
    <w:rsid w:val="00B50900"/>
    <w:rsid w:val="00B5278E"/>
    <w:rsid w:val="00B52A1D"/>
    <w:rsid w:val="00B54097"/>
    <w:rsid w:val="00B55FA0"/>
    <w:rsid w:val="00B57B8A"/>
    <w:rsid w:val="00B62DA0"/>
    <w:rsid w:val="00B6520A"/>
    <w:rsid w:val="00B67AD7"/>
    <w:rsid w:val="00B76F0A"/>
    <w:rsid w:val="00B80536"/>
    <w:rsid w:val="00B8457B"/>
    <w:rsid w:val="00B849AD"/>
    <w:rsid w:val="00B858C3"/>
    <w:rsid w:val="00B87940"/>
    <w:rsid w:val="00B919BB"/>
    <w:rsid w:val="00B95CB7"/>
    <w:rsid w:val="00B95F01"/>
    <w:rsid w:val="00B95F58"/>
    <w:rsid w:val="00B97136"/>
    <w:rsid w:val="00B9715A"/>
    <w:rsid w:val="00BA157F"/>
    <w:rsid w:val="00BA3C31"/>
    <w:rsid w:val="00BA56EA"/>
    <w:rsid w:val="00BA5A1E"/>
    <w:rsid w:val="00BA6484"/>
    <w:rsid w:val="00BA6D4C"/>
    <w:rsid w:val="00BA6E2E"/>
    <w:rsid w:val="00BB3849"/>
    <w:rsid w:val="00BB5969"/>
    <w:rsid w:val="00BC1700"/>
    <w:rsid w:val="00BC3689"/>
    <w:rsid w:val="00BC50C0"/>
    <w:rsid w:val="00BC5BF2"/>
    <w:rsid w:val="00BC5FFF"/>
    <w:rsid w:val="00BC613E"/>
    <w:rsid w:val="00BD577F"/>
    <w:rsid w:val="00BE71D3"/>
    <w:rsid w:val="00BF1C57"/>
    <w:rsid w:val="00BF4179"/>
    <w:rsid w:val="00BF596E"/>
    <w:rsid w:val="00BF5D50"/>
    <w:rsid w:val="00C017FA"/>
    <w:rsid w:val="00C01ECC"/>
    <w:rsid w:val="00C027CC"/>
    <w:rsid w:val="00C0430E"/>
    <w:rsid w:val="00C049EB"/>
    <w:rsid w:val="00C05385"/>
    <w:rsid w:val="00C06829"/>
    <w:rsid w:val="00C076EC"/>
    <w:rsid w:val="00C100AD"/>
    <w:rsid w:val="00C16704"/>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09C2"/>
    <w:rsid w:val="00C71858"/>
    <w:rsid w:val="00C72B5B"/>
    <w:rsid w:val="00C72D09"/>
    <w:rsid w:val="00C81912"/>
    <w:rsid w:val="00C8585D"/>
    <w:rsid w:val="00C865EB"/>
    <w:rsid w:val="00C91919"/>
    <w:rsid w:val="00C9513A"/>
    <w:rsid w:val="00C955E0"/>
    <w:rsid w:val="00C958BF"/>
    <w:rsid w:val="00CA2734"/>
    <w:rsid w:val="00CA5FC2"/>
    <w:rsid w:val="00CA67F2"/>
    <w:rsid w:val="00CB1AB7"/>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4B9F"/>
    <w:rsid w:val="00D000EC"/>
    <w:rsid w:val="00D01A9B"/>
    <w:rsid w:val="00D05321"/>
    <w:rsid w:val="00D13549"/>
    <w:rsid w:val="00D1590C"/>
    <w:rsid w:val="00D161C7"/>
    <w:rsid w:val="00D213E0"/>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18A2"/>
    <w:rsid w:val="00D67157"/>
    <w:rsid w:val="00D7091B"/>
    <w:rsid w:val="00D731CA"/>
    <w:rsid w:val="00D73B4C"/>
    <w:rsid w:val="00D7441E"/>
    <w:rsid w:val="00D76165"/>
    <w:rsid w:val="00D773C7"/>
    <w:rsid w:val="00D805D4"/>
    <w:rsid w:val="00D82776"/>
    <w:rsid w:val="00D846B8"/>
    <w:rsid w:val="00D86197"/>
    <w:rsid w:val="00D868C4"/>
    <w:rsid w:val="00D90F59"/>
    <w:rsid w:val="00D9143C"/>
    <w:rsid w:val="00D94EA3"/>
    <w:rsid w:val="00D977CB"/>
    <w:rsid w:val="00DA1E5D"/>
    <w:rsid w:val="00DA2F97"/>
    <w:rsid w:val="00DA4A29"/>
    <w:rsid w:val="00DA51BA"/>
    <w:rsid w:val="00DA6C14"/>
    <w:rsid w:val="00DA71C9"/>
    <w:rsid w:val="00DC09C7"/>
    <w:rsid w:val="00DC103C"/>
    <w:rsid w:val="00DC1A76"/>
    <w:rsid w:val="00DD4C4F"/>
    <w:rsid w:val="00DD5BDA"/>
    <w:rsid w:val="00DD773B"/>
    <w:rsid w:val="00DE02F6"/>
    <w:rsid w:val="00DE0CD4"/>
    <w:rsid w:val="00DE25B3"/>
    <w:rsid w:val="00DE3088"/>
    <w:rsid w:val="00DE3B1C"/>
    <w:rsid w:val="00DE40E4"/>
    <w:rsid w:val="00DE44FF"/>
    <w:rsid w:val="00DE4D28"/>
    <w:rsid w:val="00E01326"/>
    <w:rsid w:val="00E01F8E"/>
    <w:rsid w:val="00E04587"/>
    <w:rsid w:val="00E04E6B"/>
    <w:rsid w:val="00E04FAA"/>
    <w:rsid w:val="00E13DEA"/>
    <w:rsid w:val="00E14F06"/>
    <w:rsid w:val="00E17D3C"/>
    <w:rsid w:val="00E21EEB"/>
    <w:rsid w:val="00E22F39"/>
    <w:rsid w:val="00E275F6"/>
    <w:rsid w:val="00E310A1"/>
    <w:rsid w:val="00E35AE6"/>
    <w:rsid w:val="00E36411"/>
    <w:rsid w:val="00E36E25"/>
    <w:rsid w:val="00E4288D"/>
    <w:rsid w:val="00E46283"/>
    <w:rsid w:val="00E47B16"/>
    <w:rsid w:val="00E51527"/>
    <w:rsid w:val="00E51D6C"/>
    <w:rsid w:val="00E51E5E"/>
    <w:rsid w:val="00E55CA7"/>
    <w:rsid w:val="00E55E19"/>
    <w:rsid w:val="00E61C9F"/>
    <w:rsid w:val="00E61F19"/>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1CF8"/>
    <w:rsid w:val="00EB54DE"/>
    <w:rsid w:val="00EB6418"/>
    <w:rsid w:val="00EB6A49"/>
    <w:rsid w:val="00EC166C"/>
    <w:rsid w:val="00EC4AC3"/>
    <w:rsid w:val="00EC6B9B"/>
    <w:rsid w:val="00ED2B68"/>
    <w:rsid w:val="00ED46D0"/>
    <w:rsid w:val="00ED4D98"/>
    <w:rsid w:val="00ED661A"/>
    <w:rsid w:val="00EE6D29"/>
    <w:rsid w:val="00EF2314"/>
    <w:rsid w:val="00EF24B6"/>
    <w:rsid w:val="00EF359A"/>
    <w:rsid w:val="00EF577B"/>
    <w:rsid w:val="00F10F1C"/>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055B"/>
    <w:rsid w:val="00F63291"/>
    <w:rsid w:val="00F6393F"/>
    <w:rsid w:val="00F64880"/>
    <w:rsid w:val="00F67E3B"/>
    <w:rsid w:val="00F73BA0"/>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4A50"/>
    <w:rsid w:val="00FB6C34"/>
    <w:rsid w:val="00FB7E82"/>
    <w:rsid w:val="00FC0553"/>
    <w:rsid w:val="00FC1AB5"/>
    <w:rsid w:val="00FC2AD1"/>
    <w:rsid w:val="00FC3E7F"/>
    <w:rsid w:val="00FC4006"/>
    <w:rsid w:val="00FC5AC5"/>
    <w:rsid w:val="00FC6E32"/>
    <w:rsid w:val="00FD14A7"/>
    <w:rsid w:val="00FD2977"/>
    <w:rsid w:val="00FD70DB"/>
    <w:rsid w:val="00FD7444"/>
    <w:rsid w:val="00FD787E"/>
    <w:rsid w:val="00FE0947"/>
    <w:rsid w:val="00FE0A40"/>
    <w:rsid w:val="00FE3057"/>
    <w:rsid w:val="00FE31E8"/>
    <w:rsid w:val="00FE45BA"/>
    <w:rsid w:val="00FE5A31"/>
    <w:rsid w:val="00FE6AA7"/>
    <w:rsid w:val="00FE6B0B"/>
    <w:rsid w:val="00FF1086"/>
    <w:rsid w:val="00FF1FF8"/>
    <w:rsid w:val="00FF658A"/>
    <w:rsid w:val="00FF7B67"/>
    <w:rsid w:val="016B3CA6"/>
    <w:rsid w:val="0174387C"/>
    <w:rsid w:val="01946371"/>
    <w:rsid w:val="01CD7511"/>
    <w:rsid w:val="0212580F"/>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0908C9"/>
    <w:rsid w:val="07253924"/>
    <w:rsid w:val="072E42E3"/>
    <w:rsid w:val="079A4421"/>
    <w:rsid w:val="07D729CE"/>
    <w:rsid w:val="083C0751"/>
    <w:rsid w:val="08404482"/>
    <w:rsid w:val="08745842"/>
    <w:rsid w:val="0968446C"/>
    <w:rsid w:val="09880AD8"/>
    <w:rsid w:val="0AA5328F"/>
    <w:rsid w:val="0B134589"/>
    <w:rsid w:val="0B1602F9"/>
    <w:rsid w:val="0B490AED"/>
    <w:rsid w:val="0B7E48FD"/>
    <w:rsid w:val="0B89548C"/>
    <w:rsid w:val="0BFB0153"/>
    <w:rsid w:val="0CA00E3D"/>
    <w:rsid w:val="0CFC2EE8"/>
    <w:rsid w:val="0D342EE4"/>
    <w:rsid w:val="0D417D41"/>
    <w:rsid w:val="0DB22A1A"/>
    <w:rsid w:val="0DED3B13"/>
    <w:rsid w:val="0E2F068D"/>
    <w:rsid w:val="0E545AFA"/>
    <w:rsid w:val="0E7F6069"/>
    <w:rsid w:val="0E836838"/>
    <w:rsid w:val="0EED4FA9"/>
    <w:rsid w:val="0F232DE6"/>
    <w:rsid w:val="0F3E4B7C"/>
    <w:rsid w:val="0F4628FA"/>
    <w:rsid w:val="0F594D76"/>
    <w:rsid w:val="0F917391"/>
    <w:rsid w:val="0F9B2B5E"/>
    <w:rsid w:val="0FB34829"/>
    <w:rsid w:val="0FD13773"/>
    <w:rsid w:val="0FF24AF1"/>
    <w:rsid w:val="10137AB8"/>
    <w:rsid w:val="101C0337"/>
    <w:rsid w:val="105B51DC"/>
    <w:rsid w:val="10B02E63"/>
    <w:rsid w:val="10C14D02"/>
    <w:rsid w:val="10D55116"/>
    <w:rsid w:val="10E84E5E"/>
    <w:rsid w:val="11010B39"/>
    <w:rsid w:val="11C22947"/>
    <w:rsid w:val="11C96F3F"/>
    <w:rsid w:val="12E75B9E"/>
    <w:rsid w:val="12FC0B1C"/>
    <w:rsid w:val="1308440F"/>
    <w:rsid w:val="1338292F"/>
    <w:rsid w:val="13404493"/>
    <w:rsid w:val="135607B7"/>
    <w:rsid w:val="13686C1A"/>
    <w:rsid w:val="13A763EC"/>
    <w:rsid w:val="13B6593C"/>
    <w:rsid w:val="13BB5EEE"/>
    <w:rsid w:val="13E27EBC"/>
    <w:rsid w:val="141C7FEF"/>
    <w:rsid w:val="143F3317"/>
    <w:rsid w:val="14537884"/>
    <w:rsid w:val="14593BBF"/>
    <w:rsid w:val="145F4BCA"/>
    <w:rsid w:val="14B538EB"/>
    <w:rsid w:val="14C03F33"/>
    <w:rsid w:val="14D56C28"/>
    <w:rsid w:val="14E666CE"/>
    <w:rsid w:val="151C338A"/>
    <w:rsid w:val="1565002B"/>
    <w:rsid w:val="15E45DCF"/>
    <w:rsid w:val="15E874EC"/>
    <w:rsid w:val="164973BC"/>
    <w:rsid w:val="16D229E9"/>
    <w:rsid w:val="16F3618C"/>
    <w:rsid w:val="17220670"/>
    <w:rsid w:val="173D66F2"/>
    <w:rsid w:val="17430389"/>
    <w:rsid w:val="175C0959"/>
    <w:rsid w:val="177941D0"/>
    <w:rsid w:val="179672E3"/>
    <w:rsid w:val="17A2344F"/>
    <w:rsid w:val="17DC532F"/>
    <w:rsid w:val="17EF566D"/>
    <w:rsid w:val="18800267"/>
    <w:rsid w:val="18EC0617"/>
    <w:rsid w:val="19201D08"/>
    <w:rsid w:val="19731B79"/>
    <w:rsid w:val="197E3487"/>
    <w:rsid w:val="198122A9"/>
    <w:rsid w:val="1A024AC4"/>
    <w:rsid w:val="1A633496"/>
    <w:rsid w:val="1A9F7F35"/>
    <w:rsid w:val="1AA57B5F"/>
    <w:rsid w:val="1AEA621F"/>
    <w:rsid w:val="1AFC40BA"/>
    <w:rsid w:val="1B163D24"/>
    <w:rsid w:val="1B260840"/>
    <w:rsid w:val="1B7C6DF4"/>
    <w:rsid w:val="1B801254"/>
    <w:rsid w:val="1B8E24F5"/>
    <w:rsid w:val="1BE761D2"/>
    <w:rsid w:val="1BEB18E3"/>
    <w:rsid w:val="1C2407D2"/>
    <w:rsid w:val="1C392717"/>
    <w:rsid w:val="1CE2239D"/>
    <w:rsid w:val="1D314742"/>
    <w:rsid w:val="1DB04E18"/>
    <w:rsid w:val="1DB73C31"/>
    <w:rsid w:val="1E5006DD"/>
    <w:rsid w:val="1E626810"/>
    <w:rsid w:val="1E643F2A"/>
    <w:rsid w:val="1E7C1444"/>
    <w:rsid w:val="1ECC5A62"/>
    <w:rsid w:val="1EE44777"/>
    <w:rsid w:val="1F312DF1"/>
    <w:rsid w:val="1F3A1F0D"/>
    <w:rsid w:val="1F515A41"/>
    <w:rsid w:val="1FBF3253"/>
    <w:rsid w:val="1FD34538"/>
    <w:rsid w:val="1FDB4E92"/>
    <w:rsid w:val="20060119"/>
    <w:rsid w:val="208E2D86"/>
    <w:rsid w:val="20A41BDD"/>
    <w:rsid w:val="20BA55C2"/>
    <w:rsid w:val="21354379"/>
    <w:rsid w:val="21432F64"/>
    <w:rsid w:val="219D51E3"/>
    <w:rsid w:val="21D218F6"/>
    <w:rsid w:val="21EE38EF"/>
    <w:rsid w:val="224A72AF"/>
    <w:rsid w:val="22547760"/>
    <w:rsid w:val="22651D06"/>
    <w:rsid w:val="22723839"/>
    <w:rsid w:val="230B6C59"/>
    <w:rsid w:val="231F4904"/>
    <w:rsid w:val="23660B9F"/>
    <w:rsid w:val="2382493C"/>
    <w:rsid w:val="23A77E92"/>
    <w:rsid w:val="23AB074E"/>
    <w:rsid w:val="23C823BC"/>
    <w:rsid w:val="23CA0328"/>
    <w:rsid w:val="24057464"/>
    <w:rsid w:val="249E7C2B"/>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7F16FD"/>
    <w:rsid w:val="29CC726F"/>
    <w:rsid w:val="29D5537D"/>
    <w:rsid w:val="29DB1DF7"/>
    <w:rsid w:val="29FD60A8"/>
    <w:rsid w:val="2A1D07B5"/>
    <w:rsid w:val="2A7E5273"/>
    <w:rsid w:val="2AD02892"/>
    <w:rsid w:val="2AED414D"/>
    <w:rsid w:val="2B7A199A"/>
    <w:rsid w:val="2B812B85"/>
    <w:rsid w:val="2BB97180"/>
    <w:rsid w:val="2BD61098"/>
    <w:rsid w:val="2BEB343A"/>
    <w:rsid w:val="2C002E72"/>
    <w:rsid w:val="2C5300D5"/>
    <w:rsid w:val="2C5610F4"/>
    <w:rsid w:val="2C8B2E2A"/>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2FC1E4C"/>
    <w:rsid w:val="33417800"/>
    <w:rsid w:val="3357074F"/>
    <w:rsid w:val="335C29B5"/>
    <w:rsid w:val="33B2679E"/>
    <w:rsid w:val="33DC14FA"/>
    <w:rsid w:val="33F34B2E"/>
    <w:rsid w:val="343F66C6"/>
    <w:rsid w:val="34F34C56"/>
    <w:rsid w:val="35012000"/>
    <w:rsid w:val="357A5788"/>
    <w:rsid w:val="359C4678"/>
    <w:rsid w:val="35E704C9"/>
    <w:rsid w:val="360308BC"/>
    <w:rsid w:val="36147632"/>
    <w:rsid w:val="362566DA"/>
    <w:rsid w:val="36530971"/>
    <w:rsid w:val="36561BAE"/>
    <w:rsid w:val="365A0A03"/>
    <w:rsid w:val="36610C56"/>
    <w:rsid w:val="366B24CA"/>
    <w:rsid w:val="36970F78"/>
    <w:rsid w:val="37133678"/>
    <w:rsid w:val="37197C4A"/>
    <w:rsid w:val="37200AFF"/>
    <w:rsid w:val="376916D4"/>
    <w:rsid w:val="376E6E4C"/>
    <w:rsid w:val="377F4427"/>
    <w:rsid w:val="378C4A09"/>
    <w:rsid w:val="38095396"/>
    <w:rsid w:val="382A2207"/>
    <w:rsid w:val="385666E5"/>
    <w:rsid w:val="389279F2"/>
    <w:rsid w:val="38BB254C"/>
    <w:rsid w:val="38D961D4"/>
    <w:rsid w:val="38DB70E7"/>
    <w:rsid w:val="398A13AE"/>
    <w:rsid w:val="39B92D7B"/>
    <w:rsid w:val="39CB3AE4"/>
    <w:rsid w:val="39EC4FAA"/>
    <w:rsid w:val="3A723E20"/>
    <w:rsid w:val="3AD16F1E"/>
    <w:rsid w:val="3B192EFF"/>
    <w:rsid w:val="3B2C7DCD"/>
    <w:rsid w:val="3B315B4E"/>
    <w:rsid w:val="3B761ED5"/>
    <w:rsid w:val="3BC84390"/>
    <w:rsid w:val="3BCE25E6"/>
    <w:rsid w:val="3BFE70ED"/>
    <w:rsid w:val="3C1B106D"/>
    <w:rsid w:val="3CC32A56"/>
    <w:rsid w:val="3CDF52D1"/>
    <w:rsid w:val="3CE364D7"/>
    <w:rsid w:val="3CEA2ACF"/>
    <w:rsid w:val="3CED4200"/>
    <w:rsid w:val="3D0C77C5"/>
    <w:rsid w:val="3D111530"/>
    <w:rsid w:val="3D48523F"/>
    <w:rsid w:val="3D4E282B"/>
    <w:rsid w:val="3D5B0C1D"/>
    <w:rsid w:val="3D8B06B4"/>
    <w:rsid w:val="3DC46A40"/>
    <w:rsid w:val="3DF67B30"/>
    <w:rsid w:val="3E8E6E06"/>
    <w:rsid w:val="3ED62FE6"/>
    <w:rsid w:val="3ED91469"/>
    <w:rsid w:val="3F3618F0"/>
    <w:rsid w:val="3F4816DB"/>
    <w:rsid w:val="3F691358"/>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CF660F"/>
    <w:rsid w:val="44DB15FD"/>
    <w:rsid w:val="44E501AE"/>
    <w:rsid w:val="45B86851"/>
    <w:rsid w:val="45E60474"/>
    <w:rsid w:val="46170247"/>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31C4B"/>
    <w:rsid w:val="492C3528"/>
    <w:rsid w:val="494279DC"/>
    <w:rsid w:val="49B4651F"/>
    <w:rsid w:val="49D066E0"/>
    <w:rsid w:val="49D639C4"/>
    <w:rsid w:val="49DF32E3"/>
    <w:rsid w:val="49E329B9"/>
    <w:rsid w:val="4A260DC8"/>
    <w:rsid w:val="4A2A1285"/>
    <w:rsid w:val="4A3B6D2E"/>
    <w:rsid w:val="4A9C1DE8"/>
    <w:rsid w:val="4AA84144"/>
    <w:rsid w:val="4AC241C6"/>
    <w:rsid w:val="4AED1B3A"/>
    <w:rsid w:val="4B195F87"/>
    <w:rsid w:val="4B50590F"/>
    <w:rsid w:val="4BBD4DDE"/>
    <w:rsid w:val="4C861987"/>
    <w:rsid w:val="4CAF06C4"/>
    <w:rsid w:val="4CE6400E"/>
    <w:rsid w:val="4CF31DF9"/>
    <w:rsid w:val="4CF906E8"/>
    <w:rsid w:val="4D5670A7"/>
    <w:rsid w:val="4D5D1F52"/>
    <w:rsid w:val="4DA30763"/>
    <w:rsid w:val="4DBC63C0"/>
    <w:rsid w:val="4DD74C49"/>
    <w:rsid w:val="4E540763"/>
    <w:rsid w:val="4E6B4AE9"/>
    <w:rsid w:val="4E72442D"/>
    <w:rsid w:val="4EB0364A"/>
    <w:rsid w:val="4ECD2759"/>
    <w:rsid w:val="4EDC47A0"/>
    <w:rsid w:val="4F5D7111"/>
    <w:rsid w:val="4F8E36B5"/>
    <w:rsid w:val="4FA45F82"/>
    <w:rsid w:val="4FC20AA7"/>
    <w:rsid w:val="4FE80B78"/>
    <w:rsid w:val="4FF026F6"/>
    <w:rsid w:val="505F1EFD"/>
    <w:rsid w:val="508041D1"/>
    <w:rsid w:val="50B70587"/>
    <w:rsid w:val="50C9698A"/>
    <w:rsid w:val="50F2027E"/>
    <w:rsid w:val="510A3089"/>
    <w:rsid w:val="513D1102"/>
    <w:rsid w:val="51693F9D"/>
    <w:rsid w:val="519A03E7"/>
    <w:rsid w:val="521024B8"/>
    <w:rsid w:val="523978C1"/>
    <w:rsid w:val="52DD0A68"/>
    <w:rsid w:val="52EC7E76"/>
    <w:rsid w:val="5345588D"/>
    <w:rsid w:val="53B034DF"/>
    <w:rsid w:val="53B63F2E"/>
    <w:rsid w:val="53F3622F"/>
    <w:rsid w:val="546304D8"/>
    <w:rsid w:val="548A24A3"/>
    <w:rsid w:val="54DE0F4F"/>
    <w:rsid w:val="54E53259"/>
    <w:rsid w:val="54E97D97"/>
    <w:rsid w:val="55797DFC"/>
    <w:rsid w:val="55A77F75"/>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AFF6FF7"/>
    <w:rsid w:val="5B234A9F"/>
    <w:rsid w:val="5B886A9C"/>
    <w:rsid w:val="5B9C24F1"/>
    <w:rsid w:val="5B9E50D3"/>
    <w:rsid w:val="5BB46CAC"/>
    <w:rsid w:val="5C105F94"/>
    <w:rsid w:val="5C251D7A"/>
    <w:rsid w:val="5C98447D"/>
    <w:rsid w:val="5CBF064C"/>
    <w:rsid w:val="5CEC6463"/>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C22F42"/>
    <w:rsid w:val="61D640C8"/>
    <w:rsid w:val="621D5FD0"/>
    <w:rsid w:val="625316A2"/>
    <w:rsid w:val="625351F3"/>
    <w:rsid w:val="62553A9B"/>
    <w:rsid w:val="62A954D2"/>
    <w:rsid w:val="62C91F3B"/>
    <w:rsid w:val="62EB6DE9"/>
    <w:rsid w:val="6341325F"/>
    <w:rsid w:val="638263B1"/>
    <w:rsid w:val="63D66D3A"/>
    <w:rsid w:val="63E32B36"/>
    <w:rsid w:val="643D31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5B20CB"/>
    <w:rsid w:val="6B5F64F3"/>
    <w:rsid w:val="6B7867DE"/>
    <w:rsid w:val="6BA90006"/>
    <w:rsid w:val="6BC35EC5"/>
    <w:rsid w:val="6BF65381"/>
    <w:rsid w:val="6BF75E66"/>
    <w:rsid w:val="6C161E18"/>
    <w:rsid w:val="6CAE708B"/>
    <w:rsid w:val="6CBB08C6"/>
    <w:rsid w:val="6D2A351D"/>
    <w:rsid w:val="6D2C5AA6"/>
    <w:rsid w:val="6D920D27"/>
    <w:rsid w:val="6DB81702"/>
    <w:rsid w:val="6DCE79BD"/>
    <w:rsid w:val="6E3431D3"/>
    <w:rsid w:val="6E7A6E44"/>
    <w:rsid w:val="6E815E20"/>
    <w:rsid w:val="6EC35D97"/>
    <w:rsid w:val="6F827E1F"/>
    <w:rsid w:val="6F9B680B"/>
    <w:rsid w:val="6FB43548"/>
    <w:rsid w:val="6FBE33DD"/>
    <w:rsid w:val="70695629"/>
    <w:rsid w:val="709E4961"/>
    <w:rsid w:val="71201305"/>
    <w:rsid w:val="712C7C3B"/>
    <w:rsid w:val="71443AE0"/>
    <w:rsid w:val="7158152F"/>
    <w:rsid w:val="71821920"/>
    <w:rsid w:val="71C9438B"/>
    <w:rsid w:val="71E43391"/>
    <w:rsid w:val="71EB232F"/>
    <w:rsid w:val="71F22395"/>
    <w:rsid w:val="729600E1"/>
    <w:rsid w:val="729964CB"/>
    <w:rsid w:val="72C73C0B"/>
    <w:rsid w:val="72E03AF4"/>
    <w:rsid w:val="732F3A9D"/>
    <w:rsid w:val="73310943"/>
    <w:rsid w:val="736E713E"/>
    <w:rsid w:val="73821076"/>
    <w:rsid w:val="73826D77"/>
    <w:rsid w:val="73AA2969"/>
    <w:rsid w:val="73B22405"/>
    <w:rsid w:val="73CF1F2D"/>
    <w:rsid w:val="73D030F9"/>
    <w:rsid w:val="73FC1BEE"/>
    <w:rsid w:val="74822716"/>
    <w:rsid w:val="74A77D79"/>
    <w:rsid w:val="74BB2C8C"/>
    <w:rsid w:val="74CF2551"/>
    <w:rsid w:val="74EE2280"/>
    <w:rsid w:val="750D3D28"/>
    <w:rsid w:val="753236D9"/>
    <w:rsid w:val="756176A1"/>
    <w:rsid w:val="75736CBD"/>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3B02B8"/>
    <w:rsid w:val="794006DB"/>
    <w:rsid w:val="79D85CE8"/>
    <w:rsid w:val="7A1E0BB7"/>
    <w:rsid w:val="7A322C02"/>
    <w:rsid w:val="7AF65F04"/>
    <w:rsid w:val="7B052BD7"/>
    <w:rsid w:val="7B072853"/>
    <w:rsid w:val="7B5B2FAF"/>
    <w:rsid w:val="7BA10F88"/>
    <w:rsid w:val="7BAE707C"/>
    <w:rsid w:val="7C0127E9"/>
    <w:rsid w:val="7C065B19"/>
    <w:rsid w:val="7C07569B"/>
    <w:rsid w:val="7C99381E"/>
    <w:rsid w:val="7C9C3EA8"/>
    <w:rsid w:val="7CA44252"/>
    <w:rsid w:val="7D786AA6"/>
    <w:rsid w:val="7D9D52BD"/>
    <w:rsid w:val="7DA40457"/>
    <w:rsid w:val="7DB479EE"/>
    <w:rsid w:val="7DCD6635"/>
    <w:rsid w:val="7E1B21E0"/>
    <w:rsid w:val="7E39625F"/>
    <w:rsid w:val="7E7D630E"/>
    <w:rsid w:val="7E9C1324"/>
    <w:rsid w:val="7EE36967"/>
    <w:rsid w:val="7F4108E0"/>
    <w:rsid w:val="7F9663C3"/>
    <w:rsid w:val="7FA345E5"/>
    <w:rsid w:val="7FAF2210"/>
    <w:rsid w:val="7FBE0FFC"/>
    <w:rsid w:val="7FFA220A"/>
    <w:rsid w:val="AFFD540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spacing w:line="372" w:lineRule="auto"/>
      <w:outlineLvl w:val="3"/>
    </w:pPr>
    <w:rPr>
      <w:rFonts w:ascii="Arial" w:hAnsi="Arial"/>
      <w:b/>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1"/>
    <w:qFormat/>
    <w:uiPriority w:val="0"/>
    <w:pPr>
      <w:keepNext/>
      <w:keepLines/>
      <w:numPr>
        <w:ilvl w:val="4"/>
        <w:numId w:val="1"/>
      </w:numPr>
      <w:spacing w:before="280" w:after="156" w:line="377" w:lineRule="auto"/>
      <w:outlineLvl w:val="4"/>
    </w:pPr>
    <w:rPr>
      <w:rFonts w:ascii="Arial" w:hAnsi="Arial" w:eastAsia="黑体"/>
      <w:b/>
      <w:kern w:val="0"/>
      <w:szCs w:val="28"/>
    </w:rPr>
  </w:style>
  <w:style w:type="paragraph" w:styleId="7">
    <w:name w:val="toc 7"/>
    <w:basedOn w:val="1"/>
    <w:next w:val="1"/>
    <w:qFormat/>
    <w:uiPriority w:val="0"/>
    <w:pPr>
      <w:ind w:left="2520" w:leftChars="1200"/>
    </w:pPr>
  </w:style>
  <w:style w:type="paragraph" w:styleId="8">
    <w:name w:val="Normal Indent"/>
    <w:basedOn w:val="1"/>
    <w:qFormat/>
    <w:uiPriority w:val="99"/>
    <w:pPr>
      <w:ind w:firstLine="200" w:firstLineChars="200"/>
    </w:pPr>
  </w:style>
  <w:style w:type="paragraph" w:styleId="9">
    <w:name w:val="Document Map"/>
    <w:basedOn w:val="1"/>
    <w:link w:val="44"/>
    <w:qFormat/>
    <w:uiPriority w:val="0"/>
    <w:rPr>
      <w:rFonts w:ascii="宋体"/>
      <w:sz w:val="18"/>
      <w:szCs w:val="18"/>
    </w:rPr>
  </w:style>
  <w:style w:type="paragraph" w:styleId="10">
    <w:name w:val="annotation text"/>
    <w:basedOn w:val="1"/>
    <w:link w:val="42"/>
    <w:qFormat/>
    <w:uiPriority w:val="0"/>
    <w:pPr>
      <w:jc w:val="left"/>
    </w:pPr>
  </w:style>
  <w:style w:type="paragraph" w:styleId="11">
    <w:name w:val="Body Text"/>
    <w:basedOn w:val="1"/>
    <w:next w:val="1"/>
    <w:link w:val="60"/>
    <w:semiHidden/>
    <w:unhideWhenUsed/>
    <w:qFormat/>
    <w:uiPriority w:val="99"/>
    <w:pPr>
      <w:spacing w:before="100" w:beforeAutospacing="1" w:after="120" w:line="256" w:lineRule="auto"/>
    </w:pPr>
    <w:rPr>
      <w:szCs w:val="21"/>
    </w:rPr>
  </w:style>
  <w:style w:type="paragraph" w:styleId="12">
    <w:name w:val="Body Text Indent"/>
    <w:basedOn w:val="1"/>
    <w:qFormat/>
    <w:uiPriority w:val="0"/>
    <w:pPr>
      <w:ind w:firstLine="630"/>
    </w:pPr>
    <w:rPr>
      <w:sz w:val="32"/>
      <w:szCs w:val="20"/>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Plain Text"/>
    <w:basedOn w:val="1"/>
    <w:next w:val="1"/>
    <w:qFormat/>
    <w:uiPriority w:val="0"/>
    <w:pPr>
      <w:tabs>
        <w:tab w:val="left" w:pos="0"/>
      </w:tabs>
      <w:autoSpaceDE w:val="0"/>
      <w:autoSpaceDN w:val="0"/>
    </w:pPr>
    <w:rPr>
      <w:rFonts w:hAnsi="Tms Rmn"/>
      <w:sz w:val="21"/>
    </w:rPr>
  </w:style>
  <w:style w:type="paragraph" w:styleId="16">
    <w:name w:val="toc 8"/>
    <w:basedOn w:val="1"/>
    <w:next w:val="1"/>
    <w:qFormat/>
    <w:uiPriority w:val="0"/>
    <w:pPr>
      <w:ind w:left="2940" w:leftChars="1400"/>
    </w:pPr>
  </w:style>
  <w:style w:type="paragraph" w:styleId="17">
    <w:name w:val="Balloon Text"/>
    <w:basedOn w:val="1"/>
    <w:link w:val="41"/>
    <w:qFormat/>
    <w:uiPriority w:val="0"/>
    <w:rPr>
      <w:sz w:val="18"/>
      <w:szCs w:val="18"/>
    </w:rPr>
  </w:style>
  <w:style w:type="paragraph" w:styleId="18">
    <w:name w:val="footer"/>
    <w:basedOn w:val="1"/>
    <w:link w:val="57"/>
    <w:qFormat/>
    <w:uiPriority w:val="99"/>
    <w:pPr>
      <w:tabs>
        <w:tab w:val="center" w:pos="4153"/>
        <w:tab w:val="right" w:pos="8306"/>
      </w:tabs>
      <w:snapToGrid w:val="0"/>
      <w:jc w:val="left"/>
    </w:pPr>
    <w:rPr>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style>
  <w:style w:type="paragraph" w:styleId="21">
    <w:name w:val="toc 4"/>
    <w:basedOn w:val="1"/>
    <w:next w:val="1"/>
    <w:qFormat/>
    <w:uiPriority w:val="0"/>
    <w:pPr>
      <w:ind w:left="1260" w:leftChars="600"/>
    </w:pPr>
  </w:style>
  <w:style w:type="paragraph" w:styleId="22">
    <w:name w:val="Subtitle"/>
    <w:basedOn w:val="1"/>
    <w:next w:val="1"/>
    <w:qFormat/>
    <w:uiPriority w:val="11"/>
    <w:pPr>
      <w:widowControl/>
      <w:spacing w:before="240" w:after="60" w:line="312" w:lineRule="auto"/>
      <w:jc w:val="center"/>
      <w:outlineLvl w:val="1"/>
    </w:pPr>
    <w:rPr>
      <w:rFonts w:ascii="Calibri Light" w:hAnsi="Calibri Light"/>
      <w:b/>
      <w:bCs/>
      <w:kern w:val="28"/>
      <w:sz w:val="32"/>
      <w:szCs w:val="32"/>
    </w:r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0"/>
    <w:next w:val="10"/>
    <w:link w:val="48"/>
    <w:qFormat/>
    <w:uiPriority w:val="0"/>
    <w:rPr>
      <w:b/>
      <w:bCs/>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page number"/>
    <w:qFormat/>
    <w:uiPriority w:val="0"/>
  </w:style>
  <w:style w:type="character" w:styleId="33">
    <w:name w:val="FollowedHyperlink"/>
    <w:basedOn w:val="30"/>
    <w:semiHidden/>
    <w:unhideWhenUsed/>
    <w:qFormat/>
    <w:uiPriority w:val="0"/>
    <w:rPr>
      <w:color w:val="954F72" w:themeColor="followedHyperlink"/>
      <w:u w:val="single"/>
      <w14:textFill>
        <w14:solidFill>
          <w14:schemeClr w14:val="folHlink"/>
        </w14:solidFill>
      </w14:textFill>
    </w:rPr>
  </w:style>
  <w:style w:type="character" w:styleId="34">
    <w:name w:val="HTML Definition"/>
    <w:basedOn w:val="30"/>
    <w:semiHidden/>
    <w:unhideWhenUsed/>
    <w:qFormat/>
    <w:uiPriority w:val="0"/>
    <w:rPr>
      <w:i/>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HTML Code"/>
    <w:basedOn w:val="30"/>
    <w:semiHidden/>
    <w:unhideWhenUsed/>
    <w:qFormat/>
    <w:uiPriority w:val="0"/>
    <w:rPr>
      <w:rFonts w:hint="default" w:ascii="Consolas" w:hAnsi="Consolas" w:eastAsia="Consolas" w:cs="Consolas"/>
      <w:color w:val="CA4440"/>
      <w:sz w:val="21"/>
      <w:szCs w:val="21"/>
      <w:shd w:val="clear" w:color="auto" w:fill="F9F2F4"/>
    </w:rPr>
  </w:style>
  <w:style w:type="character" w:styleId="37">
    <w:name w:val="annotation reference"/>
    <w:qFormat/>
    <w:uiPriority w:val="99"/>
    <w:rPr>
      <w:sz w:val="21"/>
      <w:szCs w:val="21"/>
    </w:rPr>
  </w:style>
  <w:style w:type="character" w:styleId="38">
    <w:name w:val="HTML Keyboard"/>
    <w:basedOn w:val="30"/>
    <w:semiHidden/>
    <w:unhideWhenUsed/>
    <w:qFormat/>
    <w:uiPriority w:val="0"/>
    <w:rPr>
      <w:rFonts w:ascii="Consolas" w:hAnsi="Consolas" w:eastAsia="Consolas" w:cs="Consolas"/>
      <w:color w:val="FFFFFF"/>
      <w:sz w:val="21"/>
      <w:szCs w:val="21"/>
      <w:shd w:val="clear" w:color="auto" w:fill="333333"/>
    </w:rPr>
  </w:style>
  <w:style w:type="character" w:styleId="39">
    <w:name w:val="HTML Sample"/>
    <w:basedOn w:val="30"/>
    <w:semiHidden/>
    <w:unhideWhenUsed/>
    <w:qFormat/>
    <w:uiPriority w:val="0"/>
    <w:rPr>
      <w:rFonts w:hint="default" w:ascii="Consolas" w:hAnsi="Consolas" w:eastAsia="Consolas" w:cs="Consolas"/>
      <w:sz w:val="21"/>
      <w:szCs w:val="21"/>
    </w:rPr>
  </w:style>
  <w:style w:type="paragraph" w:customStyle="1" w:styleId="40">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41">
    <w:name w:val="批注框文本 Char"/>
    <w:link w:val="17"/>
    <w:qFormat/>
    <w:uiPriority w:val="0"/>
    <w:rPr>
      <w:kern w:val="2"/>
      <w:sz w:val="18"/>
      <w:szCs w:val="18"/>
    </w:rPr>
  </w:style>
  <w:style w:type="character" w:customStyle="1" w:styleId="42">
    <w:name w:val="批注文字 Char"/>
    <w:link w:val="10"/>
    <w:qFormat/>
    <w:uiPriority w:val="0"/>
    <w:rPr>
      <w:kern w:val="2"/>
      <w:sz w:val="21"/>
      <w:szCs w:val="24"/>
    </w:rPr>
  </w:style>
  <w:style w:type="character" w:customStyle="1" w:styleId="43">
    <w:name w:val="font91"/>
    <w:qFormat/>
    <w:uiPriority w:val="0"/>
    <w:rPr>
      <w:rFonts w:hint="eastAsia" w:ascii="宋体" w:hAnsi="宋体" w:eastAsia="宋体" w:cs="宋体"/>
      <w:color w:val="FF0000"/>
      <w:sz w:val="21"/>
      <w:szCs w:val="21"/>
      <w:u w:val="single"/>
    </w:rPr>
  </w:style>
  <w:style w:type="character" w:customStyle="1" w:styleId="44">
    <w:name w:val="文档结构图 Char"/>
    <w:link w:val="9"/>
    <w:qFormat/>
    <w:uiPriority w:val="0"/>
    <w:rPr>
      <w:rFonts w:ascii="宋体"/>
      <w:kern w:val="2"/>
      <w:sz w:val="18"/>
      <w:szCs w:val="18"/>
    </w:rPr>
  </w:style>
  <w:style w:type="character" w:customStyle="1" w:styleId="45">
    <w:name w:val="font101"/>
    <w:qFormat/>
    <w:uiPriority w:val="0"/>
    <w:rPr>
      <w:rFonts w:hint="eastAsia" w:ascii="宋体" w:hAnsi="宋体" w:eastAsia="宋体" w:cs="宋体"/>
      <w:color w:val="000000"/>
      <w:sz w:val="21"/>
      <w:szCs w:val="21"/>
      <w:u w:val="single"/>
    </w:rPr>
  </w:style>
  <w:style w:type="character" w:customStyle="1" w:styleId="46">
    <w:name w:val="font111"/>
    <w:qFormat/>
    <w:uiPriority w:val="0"/>
    <w:rPr>
      <w:rFonts w:hint="default" w:ascii="Eʩ" w:hAnsi="Eʩ" w:eastAsia="Eʩ" w:cs="Eʩ"/>
      <w:color w:val="000000"/>
      <w:sz w:val="21"/>
      <w:szCs w:val="21"/>
      <w:u w:val="single"/>
    </w:rPr>
  </w:style>
  <w:style w:type="character" w:customStyle="1" w:styleId="47">
    <w:name w:val="font31"/>
    <w:qFormat/>
    <w:uiPriority w:val="0"/>
    <w:rPr>
      <w:rFonts w:hint="eastAsia" w:ascii="宋体" w:hAnsi="宋体" w:eastAsia="宋体" w:cs="宋体"/>
      <w:color w:val="000000"/>
      <w:sz w:val="21"/>
      <w:szCs w:val="21"/>
      <w:u w:val="none"/>
    </w:rPr>
  </w:style>
  <w:style w:type="character" w:customStyle="1" w:styleId="48">
    <w:name w:val="批注主题 Char"/>
    <w:link w:val="27"/>
    <w:qFormat/>
    <w:uiPriority w:val="0"/>
    <w:rPr>
      <w:b/>
      <w:bCs/>
      <w:kern w:val="2"/>
      <w:sz w:val="21"/>
      <w:szCs w:val="24"/>
    </w:rPr>
  </w:style>
  <w:style w:type="character" w:customStyle="1" w:styleId="49">
    <w:name w:val="标题 1 Char"/>
    <w:link w:val="3"/>
    <w:qFormat/>
    <w:uiPriority w:val="0"/>
    <w:rPr>
      <w:b/>
      <w:bCs/>
      <w:kern w:val="44"/>
      <w:sz w:val="44"/>
      <w:szCs w:val="44"/>
    </w:rPr>
  </w:style>
  <w:style w:type="paragraph" w:customStyle="1" w:styleId="5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51">
    <w:name w:val="样式 首行缩进:  2 字符"/>
    <w:basedOn w:val="1"/>
    <w:qFormat/>
    <w:uiPriority w:val="0"/>
    <w:pPr>
      <w:spacing w:line="400" w:lineRule="exact"/>
      <w:ind w:firstLine="200" w:firstLineChars="200"/>
    </w:pPr>
    <w:rPr>
      <w:rFonts w:cs="宋体"/>
      <w:sz w:val="24"/>
    </w:rPr>
  </w:style>
  <w:style w:type="paragraph" w:customStyle="1" w:styleId="52">
    <w:name w:val="样式"/>
    <w:next w:val="53"/>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3">
    <w:name w:val="kerning2lochf13hichaf2db"/>
    <w:qFormat/>
    <w:uiPriority w:val="0"/>
    <w:pPr>
      <w:widowControl w:val="0"/>
      <w:autoSpaceDE w:val="0"/>
      <w:autoSpaceDN w:val="0"/>
      <w:adjustRightInd w:val="0"/>
      <w:jc w:val="both"/>
    </w:pPr>
    <w:rPr>
      <w:rFonts w:ascii="Times New Roman" w:hAnsi="Times New Roman" w:eastAsia="宋体" w:cs="Times New Roman"/>
      <w:sz w:val="21"/>
      <w:szCs w:val="21"/>
      <w:lang w:val="en-US" w:eastAsia="zh-CN" w:bidi="ar-SA"/>
    </w:rPr>
  </w:style>
  <w:style w:type="paragraph" w:customStyle="1" w:styleId="54">
    <w:name w:val="正文首行缩进两字符"/>
    <w:basedOn w:val="1"/>
    <w:qFormat/>
    <w:uiPriority w:val="0"/>
    <w:pPr>
      <w:spacing w:line="360" w:lineRule="auto"/>
      <w:ind w:firstLine="200" w:firstLineChars="200"/>
    </w:pPr>
  </w:style>
  <w:style w:type="character" w:customStyle="1" w:styleId="55">
    <w:name w:val="批注文字 Char1"/>
    <w:basedOn w:val="30"/>
    <w:qFormat/>
    <w:uiPriority w:val="0"/>
    <w:rPr>
      <w:rFonts w:ascii="Times New Roman" w:hAnsi="Times New Roman" w:eastAsia="宋体" w:cs="Times New Roman"/>
      <w:szCs w:val="24"/>
    </w:rPr>
  </w:style>
  <w:style w:type="paragraph" w:customStyle="1" w:styleId="56">
    <w:name w:val="修订1"/>
    <w:hidden/>
    <w:unhideWhenUsed/>
    <w:qFormat/>
    <w:uiPriority w:val="99"/>
    <w:rPr>
      <w:rFonts w:ascii="Calibri" w:hAnsi="Calibri" w:eastAsia="宋体" w:cs="Times New Roman"/>
      <w:kern w:val="2"/>
      <w:sz w:val="21"/>
      <w:szCs w:val="24"/>
      <w:lang w:val="en-US" w:eastAsia="zh-CN" w:bidi="ar-SA"/>
    </w:rPr>
  </w:style>
  <w:style w:type="character" w:customStyle="1" w:styleId="57">
    <w:name w:val="页脚 Char"/>
    <w:link w:val="18"/>
    <w:qFormat/>
    <w:uiPriority w:val="99"/>
    <w:rPr>
      <w:kern w:val="2"/>
      <w:sz w:val="18"/>
    </w:rPr>
  </w:style>
  <w:style w:type="paragraph" w:styleId="58">
    <w:name w:val="List Paragraph"/>
    <w:basedOn w:val="1"/>
    <w:unhideWhenUsed/>
    <w:qFormat/>
    <w:uiPriority w:val="99"/>
    <w:pPr>
      <w:ind w:firstLine="420" w:firstLineChars="200"/>
    </w:pPr>
  </w:style>
  <w:style w:type="paragraph" w:customStyle="1" w:styleId="5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60">
    <w:name w:val="正文文本 Char"/>
    <w:basedOn w:val="30"/>
    <w:link w:val="11"/>
    <w:semiHidden/>
    <w:qFormat/>
    <w:uiPriority w:val="99"/>
    <w:rPr>
      <w:rFonts w:ascii="Calibri" w:hAnsi="Calibri"/>
      <w:kern w:val="2"/>
      <w:sz w:val="21"/>
      <w:szCs w:val="21"/>
    </w:rPr>
  </w:style>
  <w:style w:type="character" w:customStyle="1" w:styleId="61">
    <w:name w:val="15"/>
    <w:basedOn w:val="30"/>
    <w:qFormat/>
    <w:uiPriority w:val="0"/>
    <w:rPr>
      <w:rFonts w:hint="default" w:ascii="Times New Roman" w:hAnsi="Times New Roman" w:cs="Times New Roman"/>
      <w:sz w:val="21"/>
      <w:szCs w:val="21"/>
    </w:rPr>
  </w:style>
  <w:style w:type="paragraph" w:customStyle="1" w:styleId="62">
    <w:name w:val="修订2"/>
    <w:hidden/>
    <w:semiHidden/>
    <w:qFormat/>
    <w:uiPriority w:val="99"/>
    <w:rPr>
      <w:rFonts w:ascii="Calibri" w:hAnsi="Calibri" w:eastAsia="宋体" w:cs="Times New Roman"/>
      <w:kern w:val="2"/>
      <w:sz w:val="21"/>
      <w:szCs w:val="24"/>
      <w:lang w:val="en-US" w:eastAsia="zh-CN" w:bidi="ar-SA"/>
    </w:rPr>
  </w:style>
  <w:style w:type="character" w:customStyle="1" w:styleId="63">
    <w:name w:val="first-child"/>
    <w:basedOn w:val="30"/>
    <w:qFormat/>
    <w:uiPriority w:val="0"/>
  </w:style>
  <w:style w:type="character" w:customStyle="1" w:styleId="64">
    <w:name w:val="button"/>
    <w:basedOn w:val="30"/>
    <w:qFormat/>
    <w:uiPriority w:val="0"/>
  </w:style>
  <w:style w:type="character" w:customStyle="1" w:styleId="65">
    <w:name w:val="percentage"/>
    <w:basedOn w:val="30"/>
    <w:qFormat/>
    <w:uiPriority w:val="0"/>
    <w:rPr>
      <w:shd w:val="clear" w:color="auto" w:fill="1483D8"/>
    </w:rPr>
  </w:style>
  <w:style w:type="character" w:customStyle="1" w:styleId="66">
    <w:name w:val="layui-this"/>
    <w:basedOn w:val="30"/>
    <w:qFormat/>
    <w:uiPriority w:val="0"/>
    <w:rPr>
      <w:bdr w:val="single" w:color="EEEEEE" w:sz="6" w:space="0"/>
      <w:shd w:val="clear" w:color="auto" w:fill="FFFFFF"/>
    </w:rPr>
  </w:style>
  <w:style w:type="character" w:customStyle="1" w:styleId="67">
    <w:name w:val="tmpztreemove_arrow"/>
    <w:basedOn w:val="30"/>
    <w:qFormat/>
    <w:uiPriority w:val="0"/>
  </w:style>
  <w:style w:type="character" w:customStyle="1" w:styleId="68">
    <w:name w:val="btn-green"/>
    <w:basedOn w:val="30"/>
    <w:qFormat/>
    <w:uiPriority w:val="0"/>
    <w:rPr>
      <w:color w:val="FFFFFF"/>
      <w:shd w:val="clear" w:color="auto" w:fill="3C8DBC"/>
    </w:rPr>
  </w:style>
  <w:style w:type="character" w:customStyle="1" w:styleId="69">
    <w:name w:val="cancel"/>
    <w:basedOn w:val="30"/>
    <w:qFormat/>
    <w:uiPriority w:val="0"/>
  </w:style>
  <w:style w:type="character" w:customStyle="1" w:styleId="70">
    <w:name w:val="rotateleft"/>
    <w:basedOn w:val="30"/>
    <w:qFormat/>
    <w:uiPriority w:val="0"/>
  </w:style>
  <w:style w:type="character" w:customStyle="1" w:styleId="71">
    <w:name w:val="rotateright"/>
    <w:basedOn w:val="30"/>
    <w:qFormat/>
    <w:uiPriority w:val="0"/>
  </w:style>
  <w:style w:type="character" w:customStyle="1" w:styleId="72">
    <w:name w:val="text"/>
    <w:basedOn w:val="30"/>
    <w:qFormat/>
    <w:uiPriority w:val="0"/>
  </w:style>
  <w:style w:type="character" w:customStyle="1" w:styleId="73">
    <w:name w:val="label10"/>
    <w:basedOn w:val="30"/>
    <w:qFormat/>
    <w:uiPriority w:val="0"/>
  </w:style>
  <w:style w:type="character" w:customStyle="1" w:styleId="74">
    <w:name w:val="msg-box"/>
    <w:basedOn w:val="30"/>
    <w:qFormat/>
    <w:uiPriority w:val="0"/>
    <w:rPr>
      <w:color w:val="EF392B"/>
      <w:sz w:val="18"/>
      <w:szCs w:val="18"/>
    </w:rPr>
  </w:style>
  <w:style w:type="character" w:customStyle="1" w:styleId="75">
    <w:name w:val="hover12"/>
    <w:basedOn w:val="30"/>
    <w:qFormat/>
    <w:uiPriority w:val="0"/>
    <w:rPr>
      <w:shd w:val="clear" w:color="auto" w:fill="E82B45"/>
    </w:rPr>
  </w:style>
  <w:style w:type="paragraph" w:customStyle="1" w:styleId="76">
    <w:name w:val="13、表格内居中正文"/>
    <w:basedOn w:val="1"/>
    <w:qFormat/>
    <w:uiPriority w:val="0"/>
    <w:pPr>
      <w:tabs>
        <w:tab w:val="left" w:pos="0"/>
      </w:tabs>
      <w:wordWrap w:val="0"/>
      <w:topLinePunct/>
      <w:spacing w:line="360" w:lineRule="exact"/>
      <w:jc w:val="center"/>
    </w:pPr>
    <w:rPr>
      <w:sz w:val="21"/>
    </w:rPr>
  </w:style>
  <w:style w:type="paragraph" w:customStyle="1" w:styleId="77">
    <w:name w:val="12、表格内左对齐正文"/>
    <w:basedOn w:val="1"/>
    <w:qFormat/>
    <w:uiPriority w:val="0"/>
    <w:pPr>
      <w:tabs>
        <w:tab w:val="left" w:pos="0"/>
      </w:tabs>
      <w:wordWrap w:val="0"/>
      <w:topLinePunct/>
      <w:spacing w:line="360" w:lineRule="exact"/>
      <w:ind w:left="48" w:leftChars="20"/>
    </w:pPr>
    <w:rPr>
      <w:snapToGrid w:val="0"/>
      <w:sz w:val="21"/>
    </w:rPr>
  </w:style>
  <w:style w:type="paragraph" w:customStyle="1" w:styleId="78">
    <w:name w:val="21、第三章“(一)”三级标题"/>
    <w:basedOn w:val="79"/>
    <w:qFormat/>
    <w:uiPriority w:val="0"/>
    <w:pPr>
      <w:pageBreakBefore/>
      <w:numPr>
        <w:ilvl w:val="0"/>
        <w:numId w:val="2"/>
      </w:numPr>
      <w:tabs>
        <w:tab w:val="left" w:pos="0"/>
      </w:tabs>
      <w:spacing w:beforeLines="50" w:afterLines="50"/>
      <w:jc w:val="center"/>
      <w:outlineLvl w:val="2"/>
    </w:pPr>
    <w:rPr>
      <w:b/>
      <w:sz w:val="28"/>
    </w:rPr>
  </w:style>
  <w:style w:type="paragraph" w:customStyle="1" w:styleId="79">
    <w:name w:val="01、普通正文"/>
    <w:basedOn w:val="1"/>
    <w:qFormat/>
    <w:uiPriority w:val="0"/>
    <w:pPr>
      <w:tabs>
        <w:tab w:val="left" w:pos="0"/>
      </w:tabs>
      <w:wordWrap w:val="0"/>
      <w:topLinePunct/>
    </w:pPr>
    <w:rPr>
      <w:snapToGrid w:val="0"/>
    </w:rPr>
  </w:style>
  <w:style w:type="paragraph" w:customStyle="1" w:styleId="80">
    <w:name w:val="02、首行缩进2字符正文"/>
    <w:basedOn w:val="1"/>
    <w:qFormat/>
    <w:uiPriority w:val="0"/>
    <w:pPr>
      <w:tabs>
        <w:tab w:val="left" w:pos="0"/>
      </w:tabs>
      <w:wordWrap w:val="0"/>
      <w:topLinePunct/>
      <w:ind w:firstLine="480" w:firstLineChars="200"/>
    </w:pPr>
  </w:style>
  <w:style w:type="paragraph" w:customStyle="1" w:styleId="81">
    <w:name w:val="03、“注：”正文(加粗，首行缩进2字符)"/>
    <w:basedOn w:val="79"/>
    <w:qFormat/>
    <w:uiPriority w:val="0"/>
    <w:pPr>
      <w:ind w:firstLine="480" w:firstLineChars="200"/>
    </w:pPr>
    <w:rPr>
      <w:b/>
    </w:rPr>
  </w:style>
  <w:style w:type="paragraph" w:customStyle="1" w:styleId="82">
    <w:name w:val="样式 (西文) 宋体 自定义颜(RGB(131313)) 左侧:  0 厘米 行距: 固定值 22 磅 图案: 清除..."/>
    <w:basedOn w:val="1"/>
    <w:qFormat/>
    <w:uiPriority w:val="99"/>
    <w:pPr>
      <w:shd w:val="clear" w:color="auto" w:fill="FFFFFF"/>
      <w:tabs>
        <w:tab w:val="left" w:pos="0"/>
      </w:tabs>
    </w:pPr>
    <w:rPr>
      <w:rFonts w:cs="宋体"/>
      <w:color w:val="0D0D0D"/>
      <w:kern w:val="0"/>
    </w:rPr>
  </w:style>
  <w:style w:type="paragraph" w:customStyle="1" w:styleId="83">
    <w:name w:val="字母编号列项（一级）"/>
    <w:qFormat/>
    <w:uiPriority w:val="99"/>
    <w:pPr>
      <w:numPr>
        <w:ilvl w:val="2"/>
        <w:numId w:val="3"/>
      </w:numPr>
      <w:jc w:val="both"/>
    </w:pPr>
    <w:rPr>
      <w:rFonts w:ascii="宋体" w:hAnsi="Times New Roman" w:eastAsia="宋体" w:cs="Times New Roman"/>
      <w:sz w:val="21"/>
      <w:lang w:val="en-US" w:eastAsia="zh-CN" w:bidi="ar-SA"/>
    </w:rPr>
  </w:style>
  <w:style w:type="paragraph" w:customStyle="1" w:styleId="84">
    <w:name w:val="Other|1"/>
    <w:basedOn w:val="1"/>
    <w:qFormat/>
    <w:uiPriority w:val="0"/>
    <w:pPr>
      <w:widowControl w:val="0"/>
      <w:shd w:val="clear" w:color="auto" w:fill="auto"/>
      <w:spacing w:after="160"/>
      <w:ind w:firstLine="320"/>
    </w:pPr>
    <w:rPr>
      <w:rFonts w:ascii="宋体" w:hAnsi="宋体" w:eastAsia="宋体" w:cs="宋体"/>
      <w:sz w:val="22"/>
      <w:szCs w:val="22"/>
      <w:u w:val="none"/>
      <w:shd w:val="clear" w:color="auto" w:fill="auto"/>
      <w:lang w:val="zh-TW" w:eastAsia="zh-TW" w:bidi="zh-TW"/>
    </w:rPr>
  </w:style>
  <w:style w:type="paragraph" w:customStyle="1" w:styleId="85">
    <w:name w:val="Body text|1"/>
    <w:basedOn w:val="1"/>
    <w:qFormat/>
    <w:uiPriority w:val="0"/>
    <w:pPr>
      <w:widowControl w:val="0"/>
      <w:shd w:val="clear" w:color="auto" w:fill="auto"/>
      <w:spacing w:after="160"/>
      <w:ind w:firstLine="320"/>
    </w:pPr>
    <w:rPr>
      <w:rFonts w:ascii="宋体" w:hAnsi="宋体" w:eastAsia="宋体" w:cs="宋体"/>
      <w:sz w:val="22"/>
      <w:szCs w:val="22"/>
      <w:u w:val="none"/>
      <w:shd w:val="clear" w:color="auto" w:fill="auto"/>
      <w:lang w:val="zh-TW" w:eastAsia="zh-TW" w:bidi="zh-TW"/>
    </w:rPr>
  </w:style>
  <w:style w:type="paragraph" w:customStyle="1" w:styleId="86">
    <w:name w:val="Body text|2"/>
    <w:basedOn w:val="1"/>
    <w:qFormat/>
    <w:uiPriority w:val="0"/>
    <w:pPr>
      <w:widowControl w:val="0"/>
      <w:shd w:val="clear" w:color="auto" w:fill="auto"/>
      <w:spacing w:line="597" w:lineRule="exact"/>
      <w:ind w:left="320" w:firstLine="20"/>
    </w:pPr>
    <w:rPr>
      <w:sz w:val="26"/>
      <w:szCs w:val="26"/>
      <w:u w:val="none"/>
      <w:shd w:val="clear" w:color="auto" w:fill="auto"/>
      <w:lang w:val="zh-TW" w:eastAsia="zh-TW" w:bidi="zh-TW"/>
    </w:rPr>
  </w:style>
  <w:style w:type="paragraph" w:customStyle="1" w:styleId="87">
    <w:name w:val="_Style 35"/>
    <w:basedOn w:val="1"/>
    <w:qFormat/>
    <w:uiPriority w:val="0"/>
    <w:pPr>
      <w:ind w:firstLine="42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7411</Words>
  <Characters>42248</Characters>
  <Lines>352</Lines>
  <Paragraphs>99</Paragraphs>
  <TotalTime>26</TotalTime>
  <ScaleCrop>false</ScaleCrop>
  <LinksUpToDate>false</LinksUpToDate>
  <CharactersWithSpaces>49560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2021-07-13T07:42:00Z</dcterms:created>
  <dc:creator>s</dc:creator>
  <cp:lastModifiedBy>Q丶</cp:lastModifiedBy>
  <cp:lastPrinted>2021-07-13T08:15:00Z</cp:lastPrinted>
  <dcterms:modified xsi:type="dcterms:W3CDTF">2021-09-23T06:35:41Z</dcterms:modified>
  <dc:title>招标编号：xxxx [xxxx] xx号</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C676EAB0ABDD4C7C8F2714969EA735AB</vt:lpwstr>
  </property>
</Properties>
</file>