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color w:val="000000"/>
          <w:sz w:val="40"/>
          <w:szCs w:val="40"/>
          <w:lang w:val="en-US" w:eastAsia="zh-CN"/>
        </w:rPr>
      </w:pPr>
      <w:bookmarkStart w:id="0" w:name="_Hlt101843627"/>
      <w:bookmarkEnd w:id="0"/>
      <w:bookmarkStart w:id="1" w:name="_Hlt101233737"/>
      <w:bookmarkEnd w:id="1"/>
      <w:bookmarkStart w:id="2" w:name="_Toc27129"/>
    </w:p>
    <w:p>
      <w:pPr>
        <w:jc w:val="center"/>
        <w:rPr>
          <w:rFonts w:hint="eastAsia" w:asciiTheme="minorEastAsia" w:hAnsiTheme="minorEastAsia" w:eastAsiaTheme="minorEastAsia" w:cstheme="minorEastAsia"/>
          <w:b/>
          <w:bCs/>
          <w:sz w:val="40"/>
          <w:szCs w:val="40"/>
          <w:lang w:eastAsia="zh-CN"/>
        </w:rPr>
      </w:pPr>
      <w:r>
        <w:rPr>
          <w:rFonts w:hint="eastAsia" w:asciiTheme="minorEastAsia" w:hAnsiTheme="minorEastAsia" w:eastAsiaTheme="minorEastAsia" w:cstheme="minorEastAsia"/>
          <w:b/>
          <w:color w:val="000000"/>
          <w:sz w:val="40"/>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40"/>
          <w:szCs w:val="40"/>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color w:val="000000"/>
          <w:sz w:val="144"/>
          <w:szCs w:val="144"/>
        </w:rPr>
      </w:pPr>
      <w:r>
        <w:rPr>
          <w:rFonts w:hint="eastAsia" w:asciiTheme="minorEastAsia" w:hAnsiTheme="minorEastAsia" w:eastAsiaTheme="minorEastAsia" w:cstheme="minorEastAsia"/>
          <w:b/>
          <w:color w:val="000000"/>
          <w:sz w:val="112"/>
          <w:szCs w:val="112"/>
          <w:lang w:eastAsia="zh-CN"/>
        </w:rPr>
        <w:t>竞争性磋商</w:t>
      </w:r>
      <w:r>
        <w:rPr>
          <w:rFonts w:hint="eastAsia" w:asciiTheme="minorEastAsia" w:hAnsiTheme="minorEastAsia" w:eastAsiaTheme="minorEastAsia" w:cstheme="minorEastAsia"/>
          <w:b/>
          <w:color w:val="000000"/>
          <w:sz w:val="112"/>
          <w:szCs w:val="112"/>
        </w:rPr>
        <w:t>文件</w:t>
      </w:r>
    </w:p>
    <w:p>
      <w:pPr>
        <w:tabs>
          <w:tab w:val="left" w:pos="0"/>
        </w:tabs>
        <w:autoSpaceDE w:val="0"/>
        <w:autoSpaceDN w:val="0"/>
        <w:adjustRightInd w:val="0"/>
        <w:spacing w:line="480" w:lineRule="auto"/>
        <w:ind w:right="94" w:rightChars="45"/>
        <w:jc w:val="left"/>
        <w:rPr>
          <w:rFonts w:hint="eastAsia" w:asciiTheme="minorEastAsia" w:hAnsiTheme="minorEastAsia" w:eastAsiaTheme="minorEastAsia" w:cstheme="minorEastAsia"/>
          <w:b/>
          <w:color w:val="000000"/>
          <w:kern w:val="0"/>
          <w:sz w:val="28"/>
          <w:szCs w:val="28"/>
          <w:lang w:eastAsia="zh-CN"/>
        </w:rPr>
      </w:pPr>
    </w:p>
    <w:p>
      <w:pPr>
        <w:pStyle w:val="6"/>
        <w:rPr>
          <w:rFonts w:hint="eastAsia" w:asciiTheme="minorEastAsia" w:hAnsiTheme="minorEastAsia" w:eastAsiaTheme="minorEastAsia" w:cstheme="minorEastAsia"/>
        </w:rPr>
      </w:pPr>
    </w:p>
    <w:p>
      <w:pPr>
        <w:keepNext w:val="0"/>
        <w:keepLines w:val="0"/>
        <w:pageBreakBefore w:val="0"/>
        <w:widowControl w:val="0"/>
        <w:tabs>
          <w:tab w:val="left" w:pos="0"/>
        </w:tabs>
        <w:kinsoku/>
        <w:wordWrap/>
        <w:overflowPunct/>
        <w:topLinePunct w:val="0"/>
        <w:autoSpaceDE w:val="0"/>
        <w:autoSpaceDN w:val="0"/>
        <w:bidi w:val="0"/>
        <w:adjustRightInd w:val="0"/>
        <w:snapToGrid/>
        <w:spacing w:line="480" w:lineRule="auto"/>
        <w:ind w:left="0" w:right="0" w:rightChars="0" w:firstLine="643" w:firstLineChars="200"/>
        <w:jc w:val="left"/>
        <w:textAlignment w:val="auto"/>
        <w:rPr>
          <w:rFonts w:hint="eastAsia" w:asciiTheme="minorEastAsia" w:hAnsiTheme="minorEastAsia" w:eastAsiaTheme="minorEastAsia" w:cstheme="minorEastAsia"/>
          <w:b/>
          <w:color w:val="000000"/>
          <w:kern w:val="0"/>
          <w:sz w:val="32"/>
          <w:szCs w:val="32"/>
          <w:lang w:eastAsia="zh-CN"/>
        </w:rPr>
      </w:pPr>
    </w:p>
    <w:p>
      <w:pPr>
        <w:keepNext w:val="0"/>
        <w:keepLines w:val="0"/>
        <w:pageBreakBefore w:val="0"/>
        <w:widowControl w:val="0"/>
        <w:tabs>
          <w:tab w:val="left" w:pos="0"/>
        </w:tabs>
        <w:kinsoku/>
        <w:wordWrap/>
        <w:overflowPunct/>
        <w:topLinePunct w:val="0"/>
        <w:autoSpaceDE w:val="0"/>
        <w:autoSpaceDN w:val="0"/>
        <w:bidi w:val="0"/>
        <w:adjustRightInd w:val="0"/>
        <w:snapToGrid/>
        <w:spacing w:line="480" w:lineRule="auto"/>
        <w:ind w:left="0" w:leftChars="0" w:right="0" w:rightChars="0" w:firstLine="643" w:firstLineChars="200"/>
        <w:jc w:val="left"/>
        <w:textAlignment w:val="auto"/>
        <w:rPr>
          <w:rFonts w:hint="eastAsia" w:asciiTheme="minorEastAsia" w:hAnsiTheme="minorEastAsia" w:eastAsiaTheme="minorEastAsia" w:cstheme="minorEastAsia"/>
          <w:b/>
          <w:color w:val="000000"/>
          <w:kern w:val="0"/>
          <w:sz w:val="32"/>
          <w:szCs w:val="32"/>
          <w:u w:val="single"/>
          <w:lang w:val="en-US" w:eastAsia="zh-CN"/>
        </w:rPr>
      </w:pPr>
      <w:r>
        <w:rPr>
          <w:rFonts w:hint="eastAsia" w:asciiTheme="minorEastAsia" w:hAnsiTheme="minorEastAsia" w:eastAsiaTheme="minorEastAsia" w:cstheme="minorEastAsia"/>
          <w:b/>
          <w:color w:val="000000"/>
          <w:kern w:val="0"/>
          <w:sz w:val="32"/>
          <w:szCs w:val="32"/>
          <w:lang w:eastAsia="zh-CN"/>
        </w:rPr>
        <w:t>项目编号：</w:t>
      </w:r>
      <w:bookmarkStart w:id="379" w:name="_GoBack"/>
      <w:bookmarkEnd w:id="379"/>
      <w:r>
        <w:rPr>
          <w:rFonts w:hint="eastAsia" w:asciiTheme="minorEastAsia" w:hAnsiTheme="minorEastAsia" w:eastAsiaTheme="minorEastAsia" w:cstheme="minorEastAsia"/>
          <w:b/>
          <w:color w:val="000000"/>
          <w:kern w:val="0"/>
          <w:sz w:val="32"/>
          <w:szCs w:val="32"/>
          <w:u w:val="single"/>
          <w:lang w:eastAsia="zh-CN"/>
        </w:rPr>
        <w:t>510118202100119</w:t>
      </w:r>
      <w:r>
        <w:rPr>
          <w:rFonts w:hint="eastAsia" w:asciiTheme="minorEastAsia" w:hAnsiTheme="minorEastAsia" w:eastAsiaTheme="minorEastAsia" w:cstheme="minorEastAsia"/>
          <w:b/>
          <w:color w:val="000000"/>
          <w:kern w:val="0"/>
          <w:sz w:val="32"/>
          <w:szCs w:val="32"/>
          <w:u w:val="single"/>
          <w:lang w:val="en-US" w:eastAsia="zh-CN"/>
        </w:rPr>
        <w:t xml:space="preserve"> </w:t>
      </w:r>
    </w:p>
    <w:p>
      <w:pPr>
        <w:keepNext w:val="0"/>
        <w:keepLines w:val="0"/>
        <w:pageBreakBefore w:val="0"/>
        <w:widowControl w:val="0"/>
        <w:tabs>
          <w:tab w:val="left" w:pos="0"/>
        </w:tabs>
        <w:kinsoku/>
        <w:wordWrap/>
        <w:overflowPunct/>
        <w:topLinePunct w:val="0"/>
        <w:autoSpaceDE w:val="0"/>
        <w:autoSpaceDN w:val="0"/>
        <w:bidi w:val="0"/>
        <w:adjustRightInd w:val="0"/>
        <w:snapToGrid/>
        <w:spacing w:line="480" w:lineRule="auto"/>
        <w:ind w:left="2244" w:leftChars="304" w:right="0" w:rightChars="0" w:hanging="1606" w:hangingChars="500"/>
        <w:jc w:val="left"/>
        <w:textAlignment w:val="auto"/>
        <w:rPr>
          <w:rFonts w:hint="eastAsia" w:asciiTheme="minorEastAsia" w:hAnsiTheme="minorEastAsia" w:eastAsiaTheme="minorEastAsia" w:cstheme="minorEastAsia"/>
          <w:b/>
          <w:color w:val="000000"/>
          <w:kern w:val="0"/>
          <w:sz w:val="32"/>
          <w:szCs w:val="32"/>
          <w:u w:val="single"/>
          <w:lang w:val="en-US"/>
        </w:rPr>
      </w:pPr>
      <w:r>
        <w:rPr>
          <w:rFonts w:hint="eastAsia" w:asciiTheme="minorEastAsia" w:hAnsiTheme="minorEastAsia" w:eastAsiaTheme="minorEastAsia" w:cstheme="minorEastAsia"/>
          <w:b/>
          <w:color w:val="000000"/>
          <w:kern w:val="0"/>
          <w:sz w:val="32"/>
          <w:szCs w:val="32"/>
        </w:rPr>
        <w:t>项目名称</w:t>
      </w:r>
      <w:r>
        <w:rPr>
          <w:rFonts w:hint="eastAsia" w:asciiTheme="minorEastAsia" w:hAnsiTheme="minorEastAsia" w:eastAsiaTheme="minorEastAsia" w:cstheme="minorEastAsia"/>
          <w:b/>
          <w:bCs/>
          <w:color w:val="000000"/>
          <w:kern w:val="0"/>
          <w:sz w:val="32"/>
          <w:szCs w:val="32"/>
        </w:rPr>
        <w:t>:</w:t>
      </w:r>
      <w:r>
        <w:rPr>
          <w:rFonts w:hint="eastAsia" w:asciiTheme="minorEastAsia" w:hAnsiTheme="minorEastAsia" w:eastAsiaTheme="minorEastAsia" w:cstheme="minorEastAsia"/>
          <w:b/>
          <w:color w:val="000000"/>
          <w:kern w:val="0"/>
          <w:sz w:val="32"/>
          <w:szCs w:val="32"/>
          <w:u w:val="single"/>
          <w:lang w:eastAsia="zh-CN"/>
        </w:rPr>
        <w:t>成都市东部新区水务监管事务中心职工体检服务采购项目</w:t>
      </w:r>
      <w:r>
        <w:rPr>
          <w:rFonts w:hint="eastAsia" w:asciiTheme="minorEastAsia" w:hAnsiTheme="minorEastAsia" w:eastAsiaTheme="minorEastAsia" w:cstheme="minorEastAsia"/>
          <w:b/>
          <w:color w:val="000000"/>
          <w:kern w:val="0"/>
          <w:sz w:val="32"/>
          <w:szCs w:val="32"/>
          <w:u w:val="single"/>
          <w:lang w:val="en-US" w:eastAsia="zh-CN"/>
        </w:rPr>
        <w:t xml:space="preserve">  </w:t>
      </w:r>
      <w:r>
        <w:rPr>
          <w:rFonts w:hint="eastAsia" w:asciiTheme="minorEastAsia" w:hAnsiTheme="minorEastAsia" w:eastAsiaTheme="minorEastAsia" w:cstheme="minorEastAsia"/>
          <w:b/>
          <w:bCs/>
          <w:color w:val="000000"/>
          <w:sz w:val="32"/>
          <w:szCs w:val="32"/>
          <w:u w:val="single"/>
          <w:lang w:val="en-US" w:eastAsia="zh-CN"/>
        </w:rPr>
        <w:t xml:space="preserve">     </w:t>
      </w:r>
    </w:p>
    <w:p>
      <w:pPr>
        <w:keepNext w:val="0"/>
        <w:keepLines w:val="0"/>
        <w:pageBreakBefore w:val="0"/>
        <w:widowControl w:val="0"/>
        <w:kinsoku/>
        <w:wordWrap/>
        <w:overflowPunct/>
        <w:topLinePunct w:val="0"/>
        <w:bidi w:val="0"/>
        <w:snapToGrid/>
        <w:spacing w:line="480" w:lineRule="auto"/>
        <w:ind w:left="2244" w:leftChars="304" w:right="0" w:rightChars="0" w:hanging="1606" w:hangingChars="500"/>
        <w:jc w:val="left"/>
        <w:textAlignment w:val="auto"/>
        <w:rPr>
          <w:rFonts w:hint="eastAsia" w:asciiTheme="minorEastAsia" w:hAnsiTheme="minorEastAsia" w:eastAsiaTheme="minorEastAsia" w:cstheme="minorEastAsia"/>
          <w:b/>
          <w:color w:val="000000"/>
          <w:kern w:val="0"/>
          <w:sz w:val="32"/>
          <w:szCs w:val="32"/>
          <w:u w:val="single"/>
          <w:lang w:val="en-US" w:eastAsia="zh-CN"/>
        </w:rPr>
      </w:pPr>
      <w:r>
        <w:rPr>
          <w:rFonts w:hint="eastAsia" w:asciiTheme="minorEastAsia" w:hAnsiTheme="minorEastAsia" w:eastAsiaTheme="minorEastAsia" w:cstheme="minorEastAsia"/>
          <w:b/>
          <w:color w:val="000000"/>
          <w:kern w:val="0"/>
          <w:sz w:val="32"/>
          <w:szCs w:val="32"/>
        </w:rPr>
        <w:t>采</w:t>
      </w:r>
      <w:r>
        <w:rPr>
          <w:rFonts w:hint="eastAsia" w:asciiTheme="minorEastAsia" w:hAnsiTheme="minorEastAsia" w:eastAsiaTheme="minorEastAsia" w:cstheme="minorEastAsia"/>
          <w:b/>
          <w:color w:val="000000"/>
          <w:kern w:val="0"/>
          <w:sz w:val="32"/>
          <w:szCs w:val="32"/>
          <w:lang w:val="en-US" w:eastAsia="zh-CN"/>
        </w:rPr>
        <w:t xml:space="preserve"> </w:t>
      </w:r>
      <w:r>
        <w:rPr>
          <w:rFonts w:hint="eastAsia" w:asciiTheme="minorEastAsia" w:hAnsiTheme="minorEastAsia" w:eastAsiaTheme="minorEastAsia" w:cstheme="minorEastAsia"/>
          <w:b/>
          <w:color w:val="000000"/>
          <w:kern w:val="0"/>
          <w:sz w:val="32"/>
          <w:szCs w:val="32"/>
        </w:rPr>
        <w:t>购</w:t>
      </w:r>
      <w:r>
        <w:rPr>
          <w:rFonts w:hint="eastAsia" w:asciiTheme="minorEastAsia" w:hAnsiTheme="minorEastAsia" w:eastAsiaTheme="minorEastAsia" w:cstheme="minorEastAsia"/>
          <w:b/>
          <w:color w:val="000000"/>
          <w:kern w:val="0"/>
          <w:sz w:val="32"/>
          <w:szCs w:val="32"/>
          <w:lang w:val="en-US" w:eastAsia="zh-CN"/>
        </w:rPr>
        <w:t xml:space="preserve"> </w:t>
      </w:r>
      <w:r>
        <w:rPr>
          <w:rFonts w:hint="eastAsia" w:asciiTheme="minorEastAsia" w:hAnsiTheme="minorEastAsia" w:eastAsiaTheme="minorEastAsia" w:cstheme="minorEastAsia"/>
          <w:b/>
          <w:color w:val="000000"/>
          <w:kern w:val="0"/>
          <w:sz w:val="32"/>
          <w:szCs w:val="32"/>
        </w:rPr>
        <w:t>人</w:t>
      </w:r>
      <w:r>
        <w:rPr>
          <w:rFonts w:hint="eastAsia" w:asciiTheme="minorEastAsia" w:hAnsiTheme="minorEastAsia" w:eastAsiaTheme="minorEastAsia" w:cstheme="minorEastAsia"/>
          <w:b/>
          <w:bCs/>
          <w:color w:val="000000"/>
          <w:kern w:val="0"/>
          <w:sz w:val="32"/>
          <w:szCs w:val="32"/>
        </w:rPr>
        <w:t xml:space="preserve">: </w:t>
      </w:r>
      <w:r>
        <w:rPr>
          <w:rFonts w:hint="eastAsia" w:asciiTheme="minorEastAsia" w:hAnsiTheme="minorEastAsia" w:eastAsiaTheme="minorEastAsia" w:cstheme="minorEastAsia"/>
          <w:b/>
          <w:color w:val="000000"/>
          <w:kern w:val="0"/>
          <w:sz w:val="32"/>
          <w:szCs w:val="32"/>
          <w:u w:val="single"/>
          <w:lang w:eastAsia="zh-CN"/>
        </w:rPr>
        <w:t>成都市东部新区水务监管事务中心</w:t>
      </w:r>
      <w:r>
        <w:rPr>
          <w:rFonts w:hint="eastAsia" w:asciiTheme="minorEastAsia" w:hAnsiTheme="minorEastAsia" w:eastAsiaTheme="minorEastAsia" w:cstheme="minorEastAsia"/>
          <w:b/>
          <w:color w:val="000000"/>
          <w:kern w:val="0"/>
          <w:sz w:val="32"/>
          <w:szCs w:val="32"/>
          <w:u w:val="single"/>
        </w:rPr>
        <w:t xml:space="preserve"> </w:t>
      </w:r>
      <w:r>
        <w:rPr>
          <w:rFonts w:hint="eastAsia" w:asciiTheme="minorEastAsia" w:hAnsiTheme="minorEastAsia" w:eastAsiaTheme="minorEastAsia" w:cstheme="minorEastAsia"/>
          <w:b/>
          <w:color w:val="000000"/>
          <w:kern w:val="0"/>
          <w:sz w:val="32"/>
          <w:szCs w:val="32"/>
          <w:u w:val="single"/>
          <w:lang w:val="en-US" w:eastAsia="zh-CN"/>
        </w:rPr>
        <w:t xml:space="preserve"> </w:t>
      </w:r>
    </w:p>
    <w:p>
      <w:pPr>
        <w:keepNext w:val="0"/>
        <w:keepLines w:val="0"/>
        <w:pageBreakBefore w:val="0"/>
        <w:widowControl w:val="0"/>
        <w:tabs>
          <w:tab w:val="left" w:pos="0"/>
          <w:tab w:val="left" w:pos="4773"/>
        </w:tabs>
        <w:kinsoku/>
        <w:wordWrap/>
        <w:overflowPunct/>
        <w:topLinePunct w:val="0"/>
        <w:autoSpaceDE w:val="0"/>
        <w:autoSpaceDN w:val="0"/>
        <w:bidi w:val="0"/>
        <w:adjustRightInd w:val="0"/>
        <w:snapToGrid/>
        <w:spacing w:line="480" w:lineRule="auto"/>
        <w:ind w:left="0" w:leftChars="0" w:right="0" w:rightChars="0" w:firstLine="643" w:firstLineChars="200"/>
        <w:jc w:val="left"/>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b/>
          <w:color w:val="000000"/>
          <w:kern w:val="0"/>
          <w:sz w:val="32"/>
          <w:szCs w:val="32"/>
        </w:rPr>
        <w:t>采购代理机构</w:t>
      </w:r>
      <w:r>
        <w:rPr>
          <w:rFonts w:hint="eastAsia" w:asciiTheme="minorEastAsia" w:hAnsiTheme="minorEastAsia" w:eastAsiaTheme="minorEastAsia" w:cstheme="minorEastAsia"/>
          <w:b/>
          <w:bCs/>
          <w:color w:val="000000"/>
          <w:kern w:val="0"/>
          <w:sz w:val="32"/>
          <w:szCs w:val="32"/>
        </w:rPr>
        <w:t>:</w:t>
      </w:r>
      <w:r>
        <w:rPr>
          <w:rFonts w:hint="eastAsia" w:asciiTheme="minorEastAsia" w:hAnsiTheme="minorEastAsia" w:eastAsiaTheme="minorEastAsia" w:cstheme="minorEastAsia"/>
          <w:b/>
          <w:bCs/>
          <w:color w:val="000000"/>
          <w:kern w:val="0"/>
          <w:sz w:val="32"/>
          <w:szCs w:val="32"/>
          <w:u w:val="single"/>
        </w:rPr>
        <w:t xml:space="preserve"> </w:t>
      </w:r>
      <w:r>
        <w:rPr>
          <w:rFonts w:hint="eastAsia" w:asciiTheme="minorEastAsia" w:hAnsiTheme="minorEastAsia" w:eastAsiaTheme="minorEastAsia" w:cstheme="minorEastAsia"/>
          <w:b/>
          <w:color w:val="000000"/>
          <w:kern w:val="0"/>
          <w:sz w:val="32"/>
          <w:szCs w:val="32"/>
          <w:u w:val="single"/>
          <w:lang w:eastAsia="zh-CN"/>
        </w:rPr>
        <w:t>成都长源工程咨询有限公司</w:t>
      </w:r>
      <w:r>
        <w:rPr>
          <w:rFonts w:hint="eastAsia" w:asciiTheme="minorEastAsia" w:hAnsiTheme="minorEastAsia" w:eastAsiaTheme="minorEastAsia" w:cstheme="minorEastAsia"/>
          <w:b/>
          <w:color w:val="000000"/>
          <w:kern w:val="0"/>
          <w:sz w:val="32"/>
          <w:szCs w:val="32"/>
          <w:u w:val="single"/>
        </w:rPr>
        <w:t xml:space="preserve"> </w:t>
      </w:r>
      <w:r>
        <w:rPr>
          <w:rFonts w:hint="eastAsia" w:asciiTheme="minorEastAsia" w:hAnsiTheme="minorEastAsia" w:eastAsiaTheme="minorEastAsia" w:cstheme="minorEastAsia"/>
          <w:b/>
          <w:color w:val="000000"/>
          <w:kern w:val="0"/>
          <w:sz w:val="32"/>
          <w:szCs w:val="32"/>
          <w:u w:val="single"/>
          <w:lang w:val="en-US" w:eastAsia="zh-CN"/>
        </w:rPr>
        <w:t xml:space="preserve"> </w:t>
      </w:r>
    </w:p>
    <w:p>
      <w:pPr>
        <w:rPr>
          <w:rFonts w:hint="eastAsia" w:asciiTheme="minorEastAsia" w:hAnsiTheme="minorEastAsia" w:eastAsiaTheme="minorEastAsia" w:cstheme="minorEastAsia"/>
        </w:rPr>
      </w:pPr>
    </w:p>
    <w:p>
      <w:pPr>
        <w:spacing w:line="500" w:lineRule="exact"/>
        <w:ind w:firstLine="640"/>
        <w:jc w:val="center"/>
        <w:rPr>
          <w:rFonts w:hint="eastAsia" w:asciiTheme="minorEastAsia" w:hAnsiTheme="minorEastAsia" w:eastAsiaTheme="minorEastAsia" w:cstheme="minorEastAsia"/>
          <w:b/>
          <w:sz w:val="32"/>
          <w:szCs w:val="40"/>
          <w:lang w:eastAsia="zh-CN"/>
        </w:rPr>
      </w:pPr>
    </w:p>
    <w:p>
      <w:pPr>
        <w:tabs>
          <w:tab w:val="left" w:pos="0"/>
          <w:tab w:val="left" w:pos="4773"/>
        </w:tabs>
        <w:autoSpaceDE w:val="0"/>
        <w:autoSpaceDN w:val="0"/>
        <w:adjustRightInd w:val="0"/>
        <w:spacing w:line="480" w:lineRule="auto"/>
        <w:ind w:right="94" w:rightChars="45"/>
        <w:rPr>
          <w:rFonts w:hint="eastAsia" w:asciiTheme="minorEastAsia" w:hAnsiTheme="minorEastAsia" w:eastAsiaTheme="minorEastAsia" w:cstheme="minorEastAsia"/>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cstheme="minorEastAsia"/>
          <w:b/>
          <w:bCs w:val="0"/>
          <w:sz w:val="30"/>
          <w:szCs w:val="30"/>
          <w:lang w:eastAsia="zh-CN"/>
        </w:rPr>
      </w:pPr>
      <w:r>
        <w:rPr>
          <w:rFonts w:hint="eastAsia" w:asciiTheme="minorEastAsia" w:hAnsiTheme="minorEastAsia" w:eastAsiaTheme="minorEastAsia" w:cstheme="minorEastAsia"/>
          <w:b/>
          <w:bCs w:val="0"/>
          <w:sz w:val="30"/>
          <w:szCs w:val="30"/>
        </w:rPr>
        <w:t>四川·</w:t>
      </w:r>
      <w:r>
        <w:rPr>
          <w:rFonts w:hint="eastAsia" w:asciiTheme="minorEastAsia" w:hAnsiTheme="minorEastAsia" w:eastAsiaTheme="minorEastAsia" w:cstheme="minorEastAsia"/>
          <w:b/>
          <w:bCs w:val="0"/>
          <w:sz w:val="30"/>
          <w:szCs w:val="30"/>
          <w:lang w:eastAsia="zh-CN"/>
        </w:rPr>
        <w:t>成都</w:t>
      </w:r>
    </w:p>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30"/>
          <w:szCs w:val="30"/>
          <w:u w:val="single" w:color="FFFFFF" w:themeColor="background1"/>
          <w:lang w:eastAsia="zh-CN"/>
        </w:rPr>
      </w:pPr>
      <w:r>
        <w:rPr>
          <w:rFonts w:hint="eastAsia" w:asciiTheme="minorEastAsia" w:hAnsiTheme="minorEastAsia" w:eastAsiaTheme="minorEastAsia" w:cstheme="minorEastAsia"/>
          <w:b/>
          <w:color w:val="000000"/>
          <w:kern w:val="0"/>
          <w:sz w:val="30"/>
          <w:szCs w:val="30"/>
          <w:u w:val="single" w:color="FFFFFF" w:themeColor="background1"/>
          <w:lang w:eastAsia="zh-CN"/>
        </w:rPr>
        <w:t>成都市东部新区水务监管事务中心</w:t>
      </w:r>
    </w:p>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kern w:val="0"/>
          <w:sz w:val="30"/>
          <w:szCs w:val="30"/>
          <w:u w:val="single" w:color="FFFFFF" w:themeColor="background1"/>
          <w:lang w:val="en-US" w:eastAsia="zh-CN"/>
        </w:rPr>
      </w:pPr>
      <w:r>
        <w:rPr>
          <w:rFonts w:hint="eastAsia" w:asciiTheme="minorEastAsia" w:hAnsiTheme="minorEastAsia" w:eastAsiaTheme="minorEastAsia" w:cstheme="minorEastAsia"/>
          <w:b/>
          <w:color w:val="000000"/>
          <w:kern w:val="0"/>
          <w:sz w:val="30"/>
          <w:szCs w:val="30"/>
          <w:u w:val="single" w:color="FFFFFF" w:themeColor="background1"/>
          <w:lang w:val="en-US" w:eastAsia="zh-CN"/>
        </w:rPr>
        <w:t>成都长源工程咨询有限公司</w:t>
      </w:r>
    </w:p>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kern w:val="0"/>
          <w:sz w:val="30"/>
          <w:szCs w:val="30"/>
          <w:u w:val="single" w:color="FFFFFF" w:themeColor="background1"/>
          <w:lang w:val="en-US" w:eastAsia="zh-CN"/>
        </w:rPr>
      </w:pPr>
      <w:r>
        <w:rPr>
          <w:rFonts w:hint="eastAsia" w:asciiTheme="minorEastAsia" w:hAnsiTheme="minorEastAsia" w:eastAsiaTheme="minorEastAsia" w:cstheme="minorEastAsia"/>
          <w:b/>
          <w:color w:val="000000"/>
          <w:kern w:val="0"/>
          <w:sz w:val="30"/>
          <w:szCs w:val="30"/>
          <w:u w:val="single" w:color="FFFFFF" w:themeColor="background1"/>
          <w:lang w:val="en-US" w:eastAsia="zh-CN"/>
        </w:rPr>
        <w:t>共同编制</w:t>
      </w:r>
    </w:p>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kern w:val="0"/>
          <w:sz w:val="30"/>
          <w:szCs w:val="30"/>
          <w:u w:val="single" w:color="FFFFFF" w:themeColor="background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Style w:val="16"/>
          <w:rFonts w:hint="eastAsia" w:asciiTheme="minorEastAsia" w:hAnsiTheme="minorEastAsia" w:eastAsiaTheme="minorEastAsia" w:cstheme="minorEastAsia"/>
          <w:lang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Theme="minorEastAsia" w:hAnsiTheme="minorEastAsia" w:eastAsiaTheme="minorEastAsia" w:cstheme="minorEastAsia"/>
          <w:b/>
          <w:bCs/>
          <w:sz w:val="32"/>
          <w:szCs w:val="40"/>
        </w:rPr>
        <w:t>二〇二</w:t>
      </w:r>
      <w:r>
        <w:rPr>
          <w:rFonts w:hint="eastAsia" w:asciiTheme="minorEastAsia" w:hAnsiTheme="minorEastAsia" w:eastAsiaTheme="minorEastAsia" w:cstheme="minorEastAsia"/>
          <w:b/>
          <w:bCs/>
          <w:sz w:val="32"/>
          <w:szCs w:val="40"/>
          <w:lang w:eastAsia="zh-CN"/>
        </w:rPr>
        <w:t>一</w:t>
      </w:r>
      <w:r>
        <w:rPr>
          <w:rFonts w:hint="eastAsia" w:asciiTheme="minorEastAsia" w:hAnsiTheme="minorEastAsia" w:eastAsiaTheme="minorEastAsia" w:cstheme="minorEastAsia"/>
          <w:b/>
          <w:bCs/>
          <w:sz w:val="32"/>
          <w:szCs w:val="40"/>
        </w:rPr>
        <w:t>年</w:t>
      </w:r>
      <w:r>
        <w:rPr>
          <w:rFonts w:hint="eastAsia" w:asciiTheme="minorEastAsia" w:hAnsiTheme="minorEastAsia" w:eastAsiaTheme="minorEastAsia" w:cstheme="minorEastAsia"/>
          <w:b/>
          <w:bCs/>
          <w:sz w:val="32"/>
          <w:szCs w:val="40"/>
          <w:lang w:eastAsia="zh-CN"/>
        </w:rPr>
        <w:t>九</w:t>
      </w:r>
      <w:r>
        <w:rPr>
          <w:rFonts w:hint="eastAsia" w:asciiTheme="minorEastAsia" w:hAnsiTheme="minorEastAsia" w:eastAsiaTheme="minorEastAsia" w:cstheme="minorEastAsia"/>
          <w:b/>
          <w:bCs/>
          <w:sz w:val="32"/>
          <w:szCs w:val="40"/>
        </w:rPr>
        <w:t>月</w:t>
      </w:r>
    </w:p>
    <w:p>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目</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录</w:t>
      </w:r>
      <w:bookmarkEnd w:id="2"/>
    </w:p>
    <w:p>
      <w:pPr>
        <w:pStyle w:val="10"/>
        <w:tabs>
          <w:tab w:val="right" w:leader="dot" w:pos="8250"/>
        </w:tabs>
        <w:spacing w:line="48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instrText xml:space="preserve">TOC \o "1-3" \h \u </w:instrTex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instrText xml:space="preserve"> HYPERLINK \l _Toc27129 </w:instrTex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目</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录</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instrText xml:space="preserve"> PAGEREF _Toc27129 </w:instrTex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end"/>
      </w:r>
    </w:p>
    <w:p>
      <w:pPr>
        <w:pStyle w:val="10"/>
        <w:tabs>
          <w:tab w:val="right" w:leader="dot" w:pos="8250"/>
        </w:tabs>
        <w:spacing w:line="48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instrText xml:space="preserve"> HYPERLINK \l _Toc27347 </w:instrTex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第一章</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磋商邀请</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instrText xml:space="preserve"> PAGEREF _Toc27347 </w:instrTex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end"/>
      </w:r>
    </w:p>
    <w:p>
      <w:pPr>
        <w:pStyle w:val="10"/>
        <w:tabs>
          <w:tab w:val="right" w:leader="dot" w:pos="8250"/>
        </w:tabs>
        <w:spacing w:line="48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instrText xml:space="preserve"> HYPERLINK \l _Toc2778 </w:instrTex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第二章</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磋商须知</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instrText xml:space="preserve"> PAGEREF _Toc2778 </w:instrTex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5</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end"/>
      </w:r>
    </w:p>
    <w:p>
      <w:pPr>
        <w:pStyle w:val="10"/>
        <w:tabs>
          <w:tab w:val="right" w:leader="dot" w:pos="8250"/>
        </w:tabs>
        <w:spacing w:line="48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instrText xml:space="preserve"> HYPERLINK \l _Toc12476 </w:instrTex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第三章</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供应商资格条件要求</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instrText xml:space="preserve"> PAGEREF _Toc12476 </w:instrTex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26</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end"/>
      </w:r>
    </w:p>
    <w:p>
      <w:pPr>
        <w:pStyle w:val="10"/>
        <w:tabs>
          <w:tab w:val="right" w:leader="dot" w:pos="8250"/>
        </w:tabs>
        <w:spacing w:line="48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instrText xml:space="preserve"> HYPERLINK \l _Toc8734 </w:instrTex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第四章 </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供应商资格证明材料</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instrText xml:space="preserve"> PAGEREF _Toc8734 </w:instrTex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26</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end"/>
      </w:r>
    </w:p>
    <w:p>
      <w:pPr>
        <w:pStyle w:val="10"/>
        <w:tabs>
          <w:tab w:val="right" w:leader="dot" w:pos="8250"/>
        </w:tabs>
        <w:spacing w:line="48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instrText xml:space="preserve"> HYPERLINK \l _Toc8711 </w:instrTex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第五章 </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采购项目技术、服务及商务要求</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instrText xml:space="preserve"> PAGEREF _Toc8711 </w:instrTex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31</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end"/>
      </w:r>
    </w:p>
    <w:p>
      <w:pPr>
        <w:pStyle w:val="10"/>
        <w:tabs>
          <w:tab w:val="right" w:leader="dot" w:pos="8250"/>
        </w:tabs>
        <w:spacing w:line="48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instrText xml:space="preserve"> HYPERLINK \l _Toc17958 </w:instrTex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第六章 </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采购项目实质性要求</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instrText xml:space="preserve"> PAGEREF _Toc17958 </w:instrTex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38</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end"/>
      </w:r>
    </w:p>
    <w:p>
      <w:pPr>
        <w:pStyle w:val="10"/>
        <w:tabs>
          <w:tab w:val="right" w:leader="dot" w:pos="8250"/>
        </w:tabs>
        <w:spacing w:line="48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instrText xml:space="preserve"> HYPERLINK \l _Toc25381 </w:instrTex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第</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章 </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响应文件格式</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instrText xml:space="preserve"> PAGEREF _Toc25381 </w:instrTex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39</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end"/>
      </w:r>
    </w:p>
    <w:p>
      <w:pPr>
        <w:pStyle w:val="10"/>
        <w:tabs>
          <w:tab w:val="right" w:leader="dot" w:pos="8250"/>
        </w:tabs>
        <w:spacing w:line="48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instrText xml:space="preserve"> HYPERLINK \l _Toc11827 </w:instrTex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第</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章 </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评审方法</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instrText xml:space="preserve"> PAGEREF _Toc11827 </w:instrTex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58</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end"/>
      </w:r>
    </w:p>
    <w:p>
      <w:pPr>
        <w:pStyle w:val="10"/>
        <w:tabs>
          <w:tab w:val="right" w:leader="dot" w:pos="8250"/>
        </w:tabs>
        <w:spacing w:line="48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instrText xml:space="preserve"> HYPERLINK \l _Toc2752 </w:instrTex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第九章  </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政府采购合同（草案）</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ab/>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instrText xml:space="preserve"> PAGEREF _Toc2752 </w:instrTex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70</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fldChar w:fldCharType="end"/>
      </w:r>
      <w:bookmarkStart w:id="3" w:name="_Toc8198"/>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Style w:val="16"/>
          <w:rFonts w:hint="eastAsia" w:asciiTheme="minorEastAsia" w:hAnsiTheme="minorEastAsia" w:eastAsiaTheme="minorEastAsia" w:cstheme="minorEastAsia"/>
          <w:color w:val="000000" w:themeColor="text1"/>
          <w:sz w:val="36"/>
          <w:szCs w:val="36"/>
          <w14:textFill>
            <w14:solidFill>
              <w14:schemeClr w14:val="tx1"/>
            </w14:solidFill>
          </w14:textFill>
        </w:rPr>
        <w:sectPr>
          <w:headerReference r:id="rId4" w:type="default"/>
          <w:footerReference r:id="rId5" w:type="default"/>
          <w:pgSz w:w="11907" w:h="16840"/>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4" w:name="_Toc27347"/>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0"/>
        <w:rPr>
          <w:rFonts w:hint="eastAsia" w:asciiTheme="minorEastAsia" w:hAnsiTheme="minorEastAsia" w:eastAsiaTheme="minorEastAsia" w:cstheme="minorEastAsia"/>
          <w:color w:val="000000" w:themeColor="text1"/>
          <w:sz w:val="24"/>
          <w:u w:val="single"/>
          <w14:textFill>
            <w14:solidFill>
              <w14:schemeClr w14:val="tx1"/>
            </w14:solidFill>
          </w14:textFill>
        </w:rPr>
      </w:pPr>
      <w:r>
        <w:rPr>
          <w:rStyle w:val="16"/>
          <w:rFonts w:hint="eastAsia" w:asciiTheme="minorEastAsia" w:hAnsiTheme="minorEastAsia" w:eastAsiaTheme="minorEastAsia" w:cstheme="minorEastAsia"/>
          <w:color w:val="000000" w:themeColor="text1"/>
          <w:sz w:val="36"/>
          <w:szCs w:val="36"/>
          <w14:textFill>
            <w14:solidFill>
              <w14:schemeClr w14:val="tx1"/>
            </w14:solidFill>
          </w14:textFill>
        </w:rPr>
        <w:t>第一章</w:t>
      </w:r>
      <w:r>
        <w:rPr>
          <w:rStyle w:val="16"/>
          <w:rFonts w:hint="eastAsia" w:asciiTheme="minorEastAsia" w:hAnsiTheme="minorEastAsia" w:eastAsiaTheme="minorEastAsia" w:cstheme="minorEastAsia"/>
          <w:color w:val="000000" w:themeColor="text1"/>
          <w:sz w:val="36"/>
          <w:szCs w:val="36"/>
          <w:lang w:val="en-US" w:eastAsia="zh-CN"/>
          <w14:textFill>
            <w14:solidFill>
              <w14:schemeClr w14:val="tx1"/>
            </w14:solidFill>
          </w14:textFill>
        </w:rPr>
        <w:t xml:space="preserve">  </w:t>
      </w:r>
      <w:r>
        <w:rPr>
          <w:rStyle w:val="16"/>
          <w:rFonts w:hint="eastAsia" w:asciiTheme="minorEastAsia" w:hAnsiTheme="minorEastAsia" w:eastAsiaTheme="minorEastAsia" w:cstheme="minorEastAsia"/>
          <w:color w:val="000000" w:themeColor="text1"/>
          <w:sz w:val="36"/>
          <w:szCs w:val="36"/>
          <w14:textFill>
            <w14:solidFill>
              <w14:schemeClr w14:val="tx1"/>
            </w14:solidFill>
          </w14:textFill>
        </w:rPr>
        <w:t>磋商邀请</w:t>
      </w:r>
      <w:bookmarkEnd w:id="3"/>
      <w:bookmarkEnd w:id="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成都长源工程咨询有限公司</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14:textFill>
            <w14:solidFill>
              <w14:schemeClr w14:val="tx1"/>
            </w14:solidFill>
          </w14:textFill>
        </w:rPr>
        <w:t>受</w:t>
      </w:r>
      <w:r>
        <w:rPr>
          <w:rFonts w:hint="eastAsia" w:asciiTheme="minorEastAsia" w:hAnsiTheme="minorEastAsia" w:eastAsiaTheme="minorEastAsia" w:cstheme="minorEastAsia"/>
          <w:bCs/>
          <w:color w:val="000000" w:themeColor="text1"/>
          <w:sz w:val="24"/>
          <w:szCs w:val="24"/>
          <w:u w:val="single"/>
          <w:lang w:val="en-US" w:eastAsia="zh-CN"/>
          <w14:textFill>
            <w14:solidFill>
              <w14:schemeClr w14:val="tx1"/>
            </w14:solidFill>
          </w14:textFill>
        </w:rPr>
        <w:t>成都市东部新区水务监管事务中心</w:t>
      </w:r>
      <w:r>
        <w:rPr>
          <w:rFonts w:hint="eastAsia" w:asciiTheme="minorEastAsia" w:hAnsiTheme="minorEastAsia" w:eastAsiaTheme="minorEastAsia" w:cstheme="minorEastAsia"/>
          <w:b/>
          <w:bCs w:val="0"/>
          <w:color w:val="000000" w:themeColor="text1"/>
          <w:sz w:val="24"/>
          <w:szCs w:val="24"/>
          <w:u w:val="none"/>
          <w:lang w:val="en-US"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4"/>
          <w:szCs w:val="24"/>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14:textFill>
            <w14:solidFill>
              <w14:schemeClr w14:val="tx1"/>
            </w14:solidFill>
          </w14:textFill>
        </w:rPr>
        <w:t>委托，拟对</w:t>
      </w:r>
      <w:r>
        <w:rPr>
          <w:rFonts w:hint="eastAsia" w:asciiTheme="minorEastAsia" w:hAnsiTheme="minorEastAsia" w:eastAsiaTheme="minorEastAsia" w:cstheme="minorEastAsia"/>
          <w:b/>
          <w:bCs/>
          <w:color w:val="000000" w:themeColor="text1"/>
          <w:sz w:val="24"/>
          <w:szCs w:val="24"/>
          <w:u w:val="single"/>
          <w:lang w:eastAsia="zh-CN"/>
          <w14:textFill>
            <w14:solidFill>
              <w14:schemeClr w14:val="tx1"/>
            </w14:solidFill>
          </w14:textFill>
        </w:rPr>
        <w:t>成都市东部新区水务监管事务中心职工体检服务采购项目</w:t>
      </w:r>
      <w:r>
        <w:rPr>
          <w:rFonts w:hint="eastAsia" w:asciiTheme="minorEastAsia" w:hAnsiTheme="minorEastAsia" w:eastAsiaTheme="minorEastAsia" w:cstheme="minorEastAsia"/>
          <w:color w:val="000000" w:themeColor="text1"/>
          <w:sz w:val="24"/>
          <w:szCs w:val="24"/>
          <w14:textFill>
            <w14:solidFill>
              <w14:schemeClr w14:val="tx1"/>
            </w14:solidFill>
          </w14:textFill>
        </w:rPr>
        <w:t>采用竞争性磋商方式进行采购，特邀请符合本次采购要求的供应商参加本项目的竞争性磋商。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项目</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编号</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510118202100119</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2.项目名称：</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成都市东部新区水务监管事务中心职工体检服务采购项目</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3.采购人：</w:t>
      </w:r>
      <w:r>
        <w:rPr>
          <w:rFonts w:hint="eastAsia" w:asciiTheme="minorEastAsia" w:hAnsiTheme="minorEastAsia" w:eastAsiaTheme="minorEastAsia" w:cstheme="minorEastAsia"/>
          <w:b w:val="0"/>
          <w:bCs/>
          <w:color w:val="000000" w:themeColor="text1"/>
          <w:sz w:val="24"/>
          <w:szCs w:val="24"/>
          <w:u w:val="none"/>
          <w:lang w:val="en-US" w:eastAsia="zh-CN"/>
          <w14:textFill>
            <w14:solidFill>
              <w14:schemeClr w14:val="tx1"/>
            </w14:solidFill>
          </w14:textFill>
        </w:rPr>
        <w:t>成都市东部新区水务监管事务中心</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4.采购代理机构：</w:t>
      </w:r>
      <w:r>
        <w:rPr>
          <w:rFonts w:hint="eastAsia" w:asciiTheme="minorEastAsia" w:hAnsiTheme="minorEastAsia" w:eastAsiaTheme="minorEastAsia" w:cstheme="minorEastAsia"/>
          <w:b w:val="0"/>
          <w:bCs/>
          <w:color w:val="000000" w:themeColor="text1"/>
          <w:sz w:val="24"/>
          <w:u w:val="none"/>
          <w:lang w:eastAsia="zh-CN"/>
          <w14:textFill>
            <w14:solidFill>
              <w14:schemeClr w14:val="tx1"/>
            </w14:solidFill>
          </w14:textFill>
        </w:rPr>
        <w:t>成都长源工程咨询有限公司</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w:t>
      </w:r>
    </w:p>
    <w:p>
      <w:pPr>
        <w:keepNext w:val="0"/>
        <w:keepLines w:val="0"/>
        <w:pageBreakBefore w:val="0"/>
        <w:widowControl w:val="0"/>
        <w:tabs>
          <w:tab w:val="left" w:pos="360"/>
        </w:tabs>
        <w:kinsoku/>
        <w:wordWrap w:val="0"/>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二、资金情况</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财政资金，已落实。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三</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采购项目简介</w:t>
      </w:r>
    </w:p>
    <w:tbl>
      <w:tblPr>
        <w:tblStyle w:val="13"/>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1731"/>
        <w:gridCol w:w="1266"/>
        <w:gridCol w:w="1822"/>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采购内容</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sz w:val="24"/>
                <w:szCs w:val="24"/>
                <w:vertAlign w:val="baseline"/>
                <w:lang w:val="en-US" w:eastAsia="zh-CN"/>
              </w:rPr>
              <w:t>本项目备案号</w:t>
            </w:r>
          </w:p>
        </w:tc>
        <w:tc>
          <w:tcPr>
            <w:tcW w:w="1266" w:type="dxa"/>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所属行业</w:t>
            </w:r>
          </w:p>
        </w:tc>
        <w:tc>
          <w:tcPr>
            <w:tcW w:w="1822" w:type="dxa"/>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采购预算（元）</w:t>
            </w:r>
          </w:p>
        </w:tc>
        <w:tc>
          <w:tcPr>
            <w:tcW w:w="1680" w:type="dxa"/>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成都市东部新区水务监管事务中心职工体检服务采购</w:t>
            </w:r>
          </w:p>
        </w:tc>
        <w:tc>
          <w:tcPr>
            <w:tcW w:w="1731" w:type="dxa"/>
            <w:vAlign w:val="center"/>
          </w:tcPr>
          <w:p>
            <w:pPr>
              <w:pStyle w:val="6"/>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heme="minorEastAsia" w:hAnsiTheme="minorEastAsia" w:eastAsiaTheme="minorEastAsia" w:cstheme="minorEastAsia"/>
                <w:b w:val="0"/>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4"/>
                <w:szCs w:val="24"/>
                <w:lang w:val="en-US" w:eastAsia="zh-CN" w:bidi="ar-SA"/>
                <w14:textFill>
                  <w14:solidFill>
                    <w14:schemeClr w14:val="tx1"/>
                  </w14:solidFill>
                </w14:textFill>
              </w:rPr>
              <w:t>(2021)0239号</w:t>
            </w:r>
          </w:p>
        </w:tc>
        <w:tc>
          <w:tcPr>
            <w:tcW w:w="1266"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4"/>
                <w:szCs w:val="24"/>
                <w:lang w:val="en-US" w:eastAsia="zh-CN" w:bidi="ar-SA"/>
                <w14:textFill>
                  <w14:solidFill>
                    <w14:schemeClr w14:val="tx1"/>
                  </w14:solidFill>
                </w14:textFill>
              </w:rPr>
              <w:t>其他未列明行业</w:t>
            </w:r>
          </w:p>
        </w:tc>
        <w:tc>
          <w:tcPr>
            <w:tcW w:w="1822"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4"/>
                <w:szCs w:val="24"/>
                <w:lang w:val="en-US" w:eastAsia="zh-CN" w:bidi="ar-SA"/>
                <w14:textFill>
                  <w14:solidFill>
                    <w14:schemeClr w14:val="tx1"/>
                  </w14:solidFill>
                </w14:textFill>
              </w:rPr>
              <w:t>570000.00</w:t>
            </w:r>
          </w:p>
        </w:tc>
        <w:tc>
          <w:tcPr>
            <w:tcW w:w="1680" w:type="dxa"/>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4"/>
                <w:szCs w:val="24"/>
                <w:lang w:val="en-US" w:eastAsia="zh-CN" w:bidi="ar-SA"/>
                <w14:textFill>
                  <w14:solidFill>
                    <w14:schemeClr w14:val="tx1"/>
                  </w14:solidFill>
                </w14:textFill>
              </w:rPr>
              <w:t>570000.00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6" w:type="dxa"/>
            <w:gridSpan w:val="5"/>
            <w:vAlign w:val="center"/>
          </w:tcPr>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详见磋商文件第</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五</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章</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四、供应商邀请方式</w:t>
      </w:r>
    </w:p>
    <w:p>
      <w:pPr>
        <w:keepNext w:val="0"/>
        <w:keepLines w:val="0"/>
        <w:pageBreakBefore w:val="0"/>
        <w:widowControl w:val="0"/>
        <w:tabs>
          <w:tab w:val="left" w:pos="7665"/>
        </w:tabs>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公告方式：本次竞争性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4"/>
          <w14:textFill>
            <w14:solidFill>
              <w14:schemeClr w14:val="tx1"/>
            </w14:solidFill>
          </w14:textFill>
        </w:rPr>
        <w:t>邀请在四川政府采购网（http://www.ccgp-sichuan.gov.cn）上以公告形式发布。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供应商参加本次政府采购活动应具备下列条件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（一）</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《中华人民共和国政府采购法》第二十二条第一款第（一）至（六）规定的条件</w:t>
      </w: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1.具有独立承担民事责任的能力；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3.具有履行合同所必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需</w:t>
      </w:r>
      <w:r>
        <w:rPr>
          <w:rFonts w:hint="eastAsia" w:asciiTheme="minorEastAsia" w:hAnsiTheme="minorEastAsia" w:eastAsiaTheme="minorEastAsia" w:cstheme="minorEastAsia"/>
          <w:color w:val="000000" w:themeColor="text1"/>
          <w:sz w:val="24"/>
          <w:szCs w:val="24"/>
          <w14:textFill>
            <w14:solidFill>
              <w14:schemeClr w14:val="tx1"/>
            </w14:solidFill>
          </w14:textFill>
        </w:rPr>
        <w:t>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4.具有依法缴纳税收和社会保障资金的良好记录；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5.参加本次政府采购活动前三年内，在经营活动中没有重大违法记录；</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6.法律、行政法规规定的其他条件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pStyle w:val="6"/>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000000" w:themeColor="text1"/>
          <w:spacing w:val="0"/>
          <w:kern w:val="0"/>
          <w:sz w:val="24"/>
          <w:szCs w:val="24"/>
          <w:lang w:eastAsia="zh-CN"/>
          <w14:textFill>
            <w14:solidFill>
              <w14:schemeClr w14:val="tx1"/>
            </w14:solidFill>
          </w14:textFill>
        </w:rPr>
        <w:t>（二）落实政府采购政策需满足的资格条件</w:t>
      </w:r>
      <w:r>
        <w:rPr>
          <w:rFonts w:hint="eastAsia" w:asciiTheme="minorEastAsia" w:hAnsiTheme="minorEastAsia" w:eastAsiaTheme="minorEastAsia" w:cstheme="minorEastAsia"/>
          <w:b/>
          <w:bCs/>
          <w:color w:val="000000" w:themeColor="text1"/>
          <w:spacing w:val="0"/>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auto"/>
          <w:spacing w:val="0"/>
          <w:kern w:val="0"/>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bidi="ar-SA"/>
        </w:rPr>
        <w:t>。</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根据采购项目提出的特殊条件：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spacing w:val="0"/>
          <w:kern w:val="0"/>
          <w:sz w:val="24"/>
          <w:szCs w:val="24"/>
          <w:lang w:val="en-US" w:eastAsia="zh-CN"/>
        </w:rPr>
      </w:pPr>
      <w:r>
        <w:rPr>
          <w:rFonts w:hint="eastAsia" w:asciiTheme="minorEastAsia" w:hAnsiTheme="minorEastAsia" w:eastAsiaTheme="minorEastAsia" w:cstheme="minorEastAsia"/>
          <w:b w:val="0"/>
          <w:spacing w:val="0"/>
          <w:kern w:val="0"/>
          <w:sz w:val="24"/>
          <w:szCs w:val="24"/>
          <w:lang w:val="en-US" w:eastAsia="zh-CN"/>
        </w:rPr>
        <w:t>1.供应商须具有卫生行政主管部门颁发的《医疗机构执业许可证》；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spacing w:val="0"/>
          <w:kern w:val="0"/>
          <w:sz w:val="24"/>
          <w:szCs w:val="24"/>
          <w:lang w:val="en-US" w:eastAsia="zh-CN"/>
        </w:rPr>
      </w:pPr>
      <w:r>
        <w:rPr>
          <w:rFonts w:hint="eastAsia" w:asciiTheme="minorEastAsia" w:hAnsiTheme="minorEastAsia" w:eastAsiaTheme="minorEastAsia" w:cstheme="minorEastAsia"/>
          <w:b w:val="0"/>
          <w:spacing w:val="0"/>
          <w:kern w:val="0"/>
          <w:sz w:val="24"/>
          <w:szCs w:val="24"/>
          <w:lang w:val="en-US" w:eastAsia="zh-CN"/>
        </w:rPr>
        <w:t>2.供应商须具有有效的《辐射安全许可证》；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spacing w:val="0"/>
          <w:kern w:val="0"/>
          <w:sz w:val="24"/>
          <w:szCs w:val="24"/>
          <w:lang w:val="en-US" w:eastAsia="zh-CN"/>
        </w:rPr>
      </w:pPr>
      <w:r>
        <w:rPr>
          <w:rFonts w:hint="eastAsia" w:asciiTheme="minorEastAsia" w:hAnsiTheme="minorEastAsia" w:eastAsiaTheme="minorEastAsia" w:cstheme="minorEastAsia"/>
          <w:b w:val="0"/>
          <w:spacing w:val="0"/>
          <w:kern w:val="0"/>
          <w:sz w:val="24"/>
          <w:szCs w:val="24"/>
          <w:lang w:val="en-US" w:eastAsia="zh-CN"/>
        </w:rPr>
        <w:t>3.参加本次采购活动的供应商、法定代表人、主要负责人在2018年至今不得具有行贿犯罪记录；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spacing w:val="0"/>
          <w:kern w:val="0"/>
          <w:sz w:val="24"/>
          <w:szCs w:val="24"/>
          <w:lang w:val="en-US" w:eastAsia="zh-CN"/>
        </w:rPr>
      </w:pPr>
      <w:r>
        <w:rPr>
          <w:rFonts w:hint="eastAsia" w:asciiTheme="minorEastAsia" w:hAnsiTheme="minorEastAsia" w:eastAsiaTheme="minorEastAsia" w:cstheme="minorEastAsia"/>
          <w:b w:val="0"/>
          <w:spacing w:val="0"/>
          <w:kern w:val="0"/>
          <w:sz w:val="24"/>
          <w:szCs w:val="24"/>
          <w:lang w:val="en-US" w:eastAsia="zh-CN"/>
        </w:rPr>
        <w:t>4.本项目不接受联合体参加磋商。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六、禁止参加本次采购活动的供应商</w:t>
      </w:r>
    </w:p>
    <w:p>
      <w:pPr>
        <w:pStyle w:val="18"/>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七、磋商文件获取方式、时间、地点：</w:t>
      </w:r>
    </w:p>
    <w:p>
      <w:pPr>
        <w:keepNext w:val="0"/>
        <w:keepLines w:val="0"/>
        <w:pageBreakBefore w:val="0"/>
        <w:widowControl w:val="0"/>
        <w:kinsoku/>
        <w:wordWrap w:val="0"/>
        <w:overflowPunct/>
        <w:topLinePunct w:val="0"/>
        <w:autoSpaceDE/>
        <w:autoSpaceDN/>
        <w:bidi w:val="0"/>
        <w:adjustRightInd/>
        <w:snapToGrid/>
        <w:spacing w:line="360" w:lineRule="auto"/>
        <w:ind w:left="239" w:leftChars="114" w:right="0" w:rightChars="0" w:firstLine="240" w:firstLineChars="100"/>
        <w:jc w:val="left"/>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1.磋商文件的获取时间（即报名时间）：自2021年09月16日至2021年  09月23日</w:t>
      </w:r>
      <w:r>
        <w:rPr>
          <w:rFonts w:hint="eastAsia" w:asciiTheme="minorEastAsia" w:hAnsiTheme="minorEastAsia" w:eastAsiaTheme="minorEastAsia" w:cstheme="minorEastAsia"/>
          <w:b w:val="0"/>
          <w:color w:val="000000" w:themeColor="text1"/>
          <w:kern w:val="2"/>
          <w:sz w:val="24"/>
          <w:szCs w:val="24"/>
          <w:highlight w:val="none"/>
          <w:shd w:val="clear" w:color="auto" w:fill="auto"/>
          <w:lang w:val="en-US"/>
          <w14:textFill>
            <w14:solidFill>
              <w14:schemeClr w14:val="tx1"/>
            </w14:solidFill>
          </w14:textFill>
        </w:rPr>
        <w:t>9:</w:t>
      </w:r>
      <w:r>
        <w:rPr>
          <w:rFonts w:hint="eastAsia" w:asciiTheme="minorEastAsia" w:hAnsiTheme="minorEastAsia" w:eastAsiaTheme="minorEastAsia" w:cstheme="minorEastAsia"/>
          <w:b w:val="0"/>
          <w:color w:val="000000" w:themeColor="text1"/>
          <w:kern w:val="2"/>
          <w:sz w:val="24"/>
          <w:szCs w:val="24"/>
          <w:highlight w:val="none"/>
          <w:shd w:val="clear" w:color="auto" w:fill="auto"/>
          <w:lang w:val="en-US" w:eastAsia="zh-CN"/>
          <w14:textFill>
            <w14:solidFill>
              <w14:schemeClr w14:val="tx1"/>
            </w14:solidFill>
          </w14:textFill>
        </w:rPr>
        <w:t>0</w:t>
      </w:r>
      <w:r>
        <w:rPr>
          <w:rFonts w:hint="eastAsia" w:asciiTheme="minorEastAsia" w:hAnsiTheme="minorEastAsia" w:eastAsiaTheme="minorEastAsia" w:cstheme="minorEastAsia"/>
          <w:b w:val="0"/>
          <w:color w:val="000000" w:themeColor="text1"/>
          <w:kern w:val="2"/>
          <w:sz w:val="24"/>
          <w:szCs w:val="24"/>
          <w:highlight w:val="none"/>
          <w:shd w:val="clear" w:color="auto" w:fill="auto"/>
          <w:lang w:val="en-US"/>
          <w14:textFill>
            <w14:solidFill>
              <w14:schemeClr w14:val="tx1"/>
            </w14:solidFill>
          </w14:textFill>
        </w:rPr>
        <w:t>0-17:00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（北京时间，法定节假日除外）。</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2.磋商文件的获取方式：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auto"/>
          <w:spacing w:val="0"/>
          <w:sz w:val="24"/>
          <w:szCs w:val="24"/>
          <w:shd w:val="clear" w:fill="FFFFFF"/>
          <w:lang w:eastAsia="zh-CN"/>
        </w:rPr>
        <w:t>供</w:t>
      </w:r>
      <w:r>
        <w:rPr>
          <w:rFonts w:hint="eastAsia" w:asciiTheme="minorEastAsia" w:hAnsiTheme="minorEastAsia" w:eastAsiaTheme="minorEastAsia" w:cstheme="minorEastAsia"/>
          <w:i w:val="0"/>
          <w:iCs w:val="0"/>
          <w:caps w:val="0"/>
          <w:color w:val="auto"/>
          <w:spacing w:val="0"/>
          <w:sz w:val="24"/>
          <w:szCs w:val="24"/>
          <w:shd w:val="clear" w:fill="FFFFFF"/>
        </w:rPr>
        <w:t>应商从“政府采购云平台”获取采购文件（网址：https://www.zcygov.cn）。登录“政府采购云平台”—项目采购—获取采购文件—申请获取采购文件。 提示：（1）本项目磋商文件免费获取，磋商资格不得转让。（2）供应商只有在“政府采购云平台”完成获取磋商文件申请并下载磋商文件后才视作依法参与本项目。如未在“政府采购云平台”内完成相关流程，引起的无效相应责任自负。 （3）本项目报名平台为“政府采购云平台”，供应商参与本项目过程中凡涉及系统操作请详见《供应商政府采购项目电子交易操作指南》（操作指南以“政府采购云平台”网站发布为准）。 “政府采购云平台”供应商注册地址：</w:t>
      </w:r>
      <w:r>
        <w:rPr>
          <w:rFonts w:hint="eastAsia" w:asciiTheme="minorEastAsia" w:hAnsiTheme="minorEastAsia" w:eastAsiaTheme="minorEastAsia" w:cstheme="minorEastAsia"/>
          <w:i w:val="0"/>
          <w:iCs w:val="0"/>
          <w:caps w:val="0"/>
          <w:color w:val="auto"/>
          <w:spacing w:val="0"/>
          <w:sz w:val="24"/>
          <w:szCs w:val="24"/>
          <w:shd w:val="clear" w:fill="FFFFFF"/>
        </w:rPr>
        <w:fldChar w:fldCharType="begin"/>
      </w:r>
      <w:r>
        <w:rPr>
          <w:rFonts w:hint="eastAsia" w:asciiTheme="minorEastAsia" w:hAnsiTheme="minorEastAsia" w:eastAsiaTheme="minorEastAsia" w:cstheme="minorEastAsia"/>
          <w:i w:val="0"/>
          <w:iCs w:val="0"/>
          <w:caps w:val="0"/>
          <w:color w:val="auto"/>
          <w:spacing w:val="0"/>
          <w:sz w:val="24"/>
          <w:szCs w:val="24"/>
          <w:shd w:val="clear" w:fill="FFFFFF"/>
        </w:rPr>
        <w:instrText xml:space="preserve"> HYPERLINK "https://middle.zcygov.cn/v-settle-front/registry?settleCategory=1&amp;entranceType=119&amp;utm=a0017.b1347.cl50.3.c0de9400b91b11eb870ad7da87d69c97。" </w:instrText>
      </w:r>
      <w:r>
        <w:rPr>
          <w:rFonts w:hint="eastAsia" w:asciiTheme="minorEastAsia" w:hAnsiTheme="minorEastAsia" w:eastAsiaTheme="minorEastAsia" w:cstheme="minorEastAsia"/>
          <w:i w:val="0"/>
          <w:iCs w:val="0"/>
          <w:caps w:val="0"/>
          <w:color w:val="auto"/>
          <w:spacing w:val="0"/>
          <w:sz w:val="24"/>
          <w:szCs w:val="24"/>
          <w:shd w:val="clear" w:fill="FFFFFF"/>
        </w:rPr>
        <w:fldChar w:fldCharType="separate"/>
      </w:r>
      <w:r>
        <w:rPr>
          <w:rStyle w:val="15"/>
          <w:rFonts w:hint="eastAsia" w:asciiTheme="minorEastAsia" w:hAnsiTheme="minorEastAsia" w:eastAsiaTheme="minorEastAsia" w:cstheme="minorEastAsia"/>
          <w:i w:val="0"/>
          <w:iCs w:val="0"/>
          <w:caps w:val="0"/>
          <w:color w:val="auto"/>
          <w:spacing w:val="0"/>
          <w:sz w:val="24"/>
          <w:szCs w:val="24"/>
          <w:shd w:val="clear" w:fill="FFFFFF"/>
        </w:rPr>
        <w:t>https://middle.zcygov.cn/v-settle-front/registry?settleCategory=1&amp;entranceType=119&amp;utm=a0017.b1347.cl50.3.c0de9400b91b11eb870ad7da87d69c97。</w:t>
      </w:r>
      <w:r>
        <w:rPr>
          <w:rFonts w:hint="eastAsia" w:asciiTheme="minorEastAsia" w:hAnsiTheme="minorEastAsia" w:eastAsiaTheme="minorEastAsia" w:cstheme="minorEastAsia"/>
          <w:i w:val="0"/>
          <w:iCs w:val="0"/>
          <w:caps w:val="0"/>
          <w:color w:val="auto"/>
          <w:spacing w:val="0"/>
          <w:sz w:val="24"/>
          <w:szCs w:val="24"/>
          <w:shd w:val="clear" w:fill="FFFFFF"/>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auto"/>
          <w:lang w:eastAsia="zh-CN"/>
          <w14:textFill>
            <w14:solidFill>
              <w14:schemeClr w14:val="tx1"/>
            </w14:solidFill>
          </w14:textFill>
        </w:rPr>
        <w:t>八、</w:t>
      </w:r>
      <w:r>
        <w:rPr>
          <w:rFonts w:hint="eastAsia" w:asciiTheme="minorEastAsia" w:hAnsiTheme="minorEastAsia" w:eastAsiaTheme="minorEastAsia" w:cstheme="minorEastAsia"/>
          <w:b/>
          <w:color w:val="000000" w:themeColor="text1"/>
          <w:sz w:val="24"/>
          <w:szCs w:val="24"/>
          <w:highlight w:val="none"/>
          <w:shd w:val="clear" w:color="auto" w:fill="auto"/>
          <w14:textFill>
            <w14:solidFill>
              <w14:schemeClr w14:val="tx1"/>
            </w14:solidFill>
          </w14:textFill>
        </w:rPr>
        <w:t>递交响应文件截止时间：</w:t>
      </w: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2021</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27</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日</w:t>
      </w:r>
      <w:r>
        <w:rPr>
          <w:rFonts w:hint="eastAsia" w:asciiTheme="minorEastAsia" w:hAnsiTheme="minorEastAsia" w:eastAsiaTheme="minorEastAsia" w:cstheme="minorEastAsia"/>
          <w:bCs/>
          <w:color w:val="000000" w:themeColor="text1"/>
          <w:sz w:val="24"/>
          <w:szCs w:val="24"/>
          <w:highlight w:val="none"/>
          <w:shd w:val="clear" w:color="auto" w:fill="auto"/>
          <w:lang w:val="en-US" w:eastAsia="zh-CN"/>
          <w14:textFill>
            <w14:solidFill>
              <w14:schemeClr w14:val="tx1"/>
            </w14:solidFill>
          </w14:textFill>
        </w:rPr>
        <w:t>13：30</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九、</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递交响应文件地点：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响应文件必须在递交响应文件截止时间前送达磋商地点。逾期送达、密封和标注错误的响应文件，采购代理机构恕不接收。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本次采购</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不</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接收邮寄的</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响应</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color w:val="000000" w:themeColor="text1"/>
          <w:kern w:val="2"/>
          <w:sz w:val="24"/>
          <w:szCs w:val="24"/>
          <w:highlight w:val="none"/>
          <w:lang w:val="en-US"/>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szCs w:val="24"/>
          <w:highlight w:val="none"/>
          <w:lang w:val="en-US"/>
          <w14:textFill>
            <w14:solidFill>
              <w14:schemeClr w14:val="tx1"/>
            </w14:solidFill>
          </w14:textFill>
        </w:rPr>
        <w:t>请</w:t>
      </w:r>
      <w:r>
        <w:rPr>
          <w:rFonts w:hint="eastAsia" w:asciiTheme="minorEastAsia" w:hAnsiTheme="minorEastAsia" w:eastAsiaTheme="minorEastAsia" w:cstheme="minorEastAsia"/>
          <w:b w:val="0"/>
          <w:color w:val="000000" w:themeColor="text1"/>
          <w:kern w:val="2"/>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b w:val="0"/>
          <w:color w:val="000000" w:themeColor="text1"/>
          <w:kern w:val="2"/>
          <w:sz w:val="24"/>
          <w:szCs w:val="24"/>
          <w:highlight w:val="none"/>
          <w:lang w:val="en-US"/>
          <w14:textFill>
            <w14:solidFill>
              <w14:schemeClr w14:val="tx1"/>
            </w14:solidFill>
          </w14:textFill>
        </w:rPr>
        <w:t>按时参与本项目的开标，</w:t>
      </w:r>
      <w:r>
        <w:rPr>
          <w:rFonts w:hint="eastAsia" w:asciiTheme="minorEastAsia" w:hAnsiTheme="minorEastAsia" w:eastAsiaTheme="minorEastAsia" w:cstheme="minorEastAsia"/>
          <w:b w:val="0"/>
          <w:color w:val="000000" w:themeColor="text1"/>
          <w:kern w:val="2"/>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b w:val="0"/>
          <w:color w:val="000000" w:themeColor="text1"/>
          <w:kern w:val="2"/>
          <w:sz w:val="24"/>
          <w:szCs w:val="24"/>
          <w:highlight w:val="none"/>
          <w:lang w:val="en-US"/>
          <w14:textFill>
            <w14:solidFill>
              <w14:schemeClr w14:val="tx1"/>
            </w14:solidFill>
          </w14:textFill>
        </w:rPr>
        <w:t>未参加开标的，视同认可开标结果。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auto"/>
          <w14:textFill>
            <w14:solidFill>
              <w14:schemeClr w14:val="tx1"/>
            </w14:solidFill>
          </w14:textFill>
        </w:rPr>
        <w:t>十、响应文件开启时间：</w:t>
      </w: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2021</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27</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日</w:t>
      </w:r>
      <w:r>
        <w:rPr>
          <w:rFonts w:hint="eastAsia" w:asciiTheme="minorEastAsia" w:hAnsiTheme="minorEastAsia" w:eastAsiaTheme="minorEastAsia" w:cstheme="minorEastAsia"/>
          <w:bCs/>
          <w:color w:val="000000" w:themeColor="text1"/>
          <w:sz w:val="24"/>
          <w:szCs w:val="24"/>
          <w:highlight w:val="none"/>
          <w:shd w:val="clear" w:color="auto" w:fill="auto"/>
          <w:lang w:val="en-US" w:eastAsia="zh-CN"/>
          <w14:textFill>
            <w14:solidFill>
              <w14:schemeClr w14:val="tx1"/>
            </w14:solidFill>
          </w14:textFill>
        </w:rPr>
        <w:t>13：30</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（北京时间）在</w:t>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磋商地点开启。</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十一、磋商地点：</w:t>
      </w:r>
      <w:r>
        <w:rPr>
          <w:rFonts w:hint="eastAsia" w:asciiTheme="minorEastAsia" w:hAnsiTheme="minorEastAsia" w:eastAsiaTheme="minorEastAsia" w:cstheme="minorEastAsia"/>
          <w:b w:val="0"/>
          <w:bCs/>
          <w:color w:val="000000" w:themeColor="text1"/>
          <w:kern w:val="2"/>
          <w:sz w:val="24"/>
          <w:szCs w:val="24"/>
          <w:lang w:val="en-US" w:eastAsia="zh-CN"/>
          <w14:textFill>
            <w14:solidFill>
              <w14:schemeClr w14:val="tx1"/>
            </w14:solidFill>
          </w14:textFill>
        </w:rPr>
        <w:t>成都市武侯区环球中心E3区1509号（成都长源工程咨询有限公司）</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14:textFill>
            <w14:solidFill>
              <w14:schemeClr w14:val="tx1"/>
            </w14:solidFill>
          </w14:textFill>
        </w:rPr>
        <w:t>十二、联系方式</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i w:val="0"/>
          <w:i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i w:val="0"/>
          <w:iCs w:val="0"/>
          <w:color w:val="000000" w:themeColor="text1"/>
          <w:sz w:val="24"/>
          <w:szCs w:val="24"/>
          <w14:textFill>
            <w14:solidFill>
              <w14:schemeClr w14:val="tx1"/>
            </w14:solidFill>
          </w14:textFill>
        </w:rPr>
        <w:t>采购人：</w:t>
      </w:r>
      <w:r>
        <w:rPr>
          <w:rFonts w:hint="eastAsia" w:asciiTheme="minorEastAsia" w:hAnsiTheme="minorEastAsia" w:eastAsiaTheme="minorEastAsia" w:cstheme="minorEastAsia"/>
          <w:b w:val="0"/>
          <w:bCs/>
          <w:i w:val="0"/>
          <w:iCs w:val="0"/>
          <w:color w:val="000000" w:themeColor="text1"/>
          <w:sz w:val="24"/>
          <w:szCs w:val="24"/>
          <w:u w:val="none"/>
          <w:lang w:val="en-US" w:eastAsia="zh-CN"/>
          <w14:textFill>
            <w14:solidFill>
              <w14:schemeClr w14:val="tx1"/>
            </w14:solidFill>
          </w14:textFill>
        </w:rPr>
        <w:t>成都市东部新区水务监管事务中心</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简阳市河东新区文苑街1号</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 </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陈君</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电话：028-27751522</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采购代理机构：</w:t>
      </w:r>
      <w:r>
        <w:rPr>
          <w:rFonts w:hint="eastAsia" w:asciiTheme="minorEastAsia" w:hAnsiTheme="minorEastAsia" w:eastAsiaTheme="minorEastAsia" w:cstheme="minorEastAsia"/>
          <w:b w:val="0"/>
          <w:bCs w:val="0"/>
          <w:color w:val="000000" w:themeColor="text1"/>
          <w:sz w:val="24"/>
          <w:u w:val="none"/>
          <w:lang w:eastAsia="zh-CN"/>
          <w14:textFill>
            <w14:solidFill>
              <w14:schemeClr w14:val="tx1"/>
            </w14:solidFill>
          </w14:textFill>
        </w:rPr>
        <w:t>成都长源工程咨询有限公司</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地  址</w:t>
      </w:r>
      <w:r>
        <w:rPr>
          <w:rFonts w:hint="eastAsia" w:asciiTheme="minorEastAsia" w:hAnsiTheme="minorEastAsia" w:eastAsiaTheme="minorEastAsia" w:cstheme="minorEastAsia"/>
          <w:b/>
          <w:bCs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color w:val="000000" w:themeColor="text1"/>
          <w:kern w:val="2"/>
          <w:sz w:val="24"/>
          <w:szCs w:val="24"/>
          <w:lang w:val="en-US" w:eastAsia="zh-CN"/>
          <w14:textFill>
            <w14:solidFill>
              <w14:schemeClr w14:val="tx1"/>
            </w14:solidFill>
          </w14:textFill>
        </w:rPr>
        <w:t>成都市武侯区环球中心E5区1502-1508号</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联系人</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：张黎</w:t>
      </w:r>
    </w:p>
    <w:p>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电话：</w:t>
      </w:r>
      <w:r>
        <w:rPr>
          <w:rFonts w:hint="eastAsia" w:asciiTheme="minorEastAsia" w:hAnsiTheme="minorEastAsia" w:eastAsiaTheme="minorEastAsia" w:cstheme="minorEastAsia"/>
          <w:kern w:val="0"/>
          <w:sz w:val="24"/>
          <w:lang w:bidi="ar"/>
        </w:rPr>
        <w:t>028-86026626</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2021年09月15日</w:t>
      </w:r>
    </w:p>
    <w:p>
      <w:pP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br w:type="page"/>
      </w:r>
    </w:p>
    <w:p>
      <w:pPr>
        <w:keepNext/>
        <w:keepLines/>
        <w:pageBreakBefore w:val="0"/>
        <w:widowControl w:val="0"/>
        <w:kinsoku/>
        <w:wordWrap/>
        <w:overflowPunct/>
        <w:topLinePunct w:val="0"/>
        <w:autoSpaceDE/>
        <w:autoSpaceDN/>
        <w:bidi w:val="0"/>
        <w:adjustRightInd/>
        <w:snapToGrid/>
        <w:spacing w:line="408" w:lineRule="auto"/>
        <w:jc w:val="center"/>
        <w:textAlignment w:val="auto"/>
        <w:outlineLvl w:val="0"/>
        <w:rPr>
          <w:rStyle w:val="16"/>
          <w:rFonts w:hint="eastAsia" w:asciiTheme="minorEastAsia" w:hAnsiTheme="minorEastAsia" w:eastAsiaTheme="minorEastAsia" w:cstheme="minorEastAsia"/>
          <w:color w:val="000000" w:themeColor="text1"/>
          <w14:textFill>
            <w14:solidFill>
              <w14:schemeClr w14:val="tx1"/>
            </w14:solidFill>
          </w14:textFill>
        </w:rPr>
      </w:pPr>
      <w:bookmarkStart w:id="5" w:name="_Toc213397009"/>
      <w:bookmarkStart w:id="6" w:name="_Toc217446031"/>
      <w:bookmarkStart w:id="7" w:name="_Toc213396759"/>
      <w:bookmarkStart w:id="8" w:name="_Toc213496267"/>
      <w:bookmarkStart w:id="9" w:name="_Toc213396945"/>
      <w:bookmarkStart w:id="10" w:name="_Toc1263"/>
      <w:bookmarkStart w:id="11" w:name="_Toc2778"/>
      <w:r>
        <w:rPr>
          <w:rStyle w:val="16"/>
          <w:rFonts w:hint="eastAsia" w:asciiTheme="minorEastAsia" w:hAnsiTheme="minorEastAsia" w:eastAsiaTheme="minorEastAsia" w:cstheme="minorEastAsia"/>
          <w:color w:val="000000" w:themeColor="text1"/>
          <w:sz w:val="36"/>
          <w:szCs w:val="36"/>
          <w14:textFill>
            <w14:solidFill>
              <w14:schemeClr w14:val="tx1"/>
            </w14:solidFill>
          </w14:textFill>
        </w:rPr>
        <w:t>第二章</w:t>
      </w:r>
      <w:r>
        <w:rPr>
          <w:rStyle w:val="16"/>
          <w:rFonts w:hint="eastAsia" w:asciiTheme="minorEastAsia" w:hAnsiTheme="minorEastAsia" w:eastAsiaTheme="minorEastAsia" w:cstheme="minorEastAsia"/>
          <w:color w:val="000000" w:themeColor="text1"/>
          <w:sz w:val="36"/>
          <w:szCs w:val="36"/>
          <w:lang w:val="en-US" w:eastAsia="zh-CN"/>
          <w14:textFill>
            <w14:solidFill>
              <w14:schemeClr w14:val="tx1"/>
            </w14:solidFill>
          </w14:textFill>
        </w:rPr>
        <w:t xml:space="preserve">  </w:t>
      </w:r>
      <w:r>
        <w:rPr>
          <w:rStyle w:val="16"/>
          <w:rFonts w:hint="eastAsia" w:asciiTheme="minorEastAsia" w:hAnsiTheme="minorEastAsia" w:eastAsiaTheme="minorEastAsia" w:cstheme="minorEastAsia"/>
          <w:color w:val="000000" w:themeColor="text1"/>
          <w:sz w:val="36"/>
          <w:szCs w:val="36"/>
          <w14:textFill>
            <w14:solidFill>
              <w14:schemeClr w14:val="tx1"/>
            </w14:solidFill>
          </w14:textFill>
        </w:rPr>
        <w:t>磋商须知</w:t>
      </w:r>
      <w:bookmarkEnd w:id="5"/>
      <w:bookmarkEnd w:id="6"/>
      <w:bookmarkEnd w:id="7"/>
      <w:bookmarkEnd w:id="8"/>
      <w:bookmarkEnd w:id="9"/>
      <w:bookmarkEnd w:id="10"/>
      <w:bookmarkEnd w:id="11"/>
    </w:p>
    <w:p>
      <w:pPr>
        <w:pStyle w:val="4"/>
        <w:keepNext w:val="0"/>
        <w:keepLines w:val="0"/>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bookmarkStart w:id="12" w:name="_Toc4913"/>
      <w:bookmarkStart w:id="13" w:name="_Toc138"/>
      <w:r>
        <w:rPr>
          <w:rFonts w:hint="eastAsia" w:asciiTheme="minorEastAsia" w:hAnsiTheme="minorEastAsia" w:eastAsiaTheme="minorEastAsia" w:cstheme="minorEastAsia"/>
          <w:color w:val="000000" w:themeColor="text1"/>
          <w14:textFill>
            <w14:solidFill>
              <w14:schemeClr w14:val="tx1"/>
            </w14:solidFill>
          </w14:textFill>
        </w:rPr>
        <w:t>一、供应商须知附表</w:t>
      </w:r>
      <w:bookmarkEnd w:id="12"/>
      <w:bookmarkEnd w:id="13"/>
    </w:p>
    <w:tbl>
      <w:tblPr>
        <w:tblStyle w:val="12"/>
        <w:tblW w:w="8784"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10"/>
        <w:gridCol w:w="2208"/>
        <w:gridCol w:w="586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8" w:hRule="atLeast"/>
          <w:jc w:val="center"/>
        </w:trPr>
        <w:tc>
          <w:tcPr>
            <w:tcW w:w="710" w:type="dxa"/>
            <w:tcBorders>
              <w:bottom w:val="single" w:color="auto" w:sz="6" w:space="0"/>
              <w:right w:val="single" w:color="auto" w:sz="6" w:space="0"/>
            </w:tcBorders>
            <w:noWrap w:val="0"/>
            <w:vAlign w:val="center"/>
          </w:tcPr>
          <w:p>
            <w:pPr>
              <w:keepNext w:val="0"/>
              <w:keepLines w:val="0"/>
              <w:pageBreakBefore w:val="0"/>
              <w:tabs>
                <w:tab w:val="left" w:pos="7665"/>
              </w:tabs>
              <w:kinsoku/>
              <w:wordWrap/>
              <w:overflowPunct/>
              <w:topLinePunct w:val="0"/>
              <w:bidi w:val="0"/>
              <w:snapToGrid/>
              <w:spacing w:line="360" w:lineRule="auto"/>
              <w:ind w:firstLine="0" w:firstLineChars="0"/>
              <w:jc w:val="center"/>
              <w:textAlignment w:val="auto"/>
              <w:outlineLvl w:val="9"/>
              <w:rPr>
                <w:rFonts w:hint="eastAsia" w:asciiTheme="minorEastAsia" w:hAnsiTheme="minorEastAsia" w:eastAsiaTheme="minorEastAsia" w:cstheme="minorEastAsia"/>
                <w:b/>
                <w:bCs w:val="0"/>
                <w:color w:val="000000" w:themeColor="text1"/>
                <w:kern w:val="2"/>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14:textFill>
                  <w14:solidFill>
                    <w14:schemeClr w14:val="tx1"/>
                  </w14:solidFill>
                </w14:textFill>
              </w:rPr>
              <w:t>序号</w:t>
            </w:r>
          </w:p>
        </w:tc>
        <w:tc>
          <w:tcPr>
            <w:tcW w:w="2208" w:type="dxa"/>
            <w:tcBorders>
              <w:left w:val="single" w:color="auto" w:sz="6" w:space="0"/>
              <w:bottom w:val="single" w:color="auto" w:sz="6" w:space="0"/>
              <w:right w:val="single" w:color="auto" w:sz="6" w:space="0"/>
            </w:tcBorders>
            <w:noWrap w:val="0"/>
            <w:vAlign w:val="center"/>
          </w:tcPr>
          <w:p>
            <w:pPr>
              <w:keepNext w:val="0"/>
              <w:keepLines w:val="0"/>
              <w:pageBreakBefore w:val="0"/>
              <w:tabs>
                <w:tab w:val="left" w:pos="7665"/>
              </w:tabs>
              <w:kinsoku/>
              <w:wordWrap/>
              <w:overflowPunct/>
              <w:topLinePunct w:val="0"/>
              <w:bidi w:val="0"/>
              <w:snapToGrid/>
              <w:spacing w:line="360" w:lineRule="auto"/>
              <w:ind w:firstLine="0" w:firstLineChars="0"/>
              <w:jc w:val="center"/>
              <w:textAlignment w:val="auto"/>
              <w:outlineLvl w:val="9"/>
              <w:rPr>
                <w:rFonts w:hint="eastAsia" w:asciiTheme="minorEastAsia" w:hAnsiTheme="minorEastAsia" w:eastAsiaTheme="minorEastAsia" w:cstheme="minorEastAsia"/>
                <w:b/>
                <w:bCs w:val="0"/>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14:textFill>
                  <w14:solidFill>
                    <w14:schemeClr w14:val="tx1"/>
                  </w14:solidFill>
                </w14:textFill>
              </w:rPr>
              <w:t>应知事项</w:t>
            </w:r>
          </w:p>
        </w:tc>
        <w:tc>
          <w:tcPr>
            <w:tcW w:w="5866" w:type="dxa"/>
            <w:tcBorders>
              <w:left w:val="single" w:color="auto" w:sz="6" w:space="0"/>
              <w:bottom w:val="single" w:color="auto" w:sz="6" w:space="0"/>
            </w:tcBorders>
            <w:noWrap w:val="0"/>
            <w:vAlign w:val="center"/>
          </w:tcPr>
          <w:p>
            <w:pPr>
              <w:keepNext w:val="0"/>
              <w:keepLines w:val="0"/>
              <w:pageBreakBefore w:val="0"/>
              <w:tabs>
                <w:tab w:val="left" w:pos="7665"/>
              </w:tabs>
              <w:kinsoku/>
              <w:wordWrap/>
              <w:overflowPunct/>
              <w:topLinePunct w:val="0"/>
              <w:bidi w:val="0"/>
              <w:snapToGrid/>
              <w:spacing w:line="360" w:lineRule="auto"/>
              <w:ind w:firstLine="0" w:firstLineChars="0"/>
              <w:jc w:val="center"/>
              <w:textAlignment w:val="auto"/>
              <w:outlineLvl w:val="9"/>
              <w:rPr>
                <w:rFonts w:hint="eastAsia" w:asciiTheme="minorEastAsia" w:hAnsiTheme="minorEastAsia" w:eastAsiaTheme="minorEastAsia" w:cstheme="minorEastAsia"/>
                <w:b/>
                <w:bCs w:val="0"/>
                <w:color w:val="000000" w:themeColor="text1"/>
                <w:kern w:val="2"/>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14:textFill>
                  <w14:solidFill>
                    <w14:schemeClr w14:val="tx1"/>
                  </w14:solidFill>
                </w14:textFill>
              </w:rPr>
              <w:t>说明</w:t>
            </w:r>
            <w:r>
              <w:rPr>
                <w:rFonts w:hint="eastAsia" w:asciiTheme="minorEastAsia" w:hAnsiTheme="minorEastAsia" w:eastAsiaTheme="minorEastAsia" w:cstheme="minorEastAsia"/>
                <w:b/>
                <w:bCs w:val="0"/>
                <w:color w:val="000000" w:themeColor="text1"/>
                <w:kern w:val="2"/>
                <w:sz w:val="24"/>
                <w:szCs w:val="24"/>
                <w:highlight w:val="none"/>
                <w:lang w:val="en-US" w:eastAsia="zh-CN"/>
                <w14:textFill>
                  <w14:solidFill>
                    <w14:schemeClr w14:val="tx1"/>
                  </w14:solidFill>
                </w14:textFill>
              </w:rPr>
              <w:t>和</w:t>
            </w:r>
            <w:r>
              <w:rPr>
                <w:rFonts w:hint="eastAsia" w:asciiTheme="minorEastAsia" w:hAnsiTheme="minorEastAsia" w:eastAsiaTheme="minorEastAsia" w:cstheme="minorEastAsia"/>
                <w:b/>
                <w:bCs w:val="0"/>
                <w:color w:val="000000" w:themeColor="text1"/>
                <w:kern w:val="2"/>
                <w:sz w:val="24"/>
                <w:szCs w:val="24"/>
                <w:highlight w:val="none"/>
                <w:lang w:val="en-US"/>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8" w:hRule="atLeast"/>
          <w:jc w:val="center"/>
        </w:trPr>
        <w:tc>
          <w:tcPr>
            <w:tcW w:w="710" w:type="dxa"/>
            <w:tcBorders>
              <w:bottom w:val="single" w:color="auto" w:sz="6" w:space="0"/>
              <w:right w:val="single" w:color="auto" w:sz="6" w:space="0"/>
            </w:tcBorders>
            <w:noWrap w:val="0"/>
            <w:vAlign w:val="center"/>
          </w:tcPr>
          <w:p>
            <w:pPr>
              <w:keepNext w:val="0"/>
              <w:keepLines w:val="0"/>
              <w:pageBreakBefore w:val="0"/>
              <w:tabs>
                <w:tab w:val="left" w:pos="7665"/>
              </w:tabs>
              <w:kinsoku/>
              <w:wordWrap/>
              <w:overflowPunct/>
              <w:topLinePunct w:val="0"/>
              <w:bidi w:val="0"/>
              <w:snapToGrid/>
              <w:spacing w:line="360" w:lineRule="auto"/>
              <w:ind w:firstLine="0" w:firstLineChars="0"/>
              <w:jc w:val="center"/>
              <w:textAlignment w:val="auto"/>
              <w:outlineLvl w:val="9"/>
              <w:rPr>
                <w:rFonts w:hint="eastAsia" w:asciiTheme="minorEastAsia" w:hAnsiTheme="minorEastAsia" w:eastAsiaTheme="minorEastAsia" w:cstheme="minorEastAsia"/>
                <w:b/>
                <w:bCs w:val="0"/>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4"/>
                <w:szCs w:val="24"/>
                <w:highlight w:val="none"/>
                <w:lang w:val="en-US" w:eastAsia="zh-CN"/>
                <w14:textFill>
                  <w14:solidFill>
                    <w14:schemeClr w14:val="tx1"/>
                  </w14:solidFill>
                </w14:textFill>
              </w:rPr>
              <w:t>1</w:t>
            </w:r>
          </w:p>
        </w:tc>
        <w:tc>
          <w:tcPr>
            <w:tcW w:w="2208" w:type="dxa"/>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确定邀请磋商的供应商数量和方式</w:t>
            </w:r>
          </w:p>
        </w:tc>
        <w:tc>
          <w:tcPr>
            <w:tcW w:w="5866" w:type="dxa"/>
            <w:tcBorders>
              <w:left w:val="single" w:color="auto" w:sz="6" w:space="0"/>
              <w:bottom w:val="single" w:color="auto" w:sz="6" w:space="0"/>
            </w:tcBorders>
            <w:noWrap w:val="0"/>
            <w:vAlign w:val="center"/>
          </w:tcPr>
          <w:p>
            <w:pPr>
              <w:keepNext w:val="0"/>
              <w:keepLines w:val="0"/>
              <w:pageBreakBefore w:val="0"/>
              <w:widowControl w:val="0"/>
              <w:kinsoku/>
              <w:wordWrap w:val="0"/>
              <w:overflowPunct/>
              <w:topLinePunct w:val="0"/>
              <w:bidi w:val="0"/>
              <w:snapToGrid/>
              <w:spacing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本次竞争性</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磋商</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邀请在</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四川政府采购网（（http://www.ccgp-sichuan.gov.cn）</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网</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上以公告形式发布</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，供应商的数量为报名并参加采购活动的数量。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vMerge w:val="restart"/>
            <w:tcBorders>
              <w:top w:val="single" w:color="auto" w:sz="6" w:space="0"/>
              <w:right w:val="single" w:color="auto" w:sz="6" w:space="0"/>
            </w:tcBorders>
            <w:noWrap w:val="0"/>
            <w:vAlign w:val="center"/>
          </w:tcPr>
          <w:p>
            <w:pPr>
              <w:pStyle w:val="17"/>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采购预算</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实质性要求）</w:t>
            </w:r>
          </w:p>
        </w:tc>
        <w:tc>
          <w:tcPr>
            <w:tcW w:w="5866" w:type="dxa"/>
            <w:tcBorders>
              <w:top w:val="single" w:color="auto" w:sz="6" w:space="0"/>
              <w:left w:val="single" w:color="auto" w:sz="6" w:space="0"/>
              <w:bottom w:val="single" w:color="auto" w:sz="6" w:space="0"/>
            </w:tcBorders>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570000.00元</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（大写：伍拾柒万元整）。</w:t>
            </w:r>
          </w:p>
          <w:p>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sz w:val="24"/>
                <w:szCs w:val="24"/>
                <w:lang w:val="zh-CN"/>
              </w:rPr>
              <w:t>超过采购预算的报价无效。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54" w:hRule="atLeast"/>
          <w:jc w:val="center"/>
        </w:trPr>
        <w:tc>
          <w:tcPr>
            <w:tcW w:w="710" w:type="dxa"/>
            <w:vMerge w:val="continue"/>
            <w:tcBorders>
              <w:right w:val="single" w:color="auto" w:sz="6" w:space="0"/>
            </w:tcBorders>
            <w:noWrap w:val="0"/>
            <w:vAlign w:val="center"/>
          </w:tcPr>
          <w:p>
            <w:pPr>
              <w:pStyle w:val="17"/>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p>
        </w:tc>
        <w:tc>
          <w:tcPr>
            <w:tcW w:w="2208" w:type="dxa"/>
            <w:tcBorders>
              <w:top w:val="single" w:color="auto" w:sz="6" w:space="0"/>
              <w:left w:val="single" w:color="auto" w:sz="6" w:space="0"/>
              <w:bottom w:val="single" w:color="auto" w:sz="4" w:space="0"/>
              <w:right w:val="single" w:color="auto" w:sz="6" w:space="0"/>
            </w:tcBorders>
            <w:noWrap w:val="0"/>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最高限价</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实质性要求）</w:t>
            </w:r>
          </w:p>
        </w:tc>
        <w:tc>
          <w:tcPr>
            <w:tcW w:w="5866" w:type="dxa"/>
            <w:tcBorders>
              <w:top w:val="single" w:color="auto" w:sz="6" w:space="0"/>
              <w:left w:val="single" w:color="auto" w:sz="6" w:space="0"/>
              <w:bottom w:val="single" w:color="auto" w:sz="6" w:space="0"/>
            </w:tcBorders>
            <w:noWrap w:val="0"/>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本项目最高限价为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570000.00元</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（大写：伍拾柒万元整），</w:t>
            </w:r>
            <w:r>
              <w:rPr>
                <w:rFonts w:hint="eastAsia" w:asciiTheme="minorEastAsia" w:hAnsiTheme="minorEastAsia" w:eastAsiaTheme="minorEastAsia" w:cstheme="minorEastAsia"/>
                <w:b/>
                <w:bCs/>
                <w:color w:val="auto"/>
                <w:sz w:val="24"/>
                <w:highlight w:val="none"/>
              </w:rPr>
              <w:t>男性体检单价最高限价</w:t>
            </w:r>
            <w:r>
              <w:rPr>
                <w:rFonts w:hint="eastAsia" w:asciiTheme="minorEastAsia" w:hAnsiTheme="minorEastAsia" w:eastAsiaTheme="minorEastAsia" w:cstheme="minorEastAsia"/>
                <w:b/>
                <w:bCs/>
                <w:color w:val="auto"/>
                <w:sz w:val="24"/>
                <w:highlight w:val="none"/>
                <w:lang w:val="en-US" w:eastAsia="zh-CN"/>
              </w:rPr>
              <w:t>735</w:t>
            </w:r>
            <w:r>
              <w:rPr>
                <w:rFonts w:hint="eastAsia" w:asciiTheme="minorEastAsia" w:hAnsiTheme="minorEastAsia" w:eastAsiaTheme="minorEastAsia" w:cstheme="minorEastAsia"/>
                <w:b/>
                <w:bCs/>
                <w:color w:val="auto"/>
                <w:sz w:val="24"/>
                <w:highlight w:val="none"/>
              </w:rPr>
              <w:t>元</w:t>
            </w:r>
            <w:r>
              <w:rPr>
                <w:rFonts w:hint="eastAsia" w:asciiTheme="minorEastAsia" w:hAnsiTheme="minorEastAsia" w:eastAsiaTheme="minorEastAsia" w:cstheme="minorEastAsia"/>
                <w:b/>
                <w:bCs/>
                <w:color w:val="auto"/>
                <w:sz w:val="24"/>
                <w:highlight w:val="none"/>
                <w:lang w:val="en-US" w:eastAsia="zh-CN"/>
              </w:rPr>
              <w:t>/人</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eastAsia="zh-CN"/>
              </w:rPr>
              <w:t>女</w:t>
            </w:r>
            <w:r>
              <w:rPr>
                <w:rFonts w:hint="eastAsia" w:asciiTheme="minorEastAsia" w:hAnsiTheme="minorEastAsia" w:eastAsiaTheme="minorEastAsia" w:cstheme="minorEastAsia"/>
                <w:b/>
                <w:bCs/>
                <w:color w:val="auto"/>
                <w:sz w:val="24"/>
                <w:highlight w:val="none"/>
              </w:rPr>
              <w:t>性体检单价最高限价</w:t>
            </w:r>
            <w:r>
              <w:rPr>
                <w:rFonts w:hint="eastAsia" w:asciiTheme="minorEastAsia" w:hAnsiTheme="minorEastAsia" w:eastAsiaTheme="minorEastAsia" w:cstheme="minorEastAsia"/>
                <w:b/>
                <w:bCs/>
                <w:color w:val="auto"/>
                <w:sz w:val="24"/>
                <w:highlight w:val="none"/>
                <w:lang w:val="en-US" w:eastAsia="zh-CN"/>
              </w:rPr>
              <w:t>1075</w:t>
            </w:r>
            <w:r>
              <w:rPr>
                <w:rFonts w:hint="eastAsia" w:asciiTheme="minorEastAsia" w:hAnsiTheme="minorEastAsia" w:eastAsiaTheme="minorEastAsia" w:cstheme="minorEastAsia"/>
                <w:b/>
                <w:bCs/>
                <w:color w:val="auto"/>
                <w:sz w:val="24"/>
                <w:highlight w:val="none"/>
              </w:rPr>
              <w:t>元</w:t>
            </w:r>
            <w:r>
              <w:rPr>
                <w:rFonts w:hint="eastAsia" w:asciiTheme="minorEastAsia" w:hAnsiTheme="minorEastAsia" w:eastAsiaTheme="minorEastAsia" w:cstheme="minorEastAsia"/>
                <w:b/>
                <w:bCs/>
                <w:color w:val="auto"/>
                <w:sz w:val="24"/>
                <w:highlight w:val="none"/>
                <w:lang w:val="en-US" w:eastAsia="zh-CN"/>
              </w:rPr>
              <w:t>/人，</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供应商需按单价进行报价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供应商最后报价超过本项目最高限价的，其响应文件作为无效处理。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348"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联合体投标</w:t>
            </w:r>
          </w:p>
          <w:p>
            <w:pPr>
              <w:pStyle w:val="17"/>
              <w:keepNext w:val="0"/>
              <w:keepLines w:val="0"/>
              <w:pageBreakBefore w:val="0"/>
              <w:widowControl w:val="0"/>
              <w:kinsoku/>
              <w:wordWrap/>
              <w:overflowPunct/>
              <w:topLinePunct w:val="0"/>
              <w:autoSpaceDE w:val="0"/>
              <w:autoSpaceDN w:val="0"/>
              <w:bidi w:val="0"/>
              <w:adjustRightInd w:val="0"/>
              <w:snapToGrid w:val="0"/>
              <w:spacing w:line="348"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（实质性要求）</w:t>
            </w:r>
          </w:p>
        </w:tc>
        <w:tc>
          <w:tcPr>
            <w:tcW w:w="5866" w:type="dxa"/>
            <w:tcBorders>
              <w:top w:val="single" w:color="auto" w:sz="6" w:space="0"/>
              <w:left w:val="single" w:color="auto" w:sz="4" w:space="0"/>
              <w:bottom w:val="single" w:color="auto" w:sz="6" w:space="0"/>
            </w:tcBorders>
            <w:noWrap w:val="0"/>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348" w:lineRule="auto"/>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本项目不允许联合体</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参与磋商</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2" w:hRule="atLeast"/>
          <w:jc w:val="center"/>
        </w:trPr>
        <w:tc>
          <w:tcPr>
            <w:tcW w:w="710" w:type="dxa"/>
            <w:tcBorders>
              <w:top w:val="single" w:color="auto" w:sz="4" w:space="0"/>
              <w:bottom w:val="single" w:color="auto" w:sz="6" w:space="0"/>
              <w:right w:val="single" w:color="auto" w:sz="6" w:space="0"/>
            </w:tcBorders>
            <w:noWrap w:val="0"/>
            <w:vAlign w:val="center"/>
          </w:tcPr>
          <w:p>
            <w:pPr>
              <w:pStyle w:val="17"/>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p>
        </w:tc>
        <w:tc>
          <w:tcPr>
            <w:tcW w:w="2208" w:type="dxa"/>
            <w:tcBorders>
              <w:top w:val="single" w:color="auto" w:sz="4" w:space="0"/>
              <w:left w:val="single" w:color="auto" w:sz="6" w:space="0"/>
              <w:bottom w:val="single" w:color="auto" w:sz="6" w:space="0"/>
              <w:right w:val="single" w:color="auto" w:sz="6" w:space="0"/>
            </w:tcBorders>
            <w:noWrap w:val="0"/>
            <w:vAlign w:val="center"/>
          </w:tcPr>
          <w:p>
            <w:pPr>
              <w:pStyle w:val="17"/>
              <w:keepNext w:val="0"/>
              <w:keepLines w:val="0"/>
              <w:pageBreakBefore w:val="0"/>
              <w:numPr>
                <w:ilvl w:val="1"/>
                <w:numId w:val="0"/>
              </w:numPr>
              <w:kinsoku/>
              <w:wordWrap/>
              <w:overflowPunct/>
              <w:topLinePunct w:val="0"/>
              <w:bidi w:val="0"/>
              <w:spacing w:line="348" w:lineRule="auto"/>
              <w:ind w:left="38"/>
              <w:jc w:val="center"/>
              <w:textAlignment w:val="auto"/>
              <w:rPr>
                <w:rFonts w:hint="eastAsia" w:asciiTheme="minorEastAsia" w:hAnsiTheme="minorEastAsia" w:eastAsiaTheme="minorEastAsia" w:cstheme="minorEastAsia"/>
                <w:b w:val="0"/>
                <w:bCs/>
                <w:color w:val="000000" w:themeColor="text1"/>
                <w:kern w:val="2"/>
                <w14:textFill>
                  <w14:solidFill>
                    <w14:schemeClr w14:val="tx1"/>
                  </w14:solidFill>
                </w14:textFill>
              </w:rPr>
            </w:pPr>
            <w:r>
              <w:rPr>
                <w:rFonts w:hint="eastAsia" w:asciiTheme="minorEastAsia" w:hAnsiTheme="minorEastAsia" w:eastAsiaTheme="minorEastAsia" w:cstheme="minorEastAsia"/>
                <w:b w:val="0"/>
                <w:bCs/>
                <w:color w:val="000000" w:themeColor="text1"/>
                <w:kern w:val="2"/>
                <w14:textFill>
                  <w14:solidFill>
                    <w14:schemeClr w14:val="tx1"/>
                  </w14:solidFill>
                </w14:textFill>
              </w:rPr>
              <w:t>低于成本价不正当</w:t>
            </w:r>
          </w:p>
          <w:p>
            <w:pPr>
              <w:pStyle w:val="17"/>
              <w:keepNext w:val="0"/>
              <w:keepLines w:val="0"/>
              <w:pageBreakBefore w:val="0"/>
              <w:numPr>
                <w:ilvl w:val="1"/>
                <w:numId w:val="0"/>
              </w:numPr>
              <w:kinsoku/>
              <w:wordWrap/>
              <w:overflowPunct/>
              <w:topLinePunct w:val="0"/>
              <w:bidi w:val="0"/>
              <w:spacing w:line="348" w:lineRule="auto"/>
              <w:ind w:left="38"/>
              <w:jc w:val="center"/>
              <w:textAlignment w:val="auto"/>
              <w:rPr>
                <w:rFonts w:hint="eastAsia" w:asciiTheme="minorEastAsia" w:hAnsiTheme="minorEastAsia" w:eastAsiaTheme="minorEastAsia" w:cstheme="minorEastAsia"/>
                <w:b w:val="0"/>
                <w:bCs/>
                <w:color w:val="000000" w:themeColor="text1"/>
                <w:kern w:val="2"/>
                <w14:textFill>
                  <w14:solidFill>
                    <w14:schemeClr w14:val="tx1"/>
                  </w14:solidFill>
                </w14:textFill>
              </w:rPr>
            </w:pPr>
            <w:r>
              <w:rPr>
                <w:rFonts w:hint="eastAsia" w:asciiTheme="minorEastAsia" w:hAnsiTheme="minorEastAsia" w:eastAsiaTheme="minorEastAsia" w:cstheme="minorEastAsia"/>
                <w:b w:val="0"/>
                <w:bCs/>
                <w:color w:val="000000" w:themeColor="text1"/>
                <w:kern w:val="2"/>
                <w14:textFill>
                  <w14:solidFill>
                    <w14:schemeClr w14:val="tx1"/>
                  </w14:solidFill>
                </w14:textFill>
              </w:rPr>
              <w:t>竞争预防措施</w:t>
            </w:r>
          </w:p>
          <w:p>
            <w:pPr>
              <w:pStyle w:val="17"/>
              <w:keepNext w:val="0"/>
              <w:keepLines w:val="0"/>
              <w:pageBreakBefore w:val="0"/>
              <w:numPr>
                <w:ilvl w:val="1"/>
                <w:numId w:val="0"/>
              </w:numPr>
              <w:kinsoku/>
              <w:wordWrap/>
              <w:overflowPunct/>
              <w:topLinePunct w:val="0"/>
              <w:bidi w:val="0"/>
              <w:spacing w:line="348" w:lineRule="auto"/>
              <w:ind w:left="38"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实质性要求）</w:t>
            </w:r>
          </w:p>
        </w:tc>
        <w:tc>
          <w:tcPr>
            <w:tcW w:w="5866" w:type="dxa"/>
            <w:tcBorders>
              <w:top w:val="single" w:color="auto" w:sz="6" w:space="0"/>
              <w:left w:val="single" w:color="auto" w:sz="6" w:space="0"/>
              <w:bottom w:val="single" w:color="auto" w:sz="6" w:space="0"/>
            </w:tcBorders>
            <w:noWrap w:val="0"/>
            <w:vAlign w:val="center"/>
          </w:tcPr>
          <w:p>
            <w:pPr>
              <w:pStyle w:val="11"/>
              <w:keepNext w:val="0"/>
              <w:keepLines w:val="0"/>
              <w:pageBreakBefore w:val="0"/>
              <w:kinsoku/>
              <w:wordWrap/>
              <w:overflowPunct/>
              <w:topLinePunct w:val="0"/>
              <w:bidi w:val="0"/>
              <w:snapToGrid/>
              <w:spacing w:before="0" w:beforeAutospacing="0" w:after="0" w:afterAutospacing="0" w:line="348"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en-US" w:eastAsia="zh-CN"/>
              </w:rPr>
              <w:t>1、</w:t>
            </w:r>
            <w:r>
              <w:rPr>
                <w:rFonts w:hint="eastAsia" w:asciiTheme="minorEastAsia" w:hAnsiTheme="minorEastAsia" w:eastAsiaTheme="minorEastAsia" w:cstheme="minorEastAsia"/>
                <w:color w:val="000000"/>
                <w:sz w:val="24"/>
                <w:szCs w:val="24"/>
                <w:highlight w:val="none"/>
                <w:lang w:val="zh-CN"/>
              </w:rPr>
              <w:t>在评审过程中，供应商报价有可能影响产品质量或者不能诚信履约的，磋商小组应当要求其在磋商现场合理的时间内提供书面说明，并提交相关证明材料，供应商不能证明其报价合理性的，磋商小组应当将其作为无效处理。</w:t>
            </w:r>
          </w:p>
          <w:p>
            <w:pPr>
              <w:pStyle w:val="11"/>
              <w:keepNext w:val="0"/>
              <w:keepLines w:val="0"/>
              <w:pageBreakBefore w:val="0"/>
              <w:kinsoku/>
              <w:wordWrap/>
              <w:overflowPunct/>
              <w:topLinePunct w:val="0"/>
              <w:bidi w:val="0"/>
              <w:snapToGrid/>
              <w:spacing w:before="0" w:beforeAutospacing="0" w:after="0" w:afterAutospacing="0" w:line="348"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供应商的书面说明材料应当按照国家财务会计制度的规定要求，逐项就供应商提供的货物和服务的主营业务成本、税金及附加、销售费用、管理费用、财务费用等成本构成事项详细陈述）。</w:t>
            </w:r>
          </w:p>
          <w:p>
            <w:pPr>
              <w:pStyle w:val="11"/>
              <w:keepNext w:val="0"/>
              <w:keepLines w:val="0"/>
              <w:pageBreakBefore w:val="0"/>
              <w:kinsoku/>
              <w:wordWrap/>
              <w:overflowPunct/>
              <w:topLinePunct w:val="0"/>
              <w:bidi w:val="0"/>
              <w:snapToGrid/>
              <w:spacing w:before="0" w:beforeAutospacing="0" w:after="0" w:afterAutospacing="0" w:line="348"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lang w:val="zh-CN"/>
              </w:rPr>
              <w:t xml:space="preserve">供应商书面说明应当签字确认或者加盖公章，否则无效。书面说明的签字确认，由其法定代表人或者其授权代表签字确认。 </w:t>
            </w:r>
          </w:p>
          <w:p>
            <w:pPr>
              <w:pStyle w:val="17"/>
              <w:keepNext w:val="0"/>
              <w:keepLines w:val="0"/>
              <w:pageBreakBefore w:val="0"/>
              <w:numPr>
                <w:ilvl w:val="1"/>
                <w:numId w:val="0"/>
              </w:numPr>
              <w:kinsoku/>
              <w:wordWrap/>
              <w:overflowPunct/>
              <w:topLinePunct w:val="0"/>
              <w:bidi w:val="0"/>
              <w:snapToGrid/>
              <w:spacing w:line="348"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lang w:val="zh-CN"/>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01" w:hRule="atLeast"/>
          <w:jc w:val="center"/>
        </w:trPr>
        <w:tc>
          <w:tcPr>
            <w:tcW w:w="710" w:type="dxa"/>
            <w:vMerge w:val="restart"/>
            <w:tcBorders>
              <w:right w:val="single" w:color="auto" w:sz="6" w:space="0"/>
            </w:tcBorders>
            <w:noWrap w:val="0"/>
            <w:vAlign w:val="center"/>
          </w:tcPr>
          <w:p>
            <w:pPr>
              <w:pStyle w:val="17"/>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c>
          <w:tcPr>
            <w:tcW w:w="2208" w:type="dxa"/>
            <w:vMerge w:val="restart"/>
            <w:tcBorders>
              <w:top w:val="single" w:color="auto" w:sz="6" w:space="0"/>
              <w:left w:val="single" w:color="auto" w:sz="6" w:space="0"/>
              <w:right w:val="single" w:color="auto" w:sz="6" w:space="0"/>
            </w:tcBorders>
            <w:noWrap w:val="0"/>
            <w:vAlign w:val="center"/>
          </w:tcPr>
          <w:p>
            <w:pPr>
              <w:pStyle w:val="17"/>
              <w:spacing w:line="360" w:lineRule="auto"/>
              <w:ind w:left="38"/>
              <w:jc w:val="center"/>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小微企业（监狱企业、残疾人福利性单位视同小微企业）价格扣除和失信企业报价加成</w:t>
            </w:r>
          </w:p>
          <w:p>
            <w:pPr>
              <w:pStyle w:val="17"/>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sz w:val="24"/>
                <w:szCs w:val="24"/>
                <w:lang w:val="zh-CN"/>
              </w:rPr>
              <w:t>（实质性要求</w:t>
            </w:r>
            <w:r>
              <w:rPr>
                <w:rFonts w:hint="eastAsia" w:asciiTheme="minorEastAsia" w:hAnsiTheme="minorEastAsia" w:eastAsiaTheme="minorEastAsia" w:cstheme="minorEastAsia"/>
                <w:b/>
                <w:bCs/>
                <w:color w:val="000000"/>
                <w:sz w:val="24"/>
                <w:szCs w:val="24"/>
                <w:lang w:val="en-US" w:eastAsia="zh-CN"/>
              </w:rPr>
              <w:t>)</w:t>
            </w:r>
          </w:p>
        </w:tc>
        <w:tc>
          <w:tcPr>
            <w:tcW w:w="5866" w:type="dxa"/>
            <w:tcBorders>
              <w:top w:val="single" w:color="auto" w:sz="6" w:space="0"/>
              <w:left w:val="single" w:color="auto" w:sz="6" w:space="0"/>
              <w:bottom w:val="single" w:color="auto" w:sz="6" w:space="0"/>
            </w:tcBorders>
            <w:noWrap w:val="0"/>
            <w:vAlign w:val="top"/>
          </w:tcPr>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 xml:space="preserve">本项目不专门面向中小企业采购(实质性要求)。 </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auto"/>
                <w:kern w:val="0"/>
                <w:sz w:val="24"/>
                <w:szCs w:val="24"/>
                <w:highlight w:val="none"/>
                <w:lang w:val="en-US" w:eastAsia="zh-CN" w:bidi="ar-SA"/>
              </w:rPr>
              <w:t>注：监狱企业、残疾人福利性单位视同小微企业。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43" w:hRule="atLeast"/>
          <w:jc w:val="center"/>
        </w:trPr>
        <w:tc>
          <w:tcPr>
            <w:tcW w:w="710" w:type="dxa"/>
            <w:vMerge w:val="continue"/>
            <w:tcBorders>
              <w:right w:val="single" w:color="auto" w:sz="6" w:space="0"/>
            </w:tcBorders>
            <w:noWrap w:val="0"/>
            <w:vAlign w:val="center"/>
          </w:tcPr>
          <w:p>
            <w:pPr>
              <w:pStyle w:val="17"/>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2208" w:type="dxa"/>
            <w:vMerge w:val="continue"/>
            <w:tcBorders>
              <w:left w:val="single" w:color="auto" w:sz="6" w:space="0"/>
              <w:right w:val="single" w:color="auto" w:sz="6" w:space="0"/>
            </w:tcBorders>
            <w:noWrap w:val="0"/>
            <w:vAlign w:val="center"/>
          </w:tcPr>
          <w:p>
            <w:pPr>
              <w:pStyle w:val="17"/>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b/>
                <w:bCs/>
                <w:color w:val="000000"/>
                <w:sz w:val="24"/>
                <w:szCs w:val="24"/>
                <w:lang w:val="zh-CN"/>
              </w:rPr>
            </w:pPr>
          </w:p>
        </w:tc>
        <w:tc>
          <w:tcPr>
            <w:tcW w:w="5866" w:type="dxa"/>
            <w:tcBorders>
              <w:top w:val="single" w:color="auto" w:sz="6" w:space="0"/>
              <w:left w:val="single" w:color="auto" w:sz="6" w:space="0"/>
              <w:bottom w:val="single" w:color="auto" w:sz="6" w:space="0"/>
            </w:tcBorders>
            <w:noWrap w:val="0"/>
            <w:vAlign w:val="top"/>
          </w:tcPr>
          <w:p>
            <w:pPr>
              <w:keepNext w:val="0"/>
              <w:keepLines w:val="0"/>
              <w:pageBreakBefore w:val="0"/>
              <w:widowControl/>
              <w:suppressLineNumbers w:val="0"/>
              <w:kinsoku/>
              <w:wordWrap w:val="0"/>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企业划型标准依据《工业和信息化部、国家统计局、国家发展和改革委员会、财政部关于印发中小企业划型标准规定的通知》（工信部联企业〔2011〕300 号）规定的划分。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vMerge w:val="continue"/>
            <w:tcBorders>
              <w:bottom w:val="single" w:color="auto" w:sz="6" w:space="0"/>
              <w:right w:val="single" w:color="auto" w:sz="6" w:space="0"/>
            </w:tcBorders>
            <w:noWrap w:val="0"/>
            <w:vAlign w:val="center"/>
          </w:tcPr>
          <w:p>
            <w:pPr>
              <w:pStyle w:val="17"/>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2208" w:type="dxa"/>
            <w:vMerge w:val="continue"/>
            <w:tcBorders>
              <w:left w:val="single" w:color="auto" w:sz="6" w:space="0"/>
              <w:bottom w:val="single" w:color="auto" w:sz="6" w:space="0"/>
              <w:right w:val="single" w:color="auto" w:sz="6" w:space="0"/>
            </w:tcBorders>
            <w:noWrap w:val="0"/>
            <w:vAlign w:val="center"/>
          </w:tcPr>
          <w:p>
            <w:pPr>
              <w:pStyle w:val="17"/>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p>
        </w:tc>
        <w:tc>
          <w:tcPr>
            <w:tcW w:w="5866" w:type="dxa"/>
            <w:tcBorders>
              <w:top w:val="single" w:color="auto" w:sz="6" w:space="0"/>
              <w:left w:val="single" w:color="auto" w:sz="6" w:space="0"/>
              <w:bottom w:val="single" w:color="auto" w:sz="6" w:space="0"/>
            </w:tcBorders>
            <w:noWrap w:val="0"/>
            <w:vAlign w:val="top"/>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一、对于非专门面向中小企业的项目，小微企业（监狱企业、残疾人福利性单位视同小微企业）价格扣除规定如下：</w:t>
            </w:r>
          </w:p>
          <w:p>
            <w:pPr>
              <w:keepNext w:val="0"/>
              <w:keepLines w:val="0"/>
              <w:pageBreakBefore w:val="0"/>
              <w:widowControl/>
              <w:suppressLineNumbers w:val="0"/>
              <w:kinsoku/>
              <w:wordWrap w:val="0"/>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 xml:space="preserve">1、根据《政府采购促进中小企业发展管理办法》（财库[2020]46 号）的规定，对小型和微型企业产品的价格给予 10%的价格扣除，用扣除后的价格参与评审。参加政府采购活动的中小企业应当提供《中小企业声明函》原件；  </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2、根据《财政部、司法部关于政府采购支持 监狱企业发展有关问题的通知》（财库〔2014〕68 号）的</w:t>
            </w:r>
            <w:r>
              <w:rPr>
                <w:rFonts w:hint="eastAsia" w:asciiTheme="minorEastAsia" w:hAnsiTheme="minorEastAsia" w:eastAsiaTheme="minorEastAsia" w:cstheme="minorEastAsia"/>
                <w:kern w:val="0"/>
                <w:sz w:val="24"/>
                <w:szCs w:val="24"/>
                <w:lang w:val="en-US" w:eastAsia="zh-CN" w:bidi="ar-SA"/>
              </w:rPr>
              <w:t xml:space="preserve">规定，监狱企业视同小微企业，参加本次采购活动的监狱企业应当提供省级以上监狱管理局、戒毒管理局（含新疆生产建设兵团）出具的属于监狱企业的证明文件。 </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 xml:space="preserve">  3、根据《三部门联合发布关于促进残疾人就业政府采购政策的通知》（财库〔2017〕141 号）的规定，残疾人福利性单位属于小型、微型企业的，不重复享受政策。参加政府采购活动的残疾人福利性单位应当提供《残疾人福利性单位声明函》原件（本项目成交供应商属于残疾人福利性单位的，在结果公告中将同时公示其声明函）。 </w:t>
            </w:r>
          </w:p>
          <w:p>
            <w:pPr>
              <w:keepNext w:val="0"/>
              <w:keepLines w:val="0"/>
              <w:pageBreakBefore w:val="0"/>
              <w:widowControl/>
              <w:suppressLineNumbers w:val="0"/>
              <w:kinsoku/>
              <w:wordWrap w:val="0"/>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 xml:space="preserve">4、供应商在参加政府采购活动时，提供以上虚假声明或证明材料的，按《中华人民共和国政府采购法》第七十七条规定处理。 </w:t>
            </w:r>
          </w:p>
          <w:p>
            <w:pPr>
              <w:keepNext w:val="0"/>
              <w:keepLines w:val="0"/>
              <w:pageBreakBefore w:val="0"/>
              <w:widowControl/>
              <w:suppressLineNumbers w:val="0"/>
              <w:kinsoku/>
              <w:wordWrap w:val="0"/>
              <w:overflowPunct/>
              <w:topLinePunct w:val="0"/>
              <w:bidi w:val="0"/>
              <w:spacing w:line="360" w:lineRule="auto"/>
              <w:jc w:val="left"/>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 xml:space="preserve">二、失信企业报价加成或者扣分 </w:t>
            </w:r>
          </w:p>
          <w:p>
            <w:pPr>
              <w:keepNext w:val="0"/>
              <w:keepLines w:val="0"/>
              <w:pageBreakBefore w:val="0"/>
              <w:widowControl/>
              <w:suppressLineNumbers w:val="0"/>
              <w:kinsoku/>
              <w:wordWrap w:val="0"/>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keepNext w:val="0"/>
              <w:keepLines w:val="0"/>
              <w:pageBreakBefore w:val="0"/>
              <w:widowControl/>
              <w:suppressLineNumbers w:val="0"/>
              <w:kinsoku/>
              <w:wordWrap w:val="0"/>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 xml:space="preserve">2、供应商参加政府采购活动时，应当就自己的诚信情况在响应文件中进行承诺。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17"/>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采购方式</w:t>
            </w:r>
          </w:p>
        </w:tc>
        <w:tc>
          <w:tcPr>
            <w:tcW w:w="5866" w:type="dxa"/>
            <w:tcBorders>
              <w:top w:val="single" w:color="auto" w:sz="6" w:space="0"/>
              <w:left w:val="single" w:color="auto" w:sz="6" w:space="0"/>
              <w:bottom w:val="single" w:color="auto" w:sz="6" w:space="0"/>
            </w:tcBorders>
            <w:noWrap w:val="0"/>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竞争性磋商。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17"/>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评标方法</w:t>
            </w:r>
          </w:p>
        </w:tc>
        <w:tc>
          <w:tcPr>
            <w:tcW w:w="5866"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bidi w:val="0"/>
              <w:spacing w:line="360" w:lineRule="auto"/>
              <w:ind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17"/>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是否允许分包</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实质性要求）</w:t>
            </w:r>
          </w:p>
        </w:tc>
        <w:tc>
          <w:tcPr>
            <w:tcW w:w="5866" w:type="dxa"/>
            <w:tcBorders>
              <w:top w:val="single" w:color="auto" w:sz="6" w:space="0"/>
              <w:left w:val="single" w:color="auto" w:sz="6" w:space="0"/>
              <w:bottom w:val="single" w:color="auto" w:sz="6" w:space="0"/>
            </w:tcBorders>
            <w:noWrap w:val="0"/>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17"/>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进口产品</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实质性要求）</w:t>
            </w:r>
          </w:p>
        </w:tc>
        <w:tc>
          <w:tcPr>
            <w:tcW w:w="5866"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采购人采购进口产品时，应当坚持有利于本国企业自主创新或消化吸收核心技术的原则，优先购买向我方转让技术、提供培训服务及其他补偿贸易措施的产品。如果因信息不对称等原因，仍有满足需求的国内产品要求参与采购竞争的，采购人及其委托的采购代理机构不得对其加以限制，应当按照公平竞争原则实施采购。</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outlineLvl w:val="9"/>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注：本项目为服务类采购项目，不涉及进口产品采购。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17"/>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国家规定的优先、强制采购范围</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（节能、环保）</w:t>
            </w:r>
          </w:p>
        </w:tc>
        <w:tc>
          <w:tcPr>
            <w:tcW w:w="5866" w:type="dxa"/>
            <w:tcBorders>
              <w:top w:val="single" w:color="auto" w:sz="6" w:space="0"/>
              <w:left w:val="single" w:color="auto" w:sz="6" w:space="0"/>
              <w:bottom w:val="single" w:color="auto" w:sz="6" w:space="0"/>
            </w:tcBorders>
            <w:noWrap w:val="0"/>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详见</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17"/>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构成磋商文件的</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其他文件</w:t>
            </w:r>
          </w:p>
        </w:tc>
        <w:tc>
          <w:tcPr>
            <w:tcW w:w="5866" w:type="dxa"/>
            <w:tcBorders>
              <w:top w:val="single" w:color="auto" w:sz="6" w:space="0"/>
              <w:left w:val="single" w:color="auto" w:sz="6" w:space="0"/>
              <w:bottom w:val="single" w:color="auto" w:sz="6" w:space="0"/>
            </w:tcBorders>
            <w:noWrap w:val="0"/>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磋商文件的澄清、修改书及有关补充通知为磋商文件的有效组成部分。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17"/>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考察现场标前</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答疑会</w:t>
            </w:r>
          </w:p>
        </w:tc>
        <w:tc>
          <w:tcPr>
            <w:tcW w:w="5866" w:type="dxa"/>
            <w:tcBorders>
              <w:top w:val="single" w:color="auto" w:sz="6" w:space="0"/>
              <w:left w:val="single" w:color="auto" w:sz="6" w:space="0"/>
              <w:bottom w:val="single" w:color="auto" w:sz="6" w:space="0"/>
            </w:tcBorders>
            <w:noWrap w:val="0"/>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详见</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17"/>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7"/>
              <w:keepNext w:val="0"/>
              <w:keepLines w:val="0"/>
              <w:pageBreakBefore w:val="0"/>
              <w:widowControl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4"/>
                <w:szCs w:val="24"/>
                <w:highlight w:val="none"/>
                <w:lang w:eastAsia="zh-CN"/>
                <w14:textFill>
                  <w14:solidFill>
                    <w14:schemeClr w14:val="tx1"/>
                  </w14:solidFill>
                </w14:textFill>
              </w:rPr>
              <w:t>磋商</w:t>
            </w:r>
            <w:r>
              <w:rPr>
                <w:rFonts w:hint="eastAsia" w:asciiTheme="minorEastAsia" w:hAnsiTheme="minorEastAsia" w:eastAsiaTheme="minorEastAsia" w:cstheme="minorEastAsia"/>
                <w:b w:val="0"/>
                <w:bCs/>
                <w:color w:val="000000" w:themeColor="text1"/>
                <w:kern w:val="2"/>
                <w:sz w:val="24"/>
                <w:szCs w:val="24"/>
                <w:highlight w:val="none"/>
                <w14:textFill>
                  <w14:solidFill>
                    <w14:schemeClr w14:val="tx1"/>
                  </w14:solidFill>
                </w14:textFill>
              </w:rPr>
              <w:t>保证金</w:t>
            </w:r>
          </w:p>
          <w:p>
            <w:pPr>
              <w:pStyle w:val="7"/>
              <w:keepNext w:val="0"/>
              <w:keepLines w:val="0"/>
              <w:pageBreakBefore w:val="0"/>
              <w:widowControl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（实质性要求）</w:t>
            </w:r>
          </w:p>
        </w:tc>
        <w:tc>
          <w:tcPr>
            <w:tcW w:w="5866" w:type="dxa"/>
            <w:tcBorders>
              <w:top w:val="single" w:color="auto" w:sz="6" w:space="0"/>
              <w:left w:val="single" w:color="auto" w:sz="6" w:space="0"/>
              <w:bottom w:val="single" w:color="auto" w:sz="6" w:space="0"/>
            </w:tcBorders>
            <w:noWrap w:val="0"/>
            <w:vAlign w:val="center"/>
          </w:tcPr>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本项目不涉及。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17"/>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7"/>
              <w:keepNext w:val="0"/>
              <w:keepLines w:val="0"/>
              <w:pageBreakBefore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4"/>
                <w:szCs w:val="24"/>
                <w:highlight w:val="none"/>
                <w14:textFill>
                  <w14:solidFill>
                    <w14:schemeClr w14:val="tx1"/>
                  </w14:solidFill>
                </w14:textFill>
              </w:rPr>
              <w:t>投标有效期</w:t>
            </w:r>
          </w:p>
          <w:p>
            <w:pPr>
              <w:pStyle w:val="7"/>
              <w:keepNext w:val="0"/>
              <w:keepLines w:val="0"/>
              <w:pageBreakBefore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（实质性要求）</w:t>
            </w:r>
          </w:p>
        </w:tc>
        <w:tc>
          <w:tcPr>
            <w:tcW w:w="5866" w:type="dxa"/>
            <w:tcBorders>
              <w:top w:val="single" w:color="auto" w:sz="6" w:space="0"/>
              <w:left w:val="single" w:color="auto" w:sz="6" w:space="0"/>
              <w:bottom w:val="single" w:color="auto" w:sz="6" w:space="0"/>
            </w:tcBorders>
            <w:noWrap w:val="0"/>
            <w:vAlign w:val="center"/>
          </w:tcPr>
          <w:p>
            <w:pPr>
              <w:pStyle w:val="17"/>
              <w:keepNext w:val="0"/>
              <w:keepLines w:val="0"/>
              <w:pageBreakBefore w:val="0"/>
              <w:kinsoku/>
              <w:wordWrap/>
              <w:overflowPunct/>
              <w:topLinePunct w:val="0"/>
              <w:bidi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递交磋商响应文件截止之日起</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90</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天</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17"/>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询问、质疑</w:t>
            </w:r>
          </w:p>
        </w:tc>
        <w:tc>
          <w:tcPr>
            <w:tcW w:w="5866" w:type="dxa"/>
            <w:tcBorders>
              <w:top w:val="single" w:color="auto" w:sz="6" w:space="0"/>
              <w:left w:val="single" w:color="auto" w:sz="6" w:space="0"/>
              <w:bottom w:val="single" w:color="auto" w:sz="6" w:space="0"/>
            </w:tcBorders>
            <w:noWrap w:val="0"/>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1、对磋商文件技术指标、参数、资质要求、评分办法的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询问、</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 xml:space="preserve">质疑：                                                            </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向采购人提出，并由采购人按相关规定做出答复。</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质疑时间：购买磋商文件之日起七个工作日内。</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陈君</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联系电话：</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028-27751522。</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2、</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对采购过程和采购结果的询问、质疑：</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向采购代理机构提出，并由采购代理机构按相关规定作出答复。</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对采购过程质疑时间为：各采购程序环节结束之日起七个工作日内。</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对采购结果提出质疑时间为：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结果公告期限界满之日起七个工作日内。</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联系人：</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张黎</w:t>
            </w:r>
          </w:p>
          <w:p>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电话：</w:t>
            </w:r>
            <w:r>
              <w:rPr>
                <w:rFonts w:hint="eastAsia" w:asciiTheme="minorEastAsia" w:hAnsiTheme="minorEastAsia" w:eastAsiaTheme="minorEastAsia" w:cstheme="minorEastAsia"/>
                <w:kern w:val="0"/>
                <w:sz w:val="24"/>
                <w:lang w:bidi="ar"/>
              </w:rPr>
              <w:t>028-86026626</w:t>
            </w:r>
            <w:r>
              <w:rPr>
                <w:rFonts w:hint="eastAsia" w:asciiTheme="minorEastAsia" w:hAnsiTheme="minorEastAsia" w:eastAsiaTheme="minorEastAsia" w:cstheme="minorEastAsia"/>
                <w:kern w:val="0"/>
                <w:sz w:val="24"/>
                <w:lang w:eastAsia="zh-CN" w:bidi="ar"/>
              </w:rPr>
              <w:t>。</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询问、质疑必须以书面形式(原件)提出，以其他形式提出的询问、质疑均不接受和回复。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17"/>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16</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投诉</w:t>
            </w:r>
          </w:p>
        </w:tc>
        <w:tc>
          <w:tcPr>
            <w:tcW w:w="5866" w:type="dxa"/>
            <w:tcBorders>
              <w:top w:val="single" w:color="auto" w:sz="6" w:space="0"/>
              <w:left w:val="single" w:color="auto" w:sz="6" w:space="0"/>
              <w:bottom w:val="single" w:color="auto" w:sz="6" w:space="0"/>
            </w:tcBorders>
            <w:noWrap w:val="0"/>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投诉受理单位：成都东部新区党工委管委会（成都市东部新城办）财政金融局。</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联系电话：028-86360129。</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地址：成都东部新区三岔街道板桥村2组166号东部新区市民中心。</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邮编：6</w:t>
            </w: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lang w:val="zh-CN"/>
              </w:rPr>
              <w:t>1</w:t>
            </w: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lang w:val="zh-CN"/>
              </w:rPr>
              <w:t>00。</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sz w:val="24"/>
                <w:szCs w:val="24"/>
                <w:highlight w:val="none"/>
                <w:lang w:val="zh-CN"/>
              </w:rPr>
              <w:t>注：供应商投诉应当有明确的请求和必要的证明材料。供应商投诉的事项不得超出已质疑事项的范围，须符合《政府采购质疑和投诉办法》（财政部第94号令）规定，并使用财政部下发《投诉书》范本。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17"/>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17</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7"/>
              <w:keepNext w:val="0"/>
              <w:keepLines w:val="0"/>
              <w:pageBreakBefore w:val="0"/>
              <w:kinsoku/>
              <w:wordWrap/>
              <w:overflowPunct/>
              <w:topLinePunct w:val="0"/>
              <w:bidi w:val="0"/>
              <w:spacing w:line="360" w:lineRule="auto"/>
              <w:ind w:left="0" w:lef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评审情况的公告</w:t>
            </w:r>
          </w:p>
        </w:tc>
        <w:tc>
          <w:tcPr>
            <w:tcW w:w="5866" w:type="dxa"/>
            <w:tcBorders>
              <w:top w:val="single" w:color="auto" w:sz="6" w:space="0"/>
              <w:left w:val="single" w:color="auto" w:sz="6" w:space="0"/>
              <w:bottom w:val="single" w:color="auto" w:sz="6" w:space="0"/>
            </w:tcBorders>
            <w:noWrap w:val="0"/>
            <w:vAlign w:val="center"/>
          </w:tcPr>
          <w:p>
            <w:pPr>
              <w:pStyle w:val="17"/>
              <w:keepNext w:val="0"/>
              <w:keepLines w:val="0"/>
              <w:pageBreakBefore w:val="0"/>
              <w:numPr>
                <w:ilvl w:val="0"/>
                <w:numId w:val="0"/>
              </w:numPr>
              <w:kinsoku/>
              <w:wordWrap/>
              <w:overflowPunct/>
              <w:topLinePunct w:val="0"/>
              <w:bidi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1、所有供应商响应文件资格性、符合性审查情况，采用综合评分法时的总得分和分项汇总得分情况、评审结果等将在“四川政府采购网”上采购结果公告附件中予以公告。</w:t>
            </w:r>
          </w:p>
          <w:p>
            <w:pPr>
              <w:pStyle w:val="17"/>
              <w:keepNext w:val="0"/>
              <w:keepLines w:val="0"/>
              <w:pageBreakBefore w:val="0"/>
              <w:numPr>
                <w:ilvl w:val="0"/>
                <w:numId w:val="0"/>
              </w:numPr>
              <w:kinsoku/>
              <w:wordWrap/>
              <w:overflowPunct/>
              <w:topLinePunct w:val="0"/>
              <w:bidi w:val="0"/>
              <w:snapToGrid w:val="0"/>
              <w:spacing w:line="360" w:lineRule="auto"/>
              <w:ind w:left="0" w:leftChars="0" w:firstLine="480" w:firstLineChars="200"/>
              <w:textAlignment w:val="auto"/>
              <w:outlineLvl w:val="9"/>
              <w:rPr>
                <w:rFonts w:hint="eastAsia" w:asciiTheme="minorEastAsia" w:hAnsiTheme="minorEastAsia" w:eastAsiaTheme="minorEastAsia" w:cstheme="minorEastAsia"/>
                <w:color w:val="000000" w:themeColor="text1"/>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根据《中华人民共和国政府采购法实施条例》第四十三条的规定，公告内容应当包括主要中标或者成交标的名称、规格型号（若涉及）、数量（若涉及）、单价（若涉及）、服务要求以及评审专家名单。供应商须将响应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17"/>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18</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17"/>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履约保证金</w:t>
            </w:r>
          </w:p>
        </w:tc>
        <w:tc>
          <w:tcPr>
            <w:tcW w:w="5866" w:type="dxa"/>
            <w:tcBorders>
              <w:top w:val="single" w:color="auto" w:sz="6" w:space="0"/>
              <w:left w:val="single" w:color="auto" w:sz="6" w:space="0"/>
              <w:bottom w:val="single" w:color="auto" w:sz="6" w:space="0"/>
            </w:tcBorders>
            <w:noWrap w:val="0"/>
            <w:vAlign w:val="center"/>
          </w:tcPr>
          <w:p>
            <w:pPr>
              <w:pStyle w:val="19"/>
              <w:keepNext w:val="0"/>
              <w:keepLines w:val="0"/>
              <w:pageBreakBefore w:val="0"/>
              <w:widowControl w:val="0"/>
              <w:kinsoku/>
              <w:wordWrap/>
              <w:overflowPunct/>
              <w:topLinePunct w:val="0"/>
              <w:bidi w:val="0"/>
              <w:snapToGrid w:val="0"/>
              <w:spacing w:line="360" w:lineRule="auto"/>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本项目不涉及。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9" w:hRule="atLeast"/>
          <w:jc w:val="center"/>
        </w:trPr>
        <w:tc>
          <w:tcPr>
            <w:tcW w:w="710" w:type="dxa"/>
            <w:tcBorders>
              <w:top w:val="single" w:color="auto" w:sz="6" w:space="0"/>
              <w:bottom w:val="single" w:color="auto" w:sz="6" w:space="0"/>
              <w:right w:val="single" w:color="auto" w:sz="6" w:space="0"/>
            </w:tcBorders>
            <w:noWrap w:val="0"/>
            <w:vAlign w:val="center"/>
          </w:tcPr>
          <w:p>
            <w:pPr>
              <w:pStyle w:val="17"/>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19</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招标代理服务费</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（实质性要求）</w:t>
            </w:r>
          </w:p>
        </w:tc>
        <w:tc>
          <w:tcPr>
            <w:tcW w:w="5866"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zh-CN" w:eastAsia="zh-CN"/>
              </w:rPr>
              <w:t>本磋商文件约定，</w:t>
            </w:r>
            <w:r>
              <w:rPr>
                <w:rFonts w:hint="eastAsia" w:asciiTheme="minorEastAsia" w:hAnsiTheme="minorEastAsia" w:eastAsiaTheme="minorEastAsia" w:cstheme="minorEastAsia"/>
                <w:sz w:val="24"/>
                <w:szCs w:val="24"/>
                <w:lang w:val="en-US" w:eastAsia="zh-CN"/>
              </w:rPr>
              <w:t>招标代理服务费由成交供应商向采购代理机构支付。</w:t>
            </w:r>
            <w:r>
              <w:rPr>
                <w:rFonts w:hint="eastAsia" w:asciiTheme="minorEastAsia" w:hAnsiTheme="minorEastAsia" w:eastAsiaTheme="minorEastAsia" w:cstheme="minorEastAsia"/>
                <w:sz w:val="24"/>
                <w:szCs w:val="24"/>
                <w:lang w:val="zh-CN" w:eastAsia="zh-CN"/>
              </w:rPr>
              <w:t>收取标准为定额收取：人民币</w:t>
            </w:r>
            <w:r>
              <w:rPr>
                <w:rFonts w:hint="eastAsia" w:asciiTheme="minorEastAsia" w:hAnsiTheme="minorEastAsia" w:eastAsiaTheme="minorEastAsia" w:cstheme="minorEastAsia"/>
                <w:sz w:val="24"/>
                <w:szCs w:val="24"/>
                <w:lang w:val="en-US" w:eastAsia="zh-CN"/>
              </w:rPr>
              <w:t>6000.00元（大写：陆仟元整）。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zh-CN" w:eastAsia="zh-CN"/>
              </w:rPr>
              <w:t>成交供应商</w:t>
            </w:r>
            <w:r>
              <w:rPr>
                <w:rFonts w:hint="eastAsia" w:asciiTheme="minorEastAsia" w:hAnsiTheme="minorEastAsia" w:eastAsiaTheme="minorEastAsia" w:cstheme="minorEastAsia"/>
                <w:sz w:val="24"/>
                <w:szCs w:val="24"/>
              </w:rPr>
              <w:t>在领取</w:t>
            </w:r>
            <w:r>
              <w:rPr>
                <w:rFonts w:hint="eastAsia" w:asciiTheme="minorEastAsia" w:hAnsiTheme="minorEastAsia" w:eastAsiaTheme="minorEastAsia" w:cstheme="minorEastAsia"/>
                <w:sz w:val="24"/>
                <w:szCs w:val="24"/>
                <w:lang w:eastAsia="zh-CN"/>
              </w:rPr>
              <w:t>成交</w:t>
            </w:r>
            <w:r>
              <w:rPr>
                <w:rFonts w:hint="eastAsia" w:asciiTheme="minorEastAsia" w:hAnsiTheme="minorEastAsia" w:eastAsiaTheme="minorEastAsia" w:cstheme="minorEastAsia"/>
                <w:sz w:val="24"/>
                <w:szCs w:val="24"/>
              </w:rPr>
              <w:t>通知书前应按规定缴纳招标代理服务费，可使用银行转账或采购代理机构认可的方式支付。</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zh-CN"/>
              </w:rPr>
              <w:t xml:space="preserve">单位名称：成都长源工程咨询有限公司 </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开户行：建行成都第二支行  </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sz w:val="24"/>
                <w:szCs w:val="24"/>
                <w:lang w:val="zh-CN"/>
              </w:rPr>
              <w:t xml:space="preserve">账号：51050142620800001707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17"/>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通知书领取</w:t>
            </w:r>
          </w:p>
        </w:tc>
        <w:tc>
          <w:tcPr>
            <w:tcW w:w="5866" w:type="dxa"/>
            <w:tcBorders>
              <w:top w:val="single" w:color="auto" w:sz="6" w:space="0"/>
              <w:left w:val="single" w:color="auto" w:sz="6" w:space="0"/>
              <w:bottom w:val="single" w:color="auto" w:sz="6" w:space="0"/>
            </w:tcBorders>
            <w:noWrap w:val="0"/>
            <w:vAlign w:val="center"/>
          </w:tcPr>
          <w:p>
            <w:pPr>
              <w:pStyle w:val="17"/>
              <w:keepNext w:val="0"/>
              <w:keepLines w:val="0"/>
              <w:pageBreakBefore w:val="0"/>
              <w:kinsoku/>
              <w:wordWrap/>
              <w:overflowPunct/>
              <w:topLinePunct w:val="0"/>
              <w:bidi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接采购代理机构通知后，成交供应商应凭有效身份证明证件及招标代理服务费交纳凭证到</w:t>
            </w:r>
            <w:r>
              <w:rPr>
                <w:rFonts w:hint="eastAsia" w:asciiTheme="minorEastAsia" w:hAnsiTheme="minorEastAsia" w:eastAsiaTheme="minorEastAsia" w:cstheme="minorEastAsia"/>
                <w:color w:val="000000" w:themeColor="text1"/>
                <w:sz w:val="24"/>
                <w:u w:val="none"/>
                <w:lang w:eastAsia="zh-CN"/>
                <w14:textFill>
                  <w14:solidFill>
                    <w14:schemeClr w14:val="tx1"/>
                  </w14:solidFill>
                </w14:textFill>
              </w:rPr>
              <w:t>成都长源工程咨询有限公司</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领取成交通知书。</w:t>
            </w:r>
          </w:p>
          <w:p>
            <w:pPr>
              <w:pStyle w:val="17"/>
              <w:keepNext w:val="0"/>
              <w:keepLines w:val="0"/>
              <w:pageBreakBefore w:val="0"/>
              <w:kinsoku/>
              <w:wordWrap/>
              <w:overflowPunct/>
              <w:topLinePunct w:val="0"/>
              <w:bidi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联系人：张黎</w:t>
            </w:r>
          </w:p>
          <w:p>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联系电话：</w:t>
            </w:r>
            <w:r>
              <w:rPr>
                <w:rFonts w:hint="eastAsia" w:asciiTheme="minorEastAsia" w:hAnsiTheme="minorEastAsia" w:eastAsiaTheme="minorEastAsia" w:cstheme="minorEastAsia"/>
                <w:kern w:val="0"/>
                <w:sz w:val="24"/>
                <w:lang w:bidi="ar"/>
              </w:rPr>
              <w:t>028-86026626</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地址：</w:t>
            </w:r>
            <w:r>
              <w:rPr>
                <w:rFonts w:hint="eastAsia" w:asciiTheme="minorEastAsia" w:hAnsiTheme="minorEastAsia" w:eastAsiaTheme="minorEastAsia" w:cstheme="minorEastAsia"/>
                <w:b w:val="0"/>
                <w:bCs/>
                <w:color w:val="000000" w:themeColor="text1"/>
                <w:kern w:val="2"/>
                <w:sz w:val="24"/>
                <w:szCs w:val="24"/>
                <w:lang w:val="en-US" w:eastAsia="zh-CN"/>
                <w14:textFill>
                  <w14:solidFill>
                    <w14:schemeClr w14:val="tx1"/>
                  </w14:solidFill>
                </w14:textFill>
              </w:rPr>
              <w:t>成都市武侯区环球中心E5区1502-1508号</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21</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17"/>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政府采购合同</w:t>
            </w:r>
          </w:p>
          <w:p>
            <w:pPr>
              <w:pStyle w:val="17"/>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公告备案</w:t>
            </w:r>
          </w:p>
        </w:tc>
        <w:tc>
          <w:tcPr>
            <w:tcW w:w="5866" w:type="dxa"/>
            <w:tcBorders>
              <w:top w:val="single" w:color="auto" w:sz="6" w:space="0"/>
              <w:left w:val="single" w:color="auto" w:sz="6" w:space="0"/>
              <w:bottom w:val="single" w:color="auto" w:sz="6" w:space="0"/>
            </w:tcBorders>
            <w:noWrap w:val="0"/>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政府采购合同签订之日起2个工作日内，政府采购合同将在四川政府采购网公告；政府采购合同签订之日起七个工作日内，政府采购合同将向采购项目同级财政部门备案。</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2、违规签订政府采购合同将依法追究法律责任。</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17"/>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22</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lang w:val="zh-CN"/>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产品强制认证</w:t>
            </w:r>
          </w:p>
          <w:p>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（如涉及）</w:t>
            </w:r>
          </w:p>
        </w:tc>
        <w:tc>
          <w:tcPr>
            <w:tcW w:w="5866"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t>按照《强制性产品认证管理规定》，如供应商所投产品属于国家质检总局、国家认监委联合发布强制性产品认证最新目录，则必须在响应文件中提供所投产品有效期内的产品强制认证证书（实质性要求）。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pStyle w:val="17"/>
              <w:keepNext w:val="0"/>
              <w:keepLines w:val="0"/>
              <w:pageBreakBefore w:val="0"/>
              <w:widowControl w:val="0"/>
              <w:kinsoku/>
              <w:overflowPunct/>
              <w:topLinePunct w:val="0"/>
              <w:bidi w:val="0"/>
              <w:snapToGrid/>
              <w:spacing w:line="360" w:lineRule="auto"/>
              <w:ind w:left="0" w:leftChars="0" w:right="0" w:rightChars="0"/>
              <w:jc w:val="center"/>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23</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lang w:val="zh-CN"/>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强制节能采购</w:t>
            </w:r>
          </w:p>
          <w:p>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lang w:val="zh-CN"/>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（实质性要求）</w:t>
            </w:r>
          </w:p>
          <w:p>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（如涉及）</w:t>
            </w:r>
          </w:p>
        </w:tc>
        <w:tc>
          <w:tcPr>
            <w:tcW w:w="5866" w:type="dxa"/>
            <w:tcBorders>
              <w:top w:val="single" w:color="auto" w:sz="6" w:space="0"/>
              <w:left w:val="single" w:color="auto" w:sz="6" w:space="0"/>
              <w:bottom w:val="single" w:color="auto" w:sz="6"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lang w:val="zh-CN"/>
                <w14:textFill>
                  <w14:solidFill>
                    <w14:schemeClr w14:val="tx1"/>
                  </w14:solidFill>
                </w14:textFill>
              </w:rPr>
              <w:t>根据财政部发布的《财政部 发展改革委 生态环境部市场监管总局关于调整优化节能产品、环境标志产品政府采购执行机制的通知》（财库〔2019〕9号）的规定，财政部、发展改革委、生态环境部等部门根据产品节能环保性能、技术水平和市场成熟程度等因素，确定实施强制采购的产品类别及所依据的相关标准规范的品目清单，如供应商销售的产品的品目属于政府采购强制节能品目清单，则必须在投标（响应）文件中提供依据国家确定的认证机构出具的、处于有效期之内的强制节能产品认证证书复印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24</w:t>
            </w:r>
          </w:p>
        </w:tc>
        <w:tc>
          <w:tcPr>
            <w:tcW w:w="2208" w:type="dxa"/>
            <w:tcBorders>
              <w:left w:val="single" w:color="auto" w:sz="6" w:space="0"/>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kern w:val="2"/>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关于磋商文件规定的时间释义</w:t>
            </w:r>
          </w:p>
        </w:tc>
        <w:tc>
          <w:tcPr>
            <w:tcW w:w="5866" w:type="dxa"/>
            <w:tcBorders>
              <w:top w:val="single" w:color="auto" w:sz="6" w:space="0"/>
              <w:left w:val="single" w:color="auto" w:sz="6"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kern w:val="2"/>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本项目磋商文件中规定的时间均以北京时间为准。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25</w:t>
            </w:r>
          </w:p>
        </w:tc>
        <w:tc>
          <w:tcPr>
            <w:tcW w:w="2208" w:type="dxa"/>
            <w:tcBorders>
              <w:left w:val="single" w:color="auto" w:sz="6" w:space="0"/>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落实政策</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kern w:val="0"/>
                <w:sz w:val="24"/>
                <w:szCs w:val="24"/>
                <w:lang w:val="zh-CN" w:eastAsia="zh-CN" w:bidi="ar"/>
                <w14:textFill>
                  <w14:solidFill>
                    <w14:schemeClr w14:val="tx1"/>
                  </w14:solidFill>
                </w14:textFill>
              </w:rPr>
            </w:pPr>
          </w:p>
        </w:tc>
        <w:tc>
          <w:tcPr>
            <w:tcW w:w="5866" w:type="dxa"/>
            <w:tcBorders>
              <w:top w:val="single" w:color="auto" w:sz="6" w:space="0"/>
              <w:left w:val="single" w:color="auto" w:sz="6"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zh-CN"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优先采购：节能、环境标志、无线局域网产品（如有）、扶持不发达地区和少数民族地区、扶持中小企业发展等目标。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26</w:t>
            </w:r>
          </w:p>
        </w:tc>
        <w:tc>
          <w:tcPr>
            <w:tcW w:w="2208" w:type="dxa"/>
            <w:tcBorders>
              <w:left w:val="single" w:color="auto" w:sz="6" w:space="0"/>
              <w:bottom w:val="single" w:color="auto" w:sz="4" w:space="0"/>
              <w:right w:val="single" w:color="auto" w:sz="6" w:space="0"/>
            </w:tcBorders>
            <w:noWrap w:val="0"/>
            <w:vAlign w:val="center"/>
          </w:tcPr>
          <w:p>
            <w:pPr>
              <w:keepNext w:val="0"/>
              <w:keepLines w:val="0"/>
              <w:pageBreakBefore w:val="0"/>
              <w:widowControl/>
              <w:suppressLineNumbers w:val="0"/>
              <w:kinsoku/>
              <w:overflowPunct/>
              <w:topLinePunct w:val="0"/>
              <w:bidi w:val="0"/>
              <w:spacing w:line="36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履约验收</w:t>
            </w:r>
          </w:p>
          <w:p>
            <w:pPr>
              <w:keepNext w:val="0"/>
              <w:keepLines w:val="0"/>
              <w:pageBreakBefore w:val="0"/>
              <w:widowControl/>
              <w:suppressLineNumbers w:val="0"/>
              <w:kinsoku/>
              <w:overflowPunct/>
              <w:topLinePunct w:val="0"/>
              <w:bidi w:val="0"/>
              <w:spacing w:line="36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标准和要求</w:t>
            </w:r>
          </w:p>
          <w:p>
            <w:pPr>
              <w:keepNext w:val="0"/>
              <w:keepLines w:val="0"/>
              <w:pageBreakBefore w:val="0"/>
              <w:widowControl/>
              <w:suppressLineNumbers w:val="0"/>
              <w:kinsoku/>
              <w:overflowPunct/>
              <w:topLinePunct w:val="0"/>
              <w:bidi w:val="0"/>
              <w:spacing w:line="360" w:lineRule="auto"/>
              <w:jc w:val="center"/>
              <w:textAlignment w:val="auto"/>
              <w:rPr>
                <w:rFonts w:hint="eastAsia" w:asciiTheme="minorEastAsia" w:hAnsiTheme="minorEastAsia" w:eastAsiaTheme="minorEastAsia" w:cstheme="minorEastAsia"/>
                <w:color w:val="000000" w:themeColor="text1"/>
                <w:kern w:val="0"/>
                <w:sz w:val="24"/>
                <w:szCs w:val="24"/>
                <w:lang w:val="zh-CN" w:eastAsia="zh-CN" w:bidi="ar"/>
                <w14:textFill>
                  <w14:solidFill>
                    <w14:schemeClr w14:val="tx1"/>
                  </w14:solidFill>
                </w14:textFill>
              </w:rPr>
            </w:pPr>
          </w:p>
        </w:tc>
        <w:tc>
          <w:tcPr>
            <w:tcW w:w="5866" w:type="dxa"/>
            <w:tcBorders>
              <w:top w:val="single" w:color="auto" w:sz="6" w:space="0"/>
              <w:left w:val="single" w:color="auto" w:sz="6" w:space="0"/>
              <w:bottom w:val="single" w:color="auto" w:sz="4" w:space="0"/>
            </w:tcBorders>
            <w:noWrap w:val="0"/>
            <w:vAlign w:val="center"/>
          </w:tcPr>
          <w:p>
            <w:pPr>
              <w:keepNext w:val="0"/>
              <w:keepLines w:val="0"/>
              <w:pageBreakBefore w:val="0"/>
              <w:widowControl/>
              <w:suppressLineNumbers w:val="0"/>
              <w:kinsoku/>
              <w:wordWrap w:val="0"/>
              <w:overflowPunct/>
              <w:topLinePunct w:val="0"/>
              <w:bidi w:val="0"/>
              <w:spacing w:line="360" w:lineRule="auto"/>
              <w:ind w:firstLine="480" w:firstLineChars="200"/>
              <w:jc w:val="left"/>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auto"/>
                <w:kern w:val="0"/>
                <w:sz w:val="24"/>
                <w:szCs w:val="24"/>
                <w:highlight w:val="none"/>
                <w:lang w:val="en-US" w:eastAsia="zh-CN" w:bidi="ar"/>
              </w:rPr>
              <w:t>本项目将严格按照</w:t>
            </w:r>
            <w:r>
              <w:rPr>
                <w:rFonts w:hint="eastAsia" w:asciiTheme="minorEastAsia" w:hAnsiTheme="minorEastAsia" w:eastAsiaTheme="minorEastAsia" w:cstheme="minorEastAsia"/>
                <w:kern w:val="0"/>
                <w:sz w:val="24"/>
              </w:rPr>
              <w:t>《财政部关于进一步加强政府采购需求和履约验收管理的指导意见》财库〔2016〕205号</w:t>
            </w:r>
            <w:r>
              <w:rPr>
                <w:rFonts w:hint="eastAsia" w:asciiTheme="minorEastAsia" w:hAnsiTheme="minorEastAsia" w:eastAsiaTheme="minorEastAsia" w:cstheme="minorEastAsia"/>
                <w:color w:val="auto"/>
                <w:kern w:val="0"/>
                <w:sz w:val="24"/>
                <w:szCs w:val="24"/>
                <w:highlight w:val="none"/>
                <w:lang w:val="en-US" w:eastAsia="zh-CN" w:bidi="ar"/>
              </w:rPr>
              <w:t xml:space="preserve">的要求进行验收，并结合本项目的磋商文件、响应文件及澄清（变更）文件的约定执行。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27</w:t>
            </w:r>
          </w:p>
        </w:tc>
        <w:tc>
          <w:tcPr>
            <w:tcW w:w="2208" w:type="dxa"/>
            <w:tcBorders>
              <w:left w:val="single" w:color="auto" w:sz="6" w:space="0"/>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kern w:val="0"/>
                <w:sz w:val="24"/>
                <w:szCs w:val="24"/>
                <w:lang w:val="zh-CN"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声明承诺提醒</w:t>
            </w:r>
          </w:p>
        </w:tc>
        <w:tc>
          <w:tcPr>
            <w:tcW w:w="5866" w:type="dxa"/>
            <w:tcBorders>
              <w:top w:val="single" w:color="auto" w:sz="6" w:space="0"/>
              <w:left w:val="single" w:color="auto" w:sz="6"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供应商响应文件中提供的各种声明和承诺应当真实有效，无效声明和承诺、虚假声明和承诺将由供应商自己承担由此带来的任何不利后果，虚假声明和承诺还将报告监管部门追究法律责任。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4"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28</w:t>
            </w:r>
          </w:p>
        </w:tc>
        <w:tc>
          <w:tcPr>
            <w:tcW w:w="2208" w:type="dxa"/>
            <w:tcBorders>
              <w:left w:val="single" w:color="auto" w:sz="6" w:space="0"/>
              <w:bottom w:val="sing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snapToGrid/>
              <w:spacing w:line="360" w:lineRule="auto"/>
              <w:ind w:left="0" w:leftChars="0" w:right="0" w:rightChars="0"/>
              <w:jc w:val="center"/>
              <w:textAlignment w:val="auto"/>
              <w:outlineLvl w:val="9"/>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供应商信用融资</w:t>
            </w:r>
          </w:p>
        </w:tc>
        <w:tc>
          <w:tcPr>
            <w:tcW w:w="5866" w:type="dxa"/>
            <w:tcBorders>
              <w:top w:val="single" w:color="auto" w:sz="6" w:space="0"/>
              <w:left w:val="single" w:color="auto" w:sz="6" w:space="0"/>
              <w:bottom w:val="single" w:color="auto" w:sz="4" w:space="0"/>
            </w:tcBorders>
            <w:noWrap w:val="0"/>
            <w:vAlign w:val="center"/>
          </w:tcPr>
          <w:p>
            <w:pPr>
              <w:keepNext w:val="0"/>
              <w:keepLines w:val="0"/>
              <w:pageBreakBefore w:val="0"/>
              <w:widowControl/>
              <w:numPr>
                <w:ilvl w:val="0"/>
                <w:numId w:val="3"/>
              </w:numPr>
              <w:suppressLineNumbers w:val="0"/>
              <w:kinsoku/>
              <w:wordWrap w:val="0"/>
              <w:overflowPunct/>
              <w:topLinePunct w:val="0"/>
              <w:autoSpaceDE/>
              <w:autoSpaceDN/>
              <w:bidi w:val="0"/>
              <w:adjustRightInd/>
              <w:snapToGrid/>
              <w:spacing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政府采购供应商信用融资，是指银行以政府采购供应商信用审查和政府采购信誉为基础，依托政府采购合同，按优于一般企业的贷款程序和利率，直接向申请贷款的供应商发放无财产抵押贷款的一种融资模式。  2、四川省正在推进政府采购供应商信用融资工作，相关要求详见《四川省财政厅关于推进四川省政府采购供应商信用融资工作的通知》（川财采〔2018〕123号）、《成都市中小企业政府采购信用融资暂行办法》（成财采〔2019〕17 号） 等有关规定，上述文件请在四川政府采购网查询。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2" w:hRule="atLeast"/>
          <w:jc w:val="center"/>
        </w:trPr>
        <w:tc>
          <w:tcPr>
            <w:tcW w:w="8784" w:type="dxa"/>
            <w:gridSpan w:val="3"/>
            <w:tcBorders>
              <w:top w:val="single" w:color="auto" w:sz="4" w:space="0"/>
              <w:bottom w:val="single" w:color="auto" w:sz="4" w:space="0"/>
            </w:tcBorders>
            <w:noWrap w:val="0"/>
            <w:vAlign w:val="center"/>
          </w:tcPr>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outlineLvl w:val="9"/>
              <w:rPr>
                <w:rFonts w:hint="eastAsia" w:asciiTheme="minorEastAsia" w:hAnsiTheme="minorEastAsia" w:eastAsiaTheme="minorEastAsia" w:cs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备注：若磋商文件中其他内容与供应商须知附表内容不一致的，以供应商须知附表为准。</w:t>
            </w:r>
          </w:p>
        </w:tc>
      </w:tr>
    </w:tbl>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p>
    <w:p>
      <w:pPr>
        <w:pStyle w:val="4"/>
        <w:keepNext w:val="0"/>
        <w:keepLines w:val="0"/>
        <w:spacing w:before="0" w:after="0" w:line="400" w:lineRule="exact"/>
        <w:jc w:val="center"/>
        <w:rPr>
          <w:rFonts w:hint="eastAsia" w:asciiTheme="minorEastAsia" w:hAnsiTheme="minorEastAsia" w:eastAsiaTheme="minorEastAsia" w:cstheme="minorEastAsia"/>
          <w:bCs w:val="0"/>
          <w:color w:val="000000" w:themeColor="text1"/>
          <w14:textFill>
            <w14:solidFill>
              <w14:schemeClr w14:val="tx1"/>
            </w14:solidFill>
          </w14:textFill>
        </w:rPr>
      </w:pPr>
      <w:bookmarkStart w:id="14" w:name="_Toc15100"/>
      <w:bookmarkStart w:id="15" w:name="_Toc4183"/>
      <w:r>
        <w:rPr>
          <w:rFonts w:hint="eastAsia" w:asciiTheme="minorEastAsia" w:hAnsiTheme="minorEastAsia" w:eastAsiaTheme="minorEastAsia" w:cstheme="minorEastAsia"/>
          <w:bCs w:val="0"/>
          <w:color w:val="000000" w:themeColor="text1"/>
          <w14:textFill>
            <w14:solidFill>
              <w14:schemeClr w14:val="tx1"/>
            </w14:solidFill>
          </w14:textFill>
        </w:rPr>
        <w:t>二、总  则</w:t>
      </w:r>
      <w:bookmarkEnd w:id="14"/>
      <w:bookmarkEnd w:id="15"/>
    </w:p>
    <w:p>
      <w:pPr>
        <w:rPr>
          <w:rFonts w:hint="eastAsia" w:asciiTheme="minorEastAsia" w:hAnsiTheme="minorEastAsia" w:eastAsiaTheme="minorEastAsia" w:cstheme="minorEastAsia"/>
          <w:color w:val="000000" w:themeColor="text1"/>
          <w14:textFill>
            <w14:solidFill>
              <w14:schemeClr w14:val="tx1"/>
            </w14:solidFill>
          </w14:textFill>
        </w:rPr>
      </w:pPr>
      <w:bookmarkStart w:id="16" w:name="_Toc183682342"/>
      <w:bookmarkStart w:id="17" w:name="_Toc183582205"/>
      <w:bookmarkStart w:id="18" w:name="_Toc217446034"/>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w:t>
      </w:r>
      <w:bookmarkEnd w:id="16"/>
      <w:bookmarkEnd w:id="17"/>
      <w:r>
        <w:rPr>
          <w:rFonts w:hint="eastAsia" w:asciiTheme="minorEastAsia" w:hAnsiTheme="minorEastAsia" w:eastAsiaTheme="minorEastAsia" w:cstheme="minorEastAsia"/>
          <w:b/>
          <w:bCs/>
          <w:color w:val="000000" w:themeColor="text1"/>
          <w:sz w:val="24"/>
          <w:szCs w:val="24"/>
          <w14:textFill>
            <w14:solidFill>
              <w14:schemeClr w14:val="tx1"/>
            </w14:solidFill>
          </w14:textFill>
        </w:rPr>
        <w:t>适用范围</w:t>
      </w:r>
      <w:bookmarkEnd w:id="18"/>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 本磋商文件仅适用于本次磋商所叙述的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14:textFill>
            <w14:solidFill>
              <w14:schemeClr w14:val="tx1"/>
            </w14:solidFill>
          </w14:textFill>
        </w:rPr>
        <w:t>采购。</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本磋商文件的解释权归采购人和采购代理机构所有。</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14:textFill>
            <w14:solidFill>
              <w14:schemeClr w14:val="tx1"/>
            </w14:solidFill>
          </w14:textFill>
        </w:rPr>
      </w:pPr>
      <w:bookmarkStart w:id="19" w:name="_Toc217446035"/>
      <w:bookmarkStart w:id="20" w:name="_Toc183682343"/>
      <w:bookmarkStart w:id="21" w:name="_Toc183582206"/>
      <w:r>
        <w:rPr>
          <w:rFonts w:hint="eastAsia" w:asciiTheme="minorEastAsia" w:hAnsiTheme="minorEastAsia" w:eastAsiaTheme="minorEastAsia" w:cstheme="minorEastAsia"/>
          <w:b/>
          <w:bCs/>
          <w:color w:val="000000" w:themeColor="text1"/>
          <w:sz w:val="24"/>
          <w14:textFill>
            <w14:solidFill>
              <w14:schemeClr w14:val="tx1"/>
            </w14:solidFill>
          </w14:textFill>
        </w:rPr>
        <w:t>2.</w:t>
      </w:r>
      <w:bookmarkEnd w:id="19"/>
      <w:bookmarkEnd w:id="20"/>
      <w:bookmarkEnd w:id="21"/>
      <w:r>
        <w:rPr>
          <w:rFonts w:hint="eastAsia" w:asciiTheme="minorEastAsia" w:hAnsiTheme="minorEastAsia" w:eastAsiaTheme="minorEastAsia" w:cstheme="minorEastAsia"/>
          <w:b/>
          <w:bCs/>
          <w:color w:val="000000" w:themeColor="text1"/>
          <w:sz w:val="24"/>
          <w14:textFill>
            <w14:solidFill>
              <w14:schemeClr w14:val="tx1"/>
            </w14:solidFill>
          </w14:textFill>
        </w:rPr>
        <w:t>采购主体</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本次磋商的采购人是</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成都市东部新区水务监管事务中心</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本次磋商的采购代理机构是</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成都长源工程咨询有限公司</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14:textFill>
            <w14:solidFill>
              <w14:schemeClr w14:val="tx1"/>
            </w14:solidFill>
          </w14:textFill>
        </w:rPr>
      </w:pPr>
      <w:bookmarkStart w:id="22" w:name="_Toc217390843"/>
      <w:bookmarkStart w:id="23" w:name="_Toc183682344"/>
      <w:bookmarkStart w:id="24" w:name="_Toc183582207"/>
      <w:bookmarkStart w:id="25" w:name="_Toc217446036"/>
      <w:r>
        <w:rPr>
          <w:rFonts w:hint="eastAsia" w:asciiTheme="minorEastAsia" w:hAnsiTheme="minorEastAsia" w:eastAsiaTheme="minorEastAsia" w:cstheme="minorEastAsia"/>
          <w:b/>
          <w:bCs/>
          <w:color w:val="000000" w:themeColor="text1"/>
          <w:sz w:val="24"/>
          <w14:textFill>
            <w14:solidFill>
              <w14:schemeClr w14:val="tx1"/>
            </w14:solidFill>
          </w14:textFill>
        </w:rPr>
        <w:t>3. 合格</w:t>
      </w:r>
      <w:bookmarkEnd w:id="22"/>
      <w:bookmarkEnd w:id="23"/>
      <w:bookmarkEnd w:id="24"/>
      <w:bookmarkEnd w:id="25"/>
      <w:r>
        <w:rPr>
          <w:rFonts w:hint="eastAsia" w:asciiTheme="minorEastAsia" w:hAnsiTheme="minorEastAsia" w:eastAsiaTheme="minorEastAsia" w:cstheme="minorEastAsia"/>
          <w:b/>
          <w:bCs/>
          <w:color w:val="000000" w:themeColor="text1"/>
          <w:sz w:val="24"/>
          <w14:textFill>
            <w14:solidFill>
              <w14:schemeClr w14:val="tx1"/>
            </w14:solidFill>
          </w14:textFill>
        </w:rPr>
        <w:t>供应商（实质性要求）</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合格供应商应具备以下条件：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pacing w:val="-4"/>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3.1</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具备法律法规和本采购文件规定的资格条件</w:t>
      </w:r>
      <w:r>
        <w:rPr>
          <w:rFonts w:hint="eastAsia" w:asciiTheme="minorEastAsia" w:hAnsiTheme="minorEastAsia" w:eastAsiaTheme="minorEastAsia" w:cstheme="minorEastAsia"/>
          <w:color w:val="000000" w:themeColor="text1"/>
          <w:spacing w:val="-4"/>
          <w:sz w:val="24"/>
          <w14:textFill>
            <w14:solidFill>
              <w14:schemeClr w14:val="tx1"/>
            </w14:solidFill>
          </w14:textFill>
        </w:rPr>
        <w:t>；</w:t>
      </w:r>
      <w:r>
        <w:rPr>
          <w:rFonts w:hint="eastAsia" w:asciiTheme="minorEastAsia" w:hAnsiTheme="minorEastAsia" w:eastAsiaTheme="minorEastAsia" w:cstheme="minorEastAsia"/>
          <w:color w:val="000000" w:themeColor="text1"/>
          <w:spacing w:val="-4"/>
          <w:sz w:val="24"/>
          <w:lang w:val="en-US" w:eastAsia="zh-CN"/>
          <w14:textFill>
            <w14:solidFill>
              <w14:schemeClr w14:val="tx1"/>
            </w14:solidFill>
          </w14:textFill>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64" w:firstLineChars="200"/>
        <w:jc w:val="both"/>
        <w:textAlignment w:val="auto"/>
        <w:outlineLvl w:val="9"/>
        <w:rPr>
          <w:rFonts w:hint="eastAsia" w:asciiTheme="minorEastAsia" w:hAnsiTheme="minorEastAsia" w:eastAsiaTheme="minorEastAsia" w:cstheme="minorEastAsia"/>
          <w:color w:val="000000" w:themeColor="text1"/>
          <w:spacing w:val="-4"/>
          <w:sz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14:textFill>
            <w14:solidFill>
              <w14:schemeClr w14:val="tx1"/>
            </w14:solidFill>
          </w14:textFill>
        </w:rPr>
        <w:t>3.2</w:t>
      </w:r>
      <w:r>
        <w:rPr>
          <w:rFonts w:hint="eastAsia" w:asciiTheme="minorEastAsia" w:hAnsiTheme="minorEastAsia" w:eastAsiaTheme="minorEastAsia" w:cstheme="minorEastAsia"/>
          <w:color w:val="000000" w:themeColor="text1"/>
          <w:spacing w:val="-4"/>
          <w:sz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14:textFill>
            <w14:solidFill>
              <w14:schemeClr w14:val="tx1"/>
            </w14:solidFill>
          </w14:textFill>
        </w:rPr>
        <w:t>不属于禁止参加本项目采购活动的供应商；</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64" w:firstLineChars="200"/>
        <w:jc w:val="both"/>
        <w:textAlignment w:val="auto"/>
        <w:outlineLvl w:val="9"/>
        <w:rPr>
          <w:rFonts w:hint="eastAsia" w:asciiTheme="minorEastAsia" w:hAnsiTheme="minorEastAsia" w:eastAsiaTheme="minorEastAsia" w:cstheme="minorEastAsia"/>
          <w:color w:val="000000" w:themeColor="text1"/>
          <w:spacing w:val="-4"/>
          <w:sz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14:textFill>
            <w14:solidFill>
              <w14:schemeClr w14:val="tx1"/>
            </w14:solidFill>
          </w14:textFill>
        </w:rPr>
        <w:t>3.3</w:t>
      </w:r>
      <w:r>
        <w:rPr>
          <w:rFonts w:hint="eastAsia" w:asciiTheme="minorEastAsia" w:hAnsiTheme="minorEastAsia" w:eastAsiaTheme="minorEastAsia" w:cstheme="minorEastAsia"/>
          <w:color w:val="000000" w:themeColor="text1"/>
          <w:spacing w:val="-4"/>
          <w:sz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14:textFill>
            <w14:solidFill>
              <w14:schemeClr w14:val="tx1"/>
            </w14:solidFill>
          </w14:textFill>
        </w:rPr>
        <w:t>按照规定</w:t>
      </w:r>
      <w:r>
        <w:rPr>
          <w:rFonts w:hint="eastAsia" w:asciiTheme="minorEastAsia" w:hAnsiTheme="minorEastAsia" w:eastAsiaTheme="minorEastAsia" w:cstheme="minorEastAsia"/>
          <w:color w:val="000000" w:themeColor="text1"/>
          <w:sz w:val="24"/>
          <w14:textFill>
            <w14:solidFill>
              <w14:schemeClr w14:val="tx1"/>
            </w14:solidFill>
          </w14:textFill>
        </w:rPr>
        <w:t>获取了磋商文件，属于实质性参加政府采购活动的供应商。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color w:val="000000" w:themeColor="text1"/>
          <w14:textFill>
            <w14:solidFill>
              <w14:schemeClr w14:val="tx1"/>
            </w14:solidFill>
          </w14:textFill>
        </w:rPr>
      </w:pPr>
      <w:bookmarkStart w:id="26" w:name="_Toc183682345"/>
      <w:bookmarkStart w:id="27" w:name="_Toc217446037"/>
      <w:bookmarkStart w:id="28" w:name="_Toc183582208"/>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4. 磋商费用</w:t>
      </w:r>
      <w:bookmarkEnd w:id="26"/>
      <w:bookmarkEnd w:id="27"/>
      <w:bookmarkEnd w:id="28"/>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themeColor="text1"/>
          <w:sz w:val="24"/>
          <w14:textFill>
            <w14:solidFill>
              <w14:schemeClr w14:val="tx1"/>
            </w14:solidFill>
          </w14:textFill>
        </w:rPr>
        <w:t>供应商应自行承担参加磋商活动的全部费用。</w:t>
      </w:r>
    </w:p>
    <w:p>
      <w:pPr>
        <w:pStyle w:val="21"/>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baseline"/>
        <w:rPr>
          <w:rFonts w:hint="eastAsia" w:asciiTheme="minorEastAsia" w:hAnsiTheme="minorEastAsia" w:eastAsiaTheme="minorEastAsia" w:cstheme="minorEastAsia"/>
          <w:b/>
          <w:color w:val="000000" w:themeColor="text1"/>
          <w:sz w:val="24"/>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baseline"/>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5.充分、公平竞争保障措施（实质性要求）</w:t>
      </w:r>
    </w:p>
    <w:p>
      <w:pPr>
        <w:pStyle w:val="21"/>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1"/>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5.2利害关系授权代表处理。两家以上的供应商不得在同一合同项下的采购项目中，委托同一个自然人、同一家庭的人员、同一单位的人员作为其授权代表，否则，其响应文件作为无效处理。</w:t>
      </w:r>
    </w:p>
    <w:p>
      <w:pPr>
        <w:pStyle w:val="21"/>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1"/>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14:textFill>
            <w14:solidFill>
              <w14:schemeClr w14:val="tx1"/>
            </w14:solidFill>
          </w14:textFill>
        </w:rPr>
        <w:t>供应商实际控制人或者中高级管理人员，同时是采购代理机构工作人员，不得参与本项目政府采购活动。</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14:textFill>
            <w14:solidFill>
              <w14:schemeClr w14:val="tx1"/>
            </w14:solidFill>
          </w14:textFill>
        </w:rPr>
        <w:t>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14:textFill>
            <w14:solidFill>
              <w14:schemeClr w14:val="tx1"/>
            </w14:solidFill>
          </w14:textFill>
        </w:rPr>
        <w:t>供应商与采购代理机构存在关联关系，或者是采购代理机构的母公司或子公司，不得参加本项目政府采购活动。</w:t>
      </w:r>
    </w:p>
    <w:p>
      <w:pPr>
        <w:pStyle w:val="21"/>
        <w:spacing w:line="360" w:lineRule="auto"/>
        <w:ind w:left="1"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14:textFill>
            <w14:solidFill>
              <w14:schemeClr w14:val="tx1"/>
            </w14:solidFill>
          </w14:textFill>
        </w:rPr>
        <w:t>回避。政府采购活动中，采购人员及相关人员与供应商有下列利害关系之一的，应当回避：</w:t>
      </w:r>
    </w:p>
    <w:p>
      <w:pPr>
        <w:pStyle w:val="21"/>
        <w:spacing w:line="360" w:lineRule="auto"/>
        <w:ind w:left="1"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（1）参加采购活动前3年内与供应商存在劳动关系；</w:t>
      </w:r>
    </w:p>
    <w:p>
      <w:pPr>
        <w:pStyle w:val="21"/>
        <w:spacing w:line="360" w:lineRule="auto"/>
        <w:ind w:left="1"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（2）参加采购活动前3年内担任供应商的董事、监事；</w:t>
      </w:r>
    </w:p>
    <w:p>
      <w:pPr>
        <w:pStyle w:val="21"/>
        <w:spacing w:line="360" w:lineRule="auto"/>
        <w:ind w:left="1"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（3）参加采购活动前3年内是供应商的控股股东或者实际控制人；</w:t>
      </w:r>
    </w:p>
    <w:p>
      <w:pPr>
        <w:pStyle w:val="21"/>
        <w:spacing w:line="360" w:lineRule="auto"/>
        <w:ind w:left="1"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（4）与供应商的法定代表人或者负责人有夫妻、直系血亲、三代以内旁系血亲或者近姻亲关系；</w:t>
      </w:r>
    </w:p>
    <w:p>
      <w:pPr>
        <w:pStyle w:val="21"/>
        <w:spacing w:line="360" w:lineRule="auto"/>
        <w:ind w:left="1"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（5）与供应商有其他可能影响政府采购活动公平、公正进行的关系。</w:t>
      </w:r>
    </w:p>
    <w:p>
      <w:pPr>
        <w:pStyle w:val="21"/>
        <w:spacing w:line="360" w:lineRule="auto"/>
        <w:ind w:left="1"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21"/>
        <w:spacing w:line="360" w:lineRule="auto"/>
        <w:ind w:left="1"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21"/>
        <w:spacing w:line="360" w:lineRule="auto"/>
        <w:ind w:left="1" w:firstLine="482"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p>
    <w:p>
      <w:pPr>
        <w:pStyle w:val="21"/>
        <w:spacing w:line="360" w:lineRule="auto"/>
        <w:ind w:left="1" w:firstLine="482"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6.联合体竞争性磋商（实质性要求）</w:t>
      </w:r>
    </w:p>
    <w:p>
      <w:pPr>
        <w:pStyle w:val="21"/>
        <w:spacing w:line="360" w:lineRule="auto"/>
        <w:ind w:left="1" w:firstLine="480" w:firstLineChars="200"/>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本项目</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不</w:t>
      </w:r>
      <w:r>
        <w:rPr>
          <w:rFonts w:hint="eastAsia" w:asciiTheme="minorEastAsia" w:hAnsiTheme="minorEastAsia" w:eastAsiaTheme="minorEastAsia" w:cstheme="minorEastAsia"/>
          <w:color w:val="000000" w:themeColor="text1"/>
          <w:sz w:val="24"/>
          <w14:textFill>
            <w14:solidFill>
              <w14:schemeClr w14:val="tx1"/>
            </w14:solidFill>
          </w14:textFill>
        </w:rPr>
        <w:t>接受联合体参与</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14:textFill>
            <w14:solidFill>
              <w14:schemeClr w14:val="tx1"/>
            </w14:solidFill>
          </w14:textFill>
        </w:rPr>
        <w:t>采购活动</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p>
    <w:p>
      <w:pPr>
        <w:pStyle w:val="21"/>
        <w:spacing w:line="360" w:lineRule="auto"/>
        <w:ind w:left="1" w:firstLine="480" w:firstLineChars="200"/>
        <w:rPr>
          <w:rFonts w:hint="eastAsia" w:asciiTheme="minorEastAsia" w:hAnsiTheme="minorEastAsia" w:eastAsiaTheme="minorEastAsia" w:cstheme="minorEastAsia"/>
          <w:color w:val="000000" w:themeColor="text1"/>
          <w:sz w:val="24"/>
          <w:lang w:eastAsia="zh-CN"/>
          <w14:textFill>
            <w14:solidFill>
              <w14:schemeClr w14:val="tx1"/>
            </w14:solidFill>
          </w14:textFill>
        </w:rPr>
      </w:pPr>
    </w:p>
    <w:p>
      <w:pPr>
        <w:pStyle w:val="21"/>
        <w:keepNext w:val="0"/>
        <w:keepLines w:val="0"/>
        <w:pageBreakBefore w:val="0"/>
        <w:widowControl w:val="0"/>
        <w:kinsoku/>
        <w:wordWrap/>
        <w:overflowPunct/>
        <w:topLinePunct w:val="0"/>
        <w:autoSpaceDE/>
        <w:autoSpaceDN/>
        <w:bidi w:val="0"/>
        <w:snapToGrid/>
        <w:spacing w:line="360" w:lineRule="auto"/>
        <w:ind w:left="1" w:firstLine="482" w:firstLineChars="200"/>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7.磋商保证金（实质性要求）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本项目不涉及。</w:t>
      </w:r>
    </w:p>
    <w:p>
      <w:pPr>
        <w:pStyle w:val="5"/>
        <w:spacing w:line="360" w:lineRule="auto"/>
        <w:rPr>
          <w:rFonts w:hint="eastAsia" w:asciiTheme="minorEastAsia" w:hAnsiTheme="minorEastAsia" w:eastAsiaTheme="minorEastAsia" w:cstheme="minorEastAsia"/>
          <w:lang w:eastAsia="zh-CN"/>
        </w:rPr>
      </w:pPr>
    </w:p>
    <w:p>
      <w:pPr>
        <w:spacing w:line="360" w:lineRule="auto"/>
        <w:ind w:firstLine="472" w:firstLineChars="196"/>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8.响应文件有效期（实质性要求）</w:t>
      </w:r>
    </w:p>
    <w:p>
      <w:pPr>
        <w:spacing w:line="360" w:lineRule="auto"/>
        <w:ind w:firstLine="470" w:firstLineChars="196"/>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8.1</w:t>
      </w:r>
      <w:r>
        <w:rPr>
          <w:rFonts w:hint="eastAsia" w:asciiTheme="minorEastAsia" w:hAnsiTheme="minorEastAsia" w:eastAsiaTheme="minorEastAsia" w:cstheme="minorEastAsia"/>
          <w:color w:val="000000" w:themeColor="text1"/>
          <w:sz w:val="24"/>
          <w14:textFill>
            <w14:solidFill>
              <w14:schemeClr w14:val="tx1"/>
            </w14:solidFill>
          </w14:textFill>
        </w:rPr>
        <w:t>本项目响应文件有效期为</w:t>
      </w:r>
      <w:r>
        <w:rPr>
          <w:rFonts w:hint="eastAsia" w:asciiTheme="minorEastAsia" w:hAnsiTheme="minorEastAsia" w:eastAsiaTheme="minorEastAsia" w:cstheme="minorEastAsia"/>
          <w:b/>
          <w:bCs/>
          <w:color w:val="000000" w:themeColor="text1"/>
          <w:sz w:val="24"/>
          <w14:textFill>
            <w14:solidFill>
              <w14:schemeClr w14:val="tx1"/>
            </w14:solidFill>
          </w14:textFill>
        </w:rPr>
        <w:t>递交磋商响应文件截止之日起</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90</w:t>
      </w:r>
      <w:r>
        <w:rPr>
          <w:rFonts w:hint="eastAsia" w:asciiTheme="minorEastAsia" w:hAnsiTheme="minorEastAsia" w:eastAsiaTheme="minorEastAsia" w:cstheme="minorEastAsia"/>
          <w:b/>
          <w:bCs/>
          <w:color w:val="000000" w:themeColor="text1"/>
          <w:sz w:val="24"/>
          <w14:textFill>
            <w14:solidFill>
              <w14:schemeClr w14:val="tx1"/>
            </w14:solidFill>
          </w14:textFill>
        </w:rPr>
        <w:t>天</w:t>
      </w:r>
      <w:r>
        <w:rPr>
          <w:rFonts w:hint="eastAsia" w:asciiTheme="minorEastAsia" w:hAnsiTheme="minorEastAsia" w:eastAsiaTheme="minorEastAsia" w:cstheme="minorEastAsia"/>
          <w:color w:val="000000" w:themeColor="text1"/>
          <w:sz w:val="24"/>
          <w14:textFill>
            <w14:solidFill>
              <w14:schemeClr w14:val="tx1"/>
            </w14:solidFill>
          </w14:textFill>
        </w:rPr>
        <w:t>。供应商响应文件中必须载明响应文件有效期，响应文件中载明的响应文件有效期可以长于磋商文件规定的期限，但不得短于磋商文件规定的期限。否则，其响应文件将作为无效处理。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8.2 因不可抗力事件，采购人可于响应文件有效期届满之前与供应商协商延长响应文件有效期。供应商拒绝延长响应文件有效期的，不得再参与该项目后续采购活动，但由此给供应商造成的损失，采购人可以自主决定是否可以给予适当补偿。供应商同意延长响应文件有效期的，不能修改响应文件。 </w:t>
      </w:r>
    </w:p>
    <w:p>
      <w:pPr>
        <w:spacing w:line="360" w:lineRule="auto"/>
        <w:ind w:firstLine="470" w:firstLineChars="196"/>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8.3 因采购人采购需求作出必要调整，采购人可于响应文件有效期届满之前与供应商协商延长响应文件有效期。供应商拒绝延长响应文件有效期的，不得再参与该项目后续采购活动，但由此给供应商造成的损失，采购人应当予以赔偿或者合理补偿。供应商同意延长响应文件有效期的，不能修改响应文件。</w:t>
      </w:r>
    </w:p>
    <w:p>
      <w:pPr>
        <w:pStyle w:val="6"/>
        <w:rPr>
          <w:rFonts w:hint="eastAsia" w:asciiTheme="minorEastAsia" w:hAnsiTheme="minorEastAsia" w:eastAsiaTheme="minorEastAsia" w:cstheme="minorEastAsia"/>
          <w:lang w:val="en-US" w:eastAsia="zh-CN"/>
        </w:rPr>
      </w:pPr>
    </w:p>
    <w:p>
      <w:pPr>
        <w:pStyle w:val="7"/>
        <w:spacing w:line="360" w:lineRule="auto"/>
        <w:ind w:firstLine="482"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9.</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知识产权（实质性要求）</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9.1</w:t>
      </w:r>
      <w:r>
        <w:rPr>
          <w:rFonts w:hint="eastAsia" w:asciiTheme="minorEastAsia" w:hAnsiTheme="minorEastAsia" w:eastAsiaTheme="minorEastAsia" w:cstheme="minorEastAsia"/>
          <w:color w:val="000000" w:themeColor="text1"/>
          <w:sz w:val="24"/>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Theme="minorEastAsia" w:hAnsiTheme="minorEastAsia" w:eastAsiaTheme="minorEastAsia" w:cstheme="minorEastAsia"/>
          <w:color w:val="000000" w:themeColor="text1"/>
          <w:sz w:val="24"/>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承担所有相关责任。</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9.2 除非磋商文件特别规定，采购人享有本项目实施过程中产生的知识成果及知识产权。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9.4 如采用供应商所不拥有的知识产权，则在报价中必须包括合法获取该知识产权的相关费用。 </w:t>
      </w:r>
    </w:p>
    <w:p>
      <w:pPr>
        <w:pStyle w:val="4"/>
        <w:keepNext w:val="0"/>
        <w:keepLines w:val="0"/>
        <w:spacing w:before="0" w:after="0" w:line="360" w:lineRule="auto"/>
        <w:jc w:val="center"/>
        <w:rPr>
          <w:rFonts w:hint="eastAsia" w:asciiTheme="minorEastAsia" w:hAnsiTheme="minorEastAsia" w:eastAsiaTheme="minorEastAsia" w:cstheme="minorEastAsia"/>
          <w:bCs w:val="0"/>
          <w:color w:val="000000" w:themeColor="text1"/>
          <w14:textFill>
            <w14:solidFill>
              <w14:schemeClr w14:val="tx1"/>
            </w14:solidFill>
          </w14:textFill>
        </w:rPr>
      </w:pPr>
      <w:bookmarkStart w:id="29" w:name="_Toc10267"/>
      <w:bookmarkStart w:id="30" w:name="_Toc217446038"/>
      <w:bookmarkStart w:id="31" w:name="_Toc183582209"/>
      <w:bookmarkStart w:id="32" w:name="_Toc89075875"/>
      <w:bookmarkStart w:id="33" w:name="_Toc4808"/>
      <w:bookmarkStart w:id="34" w:name="_Toc77400779"/>
      <w:bookmarkStart w:id="35" w:name="_Toc183682346"/>
      <w:r>
        <w:rPr>
          <w:rFonts w:hint="eastAsia" w:asciiTheme="minorEastAsia" w:hAnsiTheme="minorEastAsia" w:eastAsiaTheme="minorEastAsia" w:cstheme="minorEastAsia"/>
          <w:bCs w:val="0"/>
          <w:color w:val="000000" w:themeColor="text1"/>
          <w14:textFill>
            <w14:solidFill>
              <w14:schemeClr w14:val="tx1"/>
            </w14:solidFill>
          </w14:textFill>
        </w:rPr>
        <w:t>三、磋商文件</w:t>
      </w:r>
      <w:bookmarkEnd w:id="29"/>
      <w:bookmarkEnd w:id="30"/>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14:textFill>
            <w14:solidFill>
              <w14:schemeClr w14:val="tx1"/>
            </w14:solidFill>
          </w14:textFill>
        </w:rPr>
      </w:pPr>
      <w:bookmarkStart w:id="36" w:name="_Toc183582210"/>
      <w:bookmarkStart w:id="37" w:name="_Toc217446039"/>
      <w:bookmarkStart w:id="38" w:name="_Toc183682347"/>
      <w:r>
        <w:rPr>
          <w:rFonts w:hint="eastAsia" w:asciiTheme="minorEastAsia" w:hAnsiTheme="minorEastAsia" w:eastAsiaTheme="minorEastAsia" w:cstheme="minorEastAsia"/>
          <w:b/>
          <w:bCs/>
          <w:color w:val="000000" w:themeColor="text1"/>
          <w:sz w:val="24"/>
          <w14:textFill>
            <w14:solidFill>
              <w14:schemeClr w14:val="tx1"/>
            </w14:solidFill>
          </w14:textFill>
        </w:rPr>
        <w:t>10．磋商文件的构成</w:t>
      </w:r>
      <w:bookmarkEnd w:id="36"/>
      <w:bookmarkEnd w:id="37"/>
      <w:bookmarkEnd w:id="38"/>
      <w:r>
        <w:rPr>
          <w:rFonts w:hint="eastAsia" w:asciiTheme="minorEastAsia" w:hAnsiTheme="minorEastAsia" w:eastAsiaTheme="minorEastAsia" w:cstheme="minorEastAsia"/>
          <w:b/>
          <w:bCs/>
          <w:color w:val="000000" w:themeColor="text1"/>
          <w:sz w:val="24"/>
          <w14:textFill>
            <w14:solidFill>
              <w14:schemeClr w14:val="tx1"/>
            </w14:solidFill>
          </w14:textFill>
        </w:rPr>
        <w:t>（实质性要求）</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w:t>
      </w:r>
      <w:r>
        <w:rPr>
          <w:rFonts w:hint="eastAsia" w:asciiTheme="minorEastAsia" w:hAnsiTheme="minorEastAsia" w:eastAsiaTheme="minorEastAsia" w:cstheme="minorEastAsia"/>
          <w:b/>
          <w:bCs/>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1</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磋商文件是供应商准备响应文件和参加磋商的依据，同时也是磋商的重要依据。磋商文件用以阐明磋商项目所需的资质、技术、服务及报价等要求、磋商程序、有关规定和注意事项以及合同主要条款等。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w:t>
      </w:r>
      <w:r>
        <w:rPr>
          <w:rFonts w:hint="eastAsia" w:asciiTheme="minorEastAsia" w:hAnsiTheme="minorEastAsia" w:eastAsiaTheme="minorEastAsia" w:cstheme="minorEastAsia"/>
          <w:b/>
          <w:bCs/>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2</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keepNext w:val="0"/>
        <w:keepLines w:val="0"/>
        <w:pageBreakBefore w:val="0"/>
        <w:widowControl w:val="0"/>
        <w:kinsoku/>
        <w:wordWrap/>
        <w:overflowPunct/>
        <w:topLinePunct w:val="0"/>
        <w:autoSpaceDE/>
        <w:autoSpaceDN/>
        <w:bidi w:val="0"/>
        <w:spacing w:line="360" w:lineRule="auto"/>
        <w:ind w:left="0" w:leftChars="0" w:right="0" w:rightChars="0"/>
        <w:jc w:val="both"/>
        <w:textAlignment w:val="auto"/>
        <w:outlineLvl w:val="9"/>
        <w:rPr>
          <w:rFonts w:hint="eastAsia" w:asciiTheme="minorEastAsia" w:hAnsiTheme="minorEastAsia" w:eastAsiaTheme="minorEastAsia" w:cstheme="minorEastAsia"/>
          <w:color w:val="000000" w:themeColor="text1"/>
          <w14:textFill>
            <w14:solidFill>
              <w14:schemeClr w14:val="tx1"/>
            </w14:solidFill>
          </w14:textFill>
        </w:rPr>
      </w:pPr>
      <w:bookmarkStart w:id="39" w:name="_Toc183682348"/>
      <w:bookmarkStart w:id="40" w:name="_Toc183582211"/>
      <w:bookmarkStart w:id="41" w:name="_Toc217446040"/>
    </w:p>
    <w:p>
      <w:pPr>
        <w:keepNext w:val="0"/>
        <w:keepLines w:val="0"/>
        <w:pageBreakBefore w:val="0"/>
        <w:widowControl w:val="0"/>
        <w:kinsoku/>
        <w:wordWrap/>
        <w:overflowPunct/>
        <w:topLinePunct w:val="0"/>
        <w:autoSpaceDE/>
        <w:autoSpaceDN/>
        <w:bidi w:val="0"/>
        <w:spacing w:before="0" w:after="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11. 磋商文件的澄清</w:t>
      </w:r>
      <w:bookmarkEnd w:id="39"/>
      <w:bookmarkEnd w:id="40"/>
      <w:r>
        <w:rPr>
          <w:rFonts w:hint="eastAsia" w:asciiTheme="minorEastAsia" w:hAnsiTheme="minorEastAsia" w:eastAsiaTheme="minorEastAsia" w:cstheme="minorEastAsia"/>
          <w:b/>
          <w:bCs/>
          <w:color w:val="000000" w:themeColor="text1"/>
          <w:sz w:val="24"/>
          <w14:textFill>
            <w14:solidFill>
              <w14:schemeClr w14:val="tx1"/>
            </w14:solidFill>
          </w14:textFill>
        </w:rPr>
        <w:t>和修改</w:t>
      </w:r>
      <w:bookmarkEnd w:id="41"/>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11.1 在递交响应文件截止时间前，采购人、采购代理机构可以对磋商文件进行澄清或者修改。</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11.2 采购代理机构对已发出的磋商文件进行澄清或者修改，应当以书面形式将澄清或者修改的内容通知所有购买了磋商文件的供应商，同时在</w:t>
      </w:r>
      <w:r>
        <w:rPr>
          <w:rFonts w:hint="eastAsia" w:asciiTheme="minorEastAsia" w:hAnsiTheme="minorEastAsia" w:eastAsiaTheme="minorEastAsia" w:cstheme="minorEastAsia"/>
          <w:bCs/>
          <w:color w:val="000000" w:themeColor="text1"/>
          <w:sz w:val="24"/>
          <w14:textFill>
            <w14:solidFill>
              <w14:schemeClr w14:val="tx1"/>
            </w14:solidFill>
          </w14:textFill>
        </w:rPr>
        <w:t>四川政府采购网（http://www.ccgp-sichuan.gov.cn）</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上</w:t>
      </w:r>
      <w:r>
        <w:rPr>
          <w:rFonts w:hint="eastAsia" w:asciiTheme="minorEastAsia" w:hAnsiTheme="minorEastAsia" w:eastAsiaTheme="minorEastAsia" w:cstheme="minorEastAsia"/>
          <w:color w:val="000000" w:themeColor="text1"/>
          <w:sz w:val="24"/>
          <w14:textFill>
            <w14:solidFill>
              <w14:schemeClr w14:val="tx1"/>
            </w14:solidFill>
          </w14:textFill>
        </w:rPr>
        <w:t>发布更正公告。该澄清或者修改的内容为磋商文件的组成部分，澄清或者修改的内容可能影响响应文件编制的，采购人或者采购代理机构发布公告并书面通知供应商的时间，应当在提交首次响应文件截止</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时间</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14:textFill>
            <w14:solidFill>
              <w14:schemeClr w14:val="tx1"/>
            </w14:solidFill>
          </w14:textFill>
        </w:rPr>
        <w:t>日前；不足上述时间的，应当顺延递交响应文件的截止时间。</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11.3</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lang w:val="en-US"/>
          <w14:textFill>
            <w14:solidFill>
              <w14:schemeClr w14:val="tx1"/>
            </w14:solidFill>
          </w14:textFill>
        </w:rPr>
        <w:t>要求对</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lang w:val="en-US"/>
          <w14:textFill>
            <w14:solidFill>
              <w14:schemeClr w14:val="tx1"/>
            </w14:solidFill>
          </w14:textFill>
        </w:rPr>
        <w:t>文件进行澄清的，均应按</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lang w:val="en-US"/>
          <w14:textFill>
            <w14:solidFill>
              <w14:schemeClr w14:val="tx1"/>
            </w14:solidFill>
          </w14:textFill>
        </w:rPr>
        <w:t>文件中的联系方式，以书面形式向采购人或者采购代理机构提出申请，但采购人或者采购代理机构可以决定是否采纳</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lang w:val="en-US"/>
          <w14:textFill>
            <w14:solidFill>
              <w14:schemeClr w14:val="tx1"/>
            </w14:solidFill>
          </w14:textFill>
        </w:rPr>
        <w:t>的申请事项。</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14:textFill>
            <w14:solidFill>
              <w14:schemeClr w14:val="tx1"/>
            </w14:solidFill>
          </w14:textFill>
        </w:rPr>
      </w:pPr>
      <w:bookmarkStart w:id="42" w:name="_Toc217446041"/>
      <w:bookmarkStart w:id="43" w:name="_Toc208848971"/>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12. 答疑会和现场考察</w:t>
      </w:r>
      <w:bookmarkEnd w:id="42"/>
      <w:bookmarkEnd w:id="4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12.1根据采购项目和具体情况，采购人、采购代理机构认为有必要，可以在磋商文件提供期限截止后响应文件提交截止前，组织已获取磋商文件的潜在供应商现场考察或者召开答疑会。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175"/>
        <w:jc w:val="both"/>
        <w:textAlignment w:val="auto"/>
        <w:outlineLvl w:val="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12.3 供应商考察现场或者参加答疑会所发生的一切费用由供应商自己承担。</w:t>
      </w:r>
      <w:bookmarkStart w:id="44" w:name="_Toc77400780"/>
      <w:bookmarkStart w:id="45" w:name="_Toc183682351"/>
      <w:bookmarkStart w:id="46" w:name="_Toc183582214"/>
      <w:bookmarkStart w:id="47" w:name="_Toc217446042"/>
      <w:bookmarkStart w:id="48" w:name="_Toc89075876"/>
    </w:p>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outlineLvl w:val="9"/>
        <w:rPr>
          <w:rFonts w:hint="eastAsia" w:asciiTheme="minorEastAsia" w:hAnsiTheme="minorEastAsia" w:eastAsiaTheme="minorEastAsia" w:cstheme="minorEastAsia"/>
          <w:bCs w:val="0"/>
          <w:color w:val="000000" w:themeColor="text1"/>
          <w14:textFill>
            <w14:solidFill>
              <w14:schemeClr w14:val="tx1"/>
            </w14:solidFill>
          </w14:textFill>
        </w:rPr>
      </w:pPr>
      <w:bookmarkStart w:id="49" w:name="_Toc30252"/>
      <w:bookmarkStart w:id="50" w:name="_Toc32285"/>
    </w:p>
    <w:p>
      <w:pPr>
        <w:pStyle w:val="4"/>
        <w:keepNext w:val="0"/>
        <w:keepLines w:val="0"/>
        <w:spacing w:before="0" w:after="0" w:line="360" w:lineRule="auto"/>
        <w:jc w:val="center"/>
        <w:rPr>
          <w:rFonts w:hint="eastAsia" w:asciiTheme="minorEastAsia" w:hAnsiTheme="minorEastAsia" w:eastAsiaTheme="minorEastAsia" w:cstheme="minorEastAsia"/>
          <w:bCs w:val="0"/>
          <w:color w:val="000000" w:themeColor="text1"/>
          <w14:textFill>
            <w14:solidFill>
              <w14:schemeClr w14:val="tx1"/>
            </w14:solidFill>
          </w14:textFill>
        </w:rPr>
      </w:pPr>
      <w:r>
        <w:rPr>
          <w:rFonts w:hint="eastAsia" w:asciiTheme="minorEastAsia" w:hAnsiTheme="minorEastAsia" w:eastAsiaTheme="minorEastAsia" w:cstheme="minorEastAsia"/>
          <w:bCs w:val="0"/>
          <w:color w:val="000000" w:themeColor="text1"/>
          <w14:textFill>
            <w14:solidFill>
              <w14:schemeClr w14:val="tx1"/>
            </w14:solidFill>
          </w14:textFill>
        </w:rPr>
        <w:t>四、响应文件</w:t>
      </w:r>
      <w:bookmarkEnd w:id="44"/>
      <w:bookmarkEnd w:id="45"/>
      <w:bookmarkEnd w:id="46"/>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14:textFill>
            <w14:solidFill>
              <w14:schemeClr w14:val="tx1"/>
            </w14:solidFill>
          </w14:textFill>
        </w:rPr>
      </w:pPr>
      <w:bookmarkStart w:id="51" w:name="_Toc183682352"/>
      <w:bookmarkStart w:id="52" w:name="_Toc217446043"/>
      <w:bookmarkStart w:id="53" w:name="_Toc183582215"/>
      <w:r>
        <w:rPr>
          <w:rFonts w:hint="eastAsia" w:asciiTheme="minorEastAsia" w:hAnsiTheme="minorEastAsia" w:eastAsiaTheme="minorEastAsia" w:cstheme="minorEastAsia"/>
          <w:b/>
          <w:bCs/>
          <w:color w:val="000000" w:themeColor="text1"/>
          <w:sz w:val="24"/>
          <w14:textFill>
            <w14:solidFill>
              <w14:schemeClr w14:val="tx1"/>
            </w14:solidFill>
          </w14:textFill>
        </w:rPr>
        <w:t>13.响应文件的组成（实质性要求）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资格性响应文件用于磋商小组资格性审查，其他响应文件用于供应商与磋商小组磋商。磋商文件中实质性要求的内容如果供应商不能在文件清楚明确体现的，应该以承诺函的方式进行响应，否则视为不满足实质性要求。</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2" w:firstLineChars="200"/>
        <w:jc w:val="both"/>
        <w:textAlignment w:val="auto"/>
        <w:outlineLvl w:val="9"/>
        <w:rPr>
          <w:rFonts w:hint="eastAsia" w:asciiTheme="minorEastAsia" w:hAnsiTheme="minorEastAsia" w:eastAsiaTheme="minorEastAsia" w:cstheme="minorEastAsia"/>
          <w:b/>
          <w:bCs w:val="0"/>
          <w:color w:val="000000" w:themeColor="text1"/>
          <w:sz w:val="24"/>
          <w14:textFill>
            <w14:solidFill>
              <w14:schemeClr w14:val="tx1"/>
            </w14:solidFill>
          </w14:textFill>
        </w:rPr>
      </w:pPr>
      <w:r>
        <w:rPr>
          <w:rFonts w:hint="eastAsia" w:asciiTheme="minorEastAsia" w:hAnsiTheme="minorEastAsia" w:eastAsiaTheme="minorEastAsia" w:cstheme="minorEastAsia"/>
          <w:b/>
          <w:bCs w:val="0"/>
          <w:color w:val="000000" w:themeColor="text1"/>
          <w:sz w:val="24"/>
          <w14:textFill>
            <w14:solidFill>
              <w14:schemeClr w14:val="tx1"/>
            </w14:solidFill>
          </w14:textFill>
        </w:rPr>
        <w:t>14.响应文件的语言</w:t>
      </w:r>
      <w:bookmarkEnd w:id="51"/>
      <w:bookmarkEnd w:id="52"/>
      <w:bookmarkEnd w:id="53"/>
      <w:r>
        <w:rPr>
          <w:rFonts w:hint="eastAsia" w:asciiTheme="minorEastAsia" w:hAnsiTheme="minorEastAsia" w:eastAsiaTheme="minorEastAsia" w:cstheme="minorEastAsia"/>
          <w:b/>
          <w:bCs w:val="0"/>
          <w:color w:val="000000" w:themeColor="text1"/>
          <w:sz w:val="24"/>
          <w14:textFill>
            <w14:solidFill>
              <w14:schemeClr w14:val="tx1"/>
            </w14:solidFill>
          </w14:textFill>
        </w:rPr>
        <w:t>（实质性要求）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14.2 翻译的中文资料与外文资料如果出现差异和矛盾，以中文为准。但不能故意错误翻译，否则，供应商的响应文件将作为无效处理。</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themeColor="text1"/>
          <w14:textFill>
            <w14:solidFill>
              <w14:schemeClr w14:val="tx1"/>
            </w14:solidFill>
          </w14:textFill>
        </w:rPr>
      </w:pPr>
      <w:bookmarkStart w:id="54" w:name="_Toc217446044"/>
      <w:bookmarkStart w:id="55" w:name="_Toc183582216"/>
      <w:bookmarkStart w:id="56" w:name="_Toc183682353"/>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15．计量单位</w:t>
      </w:r>
      <w:bookmarkEnd w:id="54"/>
      <w:bookmarkEnd w:id="55"/>
      <w:bookmarkEnd w:id="56"/>
      <w:r>
        <w:rPr>
          <w:rFonts w:hint="eastAsia" w:asciiTheme="minorEastAsia" w:hAnsiTheme="minorEastAsia" w:eastAsiaTheme="minorEastAsia" w:cstheme="minorEastAsia"/>
          <w:b/>
          <w:bCs/>
          <w:color w:val="000000" w:themeColor="text1"/>
          <w:sz w:val="24"/>
          <w14:textFill>
            <w14:solidFill>
              <w14:schemeClr w14:val="tx1"/>
            </w14:solidFill>
          </w14:textFill>
        </w:rPr>
        <w:t>（实质性要求）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70" w:firstLineChars="196"/>
        <w:jc w:val="both"/>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除磋商文件中另有规定外，本次采购项目所有合同项下的报价均采用国家法定的计量单位。</w:t>
      </w:r>
    </w:p>
    <w:p>
      <w:pPr>
        <w:spacing w:line="360" w:lineRule="auto"/>
        <w:ind w:firstLine="468" w:firstLineChars="195"/>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bookmarkStart w:id="57" w:name="_Toc217446045"/>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p>
    <w:p>
      <w:pPr>
        <w:keepNext w:val="0"/>
        <w:keepLines w:val="0"/>
        <w:pageBreakBefore w:val="0"/>
        <w:widowControl w:val="0"/>
        <w:numPr>
          <w:ilvl w:val="0"/>
          <w:numId w:val="4"/>
        </w:numPr>
        <w:kinsoku/>
        <w:wordWrap/>
        <w:overflowPunct/>
        <w:topLinePunct w:val="0"/>
        <w:bidi w:val="0"/>
        <w:snapToGrid/>
        <w:spacing w:line="360" w:lineRule="auto"/>
        <w:ind w:firstLine="482" w:firstLineChars="200"/>
        <w:jc w:val="left"/>
        <w:textAlignment w:val="auto"/>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报价</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1</w:t>
      </w:r>
      <w:r>
        <w:rPr>
          <w:rFonts w:hint="eastAsia" w:asciiTheme="minorEastAsia" w:hAnsiTheme="minorEastAsia" w:eastAsiaTheme="minorEastAsia" w:cstheme="minorEastAsia"/>
          <w:color w:val="000000" w:themeColor="text1"/>
          <w:sz w:val="24"/>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8"/>
          <w14:textFill>
            <w14:solidFill>
              <w14:schemeClr w14:val="tx1"/>
            </w14:solidFill>
          </w14:textFill>
        </w:rPr>
        <w:t xml:space="preserve">.1 </w:t>
      </w:r>
      <w:r>
        <w:rPr>
          <w:rFonts w:hint="eastAsia" w:asciiTheme="minorEastAsia" w:hAnsiTheme="minorEastAsia" w:eastAsiaTheme="minorEastAsia" w:cstheme="minorEastAsia"/>
          <w:bCs/>
          <w:color w:val="000000" w:themeColor="text1"/>
          <w:sz w:val="24"/>
          <w14:textFill>
            <w14:solidFill>
              <w14:schemeClr w14:val="tx1"/>
            </w14:solidFill>
          </w14:textFill>
        </w:rPr>
        <w:t>供应商应按磋商文件的要求报价</w:t>
      </w:r>
      <w:r>
        <w:rPr>
          <w:rFonts w:hint="eastAsia" w:asciiTheme="minorEastAsia" w:hAnsiTheme="minorEastAsia" w:eastAsiaTheme="minorEastAsia" w:cstheme="minorEastAsia"/>
          <w:color w:val="000000" w:themeColor="text1"/>
          <w:sz w:val="24"/>
          <w:szCs w:val="28"/>
          <w14:textFill>
            <w14:solidFill>
              <w14:schemeClr w14:val="tx1"/>
            </w14:solidFill>
          </w14:textFill>
        </w:rPr>
        <w:t>。</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1</w:t>
      </w:r>
      <w:r>
        <w:rPr>
          <w:rFonts w:hint="eastAsia" w:asciiTheme="minorEastAsia" w:hAnsiTheme="minorEastAsia" w:eastAsiaTheme="minorEastAsia" w:cstheme="minorEastAsia"/>
          <w:color w:val="000000" w:themeColor="text1"/>
          <w:sz w:val="24"/>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8"/>
          <w14:textFill>
            <w14:solidFill>
              <w14:schemeClr w14:val="tx1"/>
            </w14:solidFill>
          </w14:textFill>
        </w:rPr>
        <w:t xml:space="preserve">.2 </w:t>
      </w:r>
      <w:r>
        <w:rPr>
          <w:rFonts w:hint="eastAsia" w:asciiTheme="minorEastAsia" w:hAnsiTheme="minorEastAsia" w:eastAsiaTheme="minorEastAsia" w:cstheme="minorEastAsia"/>
          <w:bCs/>
          <w:color w:val="000000" w:themeColor="text1"/>
          <w:sz w:val="24"/>
          <w14:textFill>
            <w14:solidFill>
              <w14:schemeClr w14:val="tx1"/>
            </w14:solidFill>
          </w14:textFill>
        </w:rPr>
        <w:t>供应商应按照磋商文件规定的商务、合同和技术责任进行报价。</w:t>
      </w:r>
    </w:p>
    <w:p>
      <w:pPr>
        <w:keepNext w:val="0"/>
        <w:keepLines w:val="0"/>
        <w:pageBreakBefore w:val="0"/>
        <w:widowControl w:val="0"/>
        <w:tabs>
          <w:tab w:val="left" w:pos="16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1</w:t>
      </w:r>
      <w:r>
        <w:rPr>
          <w:rFonts w:hint="eastAsia" w:asciiTheme="minorEastAsia" w:hAnsiTheme="minorEastAsia" w:eastAsiaTheme="minorEastAsia" w:cstheme="minorEastAsia"/>
          <w:color w:val="000000" w:themeColor="text1"/>
          <w:sz w:val="24"/>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8"/>
          <w14:textFill>
            <w14:solidFill>
              <w14:schemeClr w14:val="tx1"/>
            </w14:solidFill>
          </w14:textFill>
        </w:rPr>
        <w:t xml:space="preserve">.3 </w:t>
      </w:r>
      <w:r>
        <w:rPr>
          <w:rFonts w:hint="eastAsia" w:asciiTheme="minorEastAsia" w:hAnsiTheme="minorEastAsia" w:eastAsiaTheme="minorEastAsia" w:cstheme="minorEastAsia"/>
          <w:bCs/>
          <w:color w:val="000000" w:themeColor="text1"/>
          <w:sz w:val="24"/>
          <w14:textFill>
            <w14:solidFill>
              <w14:schemeClr w14:val="tx1"/>
            </w14:solidFill>
          </w14:textFill>
        </w:rPr>
        <w:t>磋商价格应是所述项目的全部</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内容</w:t>
      </w:r>
      <w:r>
        <w:rPr>
          <w:rFonts w:hint="eastAsia" w:asciiTheme="minorEastAsia" w:hAnsiTheme="minorEastAsia" w:eastAsiaTheme="minorEastAsia" w:cstheme="minorEastAsia"/>
          <w:bCs/>
          <w:color w:val="000000" w:themeColor="text1"/>
          <w:sz w:val="24"/>
          <w14:textFill>
            <w14:solidFill>
              <w14:schemeClr w14:val="tx1"/>
            </w14:solidFill>
          </w14:textFill>
        </w:rPr>
        <w:t>的报价。</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1</w:t>
      </w:r>
      <w:r>
        <w:rPr>
          <w:rFonts w:hint="eastAsia" w:asciiTheme="minorEastAsia" w:hAnsiTheme="minorEastAsia" w:eastAsiaTheme="minorEastAsia" w:cstheme="minorEastAsia"/>
          <w:color w:val="000000" w:themeColor="text1"/>
          <w:sz w:val="24"/>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8"/>
          <w14:textFill>
            <w14:solidFill>
              <w14:schemeClr w14:val="tx1"/>
            </w14:solidFill>
          </w14:textFill>
        </w:rPr>
        <w:t>.4 所有报价币种为人民币，单位</w:t>
      </w:r>
      <w:r>
        <w:rPr>
          <w:rFonts w:hint="eastAsia" w:asciiTheme="minorEastAsia" w:hAnsiTheme="minorEastAsia" w:eastAsiaTheme="minorEastAsia" w:cstheme="minorEastAsia"/>
          <w:color w:val="000000" w:themeColor="text1"/>
          <w:sz w:val="24"/>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8"/>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8"/>
          <w14:textFill>
            <w14:solidFill>
              <w14:schemeClr w14:val="tx1"/>
            </w14:solidFill>
          </w14:textFill>
        </w:rPr>
        <w:t xml:space="preserve"> 最终报价要求:</w:t>
      </w:r>
      <w:r>
        <w:rPr>
          <w:rFonts w:hint="eastAsia" w:asciiTheme="minorEastAsia" w:hAnsiTheme="minorEastAsia" w:eastAsiaTheme="minorEastAsia" w:cstheme="minorEastAsia"/>
          <w:color w:val="000000" w:themeColor="text1"/>
          <w:sz w:val="24"/>
          <w:szCs w:val="28"/>
          <w14:textFill>
            <w14:solidFill>
              <w14:schemeClr w14:val="tx1"/>
            </w14:solidFill>
          </w14:textFill>
        </w:rPr>
        <w:t>在磋商结束后，供应商的最终报价以“首轮报价”为基础</w:t>
      </w:r>
      <w:r>
        <w:rPr>
          <w:rFonts w:hint="eastAsia" w:asciiTheme="minorEastAsia" w:hAnsiTheme="minorEastAsia" w:eastAsiaTheme="minorEastAsia" w:cstheme="minorEastAsia"/>
          <w:color w:val="000000" w:themeColor="text1"/>
          <w:sz w:val="24"/>
          <w:szCs w:val="28"/>
          <w:lang w:eastAsia="zh-CN"/>
          <w14:textFill>
            <w14:solidFill>
              <w14:schemeClr w14:val="tx1"/>
            </w14:solidFill>
          </w14:textFill>
        </w:rPr>
        <w:t>进行</w:t>
      </w:r>
      <w:r>
        <w:rPr>
          <w:rFonts w:hint="eastAsia" w:asciiTheme="minorEastAsia" w:hAnsiTheme="minorEastAsia" w:eastAsiaTheme="minorEastAsia" w:cstheme="minorEastAsia"/>
          <w:color w:val="000000" w:themeColor="text1"/>
          <w:sz w:val="24"/>
          <w:szCs w:val="28"/>
          <w14:textFill>
            <w14:solidFill>
              <w14:schemeClr w14:val="tx1"/>
            </w14:solidFill>
          </w14:textFill>
        </w:rPr>
        <w:t>填</w:t>
      </w:r>
      <w:r>
        <w:rPr>
          <w:rFonts w:hint="eastAsia" w:asciiTheme="minorEastAsia" w:hAnsiTheme="minorEastAsia" w:eastAsiaTheme="minorEastAsia" w:cstheme="minorEastAsia"/>
          <w:color w:val="000000" w:themeColor="text1"/>
          <w:sz w:val="24"/>
          <w:szCs w:val="28"/>
          <w:lang w:eastAsia="zh-CN"/>
          <w14:textFill>
            <w14:solidFill>
              <w14:schemeClr w14:val="tx1"/>
            </w14:solidFill>
          </w14:textFill>
        </w:rPr>
        <w:t>写报价。</w:t>
      </w:r>
    </w:p>
    <w:bookmarkEnd w:id="57"/>
    <w:p>
      <w:pPr>
        <w:keepNext w:val="0"/>
        <w:keepLines w:val="0"/>
        <w:pageBreakBefore w:val="0"/>
        <w:widowControl w:val="0"/>
        <w:kinsoku/>
        <w:wordWrap/>
        <w:overflowPunct/>
        <w:topLinePunct w:val="0"/>
        <w:autoSpaceDE/>
        <w:autoSpaceDN/>
        <w:bidi w:val="0"/>
        <w:adjustRightInd/>
        <w:snapToGrid/>
        <w:spacing w:line="360" w:lineRule="auto"/>
        <w:ind w:left="2" w:leftChars="1" w:firstLine="482" w:firstLineChars="200"/>
        <w:textAlignment w:val="auto"/>
        <w:rPr>
          <w:rFonts w:hint="eastAsia" w:asciiTheme="minorEastAsia" w:hAnsiTheme="minorEastAsia" w:eastAsiaTheme="minorEastAsia" w:cstheme="minorEastAsia"/>
          <w:b/>
          <w:bCs/>
          <w:color w:val="000000" w:themeColor="text1"/>
          <w:sz w:val="24"/>
          <w14:textFill>
            <w14:solidFill>
              <w14:schemeClr w14:val="tx1"/>
            </w14:solidFill>
          </w14:textFill>
        </w:rPr>
      </w:pPr>
    </w:p>
    <w:p>
      <w:pPr>
        <w:spacing w:line="360" w:lineRule="auto"/>
        <w:ind w:left="2" w:leftChars="1" w:firstLine="482" w:firstLineChars="20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17.响应文件格式</w:t>
      </w:r>
    </w:p>
    <w:p>
      <w:pPr>
        <w:spacing w:line="360" w:lineRule="auto"/>
        <w:ind w:left="2" w:leftChars="1"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17.1 供应商应执行磋商文件第</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七</w:t>
      </w:r>
      <w:r>
        <w:rPr>
          <w:rFonts w:hint="eastAsia" w:asciiTheme="minorEastAsia" w:hAnsiTheme="minorEastAsia" w:eastAsiaTheme="minorEastAsia" w:cstheme="minorEastAsia"/>
          <w:bCs/>
          <w:color w:val="000000" w:themeColor="text1"/>
          <w:sz w:val="24"/>
          <w14:textFill>
            <w14:solidFill>
              <w14:schemeClr w14:val="tx1"/>
            </w14:solidFill>
          </w14:textFill>
        </w:rPr>
        <w:t>章的规定要求。</w:t>
      </w:r>
    </w:p>
    <w:p>
      <w:pPr>
        <w:spacing w:line="360" w:lineRule="auto"/>
        <w:ind w:left="2" w:leftChars="1"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17.2 对于没有格式要求的磋商文件由供应商自行编写。</w:t>
      </w:r>
    </w:p>
    <w:p>
      <w:pPr>
        <w:pStyle w:val="5"/>
        <w:spacing w:line="360" w:lineRule="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Theme="minorEastAsia" w:hAnsiTheme="minorEastAsia" w:eastAsiaTheme="minorEastAsia" w:cstheme="minorEastAsia"/>
          <w:b/>
          <w:color w:val="000000" w:themeColor="text1"/>
          <w:sz w:val="24"/>
          <w14:textFill>
            <w14:solidFill>
              <w14:schemeClr w14:val="tx1"/>
            </w14:solidFill>
          </w14:textFill>
        </w:rPr>
      </w:pPr>
      <w:bookmarkStart w:id="58" w:name="_Toc183682361"/>
      <w:bookmarkStart w:id="59" w:name="_Toc217446051"/>
      <w:bookmarkStart w:id="60" w:name="_Toc183582224"/>
      <w:r>
        <w:rPr>
          <w:rFonts w:hint="eastAsia" w:asciiTheme="minorEastAsia" w:hAnsiTheme="minorEastAsia" w:eastAsiaTheme="minorEastAsia" w:cstheme="minorEastAsia"/>
          <w:b/>
          <w:color w:val="000000" w:themeColor="text1"/>
          <w:sz w:val="24"/>
          <w14:textFill>
            <w14:solidFill>
              <w14:schemeClr w14:val="tx1"/>
            </w14:solidFill>
          </w14:textFill>
        </w:rPr>
        <w:t>18.响应文件的编制和签署</w:t>
      </w:r>
      <w:r>
        <w:rPr>
          <w:rFonts w:hint="eastAsia" w:asciiTheme="minorEastAsia" w:hAnsiTheme="minorEastAsia" w:eastAsiaTheme="minorEastAsia" w:cstheme="minorEastAsia"/>
          <w:b/>
          <w:bCs w:val="0"/>
          <w:color w:val="000000" w:themeColor="text1"/>
          <w:sz w:val="24"/>
          <w14:textFill>
            <w14:solidFill>
              <w14:schemeClr w14:val="tx1"/>
            </w14:solidFill>
          </w14:textFill>
        </w:rPr>
        <w:t>（实质性要求）</w:t>
      </w:r>
    </w:p>
    <w:bookmarkEnd w:id="58"/>
    <w:bookmarkEnd w:id="59"/>
    <w:bookmarkEnd w:id="60"/>
    <w:p>
      <w:pPr>
        <w:keepNext w:val="0"/>
        <w:keepLines w:val="0"/>
        <w:pageBreakBefore w:val="0"/>
        <w:widowControl w:val="0"/>
        <w:kinsoku/>
        <w:wordWrap/>
        <w:overflowPunct/>
        <w:topLinePunct w:val="0"/>
        <w:autoSpaceDE/>
        <w:autoSpaceDN/>
        <w:bidi w:val="0"/>
        <w:adjustRightInd/>
        <w:snapToGrid/>
        <w:spacing w:line="360" w:lineRule="auto"/>
        <w:ind w:firstLine="468" w:firstLineChars="195"/>
        <w:textAlignment w:val="auto"/>
        <w:rPr>
          <w:rFonts w:hint="eastAsia" w:asciiTheme="minorEastAsia" w:hAnsiTheme="minorEastAsia" w:eastAsiaTheme="minorEastAsia" w:cstheme="minorEastAsia"/>
          <w:bCs/>
          <w:color w:val="000000" w:themeColor="text1"/>
          <w:sz w:val="24"/>
          <w14:textFill>
            <w14:solidFill>
              <w14:schemeClr w14:val="tx1"/>
            </w14:solidFill>
          </w14:textFill>
        </w:rPr>
      </w:pPr>
      <w:bookmarkStart w:id="61" w:name="_Toc217446053"/>
      <w:bookmarkStart w:id="62" w:name="_Toc89075877"/>
      <w:bookmarkStart w:id="63" w:name="_Toc183582226"/>
      <w:bookmarkStart w:id="64" w:name="_Toc77400781"/>
      <w:bookmarkStart w:id="65" w:name="_Toc183682363"/>
      <w:r>
        <w:rPr>
          <w:rFonts w:hint="eastAsia" w:asciiTheme="minorEastAsia" w:hAnsiTheme="minorEastAsia" w:eastAsiaTheme="minorEastAsia" w:cstheme="minorEastAsia"/>
          <w:color w:val="000000" w:themeColor="text1"/>
          <w:sz w:val="24"/>
          <w14:textFill>
            <w14:solidFill>
              <w14:schemeClr w14:val="tx1"/>
            </w14:solidFill>
          </w14:textFill>
        </w:rPr>
        <w:t>18.1 资格性响应文件正本</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14:textFill>
            <w14:solidFill>
              <w14:schemeClr w14:val="tx1"/>
            </w14:solidFill>
          </w14:textFill>
        </w:rPr>
        <w:t>份</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副本</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14:textFill>
            <w14:solidFill>
              <w14:schemeClr w14:val="tx1"/>
            </w14:solidFill>
          </w14:textFill>
        </w:rPr>
        <w:t>份</w:t>
      </w:r>
      <w:r>
        <w:rPr>
          <w:rFonts w:hint="eastAsia" w:asciiTheme="minorEastAsia" w:hAnsiTheme="minorEastAsia" w:eastAsiaTheme="minorEastAsia" w:cstheme="minorEastAsia"/>
          <w:bCs/>
          <w:color w:val="000000" w:themeColor="text1"/>
          <w:sz w:val="24"/>
          <w14:textFill>
            <w14:solidFill>
              <w14:schemeClr w14:val="tx1"/>
            </w14:solidFill>
          </w14:textFill>
        </w:rPr>
        <w:t>，并在其封面上清楚地标明资格性响应文件、项目名称、项目编号、包件号及名称（若有）、供应商名称以及“正本”或“副本”字样。若正本和副本有不一致的内容，以正本书面响应文件为准。</w:t>
      </w:r>
    </w:p>
    <w:p>
      <w:pPr>
        <w:keepNext w:val="0"/>
        <w:keepLines w:val="0"/>
        <w:pageBreakBefore w:val="0"/>
        <w:widowControl w:val="0"/>
        <w:kinsoku/>
        <w:wordWrap/>
        <w:overflowPunct/>
        <w:topLinePunct w:val="0"/>
        <w:autoSpaceDE/>
        <w:autoSpaceDN/>
        <w:bidi w:val="0"/>
        <w:adjustRightInd/>
        <w:snapToGrid/>
        <w:spacing w:line="360" w:lineRule="auto"/>
        <w:ind w:firstLine="468" w:firstLineChars="195"/>
        <w:textAlignment w:val="auto"/>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18.2 其他响应文件正本</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4"/>
          <w14:textFill>
            <w14:solidFill>
              <w14:schemeClr w14:val="tx1"/>
            </w14:solidFill>
          </w14:textFill>
        </w:rPr>
        <w:t>份</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14:textFill>
            <w14:solidFill>
              <w14:schemeClr w14:val="tx1"/>
            </w14:solidFill>
          </w14:textFill>
        </w:rPr>
        <w:t>副本</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4"/>
          <w14:textFill>
            <w14:solidFill>
              <w14:schemeClr w14:val="tx1"/>
            </w14:solidFill>
          </w14:textFill>
        </w:rPr>
        <w:t>份，并在其封面上清楚地标明其他响应文件、项目名称、项目编号、包件号及名称（若有）、供应商名称以及“正本”或“副本”字样。若正本和副本有不一致的内容，以正本书面响应文件为准。</w:t>
      </w:r>
    </w:p>
    <w:p>
      <w:pPr>
        <w:keepNext w:val="0"/>
        <w:keepLines w:val="0"/>
        <w:pageBreakBefore w:val="0"/>
        <w:widowControl w:val="0"/>
        <w:kinsoku/>
        <w:wordWrap/>
        <w:overflowPunct/>
        <w:topLinePunct w:val="0"/>
        <w:autoSpaceDE/>
        <w:autoSpaceDN/>
        <w:bidi w:val="0"/>
        <w:adjustRightInd/>
        <w:snapToGrid/>
        <w:spacing w:line="372" w:lineRule="auto"/>
        <w:ind w:firstLine="468" w:firstLineChars="195"/>
        <w:textAlignment w:val="auto"/>
        <w:rPr>
          <w:rFonts w:hint="eastAsia" w:asciiTheme="minorEastAsia" w:hAnsiTheme="minorEastAsia" w:eastAsiaTheme="minorEastAsia" w:cs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18.3 </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电子文档</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1份（采用U盘制作）</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72" w:lineRule="auto"/>
        <w:ind w:firstLine="468" w:firstLineChars="195"/>
        <w:textAlignment w:val="auto"/>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18.4响应文件正本和副本均需在规定签章处签字和盖章。响应文件副本可采用正本的复印件</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14:textFill>
            <w14:solidFill>
              <w14:schemeClr w14:val="tx1"/>
            </w14:solidFill>
          </w14:textFill>
        </w:rPr>
        <w:t>响应文件的打印和书写应清楚工整，任何行间插字、涂改或增删，必须由供应商的法定代表人或其授权代表签字并盖供应商公章。</w:t>
      </w:r>
    </w:p>
    <w:p>
      <w:pPr>
        <w:keepNext w:val="0"/>
        <w:keepLines w:val="0"/>
        <w:pageBreakBefore w:val="0"/>
        <w:widowControl w:val="0"/>
        <w:kinsoku/>
        <w:wordWrap/>
        <w:overflowPunct/>
        <w:topLinePunct w:val="0"/>
        <w:autoSpaceDE/>
        <w:autoSpaceDN/>
        <w:bidi w:val="0"/>
        <w:adjustRightInd/>
        <w:snapToGrid/>
        <w:spacing w:line="372" w:lineRule="auto"/>
        <w:ind w:firstLine="468" w:firstLineChars="195"/>
        <w:textAlignment w:val="auto"/>
        <w:rPr>
          <w:rFonts w:hint="eastAsia" w:asciiTheme="minorEastAsia" w:hAnsiTheme="minorEastAsia" w:eastAsiaTheme="minorEastAsia" w:cs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18.5</w:t>
      </w:r>
      <w:r>
        <w:rPr>
          <w:rFonts w:hint="eastAsia" w:asciiTheme="minorEastAsia" w:hAnsiTheme="minorEastAsia" w:eastAsiaTheme="minorEastAsia" w:cstheme="minorEastAsia"/>
          <w:b/>
          <w:bCs w:val="0"/>
          <w:color w:val="000000" w:themeColor="text1"/>
          <w:sz w:val="24"/>
          <w14:textFill>
            <w14:solidFill>
              <w14:schemeClr w14:val="tx1"/>
            </w14:solidFill>
          </w14:textFill>
        </w:rPr>
        <w:t>（实质性要求）</w:t>
      </w:r>
      <w:r>
        <w:rPr>
          <w:rFonts w:hint="eastAsia" w:asciiTheme="minorEastAsia" w:hAnsiTheme="minorEastAsia" w:eastAsiaTheme="minorEastAsia" w:cstheme="minorEastAsia"/>
          <w:bCs/>
          <w:color w:val="000000" w:themeColor="text1"/>
          <w:sz w:val="24"/>
          <w14:textFill>
            <w14:solidFill>
              <w14:schemeClr w14:val="tx1"/>
            </w14:solidFill>
          </w14:textFill>
        </w:rPr>
        <w:t>响应文件应由供应商法定代表人/主要负责人/本人或其授权代表在响应文件要求的地方签字，要求加盖公章的地方加盖单位公章，不得使用专用章（如经济合同章、投标专用章等）或下属单位印章代替。</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响应文件封面须加盖</w:t>
      </w:r>
      <w:r>
        <w:rPr>
          <w:rFonts w:hint="eastAsia" w:asciiTheme="minorEastAsia" w:hAnsiTheme="minorEastAsia" w:eastAsiaTheme="minorEastAsia" w:cstheme="minorEastAsia"/>
          <w:bCs/>
          <w:color w:val="000000" w:themeColor="text1"/>
          <w:sz w:val="24"/>
          <w14:textFill>
            <w14:solidFill>
              <w14:schemeClr w14:val="tx1"/>
            </w14:solidFill>
          </w14:textFill>
        </w:rPr>
        <w:t>供应商公章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，并在骑缝处加盖</w:t>
      </w:r>
      <w:r>
        <w:rPr>
          <w:rFonts w:hint="eastAsia" w:asciiTheme="minorEastAsia" w:hAnsiTheme="minorEastAsia" w:eastAsiaTheme="minorEastAsia" w:cstheme="minorEastAsia"/>
          <w:bCs/>
          <w:color w:val="000000" w:themeColor="text1"/>
          <w:sz w:val="24"/>
          <w14:textFill>
            <w14:solidFill>
              <w14:schemeClr w14:val="tx1"/>
            </w14:solidFill>
          </w14:textFill>
        </w:rPr>
        <w:t>供应商公章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72" w:lineRule="auto"/>
        <w:ind w:firstLine="468" w:firstLineChars="195"/>
        <w:textAlignment w:val="auto"/>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18.6响应文件正本和副本需要逐页编码。</w:t>
      </w:r>
    </w:p>
    <w:p>
      <w:pPr>
        <w:keepNext w:val="0"/>
        <w:keepLines w:val="0"/>
        <w:pageBreakBefore w:val="0"/>
        <w:widowControl w:val="0"/>
        <w:tabs>
          <w:tab w:val="left" w:pos="1080"/>
        </w:tabs>
        <w:kinsoku/>
        <w:wordWrap/>
        <w:overflowPunct/>
        <w:topLinePunct w:val="0"/>
        <w:autoSpaceDE/>
        <w:autoSpaceDN/>
        <w:bidi w:val="0"/>
        <w:adjustRightInd/>
        <w:snapToGrid/>
        <w:spacing w:line="372" w:lineRule="auto"/>
        <w:ind w:firstLine="460" w:firstLineChars="192"/>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18.7响应文件正本和副本应当采用胶装方式装订成册，不得散装或者合页装订。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adjustRightInd/>
        <w:snapToGrid/>
        <w:spacing w:line="372" w:lineRule="auto"/>
        <w:ind w:firstLine="460" w:firstLineChars="192"/>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18.8响应文件应根据磋商文件的要求制作，签署、盖章（按照《四川省政府采购评审工作规程（修订）》规范）。</w:t>
      </w:r>
    </w:p>
    <w:p>
      <w:pPr>
        <w:keepNext w:val="0"/>
        <w:keepLines w:val="0"/>
        <w:pageBreakBefore w:val="0"/>
        <w:widowControl w:val="0"/>
        <w:tabs>
          <w:tab w:val="left" w:pos="1080"/>
        </w:tabs>
        <w:kinsoku/>
        <w:wordWrap/>
        <w:overflowPunct/>
        <w:topLinePunct w:val="0"/>
        <w:autoSpaceDE/>
        <w:autoSpaceDN/>
        <w:bidi w:val="0"/>
        <w:adjustRightInd/>
        <w:snapToGrid/>
        <w:spacing w:line="372" w:lineRule="auto"/>
        <w:ind w:firstLine="460" w:firstLineChars="192"/>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18.9响应文件统一用A4幅面纸印制，除另有规定外。</w:t>
      </w:r>
    </w:p>
    <w:p>
      <w:pPr>
        <w:keepNext w:val="0"/>
        <w:keepLines w:val="0"/>
        <w:pageBreakBefore w:val="0"/>
        <w:widowControl w:val="0"/>
        <w:tabs>
          <w:tab w:val="left" w:pos="1080"/>
        </w:tabs>
        <w:kinsoku/>
        <w:wordWrap/>
        <w:overflowPunct/>
        <w:topLinePunct w:val="0"/>
        <w:autoSpaceDE/>
        <w:autoSpaceDN/>
        <w:bidi w:val="0"/>
        <w:adjustRightInd/>
        <w:snapToGrid/>
        <w:spacing w:line="372" w:lineRule="auto"/>
        <w:ind w:firstLine="460" w:firstLineChars="192"/>
        <w:textAlignment w:val="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18.10</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14:textFill>
            <w14:solidFill>
              <w14:schemeClr w14:val="tx1"/>
            </w14:solidFill>
          </w14:textFill>
        </w:rPr>
        <w:t>（实质性要求）</w:t>
      </w:r>
      <w:r>
        <w:rPr>
          <w:rFonts w:hint="eastAsia" w:asciiTheme="minorEastAsia" w:hAnsiTheme="minorEastAsia" w:eastAsiaTheme="minorEastAsia" w:cstheme="minorEastAsia"/>
          <w:b/>
          <w:bCs/>
          <w:color w:val="000000" w:themeColor="text1"/>
          <w:sz w:val="24"/>
          <w14:textFill>
            <w14:solidFill>
              <w14:schemeClr w14:val="tx1"/>
            </w14:solidFill>
          </w14:textFill>
        </w:rPr>
        <w:t>未按以上要求进行</w:t>
      </w:r>
      <w:r>
        <w:rPr>
          <w:rFonts w:hint="eastAsia" w:asciiTheme="minorEastAsia" w:hAnsiTheme="minorEastAsia" w:eastAsiaTheme="minorEastAsia" w:cstheme="minorEastAsia"/>
          <w:b/>
          <w:color w:val="000000" w:themeColor="text1"/>
          <w:sz w:val="24"/>
          <w14:textFill>
            <w14:solidFill>
              <w14:schemeClr w14:val="tx1"/>
            </w14:solidFill>
          </w14:textFill>
        </w:rPr>
        <w:t>编制和签署</w:t>
      </w:r>
      <w:r>
        <w:rPr>
          <w:rFonts w:hint="eastAsia" w:asciiTheme="minorEastAsia" w:hAnsiTheme="minorEastAsia" w:eastAsiaTheme="minorEastAsia" w:cstheme="minorEastAsia"/>
          <w:b/>
          <w:bCs/>
          <w:color w:val="000000" w:themeColor="text1"/>
          <w:sz w:val="24"/>
          <w14:textFill>
            <w14:solidFill>
              <w14:schemeClr w14:val="tx1"/>
            </w14:solidFill>
          </w14:textFill>
        </w:rPr>
        <w:t>的响应文件</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,采购人、采购代理机构应当拒收</w:t>
      </w:r>
      <w:r>
        <w:rPr>
          <w:rFonts w:hint="eastAsia" w:asciiTheme="minorEastAsia" w:hAnsiTheme="minorEastAsia" w:eastAsiaTheme="minorEastAsia" w:cstheme="minorEastAsia"/>
          <w:b/>
          <w:bCs/>
          <w:color w:val="000000" w:themeColor="text1"/>
          <w:sz w:val="24"/>
          <w14:textFill>
            <w14:solidFill>
              <w14:schemeClr w14:val="tx1"/>
            </w14:solidFill>
          </w14:textFill>
        </w:rPr>
        <w:t>。</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3" w:firstLineChars="192"/>
        <w:textAlignment w:val="auto"/>
        <w:rPr>
          <w:rFonts w:hint="eastAsia" w:asciiTheme="minorEastAsia" w:hAnsiTheme="minorEastAsia" w:eastAsiaTheme="minorEastAsia" w:cstheme="minorEastAsia"/>
          <w:b/>
          <w:color w:val="000000" w:themeColor="text1"/>
          <w:sz w:val="24"/>
          <w14:textFill>
            <w14:solidFill>
              <w14:schemeClr w14:val="tx1"/>
            </w14:solidFill>
          </w14:textFill>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3" w:firstLineChars="192"/>
        <w:textAlignment w:val="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19.响应文件的密封和标注（不属于本项目磋商小组评审范畴，由采购人、采购代理机构在接收响应文件时及时处理）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19.1 响应文件可以单独密封包装，也可以所有响应文件密封包装在一个密封袋内。</w:t>
      </w:r>
    </w:p>
    <w:p>
      <w:pPr>
        <w:tabs>
          <w:tab w:val="left" w:pos="1080"/>
        </w:tabs>
        <w:spacing w:line="360" w:lineRule="auto"/>
        <w:ind w:firstLine="460" w:firstLineChars="192"/>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19.2 响应文件密封袋的最外层应清楚地标明项目名称、项目编号、包件号及名称（若有）、供应商名称。</w:t>
      </w:r>
    </w:p>
    <w:p>
      <w:pPr>
        <w:tabs>
          <w:tab w:val="left" w:pos="1080"/>
        </w:tabs>
        <w:spacing w:line="360" w:lineRule="auto"/>
        <w:ind w:firstLine="460" w:firstLineChars="192"/>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19.3 </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（实质性要求）</w:t>
      </w:r>
      <w:r>
        <w:rPr>
          <w:rFonts w:hint="eastAsia" w:asciiTheme="minorEastAsia" w:hAnsiTheme="minorEastAsia" w:eastAsiaTheme="minorEastAsia" w:cstheme="minorEastAsia"/>
          <w:color w:val="000000" w:themeColor="text1"/>
          <w:sz w:val="24"/>
          <w14:textFill>
            <w14:solidFill>
              <w14:schemeClr w14:val="tx1"/>
            </w14:solidFill>
          </w14:textFill>
        </w:rPr>
        <w:t>所有外层密封袋的封口处应粘贴牢固</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，并加盖密封章（</w:t>
      </w:r>
      <w:r>
        <w:rPr>
          <w:rFonts w:hint="eastAsia" w:asciiTheme="minorEastAsia" w:hAnsiTheme="minorEastAsia" w:eastAsiaTheme="minorEastAsia" w:cstheme="minorEastAsia"/>
          <w:bCs/>
          <w:color w:val="000000" w:themeColor="text1"/>
          <w:sz w:val="24"/>
          <w14:textFill>
            <w14:solidFill>
              <w14:schemeClr w14:val="tx1"/>
            </w14:solidFill>
          </w14:textFill>
        </w:rPr>
        <w:t>供应商公章</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p>
    <w:p>
      <w:pPr>
        <w:tabs>
          <w:tab w:val="left" w:pos="1080"/>
        </w:tabs>
        <w:spacing w:line="360" w:lineRule="auto"/>
        <w:ind w:firstLine="460" w:firstLineChars="192"/>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19.4 </w:t>
      </w:r>
      <w:r>
        <w:rPr>
          <w:rFonts w:hint="eastAsia" w:asciiTheme="minorEastAsia" w:hAnsiTheme="minorEastAsia" w:eastAsiaTheme="minorEastAsia" w:cstheme="minorEastAsia"/>
          <w:b/>
          <w:bCs/>
          <w:color w:val="000000" w:themeColor="text1"/>
          <w:sz w:val="24"/>
          <w14:textFill>
            <w14:solidFill>
              <w14:schemeClr w14:val="tx1"/>
            </w14:solidFill>
          </w14:textFill>
        </w:rPr>
        <w:t>未按以上要求进行密封和标注的响应文件</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,采购人、采购代理机构应当拒收</w:t>
      </w:r>
      <w:r>
        <w:rPr>
          <w:rFonts w:hint="eastAsia" w:asciiTheme="minorEastAsia" w:hAnsiTheme="minorEastAsia" w:eastAsiaTheme="minorEastAsia" w:cstheme="minorEastAsia"/>
          <w:b/>
          <w:bCs/>
          <w:color w:val="000000" w:themeColor="text1"/>
          <w:sz w:val="24"/>
          <w14:textFill>
            <w14:solidFill>
              <w14:schemeClr w14:val="tx1"/>
            </w14:solidFill>
          </w14:textFill>
        </w:rPr>
        <w:t>。</w:t>
      </w:r>
    </w:p>
    <w:p>
      <w:pPr>
        <w:pStyle w:val="6"/>
        <w:rPr>
          <w:rFonts w:hint="eastAsia" w:asciiTheme="minorEastAsia" w:hAnsiTheme="minorEastAsia" w:eastAsiaTheme="minorEastAsia" w:cstheme="minorEastAsia"/>
        </w:rPr>
      </w:pPr>
    </w:p>
    <w:p>
      <w:pPr>
        <w:tabs>
          <w:tab w:val="left" w:pos="1080"/>
        </w:tabs>
        <w:spacing w:line="360" w:lineRule="auto"/>
        <w:ind w:firstLine="463" w:firstLineChars="192"/>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20.响应文件的递交</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20.1 资格性响应文件和其他响应文件应于递交响应文件截止时间前送达指定地点，采购代理机构拒绝接收截止时间后送达的响应文件。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20.2 采购代理机构将向通过资格审查的供应商发出磋商邀请；告知未通过资格审查的供应商未通过的原因。</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20.3 报价表在磋商后，磋商小组要求供应商进行最后报价时递交。</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20.4 本次采购不接收邮寄的响应文件。</w:t>
      </w:r>
    </w:p>
    <w:bookmarkEnd w:id="61"/>
    <w:bookmarkEnd w:id="62"/>
    <w:bookmarkEnd w:id="63"/>
    <w:bookmarkEnd w:id="64"/>
    <w:bookmarkEnd w:id="65"/>
    <w:p>
      <w:pPr>
        <w:tabs>
          <w:tab w:val="left" w:pos="1080"/>
        </w:tabs>
        <w:spacing w:line="360" w:lineRule="auto"/>
        <w:ind w:firstLine="463" w:firstLineChars="192"/>
        <w:rPr>
          <w:rFonts w:hint="eastAsia" w:asciiTheme="minorEastAsia" w:hAnsiTheme="minorEastAsia" w:eastAsiaTheme="minorEastAsia" w:cstheme="minorEastAsia"/>
          <w:b/>
          <w:color w:val="000000" w:themeColor="text1"/>
          <w:sz w:val="24"/>
          <w14:textFill>
            <w14:solidFill>
              <w14:schemeClr w14:val="tx1"/>
            </w14:solidFill>
          </w14:textFill>
        </w:rPr>
      </w:pPr>
      <w:bookmarkStart w:id="66" w:name="_Toc183582228"/>
      <w:bookmarkStart w:id="67" w:name="_Toc183682365"/>
      <w:bookmarkStart w:id="68" w:name="_Toc217446055"/>
    </w:p>
    <w:p>
      <w:pPr>
        <w:keepNext w:val="0"/>
        <w:keepLines w:val="0"/>
        <w:pageBreakBefore w:val="0"/>
        <w:widowControl w:val="0"/>
        <w:tabs>
          <w:tab w:val="left" w:pos="1080"/>
        </w:tabs>
        <w:kinsoku/>
        <w:wordWrap/>
        <w:overflowPunct/>
        <w:topLinePunct w:val="0"/>
        <w:autoSpaceDE/>
        <w:autoSpaceDN/>
        <w:bidi w:val="0"/>
        <w:spacing w:line="360" w:lineRule="auto"/>
        <w:ind w:firstLine="463" w:firstLineChars="192"/>
        <w:textAlignment w:val="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21.响应文件的修改和撤回（补充、修改响应文件的密封和标注按照本章“19.响应文件的密封和标注”规定处理）</w:t>
      </w:r>
    </w:p>
    <w:p>
      <w:pPr>
        <w:pStyle w:val="5"/>
        <w:keepNext w:val="0"/>
        <w:keepLines w:val="0"/>
        <w:pageBreakBefore w:val="0"/>
        <w:widowControl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21.3供应商不得在递交截止时间起至响应文件有效期期满前撤销其响应文件。</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21.4 响应文件中报价如果出现下列不一致的，可按以下原则进行修改：</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（一）</w:t>
      </w:r>
      <w:r>
        <w:rPr>
          <w:rFonts w:hint="eastAsia" w:asciiTheme="minorEastAsia" w:hAnsiTheme="minorEastAsia" w:eastAsiaTheme="minorEastAsia" w:cstheme="minorEastAsia"/>
          <w:color w:val="000000" w:themeColor="text1"/>
          <w:kern w:val="0"/>
          <w:sz w:val="24"/>
          <w14:textFill>
            <w14:solidFill>
              <w14:schemeClr w14:val="tx1"/>
            </w14:solidFill>
          </w14:textFill>
        </w:rPr>
        <w:t>大写金额和小写金额不一致的，以大写金额为准</w:t>
      </w:r>
      <w:r>
        <w:rPr>
          <w:rFonts w:hint="eastAsia" w:asciiTheme="minorEastAsia" w:hAnsiTheme="minorEastAsia" w:eastAsiaTheme="minorEastAsia" w:cstheme="minorEastAsia"/>
          <w:color w:val="000000" w:themeColor="text1"/>
          <w:sz w:val="24"/>
          <w14:textFill>
            <w14:solidFill>
              <w14:schemeClr w14:val="tx1"/>
            </w14:solidFill>
          </w14:textFill>
        </w:rPr>
        <w:t>，但大写金额文字存在错误的，应当先对大写金额的文字错误进行澄清、说明或者更正，再行修正。</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（二）</w:t>
      </w:r>
      <w:r>
        <w:rPr>
          <w:rFonts w:hint="eastAsia" w:asciiTheme="minorEastAsia" w:hAnsiTheme="minorEastAsia" w:eastAsiaTheme="minorEastAsia" w:cstheme="minorEastAsia"/>
          <w:color w:val="000000" w:themeColor="text1"/>
          <w:kern w:val="0"/>
          <w:sz w:val="24"/>
          <w14:textFill>
            <w14:solidFill>
              <w14:schemeClr w14:val="tx1"/>
            </w14:solidFill>
          </w14:textFill>
        </w:rPr>
        <w:t>总价金额与按单价汇总金额不一致的，以单价金额计算结果为准，</w:t>
      </w:r>
      <w:r>
        <w:rPr>
          <w:rFonts w:hint="eastAsia" w:asciiTheme="minorEastAsia" w:hAnsiTheme="minorEastAsia" w:eastAsiaTheme="minorEastAsia" w:cstheme="minorEastAsia"/>
          <w:color w:val="000000" w:themeColor="text1"/>
          <w:sz w:val="24"/>
          <w14:textFill>
            <w14:solidFill>
              <w14:schemeClr w14:val="tx1"/>
            </w14:solidFill>
          </w14:textFill>
        </w:rPr>
        <w:t>但</w:t>
      </w:r>
      <w:r>
        <w:rPr>
          <w:rFonts w:hint="eastAsia" w:asciiTheme="minorEastAsia" w:hAnsiTheme="minorEastAsia" w:eastAsiaTheme="minorEastAsia" w:cstheme="minorEastAsia"/>
          <w:color w:val="000000" w:themeColor="text1"/>
          <w:kern w:val="0"/>
          <w:sz w:val="24"/>
          <w14:textFill>
            <w14:solidFill>
              <w14:schemeClr w14:val="tx1"/>
            </w14:solidFill>
          </w14:textFill>
        </w:rPr>
        <w:t>单价或者单价汇总金额存在数字或者</w:t>
      </w:r>
      <w:r>
        <w:rPr>
          <w:rFonts w:hint="eastAsia" w:asciiTheme="minorEastAsia" w:hAnsiTheme="minorEastAsia" w:eastAsiaTheme="minorEastAsia" w:cstheme="minorEastAsia"/>
          <w:color w:val="000000" w:themeColor="text1"/>
          <w:sz w:val="24"/>
          <w14:textFill>
            <w14:solidFill>
              <w14:schemeClr w14:val="tx1"/>
            </w14:solidFill>
          </w14:textFill>
        </w:rPr>
        <w:t>文字错误的，应当先对</w:t>
      </w:r>
      <w:r>
        <w:rPr>
          <w:rFonts w:hint="eastAsia" w:asciiTheme="minorEastAsia" w:hAnsiTheme="minorEastAsia" w:eastAsiaTheme="minorEastAsia" w:cstheme="minorEastAsia"/>
          <w:color w:val="000000" w:themeColor="text1"/>
          <w:kern w:val="0"/>
          <w:sz w:val="24"/>
          <w14:textFill>
            <w14:solidFill>
              <w14:schemeClr w14:val="tx1"/>
            </w14:solidFill>
          </w14:textFill>
        </w:rPr>
        <w:t>数字或者</w:t>
      </w:r>
      <w:r>
        <w:rPr>
          <w:rFonts w:hint="eastAsia" w:asciiTheme="minorEastAsia" w:hAnsiTheme="minorEastAsia" w:eastAsiaTheme="minorEastAsia" w:cstheme="minorEastAsia"/>
          <w:color w:val="000000" w:themeColor="text1"/>
          <w:sz w:val="24"/>
          <w14:textFill>
            <w14:solidFill>
              <w14:schemeClr w14:val="tx1"/>
            </w14:solidFill>
          </w14:textFill>
        </w:rPr>
        <w:t>文字错误进行澄清、说明或者更正，再行修正。</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（三）单价金额小数点</w:t>
      </w:r>
      <w:r>
        <w:rPr>
          <w:rFonts w:hint="eastAsia" w:asciiTheme="minorEastAsia" w:hAnsiTheme="minorEastAsia" w:eastAsiaTheme="minorEastAsia" w:cstheme="minorEastAsia"/>
          <w:color w:val="000000" w:themeColor="text1"/>
          <w:kern w:val="0"/>
          <w:sz w:val="24"/>
          <w14:textFill>
            <w14:solidFill>
              <w14:schemeClr w14:val="tx1"/>
            </w14:solidFill>
          </w14:textFill>
        </w:rPr>
        <w:t>或者百分比有明显错位的</w:t>
      </w:r>
      <w:r>
        <w:rPr>
          <w:rFonts w:hint="eastAsia" w:asciiTheme="minorEastAsia" w:hAnsiTheme="minorEastAsia" w:eastAsiaTheme="minorEastAsia" w:cstheme="minorEastAsia"/>
          <w:color w:val="000000" w:themeColor="text1"/>
          <w:sz w:val="24"/>
          <w14:textFill>
            <w14:solidFill>
              <w14:schemeClr w14:val="tx1"/>
            </w14:solidFill>
          </w14:textFill>
        </w:rPr>
        <w:t>，以总价为准，修正单价。</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21.5供应商对其提交的响应文件的真实性、合法性承担法律责任。</w:t>
      </w:r>
      <w:bookmarkEnd w:id="66"/>
      <w:bookmarkEnd w:id="67"/>
      <w:bookmarkEnd w:id="68"/>
    </w:p>
    <w:p>
      <w:pPr>
        <w:pStyle w:val="4"/>
        <w:keepNext w:val="0"/>
        <w:keepLines w:val="0"/>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bookmarkStart w:id="69" w:name="_Toc860"/>
      <w:bookmarkStart w:id="70" w:name="_Toc19222"/>
      <w:bookmarkStart w:id="71" w:name="_Toc89075878"/>
      <w:bookmarkStart w:id="72" w:name="_Toc183682368"/>
      <w:bookmarkStart w:id="73" w:name="_Toc217446056"/>
      <w:bookmarkStart w:id="74" w:name="_Toc77400782"/>
      <w:bookmarkStart w:id="75" w:name="_Toc183582231"/>
      <w:r>
        <w:rPr>
          <w:rFonts w:hint="eastAsia" w:asciiTheme="minorEastAsia" w:hAnsiTheme="minorEastAsia" w:eastAsiaTheme="minorEastAsia" w:cstheme="minorEastAsia"/>
          <w:color w:val="000000" w:themeColor="text1"/>
          <w14:textFill>
            <w14:solidFill>
              <w14:schemeClr w14:val="tx1"/>
            </w14:solidFill>
          </w14:textFill>
        </w:rPr>
        <w:t>五、评审</w:t>
      </w:r>
      <w:bookmarkEnd w:id="69"/>
      <w:bookmarkEnd w:id="70"/>
    </w:p>
    <w:p>
      <w:pPr>
        <w:keepNext w:val="0"/>
        <w:keepLines w:val="0"/>
        <w:pageBreakBefore w:val="0"/>
        <w:widowControl w:val="0"/>
        <w:kinsoku/>
        <w:wordWrap/>
        <w:overflowPunct/>
        <w:topLinePunct w:val="0"/>
        <w:autoSpaceDE/>
        <w:autoSpaceDN/>
        <w:bidi w:val="0"/>
        <w:adjustRightInd/>
        <w:snapToGrid/>
        <w:spacing w:before="260" w:after="26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22.磋商小组的组建及其评审工作按照有关法律制度和本文件第</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八</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章的规定进行。</w:t>
      </w:r>
    </w:p>
    <w:p>
      <w:pPr>
        <w:pStyle w:val="4"/>
        <w:keepNext w:val="0"/>
        <w:keepLines w:val="0"/>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bookmarkStart w:id="76" w:name="_Toc20682"/>
      <w:bookmarkStart w:id="77" w:name="_Toc59"/>
      <w:r>
        <w:rPr>
          <w:rFonts w:hint="eastAsia" w:asciiTheme="minorEastAsia" w:hAnsiTheme="minorEastAsia" w:eastAsiaTheme="minorEastAsia" w:cstheme="minorEastAsia"/>
          <w:color w:val="000000" w:themeColor="text1"/>
          <w14:textFill>
            <w14:solidFill>
              <w14:schemeClr w14:val="tx1"/>
            </w14:solidFill>
          </w14:textFill>
        </w:rPr>
        <w:t>六、成交事项</w:t>
      </w:r>
      <w:bookmarkEnd w:id="76"/>
      <w:bookmarkEnd w:id="77"/>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23.确定成交供应商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采购人将按磋商小组推荐的成交候选供应商顺序确定成交供应商。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23.1采购代理机构自评审结束后2个工作日内将磋商报告及有关资料送交采购人确定成交供应商。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23.3采购人确定成交供应商过程中，发现成交候选供应商有下列情形之一的，应当不予确定其为成交供应商：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（1）发现成交候选供应商存在禁止参加本项目采购活动的违法行为的；</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（2）成交候选供应商因不可抗力，不能继续参加政府采购活动；</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（3）成交候选供应商无偿赠与或者低于成本价竞争；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（4）成交候选供应商提供虚假材料；</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（5）成交候选供应商恶意串通。</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成交候选供应商有本条情形之一的，采购人可以确定后一位成交候选供应商为成交供应商，依次类推。无法确定成交供应商的，应当重新组织采购。</w:t>
      </w:r>
    </w:p>
    <w:p>
      <w:pPr>
        <w:pStyle w:val="5"/>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24.行贿犯罪档案</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24.1成交候选供应商</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应提交</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单位及其现任法定代表人、主要负责人是否存在行贿犯罪记录</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的承诺函</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24.2 采购人确定成交供应商期间，采购人/采购代理机构有权向相关部门或网站查询成交候选供应商单位及其现任法定代表人、主要负责人是否存在行贿犯罪记录。 </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24.3 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5"/>
        <w:rPr>
          <w:rFonts w:hint="eastAsia" w:asciiTheme="minorEastAsia" w:hAnsiTheme="minorEastAsia" w:eastAsiaTheme="minorEastAsia" w:cstheme="minorEastAsia"/>
          <w:lang w:val="en-US" w:eastAsia="zh-CN"/>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25.成交结果</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25.1采购人确定成交供应商后，将及时书面通知采购代理机构，发出成交通知书并发布成交结果公告</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25.2成交供应商应当及时领取成交通知书。本项目需要交纳履约保证金的，成交供应商应当及时向采购人交纳。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5"/>
        <w:jc w:val="both"/>
        <w:textAlignment w:val="auto"/>
        <w:outlineLvl w:val="9"/>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25.3成家供应商不能及时领取成交通知书，采购人或者采购代理机应当通过邮寄、快递等方式将项目成交通知书送达成交供应商。</w:t>
      </w:r>
    </w:p>
    <w:p>
      <w:pPr>
        <w:pStyle w:val="5"/>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26.成交通知书</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26.1成交通知书为签订政府采购合同的依据之一，是合同的有效组成部分。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26.2成交通知书对采购人和成交供应商均具有法律效力。成交通知书发出后，采购人无正当理由改变成交结果，或者成交供应商无正当理由放弃成交的，将承担相应的法律责任。</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26.3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p>
    <w:p>
      <w:pPr>
        <w:pStyle w:val="4"/>
        <w:keepNext w:val="0"/>
        <w:keepLines w:val="0"/>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bookmarkStart w:id="78" w:name="_Toc15476"/>
      <w:bookmarkStart w:id="79" w:name="_Toc27977"/>
      <w:r>
        <w:rPr>
          <w:rFonts w:hint="eastAsia" w:asciiTheme="minorEastAsia" w:hAnsiTheme="minorEastAsia" w:eastAsiaTheme="minorEastAsia" w:cstheme="minorEastAsia"/>
          <w:color w:val="000000" w:themeColor="text1"/>
          <w14:textFill>
            <w14:solidFill>
              <w14:schemeClr w14:val="tx1"/>
            </w14:solidFill>
          </w14:textFill>
        </w:rPr>
        <w:t>七、合同事项</w:t>
      </w:r>
      <w:bookmarkEnd w:id="78"/>
      <w:bookmarkEnd w:id="79"/>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32"/>
          <w14:textFill>
            <w14:solidFill>
              <w14:schemeClr w14:val="tx1"/>
            </w14:solidFill>
          </w14:textFill>
        </w:rPr>
      </w:pPr>
      <w:bookmarkStart w:id="80" w:name="_Toc101338364"/>
      <w:bookmarkStart w:id="81" w:name="_Toc101174151"/>
      <w:bookmarkStart w:id="82" w:name="_Toc430773927"/>
      <w:bookmarkStart w:id="83" w:name="_Toc209847069"/>
      <w:bookmarkStart w:id="84" w:name="_Toc101250646"/>
      <w:r>
        <w:rPr>
          <w:rFonts w:hint="eastAsia" w:asciiTheme="minorEastAsia" w:hAnsiTheme="minorEastAsia" w:eastAsiaTheme="minorEastAsia" w:cstheme="minorEastAsia"/>
          <w:b/>
          <w:bCs/>
          <w:color w:val="000000" w:themeColor="text1"/>
          <w:sz w:val="24"/>
          <w:szCs w:val="32"/>
          <w14:textFill>
            <w14:solidFill>
              <w14:schemeClr w14:val="tx1"/>
            </w14:solidFill>
          </w14:textFill>
        </w:rPr>
        <w:t>27.签订合同</w:t>
      </w:r>
      <w:bookmarkEnd w:id="80"/>
      <w:bookmarkEnd w:id="81"/>
      <w:bookmarkEnd w:id="82"/>
      <w:bookmarkEnd w:id="83"/>
      <w:bookmarkEnd w:id="84"/>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27.1 成交供应商应在成交通知书发出之日起</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三十</w:t>
      </w:r>
      <w:r>
        <w:rPr>
          <w:rFonts w:hint="eastAsia" w:asciiTheme="minorEastAsia" w:hAnsiTheme="minorEastAsia" w:eastAsiaTheme="minorEastAsia" w:cstheme="minorEastAsia"/>
          <w:color w:val="000000" w:themeColor="text1"/>
          <w:sz w:val="24"/>
          <w14:textFill>
            <w14:solidFill>
              <w14:schemeClr w14:val="tx1"/>
            </w14:solidFill>
          </w14:textFill>
        </w:rPr>
        <w:t>日内与采购人签订采购合同。由于成交供应商的原因逾期</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在成交通知书发出之日起</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三十</w:t>
      </w:r>
      <w:r>
        <w:rPr>
          <w:rFonts w:hint="eastAsia" w:asciiTheme="minorEastAsia" w:hAnsiTheme="minorEastAsia" w:eastAsiaTheme="minorEastAsia" w:cstheme="minorEastAsia"/>
          <w:color w:val="000000" w:themeColor="text1"/>
          <w:sz w:val="24"/>
          <w14:textFill>
            <w14:solidFill>
              <w14:schemeClr w14:val="tx1"/>
            </w14:solidFill>
          </w14:textFill>
        </w:rPr>
        <w:t>日内</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未与采购人签订采购合同的，将视为放弃成交，取消其成交资格并将按相关规定进行处理。</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27.2 磋商文件、成交供应商的响应文件及双方确认的澄清文件等，均为有法律约束力的合同组成部分。</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27.5竞争性磋商文件、成交供应商提交的响应文件、磋商中的最后报价、成交供应商承诺书、成交通知书等均称为有法律约束力的合同组成内容。</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482"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28.合同分包（实质性要求）</w:t>
      </w:r>
    </w:p>
    <w:p>
      <w:pPr>
        <w:spacing w:line="360" w:lineRule="auto"/>
        <w:ind w:firstLine="480" w:firstLineChars="200"/>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本次采购项目不允许合同分包。</w:t>
      </w:r>
    </w:p>
    <w:p>
      <w:pPr>
        <w:pStyle w:val="6"/>
        <w:rPr>
          <w:rFonts w:hint="eastAsia" w:asciiTheme="minorEastAsia" w:hAnsiTheme="minorEastAsia" w:eastAsiaTheme="minorEastAsia" w:cstheme="minorEastAsia"/>
          <w:lang w:eastAsia="zh-CN"/>
        </w:rPr>
      </w:pPr>
    </w:p>
    <w:p>
      <w:pPr>
        <w:spacing w:line="360" w:lineRule="auto"/>
        <w:ind w:firstLine="482"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29.合同转包（实质性要求）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成交供应商转包的，视同拒绝履行政府采购合同义务，将依法追究法律责任。</w:t>
      </w:r>
    </w:p>
    <w:p>
      <w:pPr>
        <w:pStyle w:val="5"/>
        <w:spacing w:line="360" w:lineRule="auto"/>
        <w:rPr>
          <w:rFonts w:hint="eastAsia" w:asciiTheme="minorEastAsia" w:hAnsiTheme="minorEastAsia" w:eastAsiaTheme="minorEastAsia" w:cstheme="minorEastAsia"/>
        </w:rPr>
      </w:pPr>
    </w:p>
    <w:p>
      <w:pPr>
        <w:spacing w:line="360" w:lineRule="auto"/>
        <w:ind w:firstLine="482"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30.补充合同</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采购合同履行过程中，采购人需要追加与合同标的相同的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服务的名称、价格、履约方式、验收标准等必须与原政府采购合同一致。 </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482" w:firstLineChars="200"/>
        <w:rPr>
          <w:rFonts w:hint="eastAsia" w:asciiTheme="minorEastAsia" w:hAnsiTheme="minorEastAsia" w:eastAsiaTheme="minorEastAsia" w:cstheme="minorEastAsia"/>
          <w:b/>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31.履约保证金（实质性要求）</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（如涉及）</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31.1 成交供应商应在合同签订之前交纳采购文件规定数额的履约保证金。</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31.2 如果成交供应商在规定的合同签订时间内，没有按照</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14:textFill>
            <w14:solidFill>
              <w14:schemeClr w14:val="tx1"/>
            </w14:solidFill>
          </w14:textFill>
        </w:rPr>
        <w:t>文件的规定交纳履约保证金，且又无正当理由的，将视为放弃成交。</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482"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32.合同公告</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采购人应当自政府采购合同签订（双方当事人均已签字盖章）之日起2个工作日，将政府采购合同在四川政府采购网上公告，但政府采购合同中涉及国家秘密、商业秘密的内容除外。</w:t>
      </w:r>
    </w:p>
    <w:p>
      <w:pPr>
        <w:pStyle w:val="6"/>
        <w:spacing w:line="360" w:lineRule="auto"/>
        <w:rPr>
          <w:rFonts w:hint="eastAsia" w:asciiTheme="minorEastAsia" w:hAnsiTheme="minorEastAsia" w:eastAsiaTheme="minorEastAsia" w:cstheme="minorEastAsia"/>
          <w:lang w:eastAsia="zh-CN"/>
        </w:rPr>
      </w:pPr>
    </w:p>
    <w:p>
      <w:pPr>
        <w:spacing w:line="360" w:lineRule="auto"/>
        <w:ind w:firstLine="482"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33.合同备案</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采购人应当将政府采购合同副本自签订（双方当事人均已签字盖章）之日起七个工作日内报同级财政部门备案。</w:t>
      </w:r>
    </w:p>
    <w:p>
      <w:pPr>
        <w:pStyle w:val="6"/>
        <w:spacing w:line="360" w:lineRule="auto"/>
        <w:rPr>
          <w:rFonts w:hint="eastAsia" w:asciiTheme="minorEastAsia" w:hAnsiTheme="minorEastAsia" w:eastAsiaTheme="minorEastAsia" w:cstheme="minorEastAsia"/>
        </w:rPr>
      </w:pPr>
    </w:p>
    <w:p>
      <w:pPr>
        <w:spacing w:line="360" w:lineRule="auto"/>
        <w:ind w:firstLine="482"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34.履行合同</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34.1 成交供应商与采购人签订合同后，合同双方应严格执行合同条款，履行合同规定的义务，保证合同的顺利完成。</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34.2 在合同履行过程中，如发生合同纠纷，合同双方应按照《</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民法典</w:t>
      </w:r>
      <w:r>
        <w:rPr>
          <w:rFonts w:hint="eastAsia" w:asciiTheme="minorEastAsia" w:hAnsiTheme="minorEastAsia" w:eastAsiaTheme="minorEastAsia" w:cstheme="minorEastAsia"/>
          <w:color w:val="000000" w:themeColor="text1"/>
          <w:sz w:val="24"/>
          <w14:textFill>
            <w14:solidFill>
              <w14:schemeClr w14:val="tx1"/>
            </w14:solidFill>
          </w14:textFill>
        </w:rPr>
        <w:t>》的有关规定进行处理。</w:t>
      </w: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35.</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验收</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eastAsia="宋体"/>
          <w:lang w:val="en-US" w:eastAsia="zh-CN"/>
        </w:rPr>
      </w:pPr>
      <w:r>
        <w:rPr>
          <w:rFonts w:hint="eastAsia" w:ascii="宋体" w:hAnsi="宋体" w:eastAsia="宋体" w:cs="宋体"/>
          <w:sz w:val="24"/>
          <w:szCs w:val="24"/>
          <w:lang w:val="en-US" w:eastAsia="zh-CN"/>
        </w:rPr>
        <w:t>严格按照《财政部关于进一步加强政府采购需求和履约验收管理的</w:t>
      </w:r>
      <w:r>
        <w:rPr>
          <w:rFonts w:hint="eastAsia" w:ascii="宋体" w:hAnsi="宋体" w:eastAsia="宋体" w:cs="宋体"/>
          <w:color w:val="000000" w:themeColor="text1"/>
          <w:sz w:val="24"/>
          <w:szCs w:val="24"/>
          <w:lang w:val="en-US" w:eastAsia="zh-CN"/>
          <w14:textFill>
            <w14:solidFill>
              <w14:schemeClr w14:val="tx1"/>
            </w14:solidFill>
          </w14:textFill>
        </w:rPr>
        <w:t>指导</w:t>
      </w:r>
      <w:r>
        <w:rPr>
          <w:rFonts w:hint="eastAsia" w:ascii="宋体" w:hAnsi="宋体" w:eastAsia="宋体" w:cs="宋体"/>
          <w:sz w:val="24"/>
          <w:szCs w:val="24"/>
          <w:lang w:val="en-US" w:eastAsia="zh-CN"/>
        </w:rPr>
        <w:t>意见》（财库〔2016〕205号）相关规定执行。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36.资金支付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b w:val="0"/>
          <w:color w:val="000000" w:themeColor="text1"/>
          <w:kern w:val="2"/>
          <w:sz w:val="24"/>
          <w:szCs w:val="24"/>
          <w:lang w:val="en-US"/>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szCs w:val="24"/>
          <w:lang w:val="en-US"/>
          <w14:textFill>
            <w14:solidFill>
              <w14:schemeClr w14:val="tx1"/>
            </w14:solidFill>
          </w14:textFill>
        </w:rPr>
        <w:t>采购人将按照政府采购合同规定，及时向</w:t>
      </w:r>
      <w:r>
        <w:rPr>
          <w:rFonts w:hint="eastAsia" w:asciiTheme="minorEastAsia" w:hAnsiTheme="minorEastAsia" w:eastAsiaTheme="minorEastAsia" w:cstheme="minorEastAsia"/>
          <w:b w:val="0"/>
          <w:color w:val="000000" w:themeColor="text1"/>
          <w:kern w:val="2"/>
          <w:sz w:val="24"/>
          <w:szCs w:val="24"/>
          <w:lang w:val="en-US" w:eastAsia="zh-CN"/>
          <w14:textFill>
            <w14:solidFill>
              <w14:schemeClr w14:val="tx1"/>
            </w14:solidFill>
          </w14:textFill>
        </w:rPr>
        <w:t>成交供应商</w:t>
      </w:r>
      <w:r>
        <w:rPr>
          <w:rFonts w:hint="eastAsia" w:asciiTheme="minorEastAsia" w:hAnsiTheme="minorEastAsia" w:eastAsiaTheme="minorEastAsia" w:cstheme="minorEastAsia"/>
          <w:b w:val="0"/>
          <w:color w:val="000000" w:themeColor="text1"/>
          <w:kern w:val="2"/>
          <w:sz w:val="24"/>
          <w:szCs w:val="24"/>
          <w:lang w:val="en-US"/>
          <w14:textFill>
            <w14:solidFill>
              <w14:schemeClr w14:val="tx1"/>
            </w14:solidFill>
          </w14:textFill>
        </w:rPr>
        <w:t>支付采购资金。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14:textFill>
            <w14:solidFill>
              <w14:schemeClr w14:val="tx1"/>
            </w14:solidFill>
          </w14:textFill>
        </w:rPr>
      </w:pPr>
    </w:p>
    <w:p>
      <w:pPr>
        <w:pStyle w:val="4"/>
        <w:keepNext w:val="0"/>
        <w:keepLines w:val="0"/>
        <w:spacing w:before="0" w:after="0"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bookmarkStart w:id="85" w:name="_Toc9533"/>
      <w:bookmarkStart w:id="86" w:name="_Toc7725"/>
      <w:r>
        <w:rPr>
          <w:rFonts w:hint="eastAsia" w:asciiTheme="minorEastAsia" w:hAnsiTheme="minorEastAsia" w:eastAsiaTheme="minorEastAsia" w:cstheme="minorEastAsia"/>
          <w:color w:val="000000" w:themeColor="text1"/>
          <w14:textFill>
            <w14:solidFill>
              <w14:schemeClr w14:val="tx1"/>
            </w14:solidFill>
          </w14:textFill>
        </w:rPr>
        <w:t>八、磋商纪律要求</w:t>
      </w:r>
      <w:bookmarkEnd w:id="85"/>
      <w:bookmarkEnd w:id="86"/>
    </w:p>
    <w:p>
      <w:pPr>
        <w:tabs>
          <w:tab w:val="left" w:pos="851"/>
        </w:tabs>
        <w:spacing w:line="360" w:lineRule="auto"/>
        <w:ind w:firstLine="482"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37.供应商不得具有的情形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供应商参加本项目磋商不得有下列情形：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（4）向采购人、采购代理机构、磋商小组成员行贿或者提供其他不正当利益；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（5）在磋商过程中与采购人、采购代理机构进行协商；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（7）未按照磋商文件确定的事项签订政府采购合同；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（8）将政府采购合同转包或者违规分包；</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（9）提供假冒伪劣产品；</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（10）擅自变更、中止或者终止政府采购合同；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p>
    <w:p>
      <w:pPr>
        <w:tabs>
          <w:tab w:val="left" w:pos="851"/>
        </w:tabs>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九、询问、质疑和投诉</w:t>
      </w:r>
    </w:p>
    <w:p>
      <w:pPr>
        <w:tabs>
          <w:tab w:val="left" w:pos="851"/>
        </w:tabs>
        <w:spacing w:line="360" w:lineRule="auto"/>
        <w:ind w:firstLine="495"/>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38.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pStyle w:val="6"/>
        <w:rPr>
          <w:rFonts w:hint="eastAsia" w:asciiTheme="minorEastAsia" w:hAnsiTheme="minorEastAsia" w:eastAsiaTheme="minorEastAsia" w:cstheme="minorEastAsia"/>
        </w:rPr>
      </w:pPr>
    </w:p>
    <w:p>
      <w:pPr>
        <w:tabs>
          <w:tab w:val="left" w:pos="851"/>
        </w:tabs>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十、其  他</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b/>
          <w:color w:val="000000" w:themeColor="text1"/>
          <w:sz w:val="24"/>
          <w14:textFill>
            <w14:solidFill>
              <w14:schemeClr w14:val="tx1"/>
            </w14:solidFill>
          </w14:textFill>
        </w:rPr>
        <w:t>（实质性要求）</w:t>
      </w:r>
      <w:r>
        <w:rPr>
          <w:rFonts w:hint="eastAsia" w:asciiTheme="minorEastAsia" w:hAnsiTheme="minorEastAsia" w:eastAsiaTheme="minorEastAsia" w:cstheme="minorEastAsia"/>
          <w:color w:val="000000" w:themeColor="text1"/>
          <w:sz w:val="24"/>
          <w14:textFill>
            <w14:solidFill>
              <w14:schemeClr w14:val="tx1"/>
            </w14:solidFill>
          </w14:textFill>
        </w:rPr>
        <w:t>国家或行业主管部门对供应商和采购产品的技术标准、质量标准和资格资质条件等有强制性规定的，必须符合其要求。</w:t>
      </w:r>
      <w:r>
        <w:rPr>
          <w:rFonts w:hint="eastAsia" w:asciiTheme="minorEastAsia" w:hAnsiTheme="minorEastAsia" w:eastAsiaTheme="minorEastAsia" w:cstheme="minorEastAsia"/>
          <w:b w:val="0"/>
          <w:bCs w:val="0"/>
          <w:color w:val="000000" w:themeColor="text1"/>
          <w:sz w:val="24"/>
          <w:lang w:eastAsia="zh-CN"/>
          <w14:textFill>
            <w14:solidFill>
              <w14:schemeClr w14:val="tx1"/>
            </w14:solidFill>
          </w14:textFill>
        </w:rPr>
        <w:t>（供应商在投标时需要对此项做出承诺）。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olor w:val="auto"/>
          <w:sz w:val="24"/>
          <w:highlight w:val="none"/>
          <w:lang w:val="en-US" w:eastAsia="zh-CN"/>
        </w:rPr>
        <w:t>41.</w:t>
      </w:r>
      <w:r>
        <w:rPr>
          <w:rFonts w:hint="eastAsia" w:asciiTheme="minorEastAsia" w:hAnsiTheme="minorEastAsia" w:eastAsiaTheme="minorEastAsia" w:cstheme="minorEastAsia"/>
          <w:color w:val="auto"/>
          <w:kern w:val="0"/>
          <w:sz w:val="24"/>
          <w:szCs w:val="24"/>
          <w:highlight w:val="none"/>
          <w:lang w:val="en-US" w:eastAsia="zh-CN" w:bidi="ar"/>
        </w:rPr>
        <w:t>磋商文件中采购代理机构编制的内容前后有矛盾或不一致，有时间先后 顺序的，以时间在后的修改、澄清或补正文件为准；没有时间先后顺序的，按有利于供应商的原则进行处理。</w:t>
      </w:r>
    </w:p>
    <w:p>
      <w:pPr>
        <w:pStyle w:val="6"/>
        <w:ind w:firstLine="420" w:firstLineChars="200"/>
        <w:rPr>
          <w:rFonts w:hint="eastAsia" w:asciiTheme="minorEastAsia" w:hAnsiTheme="minorEastAsia" w:eastAsiaTheme="minorEastAsia" w:cstheme="minorEastAsia"/>
          <w:color w:val="000000" w:themeColor="text1"/>
          <w:lang w:val="en-US"/>
          <w14:textFill>
            <w14:solidFill>
              <w14:schemeClr w14:val="tx1"/>
            </w14:solidFill>
          </w14:textFill>
        </w:rPr>
      </w:pP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0"/>
        <w:rPr>
          <w:rFonts w:hint="eastAsia" w:asciiTheme="minorEastAsia" w:hAnsiTheme="minorEastAsia" w:eastAsiaTheme="minorEastAsia" w:cstheme="minorEastAsia"/>
          <w:b/>
          <w:bCs/>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br w:type="page"/>
      </w:r>
      <w:bookmarkStart w:id="87" w:name="_Toc12476"/>
      <w:bookmarkStart w:id="88" w:name="_Toc21450"/>
      <w:r>
        <w:rPr>
          <w:rStyle w:val="16"/>
          <w:rFonts w:hint="eastAsia" w:asciiTheme="minorEastAsia" w:hAnsiTheme="minorEastAsia" w:eastAsiaTheme="minorEastAsia" w:cstheme="minorEastAsia"/>
          <w:color w:val="000000" w:themeColor="text1"/>
          <w:sz w:val="36"/>
          <w:szCs w:val="36"/>
          <w14:textFill>
            <w14:solidFill>
              <w14:schemeClr w14:val="tx1"/>
            </w14:solidFill>
          </w14:textFill>
        </w:rPr>
        <w:t>第三章</w:t>
      </w:r>
      <w:r>
        <w:rPr>
          <w:rStyle w:val="16"/>
          <w:rFonts w:hint="eastAsia" w:asciiTheme="minorEastAsia" w:hAnsiTheme="minorEastAsia" w:eastAsiaTheme="minorEastAsia" w:cstheme="minorEastAsia"/>
          <w:color w:val="000000" w:themeColor="text1"/>
          <w:sz w:val="36"/>
          <w:szCs w:val="36"/>
          <w:lang w:val="en-US" w:eastAsia="zh-CN"/>
          <w14:textFill>
            <w14:solidFill>
              <w14:schemeClr w14:val="tx1"/>
            </w14:solidFill>
          </w14:textFill>
        </w:rPr>
        <w:t xml:space="preserve">  </w:t>
      </w:r>
      <w:r>
        <w:rPr>
          <w:rStyle w:val="16"/>
          <w:rFonts w:hint="eastAsia" w:asciiTheme="minorEastAsia" w:hAnsiTheme="minorEastAsia" w:eastAsiaTheme="minorEastAsia" w:cstheme="minorEastAsia"/>
          <w:color w:val="000000" w:themeColor="text1"/>
          <w:sz w:val="36"/>
          <w:szCs w:val="36"/>
          <w14:textFill>
            <w14:solidFill>
              <w14:schemeClr w14:val="tx1"/>
            </w14:solidFill>
          </w14:textFill>
        </w:rPr>
        <w:t>供应商资格条件要求</w:t>
      </w:r>
      <w:bookmarkEnd w:id="87"/>
      <w:bookmarkEnd w:id="88"/>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参加磋商的供应商应具备下列资格条件：</w:t>
      </w:r>
    </w:p>
    <w:p>
      <w:pPr>
        <w:keepNext w:val="0"/>
        <w:keepLines w:val="0"/>
        <w:pageBreakBefore w:val="0"/>
        <w:widowControl/>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（一）《中华人民共和国政府采购法》第二十二条第一款第（一）至（六）规定的条件：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1、具有独立承担民事责任的能力；</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3、具有履行合同所必需的设备和专业技术能力；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具</w:t>
      </w:r>
      <w:r>
        <w:rPr>
          <w:rFonts w:hint="eastAsia" w:asciiTheme="minorEastAsia" w:hAnsiTheme="minorEastAsia" w:eastAsiaTheme="minorEastAsia" w:cstheme="minorEastAsia"/>
          <w:color w:val="000000" w:themeColor="text1"/>
          <w:sz w:val="24"/>
          <w:szCs w:val="24"/>
          <w14:textFill>
            <w14:solidFill>
              <w14:schemeClr w14:val="tx1"/>
            </w14:solidFill>
          </w14:textFill>
        </w:rPr>
        <w:t>有依法缴纳税收和社会保障资金的良好记录；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5、参加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本次</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政府采购活动前三年内，在经营活动中没有重大违法记录；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6、法律、行政法规规定的其他条件。</w:t>
      </w:r>
    </w:p>
    <w:p>
      <w:pPr>
        <w:pStyle w:val="6"/>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lang w:eastAsia="zh-CN"/>
          <w14:textFill>
            <w14:solidFill>
              <w14:schemeClr w14:val="tx1"/>
            </w14:solidFill>
          </w14:textFill>
        </w:rPr>
        <w:t>（二）落实政府采购政策需满足的资格条件：</w:t>
      </w:r>
      <w:r>
        <w:rPr>
          <w:rFonts w:hint="eastAsia" w:asciiTheme="minorEastAsia" w:hAnsiTheme="minorEastAsia" w:eastAsiaTheme="minorEastAsia" w:cstheme="minorEastAsia"/>
          <w:b w:val="0"/>
          <w:color w:val="auto"/>
          <w:spacing w:val="0"/>
          <w:kern w:val="0"/>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）根据采购项目提出的特殊条件：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spacing w:val="0"/>
          <w:kern w:val="0"/>
          <w:sz w:val="24"/>
          <w:szCs w:val="24"/>
          <w:lang w:val="en-US" w:eastAsia="zh-CN"/>
        </w:rPr>
      </w:pPr>
      <w:r>
        <w:rPr>
          <w:rFonts w:hint="eastAsia" w:asciiTheme="minorEastAsia" w:hAnsiTheme="minorEastAsia" w:eastAsiaTheme="minorEastAsia" w:cstheme="minorEastAsia"/>
          <w:b w:val="0"/>
          <w:spacing w:val="0"/>
          <w:kern w:val="0"/>
          <w:sz w:val="24"/>
          <w:szCs w:val="24"/>
          <w:lang w:val="en-US" w:eastAsia="zh-CN"/>
        </w:rPr>
        <w:t>1、供应商须具有卫生行政主管部门颁发的《医疗机构执业许可证》；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spacing w:val="0"/>
          <w:kern w:val="0"/>
          <w:sz w:val="24"/>
          <w:szCs w:val="24"/>
          <w:lang w:val="en-US" w:eastAsia="zh-CN"/>
        </w:rPr>
      </w:pPr>
      <w:r>
        <w:rPr>
          <w:rFonts w:hint="eastAsia" w:asciiTheme="minorEastAsia" w:hAnsiTheme="minorEastAsia" w:eastAsiaTheme="minorEastAsia" w:cstheme="minorEastAsia"/>
          <w:b w:val="0"/>
          <w:spacing w:val="0"/>
          <w:kern w:val="0"/>
          <w:sz w:val="24"/>
          <w:szCs w:val="24"/>
          <w:lang w:val="en-US" w:eastAsia="zh-CN"/>
        </w:rPr>
        <w:t>2、供应商须具有有效的《辐射安全许可证》；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spacing w:val="0"/>
          <w:kern w:val="0"/>
          <w:sz w:val="24"/>
          <w:szCs w:val="24"/>
          <w:lang w:val="en-US" w:eastAsia="zh-CN"/>
        </w:rPr>
      </w:pPr>
      <w:r>
        <w:rPr>
          <w:rFonts w:hint="eastAsia" w:asciiTheme="minorEastAsia" w:hAnsiTheme="minorEastAsia" w:eastAsiaTheme="minorEastAsia" w:cstheme="minorEastAsia"/>
          <w:b w:val="0"/>
          <w:spacing w:val="0"/>
          <w:kern w:val="0"/>
          <w:sz w:val="24"/>
          <w:szCs w:val="24"/>
          <w:lang w:val="en-US" w:eastAsia="zh-CN"/>
        </w:rPr>
        <w:t>3、参加本次采购活动的供应商、法定代表人、主要负责人在2018年至今不得具有行贿犯罪记录；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spacing w:val="0"/>
          <w:kern w:val="0"/>
          <w:sz w:val="24"/>
          <w:szCs w:val="24"/>
          <w:lang w:val="en-US" w:eastAsia="zh-CN"/>
        </w:rPr>
      </w:pPr>
      <w:r>
        <w:rPr>
          <w:rFonts w:hint="eastAsia" w:asciiTheme="minorEastAsia" w:hAnsiTheme="minorEastAsia" w:eastAsiaTheme="minorEastAsia" w:cstheme="minorEastAsia"/>
          <w:b w:val="0"/>
          <w:spacing w:val="0"/>
          <w:kern w:val="0"/>
          <w:sz w:val="24"/>
          <w:szCs w:val="24"/>
          <w:lang w:val="en-US" w:eastAsia="zh-CN"/>
        </w:rPr>
        <w:t>4、本项目不接受联合体参加磋商。</w:t>
      </w:r>
    </w:p>
    <w:p>
      <w:pPr>
        <w:keepNext w:val="0"/>
        <w:keepLines w:val="0"/>
        <w:pageBreakBefore w:val="0"/>
        <w:widowControl/>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）其他类似效力要求</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、企业法定代表人授权书（原件）；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、法定代表人的身份证复印件；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、被授权代理人的身份证复印件；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、提供承诺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函</w:t>
      </w:r>
      <w:r>
        <w:rPr>
          <w:rFonts w:hint="eastAsia" w:asciiTheme="minorEastAsia" w:hAnsiTheme="minorEastAsia" w:eastAsiaTheme="minorEastAsia" w:cstheme="minorEastAsia"/>
          <w:color w:val="000000" w:themeColor="text1"/>
          <w:sz w:val="24"/>
          <w:szCs w:val="24"/>
          <w14:textFill>
            <w14:solidFill>
              <w14:schemeClr w14:val="tx1"/>
            </w14:solidFill>
          </w14:textFill>
        </w:rPr>
        <w:t>原件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color w:val="000000" w:themeColor="text1"/>
          <w:kern w:val="0"/>
          <w:sz w:val="24"/>
          <w:szCs w:val="24"/>
          <w:lang w:val="en-US" w:eastAsia="zh-CN" w:bidi="ar"/>
          <w14:textFill>
            <w14:solidFill>
              <w14:schemeClr w14:val="tx1"/>
            </w14:solidFill>
          </w14:textFill>
        </w:rPr>
      </w:pPr>
      <w:bookmarkStart w:id="89" w:name="_Toc20069"/>
      <w:bookmarkStart w:id="90" w:name="_Toc8734"/>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en-US" w:eastAsia="zh-CN" w:bidi="ar"/>
          <w14:textFill>
            <w14:solidFill>
              <w14:schemeClr w14:val="tx1"/>
            </w14:solidFill>
          </w14:textFill>
        </w:rPr>
        <w:t>注：1.本项目确定供应商重大违法记录中较大数额罚款的金额标准按照四川省人民政府令第 317 号《四川省行政处罚听证程序规定》</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w:t>
      </w:r>
      <w:r>
        <w:rPr>
          <w:rFonts w:hint="eastAsia" w:asciiTheme="minorEastAsia" w:hAnsiTheme="minorEastAsia" w:eastAsiaTheme="minorEastAsia" w:cstheme="minorEastAsia"/>
          <w:b/>
          <w:color w:val="000000" w:themeColor="text1"/>
          <w:kern w:val="0"/>
          <w:sz w:val="24"/>
          <w:szCs w:val="24"/>
          <w:lang w:val="en-US" w:eastAsia="zh-CN" w:bidi="ar"/>
          <w14:textFill>
            <w14:solidFill>
              <w14:schemeClr w14:val="tx1"/>
            </w14:solidFill>
          </w14:textFill>
        </w:rPr>
        <w:t xml:space="preserve">对非经营活动中公民的违法行为处以罚款或者没收财产 2000 元以上、法人或者其他组织的违法行为处以罚款或者没收财产2万元以上；对在经营活动中的违法行为处以罚款或者没收财产5万元以上。 </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Style w:val="16"/>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en-US" w:eastAsia="zh-CN" w:bidi="ar"/>
          <w14:textFill>
            <w14:solidFill>
              <w14:schemeClr w14:val="tx1"/>
            </w14:solidFill>
          </w14:textFill>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Style w:val="16"/>
          <w:rFonts w:hint="eastAsia" w:asciiTheme="minorEastAsia" w:hAnsiTheme="minorEastAsia" w:eastAsiaTheme="minorEastAsia" w:cstheme="minorEastAsia"/>
          <w:color w:val="000000" w:themeColor="text1"/>
          <w14:textFill>
            <w14:solidFill>
              <w14:schemeClr w14:val="tx1"/>
            </w14:solidFill>
          </w14:textFill>
        </w:rPr>
        <w:br w:type="page"/>
      </w:r>
    </w:p>
    <w:p>
      <w:pPr>
        <w:pStyle w:val="3"/>
        <w:bidi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第四章  供应商资格证明材料</w:t>
      </w:r>
      <w:bookmarkEnd w:id="89"/>
      <w:bookmarkEnd w:id="90"/>
    </w:p>
    <w:p>
      <w:pPr>
        <w:keepNext w:val="0"/>
        <w:keepLines w:val="0"/>
        <w:pageBreakBefore w:val="0"/>
        <w:widowControl/>
        <w:kinsoku/>
        <w:wordWrap/>
        <w:overflowPunct/>
        <w:topLinePunct w:val="0"/>
        <w:autoSpaceDE/>
        <w:autoSpaceDN/>
        <w:bidi w:val="0"/>
        <w:adjustRightInd/>
        <w:snapToGrid/>
        <w:spacing w:line="360" w:lineRule="auto"/>
        <w:ind w:right="0" w:rightChars="0" w:firstLine="562" w:firstLineChars="200"/>
        <w:jc w:val="left"/>
        <w:textAlignment w:val="auto"/>
        <w:outlineLvl w:val="9"/>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（一）《中华人民共和国政府采购法》第二十二条第一款第（一）至（六）规定的条件相关证明材料：</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1、具有独立承担民事责任的能力：</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企业法人：提供“统一社会信用代码营业执照”复印件；（2）事业法人：提供“统一社会信用代码法人登记证书”复印件；（3）其他组织：提供“统一社会信用代码社会团体法人登记证书”复印件或“统一社会信用代码民办非企业单位登记证书”复印件或“统一社会信用代码基金会法人登记证书”复印件；（4）个体工商户：提供“统一社会信用代码营业执照”复印件 或“营业执照、税务登记证”复印件。</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注：以上证件提供正/副本均可。</w:t>
      </w:r>
    </w:p>
    <w:p>
      <w:pPr>
        <w:keepNext w:val="0"/>
        <w:keepLines w:val="0"/>
        <w:pageBreakBefore w:val="0"/>
        <w:widowControl/>
        <w:numPr>
          <w:ilvl w:val="0"/>
          <w:numId w:val="5"/>
        </w:numPr>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具有良好的商业信誉和健全的财务会计制度：</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具有良好的商业信誉提供：具有良好的商业信誉承诺函（原件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格式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自拟</w:t>
      </w:r>
      <w:r>
        <w:rPr>
          <w:rFonts w:hint="eastAsia" w:asciiTheme="minorEastAsia" w:hAnsiTheme="minorEastAsia" w:eastAsiaTheme="minorEastAsia" w:cstheme="minorEastAsia"/>
          <w:color w:val="000000" w:themeColor="text1"/>
          <w:sz w:val="24"/>
          <w:szCs w:val="24"/>
          <w14:textFill>
            <w14:solidFill>
              <w14:schemeClr w14:val="tx1"/>
            </w14:solidFill>
          </w14:textFill>
        </w:rPr>
        <w:t>)(说明：</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在参加政府采购活动前，被纳入法院、工商行政管理部门、税务部门、银行认定的失信人名单且在有效期内，或者在前三年政府采购合同履约过程中及其他经营活动履约过程中未依法履约被有关部门处理的，不能认定为具有良好的商业信誉）；</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具有健全的财务会计制度提供：（1）财务状况报告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可</w:t>
      </w:r>
      <w:r>
        <w:rPr>
          <w:rFonts w:hint="eastAsia" w:asciiTheme="minorEastAsia" w:hAnsiTheme="minorEastAsia" w:eastAsiaTheme="minorEastAsia" w:cstheme="minorEastAsia"/>
          <w:color w:val="000000" w:themeColor="text1"/>
          <w:sz w:val="24"/>
          <w:szCs w:val="24"/>
          <w14:textFill>
            <w14:solidFill>
              <w14:schemeClr w14:val="tx1"/>
            </w14:solidFill>
          </w14:textFill>
        </w:rPr>
        <w:t>提供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2020年度</w:t>
      </w:r>
      <w:r>
        <w:rPr>
          <w:rFonts w:hint="eastAsia" w:asciiTheme="minorEastAsia" w:hAnsiTheme="minorEastAsia" w:eastAsiaTheme="minorEastAsia" w:cstheme="minorEastAsia"/>
          <w:color w:val="000000" w:themeColor="text1"/>
          <w:sz w:val="24"/>
          <w:szCs w:val="24"/>
          <w14:textFill>
            <w14:solidFill>
              <w14:schemeClr w14:val="tx1"/>
            </w14:solidFill>
          </w14:textFill>
        </w:rPr>
        <w:t>经审计的财务报告复印</w:t>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件（包含审计报告</w:t>
      </w:r>
      <w:r>
        <w:rPr>
          <w:rFonts w:hint="eastAsia" w:asciiTheme="minorEastAsia" w:hAnsiTheme="minorEastAsia" w:eastAsiaTheme="minorEastAsia" w:cstheme="minorEastAsia"/>
          <w:color w:val="000000" w:themeColor="text1"/>
          <w:sz w:val="24"/>
          <w:szCs w:val="24"/>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审计报告中所涉及的财务报表和报表附注）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宋体" w:hAnsi="宋体" w:cs="宋体"/>
          <w:sz w:val="24"/>
          <w:highlight w:val="none"/>
          <w:lang w:val="en-US" w:eastAsia="zh-CN"/>
        </w:rPr>
        <w:t>也</w:t>
      </w:r>
      <w:r>
        <w:rPr>
          <w:rFonts w:hint="eastAsia" w:asciiTheme="minorEastAsia" w:hAnsiTheme="minorEastAsia" w:eastAsiaTheme="minorEastAsia" w:cstheme="minorEastAsia"/>
          <w:color w:val="auto"/>
          <w:sz w:val="24"/>
          <w:szCs w:val="24"/>
          <w:highlight w:val="none"/>
        </w:rPr>
        <w:t>可提供</w:t>
      </w:r>
      <w:r>
        <w:rPr>
          <w:rFonts w:hint="eastAsia" w:asciiTheme="minorEastAsia" w:hAnsiTheme="minorEastAsia" w:eastAsiaTheme="minorEastAsia" w:cstheme="minorEastAsia"/>
          <w:color w:val="auto"/>
          <w:sz w:val="24"/>
          <w:szCs w:val="24"/>
          <w:highlight w:val="none"/>
          <w:lang w:val="en-US" w:eastAsia="zh-CN"/>
        </w:rPr>
        <w:t>2020</w:t>
      </w:r>
      <w:r>
        <w:rPr>
          <w:rFonts w:hint="eastAsia" w:asciiTheme="minorEastAsia" w:hAnsiTheme="minorEastAsia" w:eastAsiaTheme="minorEastAsia" w:cstheme="minorEastAsia"/>
          <w:color w:val="auto"/>
          <w:sz w:val="24"/>
          <w:szCs w:val="24"/>
          <w:highlight w:val="none"/>
        </w:rPr>
        <w:t>年度</w:t>
      </w:r>
      <w:r>
        <w:rPr>
          <w:rFonts w:hint="eastAsia" w:asciiTheme="minorEastAsia" w:hAnsiTheme="minorEastAsia" w:eastAsiaTheme="minorEastAsia" w:cstheme="minorEastAsia"/>
          <w:color w:val="auto"/>
          <w:sz w:val="24"/>
          <w:szCs w:val="24"/>
          <w:highlight w:val="none"/>
          <w:lang w:eastAsia="zh-CN"/>
        </w:rPr>
        <w:t>供应商</w:t>
      </w:r>
      <w:r>
        <w:rPr>
          <w:rFonts w:hint="eastAsia" w:ascii="宋体" w:hAnsi="宋体" w:eastAsia="宋体" w:cs="宋体"/>
          <w:sz w:val="24"/>
          <w:szCs w:val="24"/>
          <w:highlight w:val="none"/>
        </w:rPr>
        <w:t>内部的财务报表复印件</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eastAsia="宋体" w:cs="宋体"/>
          <w:sz w:val="24"/>
          <w:szCs w:val="24"/>
          <w:highlight w:val="none"/>
        </w:rPr>
        <w:t>至少包含资产负债表</w:t>
      </w:r>
      <w:r>
        <w:rPr>
          <w:rFonts w:hint="eastAsia" w:ascii="宋体" w:hAnsi="宋体" w:eastAsia="宋体" w:cs="宋体"/>
          <w:sz w:val="24"/>
          <w:szCs w:val="24"/>
          <w:highlight w:val="none"/>
          <w:lang w:eastAsia="zh-CN"/>
        </w:rPr>
        <w:t>、现金流量表、利润表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）银行资信证明须为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递交截止日前3个月内由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所开立账户的银行开具的复印件；（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注册时间截至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递交截止日不足一年的，也可提供在工商备案的公司章程复印件。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以上材料（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）具有同等效力，提供任一项均可。</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3、具有履行合同所必须的设备和专业技术能力：提供供应商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具有</w:t>
      </w:r>
      <w:r>
        <w:rPr>
          <w:rFonts w:hint="eastAsia" w:asciiTheme="minorEastAsia" w:hAnsiTheme="minorEastAsia" w:eastAsiaTheme="minorEastAsia" w:cstheme="minorEastAsia"/>
          <w:color w:val="000000" w:themeColor="text1"/>
          <w:sz w:val="24"/>
          <w:szCs w:val="24"/>
          <w14:textFill>
            <w14:solidFill>
              <w14:schemeClr w14:val="tx1"/>
            </w14:solidFill>
          </w14:textFill>
        </w:rPr>
        <w:t>履行合同所必需的设备和专业技术能力的证明材料复印件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或承诺函（原件、格式自拟）；</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4、具有依法缴纳税收和社会保障资金的良好记录：</w:t>
      </w:r>
      <w:r>
        <w:rPr>
          <w:rFonts w:hint="eastAsia" w:asciiTheme="minorEastAsia" w:hAnsiTheme="minorEastAsia" w:eastAsiaTheme="minorEastAsia" w:cstheme="minorEastAsia"/>
          <w:color w:val="000000" w:themeColor="text1"/>
          <w:sz w:val="24"/>
          <w14:textFill>
            <w14:solidFill>
              <w14:schemeClr w14:val="tx1"/>
            </w14:solidFill>
          </w14:textFill>
        </w:rPr>
        <w:t>（1）提供</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2021</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以来</w:t>
      </w:r>
      <w:r>
        <w:rPr>
          <w:rFonts w:hint="eastAsia" w:asciiTheme="minorEastAsia" w:hAnsiTheme="minorEastAsia" w:eastAsiaTheme="minorEastAsia" w:cstheme="minorEastAsia"/>
          <w:color w:val="000000" w:themeColor="text1"/>
          <w:sz w:val="24"/>
          <w14:textFill>
            <w14:solidFill>
              <w14:schemeClr w14:val="tx1"/>
            </w14:solidFill>
          </w14:textFill>
        </w:rPr>
        <w:t>（任意</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14:textFill>
            <w14:solidFill>
              <w14:schemeClr w14:val="tx1"/>
            </w14:solidFill>
          </w14:textFill>
        </w:rPr>
        <w:t>个月）的缴纳税收和社保的银行缴款凭证复印件或税务、社保部门出具的证明材料复印件。（2）</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或提供供应商具有</w:t>
      </w:r>
      <w:r>
        <w:rPr>
          <w:rFonts w:hint="eastAsia" w:asciiTheme="minorEastAsia" w:hAnsiTheme="minorEastAsia" w:eastAsiaTheme="minorEastAsia" w:cstheme="minorEastAsia"/>
          <w:color w:val="000000" w:themeColor="text1"/>
          <w:sz w:val="24"/>
          <w14:textFill>
            <w14:solidFill>
              <w14:schemeClr w14:val="tx1"/>
            </w14:solidFill>
          </w14:textFill>
        </w:rPr>
        <w:t>依法缴纳税收和社会保障资金良好记录的承诺函原件（格式自拟）。（说明：税收可提供税务部门开具的收据或网银转帐回执单等有效证明材料；社保资金可提供社保部门开具的收据、网银转帐回执单或社保部门出具的已缴费证明等有效证明材料。</w:t>
      </w:r>
      <w:r>
        <w:rPr>
          <w:rFonts w:hint="eastAsia" w:asciiTheme="minorEastAsia" w:hAnsiTheme="minorEastAsia" w:eastAsiaTheme="minorEastAsia" w:cstheme="minorEastAsia"/>
          <w:color w:val="000000" w:themeColor="text1"/>
          <w:sz w:val="24"/>
          <w:lang w:val="zh-CN"/>
          <w14:textFill>
            <w14:solidFill>
              <w14:schemeClr w14:val="tx1"/>
            </w14:solidFill>
          </w14:textFill>
        </w:rPr>
        <w:t>依法免税或不需要缴纳社会保障资金的供应商，应提供相应文件证明其依法免税或不需要缴纳社会保障资金</w:t>
      </w:r>
      <w:r>
        <w:rPr>
          <w:rFonts w:hint="eastAsia" w:asciiTheme="minorEastAsia" w:hAnsiTheme="minorEastAsia" w:eastAsiaTheme="minorEastAsia" w:cstheme="minorEastAsia"/>
          <w:color w:val="000000" w:themeColor="text1"/>
          <w:sz w:val="24"/>
          <w:lang w:val="zh-CN" w:eastAsia="zh-CN"/>
          <w14:textFill>
            <w14:solidFill>
              <w14:schemeClr w14:val="tx1"/>
            </w14:solidFill>
          </w14:textFill>
        </w:rPr>
        <w:t>。成立日期距离递交响应文件截止时间不足</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3个月的企业，对税收和社保资金可提供情况说明或承诺</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keepNext w:val="0"/>
        <w:keepLines w:val="0"/>
        <w:pageBreakBefore w:val="0"/>
        <w:widowControl/>
        <w:numPr>
          <w:ilvl w:val="0"/>
          <w:numId w:val="6"/>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参加本次政府采购活动前三年内，在经营活动中没有重大违法记录：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提供承诺</w:t>
      </w:r>
      <w:r>
        <w:rPr>
          <w:rFonts w:hint="eastAsia" w:asciiTheme="minorEastAsia" w:hAnsiTheme="minorEastAsia" w:eastAsiaTheme="minorEastAsia" w:cstheme="minorEastAsia"/>
          <w:color w:val="000000" w:themeColor="text1"/>
          <w:sz w:val="24"/>
          <w:szCs w:val="24"/>
          <w14:textFill>
            <w14:solidFill>
              <w14:schemeClr w14:val="tx1"/>
            </w14:solidFill>
          </w14:textFill>
        </w:rPr>
        <w:t>函（原件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格式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自拟</w:t>
      </w:r>
      <w:r>
        <w:rPr>
          <w:rFonts w:hint="eastAsia" w:asciiTheme="minorEastAsia" w:hAnsiTheme="minorEastAsia" w:eastAsiaTheme="minorEastAsia" w:cstheme="minorEastAsia"/>
          <w:color w:val="000000" w:themeColor="text1"/>
          <w:sz w:val="24"/>
          <w:szCs w:val="24"/>
          <w14:textFill>
            <w14:solidFill>
              <w14:schemeClr w14:val="tx1"/>
            </w14:solidFill>
          </w14:textFill>
        </w:rPr>
        <w:t>。说明：1、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在参加政府采购活动前3年内因违法经营被禁止在一定期限内参加政府采购活动，期限届满的，可以参加政府采购活动，但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应提供相关证明材料复印件并加盖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公章；2、较大数额罚款的具体金额标准以本项目行业行政主管的明文规定或四川省人民政府规定的行政处罚听证标准为准）；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法律、行政法规规定的其他条件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（提供承诺函原件，格式自拟）。</w:t>
      </w:r>
    </w:p>
    <w:p>
      <w:pPr>
        <w:pStyle w:val="6"/>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（二）落实政府采购政策需满足的资格条件：</w:t>
      </w:r>
      <w:r>
        <w:rPr>
          <w:rFonts w:hint="eastAsia" w:asciiTheme="minorEastAsia" w:hAnsiTheme="minorEastAsia" w:eastAsiaTheme="minorEastAsia" w:cstheme="minorEastAsia"/>
          <w:b w:val="0"/>
          <w:color w:val="auto"/>
          <w:spacing w:val="0"/>
          <w:kern w:val="0"/>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auto"/>
        <w:ind w:right="0" w:rightChars="0" w:firstLine="562" w:firstLineChars="200"/>
        <w:jc w:val="left"/>
        <w:textAlignment w:val="auto"/>
        <w:outlineLvl w:val="9"/>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（三）根据采购项目提出的特殊条件：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spacing w:val="0"/>
          <w:kern w:val="0"/>
          <w:sz w:val="24"/>
          <w:szCs w:val="24"/>
          <w:lang w:val="en-US" w:eastAsia="zh-CN"/>
        </w:rPr>
      </w:pPr>
      <w:r>
        <w:rPr>
          <w:rFonts w:hint="eastAsia" w:asciiTheme="minorEastAsia" w:hAnsiTheme="minorEastAsia" w:eastAsiaTheme="minorEastAsia" w:cstheme="minorEastAsia"/>
          <w:b w:val="0"/>
          <w:spacing w:val="0"/>
          <w:kern w:val="0"/>
          <w:sz w:val="24"/>
          <w:szCs w:val="24"/>
          <w:lang w:val="en-US" w:eastAsia="zh-CN"/>
        </w:rPr>
        <w:t>1、供应商须具有卫生行政主管部门颁发的《医疗机构执业许可证》（提供证书复印件）；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spacing w:val="0"/>
          <w:kern w:val="0"/>
          <w:sz w:val="24"/>
          <w:szCs w:val="24"/>
          <w:lang w:val="en-US" w:eastAsia="zh-CN"/>
        </w:rPr>
      </w:pPr>
      <w:r>
        <w:rPr>
          <w:rFonts w:hint="eastAsia" w:asciiTheme="minorEastAsia" w:hAnsiTheme="minorEastAsia" w:eastAsiaTheme="minorEastAsia" w:cstheme="minorEastAsia"/>
          <w:b w:val="0"/>
          <w:spacing w:val="0"/>
          <w:kern w:val="0"/>
          <w:sz w:val="24"/>
          <w:szCs w:val="24"/>
          <w:lang w:val="en-US" w:eastAsia="zh-CN"/>
        </w:rPr>
        <w:t>2、供应商须具有有效的《辐射安全许可证》（提供证书复印件）；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spacing w:val="0"/>
          <w:kern w:val="0"/>
          <w:sz w:val="24"/>
          <w:szCs w:val="24"/>
          <w:lang w:val="en-US" w:eastAsia="zh-CN"/>
        </w:rPr>
      </w:pPr>
      <w:r>
        <w:rPr>
          <w:rFonts w:hint="eastAsia" w:asciiTheme="minorEastAsia" w:hAnsiTheme="minorEastAsia" w:eastAsiaTheme="minorEastAsia" w:cstheme="minorEastAsia"/>
          <w:b w:val="0"/>
          <w:spacing w:val="0"/>
          <w:kern w:val="0"/>
          <w:sz w:val="24"/>
          <w:szCs w:val="24"/>
          <w:lang w:val="en-US" w:eastAsia="zh-CN"/>
        </w:rPr>
        <w:t>3、参加本次采购活动的供应商、法定代表人、主要负责人在2018年至今不得具有行贿犯罪记录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（提供承诺函原件，格式自拟）</w:t>
      </w:r>
      <w:r>
        <w:rPr>
          <w:rFonts w:hint="eastAsia" w:asciiTheme="minorEastAsia" w:hAnsiTheme="minorEastAsia" w:eastAsiaTheme="minorEastAsia" w:cstheme="minorEastAsia"/>
          <w:b w:val="0"/>
          <w:spacing w:val="0"/>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spacing w:val="0"/>
          <w:kern w:val="0"/>
          <w:sz w:val="24"/>
          <w:szCs w:val="24"/>
          <w:lang w:val="en-US" w:eastAsia="zh-CN"/>
        </w:rPr>
      </w:pPr>
      <w:r>
        <w:rPr>
          <w:rFonts w:hint="eastAsia" w:asciiTheme="minorEastAsia" w:hAnsiTheme="minorEastAsia" w:eastAsiaTheme="minorEastAsia" w:cstheme="minorEastAsia"/>
          <w:b w:val="0"/>
          <w:spacing w:val="0"/>
          <w:kern w:val="0"/>
          <w:sz w:val="24"/>
          <w:szCs w:val="24"/>
          <w:lang w:val="en-US" w:eastAsia="zh-CN"/>
        </w:rPr>
        <w:t>4、本项目不接受联合体参加磋商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（提供相关承诺函，格式自拟）</w:t>
      </w:r>
      <w:r>
        <w:rPr>
          <w:rFonts w:hint="eastAsia" w:asciiTheme="minorEastAsia" w:hAnsiTheme="minorEastAsia" w:eastAsiaTheme="minorEastAsia" w:cstheme="minorEastAsia"/>
          <w:b w:val="0"/>
          <w:spacing w:val="0"/>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right="0" w:rightChars="0" w:firstLine="562" w:firstLineChars="200"/>
        <w:jc w:val="left"/>
        <w:textAlignment w:val="auto"/>
        <w:outlineLvl w:val="9"/>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（四）其他类似效力要求：</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、企业法定代表人授权书；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、法定代表人的身份证复印件；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、被授权代理人的身份证复印件；</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、提供承诺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函</w:t>
      </w:r>
      <w:r>
        <w:rPr>
          <w:rFonts w:hint="eastAsia" w:asciiTheme="minorEastAsia" w:hAnsiTheme="minorEastAsia" w:eastAsiaTheme="minorEastAsia" w:cstheme="minorEastAsia"/>
          <w:color w:val="000000" w:themeColor="text1"/>
          <w:sz w:val="24"/>
          <w:szCs w:val="24"/>
          <w14:textFill>
            <w14:solidFill>
              <w14:schemeClr w14:val="tx1"/>
            </w14:solidFill>
          </w14:textFill>
        </w:rPr>
        <w:t>原件（格式详见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资格性</w:t>
      </w:r>
      <w:r>
        <w:rPr>
          <w:rFonts w:hint="eastAsia" w:asciiTheme="minorEastAsia" w:hAnsiTheme="minorEastAsia" w:eastAsiaTheme="minorEastAsia" w:cstheme="minorEastAsia"/>
          <w:color w:val="000000" w:themeColor="text1"/>
          <w:sz w:val="24"/>
          <w:szCs w:val="24"/>
          <w14:textFill>
            <w14:solidFill>
              <w14:schemeClr w14:val="tx1"/>
            </w14:solidFill>
          </w14:textFill>
        </w:rPr>
        <w:t>响应文件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14:textFill>
            <w14:solidFill>
              <w14:schemeClr w14:val="tx1"/>
            </w14:solidFill>
          </w14:textFill>
        </w:rPr>
        <w:t>承诺函）</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2.本章要求提供的相关证明材料应当结合采购项目具体情况和供应商的组织机构性质确定，不得一概而论。</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14:textFill>
            <w14:solidFill>
              <w14:schemeClr w14:val="tx1"/>
            </w14:solidFill>
          </w14:textFill>
        </w:rPr>
        <w:t>供应商提供的以上资格证明材料为复印件的，包含对原件扫描、复印、影印等方式复制的材料</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 xml:space="preserve">且应加盖供应商公章。复印件所在页按要求加盖公章或复印件为多页但至少有一页按要求加盖公章的，视为满足复印件加盖公章的要求。 </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lang w:eastAsia="zh-CN"/>
          <w14:textFill>
            <w14:solidFill>
              <w14:schemeClr w14:val="tx1"/>
            </w14:solidFill>
          </w14:textFill>
        </w:rPr>
        <w:sectPr>
          <w:footerReference r:id="rId6" w:type="default"/>
          <w:pgSz w:w="11907" w:h="16840"/>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14:textFill>
            <w14:solidFill>
              <w14:schemeClr w14:val="tx1"/>
            </w14:solidFill>
          </w14:textFill>
        </w:rPr>
        <w:t>本项目在评标时进行资格审查。供应商应在</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14:textFill>
            <w14:solidFill>
              <w14:schemeClr w14:val="tx1"/>
            </w14:solidFill>
          </w14:textFill>
        </w:rPr>
        <w:t>文件中按</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14:textFill>
            <w14:solidFill>
              <w14:schemeClr w14:val="tx1"/>
            </w14:solidFill>
          </w14:textFill>
        </w:rPr>
        <w:t xml:space="preserve">文件的规定和要求附上所有的资格证明文件。若提供的资格证明文件不全或不实，将导致其投标或中标资格被取消。 </w:t>
      </w:r>
    </w:p>
    <w:p>
      <w:pPr>
        <w:pStyle w:val="3"/>
        <w:keepNext/>
        <w:keepLines/>
        <w:pageBreakBefore w:val="0"/>
        <w:widowControl w:val="0"/>
        <w:numPr>
          <w:ilvl w:val="0"/>
          <w:numId w:val="0"/>
        </w:numPr>
        <w:kinsoku/>
        <w:wordWrap/>
        <w:overflowPunct/>
        <w:topLinePunct w:val="0"/>
        <w:autoSpaceDE/>
        <w:autoSpaceDN/>
        <w:bidi w:val="0"/>
        <w:adjustRightInd/>
        <w:snapToGrid/>
        <w:spacing w:before="0" w:line="579" w:lineRule="auto"/>
        <w:jc w:val="center"/>
        <w:textAlignment w:val="auto"/>
        <w:rPr>
          <w:rFonts w:hint="eastAsia" w:asciiTheme="minorEastAsia" w:hAnsiTheme="minorEastAsia" w:eastAsiaTheme="minorEastAsia" w:cstheme="minorEastAsia"/>
        </w:rPr>
      </w:pPr>
      <w:bookmarkStart w:id="91" w:name="_Toc8711"/>
      <w:bookmarkStart w:id="92" w:name="_Toc18756"/>
      <w:r>
        <w:rPr>
          <w:rFonts w:hint="eastAsia" w:asciiTheme="minorEastAsia" w:hAnsiTheme="minorEastAsia" w:eastAsiaTheme="minorEastAsia" w:cstheme="minorEastAsia"/>
          <w:lang w:eastAsia="zh-CN"/>
        </w:rPr>
        <w:t>第五章</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采购项目技术、服务及商务要求</w:t>
      </w:r>
      <w:bookmarkEnd w:id="71"/>
      <w:bookmarkEnd w:id="72"/>
      <w:bookmarkEnd w:id="73"/>
      <w:bookmarkEnd w:id="74"/>
      <w:bookmarkEnd w:id="75"/>
      <w:bookmarkEnd w:id="91"/>
      <w:bookmarkEnd w:id="92"/>
      <w:bookmarkStart w:id="93" w:name="_Toc25378"/>
      <w:bookmarkStart w:id="94" w:name="_Toc8289"/>
      <w:bookmarkStart w:id="95" w:name="_Toc3568"/>
      <w:bookmarkStart w:id="96" w:name="_Toc141"/>
      <w:bookmarkStart w:id="97" w:name="_Toc22437"/>
      <w:bookmarkStart w:id="98" w:name="_Toc183682369"/>
      <w:bookmarkStart w:id="99" w:name="_Toc217446057"/>
      <w:bookmarkStart w:id="100" w:name="_Toc18358223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sz w:val="28"/>
          <w:szCs w:val="28"/>
        </w:rPr>
      </w:pPr>
      <w:bookmarkStart w:id="101" w:name="_Toc29095"/>
      <w:bookmarkStart w:id="102" w:name="_Toc4430"/>
      <w:r>
        <w:rPr>
          <w:rFonts w:hint="eastAsia" w:asciiTheme="minorEastAsia" w:hAnsiTheme="minorEastAsia" w:eastAsiaTheme="minorEastAsia" w:cstheme="minorEastAsia"/>
          <w:b/>
          <w:bCs/>
          <w:sz w:val="28"/>
          <w:szCs w:val="28"/>
          <w:lang w:eastAsia="zh-CN"/>
        </w:rPr>
        <w:t>一、</w:t>
      </w:r>
      <w:r>
        <w:rPr>
          <w:rFonts w:hint="eastAsia" w:asciiTheme="minorEastAsia" w:hAnsiTheme="minorEastAsia" w:eastAsiaTheme="minorEastAsia" w:cstheme="minorEastAsia"/>
          <w:b/>
          <w:bCs/>
          <w:sz w:val="28"/>
          <w:szCs w:val="28"/>
        </w:rPr>
        <w:t>项目概述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 w:val="0"/>
          <w:bCs/>
          <w:sz w:val="24"/>
          <w:szCs w:val="24"/>
          <w:lang w:eastAsia="zh-CN"/>
        </w:rPr>
        <w:t>本次服务内容：</w:t>
      </w:r>
      <w:r>
        <w:rPr>
          <w:rFonts w:hint="eastAsia" w:asciiTheme="minorEastAsia" w:hAnsiTheme="minorEastAsia" w:eastAsiaTheme="minorEastAsia" w:cstheme="minorEastAsia"/>
          <w:b w:val="0"/>
          <w:bCs/>
          <w:kern w:val="0"/>
          <w:sz w:val="24"/>
          <w:szCs w:val="24"/>
          <w:u w:val="none"/>
        </w:rPr>
        <w:t>成都市东部新区水务监管事务中心</w:t>
      </w:r>
      <w:r>
        <w:rPr>
          <w:rFonts w:hint="eastAsia" w:asciiTheme="minorEastAsia" w:hAnsiTheme="minorEastAsia" w:eastAsiaTheme="minorEastAsia" w:cstheme="minorEastAsia"/>
          <w:b w:val="0"/>
          <w:bCs/>
          <w:kern w:val="0"/>
          <w:sz w:val="24"/>
          <w:szCs w:val="24"/>
          <w:u w:val="none"/>
          <w:lang w:eastAsia="zh-CN"/>
        </w:rPr>
        <w:t>职工体检服务。参加</w:t>
      </w:r>
      <w:r>
        <w:rPr>
          <w:rFonts w:hint="eastAsia" w:asciiTheme="minorEastAsia" w:hAnsiTheme="minorEastAsia" w:eastAsiaTheme="minorEastAsia" w:cstheme="minorEastAsia"/>
          <w:b w:val="0"/>
          <w:bCs/>
          <w:kern w:val="0"/>
          <w:sz w:val="24"/>
          <w:szCs w:val="24"/>
          <w:highlight w:val="none"/>
          <w:u w:val="none"/>
          <w:lang w:eastAsia="zh-CN"/>
        </w:rPr>
        <w:t>体检人数共约</w:t>
      </w:r>
      <w:r>
        <w:rPr>
          <w:rFonts w:hint="eastAsia" w:asciiTheme="minorEastAsia" w:hAnsiTheme="minorEastAsia" w:eastAsiaTheme="minorEastAsia" w:cstheme="minorEastAsia"/>
          <w:b w:val="0"/>
          <w:bCs/>
          <w:kern w:val="0"/>
          <w:sz w:val="24"/>
          <w:szCs w:val="24"/>
          <w:highlight w:val="none"/>
          <w:u w:val="none"/>
          <w:lang w:val="en-US" w:eastAsia="zh-CN"/>
        </w:rPr>
        <w:t>680人，其中男性474人，女性206人。</w:t>
      </w:r>
      <w:r>
        <w:rPr>
          <w:rFonts w:hint="eastAsia" w:asciiTheme="minorEastAsia" w:hAnsiTheme="minorEastAsia" w:eastAsiaTheme="minorEastAsia" w:cstheme="minorEastAsia"/>
          <w:b w:val="0"/>
          <w:bCs/>
          <w:kern w:val="0"/>
          <w:sz w:val="24"/>
          <w:szCs w:val="24"/>
          <w:u w:val="none"/>
          <w:lang w:val="en-US" w:eastAsia="zh-CN"/>
        </w:rPr>
        <w:t>结算以实际体检人数为准。体检清单为采购人体检项目。</w:t>
      </w:r>
      <w:r>
        <w:rPr>
          <w:rFonts w:hint="eastAsia" w:asciiTheme="minorEastAsia" w:hAnsiTheme="minorEastAsia" w:eastAsiaTheme="minorEastAsia" w:cstheme="minorEastAsia"/>
          <w:b/>
          <w:bCs/>
          <w:color w:val="auto"/>
          <w:sz w:val="24"/>
          <w:highlight w:val="none"/>
        </w:rPr>
        <w:t>男性体检单价最高限价</w:t>
      </w:r>
      <w:r>
        <w:rPr>
          <w:rFonts w:hint="eastAsia" w:asciiTheme="minorEastAsia" w:hAnsiTheme="minorEastAsia" w:eastAsiaTheme="minorEastAsia" w:cstheme="minorEastAsia"/>
          <w:b/>
          <w:bCs/>
          <w:color w:val="auto"/>
          <w:sz w:val="24"/>
          <w:highlight w:val="none"/>
          <w:lang w:val="en-US" w:eastAsia="zh-CN"/>
        </w:rPr>
        <w:t>735</w:t>
      </w:r>
      <w:r>
        <w:rPr>
          <w:rFonts w:hint="eastAsia" w:asciiTheme="minorEastAsia" w:hAnsiTheme="minorEastAsia" w:eastAsiaTheme="minorEastAsia" w:cstheme="minorEastAsia"/>
          <w:b/>
          <w:bCs/>
          <w:color w:val="auto"/>
          <w:sz w:val="24"/>
          <w:highlight w:val="none"/>
        </w:rPr>
        <w:t>元，</w:t>
      </w:r>
      <w:r>
        <w:rPr>
          <w:rFonts w:hint="eastAsia" w:asciiTheme="minorEastAsia" w:hAnsiTheme="minorEastAsia" w:eastAsiaTheme="minorEastAsia" w:cstheme="minorEastAsia"/>
          <w:b/>
          <w:bCs/>
          <w:color w:val="auto"/>
          <w:sz w:val="24"/>
          <w:highlight w:val="none"/>
          <w:lang w:eastAsia="zh-CN"/>
        </w:rPr>
        <w:t>女</w:t>
      </w:r>
      <w:r>
        <w:rPr>
          <w:rFonts w:hint="eastAsia" w:asciiTheme="minorEastAsia" w:hAnsiTheme="minorEastAsia" w:eastAsiaTheme="minorEastAsia" w:cstheme="minorEastAsia"/>
          <w:b/>
          <w:bCs/>
          <w:color w:val="auto"/>
          <w:sz w:val="24"/>
          <w:highlight w:val="none"/>
        </w:rPr>
        <w:t>性体检单价最高限价</w:t>
      </w:r>
      <w:r>
        <w:rPr>
          <w:rFonts w:hint="eastAsia" w:asciiTheme="minorEastAsia" w:hAnsiTheme="minorEastAsia" w:eastAsiaTheme="minorEastAsia" w:cstheme="minorEastAsia"/>
          <w:b/>
          <w:bCs/>
          <w:color w:val="auto"/>
          <w:sz w:val="24"/>
          <w:highlight w:val="none"/>
          <w:lang w:val="en-US" w:eastAsia="zh-CN"/>
        </w:rPr>
        <w:t>1075</w:t>
      </w:r>
      <w:r>
        <w:rPr>
          <w:rFonts w:hint="eastAsia" w:asciiTheme="minorEastAsia" w:hAnsiTheme="minorEastAsia" w:eastAsiaTheme="minorEastAsia" w:cstheme="minorEastAsia"/>
          <w:b/>
          <w:bCs/>
          <w:color w:val="auto"/>
          <w:sz w:val="24"/>
          <w:highlight w:val="none"/>
        </w:rPr>
        <w:t>元</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rPr>
        <w:t>超过限价无效</w:t>
      </w:r>
      <w:r>
        <w:rPr>
          <w:rFonts w:hint="eastAsia" w:asciiTheme="minorEastAsia" w:hAnsiTheme="minorEastAsia" w:eastAsiaTheme="minorEastAsia" w:cstheme="minorEastAsia"/>
          <w:b/>
          <w:bCs/>
          <w:color w:val="auto"/>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二、</w:t>
      </w:r>
      <w:r>
        <w:rPr>
          <w:rFonts w:hint="eastAsia" w:asciiTheme="minorEastAsia" w:hAnsiTheme="minorEastAsia" w:eastAsiaTheme="minorEastAsia" w:cstheme="minorEastAsia"/>
          <w:b/>
          <w:bCs/>
          <w:sz w:val="28"/>
          <w:szCs w:val="28"/>
          <w:lang w:eastAsia="zh-CN"/>
        </w:rPr>
        <w:t>服</w:t>
      </w:r>
      <w:r>
        <w:rPr>
          <w:rFonts w:hint="eastAsia" w:asciiTheme="minorEastAsia" w:hAnsiTheme="minorEastAsia" w:eastAsiaTheme="minorEastAsia" w:cstheme="minorEastAsia"/>
          <w:b/>
          <w:bCs/>
          <w:sz w:val="28"/>
          <w:szCs w:val="28"/>
        </w:rPr>
        <w:t>务内容及相关要求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8"/>
          <w:szCs w:val="28"/>
          <w:lang w:eastAsia="zh-CN"/>
        </w:rPr>
        <w:t>（一）服务内容</w:t>
      </w:r>
      <w:r>
        <w:rPr>
          <w:rFonts w:hint="eastAsia" w:asciiTheme="minorEastAsia" w:hAnsiTheme="minorEastAsia" w:cstheme="minorEastAsia"/>
          <w:b/>
          <w:bCs/>
          <w:sz w:val="28"/>
          <w:szCs w:val="28"/>
          <w:lang w:eastAsia="zh-CN"/>
        </w:rPr>
        <w:t>及相关要求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供应商有义</w:t>
      </w:r>
      <w:r>
        <w:rPr>
          <w:rFonts w:hint="eastAsia" w:asciiTheme="minorEastAsia" w:hAnsiTheme="minorEastAsia" w:eastAsiaTheme="minorEastAsia" w:cstheme="minorEastAsia"/>
          <w:sz w:val="24"/>
          <w:szCs w:val="24"/>
          <w:lang w:val="en-US" w:eastAsia="zh-CN"/>
        </w:rPr>
        <w:t>务</w:t>
      </w:r>
      <w:r>
        <w:rPr>
          <w:rFonts w:hint="eastAsia" w:asciiTheme="minorEastAsia" w:hAnsiTheme="minorEastAsia" w:eastAsiaTheme="minorEastAsia" w:cstheme="minorEastAsia"/>
          <w:sz w:val="24"/>
          <w:szCs w:val="24"/>
        </w:rPr>
        <w:t>协助采购人选择体检项目。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2、供应商应具有独立的体检场所、能做到检患分离，避免交叉感染。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3、对异常结果凡需进一步检查确诊的，由供应商向本人提出并给予安排，进一步检查的费用由需复检本人自行承担，费用不计入体检经费内。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000000"/>
          <w:sz w:val="24"/>
        </w:rPr>
        <w:t>★</w:t>
      </w:r>
      <w:r>
        <w:rPr>
          <w:rFonts w:hint="eastAsia" w:asciiTheme="minorEastAsia" w:hAnsiTheme="minorEastAsia" w:eastAsiaTheme="minorEastAsia" w:cstheme="minorEastAsia"/>
          <w:sz w:val="24"/>
          <w:szCs w:val="24"/>
          <w:lang w:val="en-US" w:eastAsia="zh-CN"/>
        </w:rPr>
        <w:t>4、供应商应落实保密制度，对有可疑肿瘤或其它危害身体健康较大的疾病，由体检医生通知采购人及职工本人，以便及时就诊或进一步检查。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5、供应商应控制每天的体检人数在适当的范围内，根据自身每日接检能力、场地大小，结合防疫要求确定合理的参检人数和参检时间间隔，以确保服务流程顺畅，保障对每一名职工的服务质量。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供应商应提供所有参检人员的体检报告，体检报告中除进行常规的数据分析外，应提供相应的保健知识，以及个性化的健康促进计划。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为采购人提供检后咨询服务。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在采购人参加体检人员的总检报告完成后</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为采购人提供团队检查的健康总结报告。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每批次体检工作结束后15个工作日内</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由供应商统一送体检报告给采购人，再由采购人转发给体检人员。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10、成</w:t>
      </w:r>
      <w:r>
        <w:rPr>
          <w:rFonts w:hint="eastAsia" w:asciiTheme="minorEastAsia" w:hAnsiTheme="minorEastAsia" w:eastAsiaTheme="minorEastAsia" w:cstheme="minorEastAsia"/>
          <w:sz w:val="24"/>
          <w:szCs w:val="24"/>
          <w:lang w:val="en-US" w:eastAsia="zh-CN"/>
        </w:rPr>
        <w:t>交供应商应向采购人提供</w:t>
      </w:r>
      <w:r>
        <w:rPr>
          <w:rFonts w:hint="eastAsia" w:asciiTheme="minorEastAsia" w:hAnsiTheme="minorEastAsia" w:eastAsiaTheme="minorEastAsia" w:cstheme="minorEastAsia"/>
          <w:sz w:val="24"/>
          <w:szCs w:val="24"/>
          <w:lang w:eastAsia="zh-CN"/>
        </w:rPr>
        <w:t>：各体检项目一览表、</w:t>
      </w:r>
      <w:r>
        <w:rPr>
          <w:rFonts w:hint="eastAsia" w:asciiTheme="minorEastAsia" w:hAnsiTheme="minorEastAsia" w:eastAsiaTheme="minorEastAsia" w:cstheme="minorEastAsia"/>
          <w:sz w:val="24"/>
          <w:szCs w:val="24"/>
        </w:rPr>
        <w:t>清晰准确的检前注意事项</w:t>
      </w:r>
      <w:r>
        <w:rPr>
          <w:rFonts w:hint="eastAsia" w:asciiTheme="minorEastAsia" w:hAnsiTheme="minorEastAsia" w:eastAsiaTheme="minorEastAsia" w:cstheme="minorEastAsia"/>
          <w:sz w:val="24"/>
          <w:szCs w:val="24"/>
          <w:lang w:eastAsia="zh-CN"/>
        </w:rPr>
        <w:t>、体检流程图、体检时间安排表以及</w:t>
      </w:r>
      <w:r>
        <w:rPr>
          <w:rFonts w:hint="eastAsia" w:asciiTheme="minorEastAsia" w:hAnsiTheme="minorEastAsia" w:eastAsiaTheme="minorEastAsia" w:cstheme="minorEastAsia"/>
          <w:sz w:val="24"/>
          <w:szCs w:val="24"/>
        </w:rPr>
        <w:t>饮食、作息等方面准确</w:t>
      </w:r>
      <w:r>
        <w:rPr>
          <w:rFonts w:hint="eastAsia" w:asciiTheme="minorEastAsia" w:hAnsiTheme="minorEastAsia" w:eastAsiaTheme="minorEastAsia" w:cstheme="minorEastAsia"/>
          <w:sz w:val="24"/>
          <w:szCs w:val="24"/>
          <w:lang w:val="en-US" w:eastAsia="zh-CN"/>
        </w:rPr>
        <w:t>的建议</w:t>
      </w:r>
      <w:r>
        <w:rPr>
          <w:rFonts w:hint="eastAsia" w:asciiTheme="minorEastAsia" w:hAnsiTheme="minorEastAsia" w:eastAsiaTheme="minorEastAsia" w:cstheme="minorEastAsia"/>
          <w:sz w:val="24"/>
          <w:szCs w:val="24"/>
          <w:lang w:eastAsia="zh-CN"/>
        </w:rPr>
        <w:t>等</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11、设有餐厅并准备早餐，统一安排体检人员在检后用餐。</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jc w:val="left"/>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供应商应针对本项目提供完整的服务方案。服务方案包括但不限于供应商为本项目制定的体检安排方案；应急措施；体检质量保证措施；若体检发现疾病需进一步治疗的，须提供就医绿色通道，并制定体检治疗服务方案；后续的增值服务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（二）体检内容</w:t>
      </w:r>
    </w:p>
    <w:p>
      <w:pPr>
        <w:rPr>
          <w:rFonts w:hint="eastAsia"/>
          <w:b/>
          <w:bCs/>
          <w:sz w:val="28"/>
          <w:szCs w:val="28"/>
          <w:lang w:eastAsia="zh-CN"/>
        </w:rPr>
      </w:pPr>
      <w:r>
        <w:rPr>
          <w:rFonts w:hint="eastAsia"/>
          <w:b/>
          <w:bCs/>
          <w:sz w:val="28"/>
          <w:szCs w:val="28"/>
          <w:lang w:eastAsia="zh-CN"/>
        </w:rPr>
        <w:t>女性套餐</w:t>
      </w:r>
    </w:p>
    <w:tbl>
      <w:tblPr>
        <w:tblStyle w:val="13"/>
        <w:tblW w:w="0" w:type="auto"/>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1988"/>
        <w:gridCol w:w="5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b/>
                <w:bCs/>
                <w:sz w:val="24"/>
                <w:szCs w:val="24"/>
                <w:vertAlign w:val="baseline"/>
                <w:lang w:eastAsia="zh-CN"/>
              </w:rPr>
            </w:pPr>
          </w:p>
        </w:tc>
        <w:tc>
          <w:tcPr>
            <w:tcW w:w="1997" w:type="dxa"/>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体检项目</w:t>
            </w:r>
          </w:p>
        </w:tc>
        <w:tc>
          <w:tcPr>
            <w:tcW w:w="5466" w:type="dxa"/>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检查意义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普通检查</w:t>
            </w:r>
          </w:p>
        </w:tc>
        <w:tc>
          <w:tcPr>
            <w:tcW w:w="1997" w:type="dxa"/>
            <w:vAlign w:val="center"/>
          </w:tcPr>
          <w:p>
            <w:pPr>
              <w:keepNext w:val="0"/>
              <w:keepLines w:val="0"/>
              <w:pageBreakBefore w:val="0"/>
              <w:widowControl/>
              <w:suppressLineNumbers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一般情况</w:t>
            </w:r>
          </w:p>
        </w:tc>
        <w:tc>
          <w:tcPr>
            <w:tcW w:w="5466" w:type="dxa"/>
          </w:tcPr>
          <w:p>
            <w:pPr>
              <w:keepNext w:val="0"/>
              <w:keepLines w:val="0"/>
              <w:pageBreakBefore w:val="0"/>
              <w:kinsoku/>
              <w:wordWrap/>
              <w:overflowPunct/>
              <w:topLinePunct w:val="0"/>
              <w:autoSpaceDE/>
              <w:autoSpaceDN/>
              <w:bidi w:val="0"/>
              <w:adjustRightInd/>
              <w:snapToGrid/>
              <w:spacing w:line="348" w:lineRule="auto"/>
              <w:jc w:val="left"/>
              <w:textAlignment w:val="auto"/>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测量人体基本健康指标。如：血压是否正常，有无体重偏低、超重或肥胖。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b/>
                <w:bCs/>
                <w:sz w:val="24"/>
                <w:szCs w:val="24"/>
                <w:vertAlign w:val="baseline"/>
                <w:lang w:eastAsia="zh-CN"/>
              </w:rPr>
            </w:pPr>
          </w:p>
        </w:tc>
        <w:tc>
          <w:tcPr>
            <w:tcW w:w="1997" w:type="dxa"/>
            <w:vAlign w:val="center"/>
          </w:tcPr>
          <w:p>
            <w:pPr>
              <w:keepNext w:val="0"/>
              <w:keepLines w:val="0"/>
              <w:pageBreakBefore w:val="0"/>
              <w:widowControl/>
              <w:suppressLineNumbers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内科</w:t>
            </w:r>
          </w:p>
        </w:tc>
        <w:tc>
          <w:tcPr>
            <w:tcW w:w="5466" w:type="dxa"/>
          </w:tcPr>
          <w:p>
            <w:pPr>
              <w:keepNext w:val="0"/>
              <w:keepLines w:val="0"/>
              <w:pageBreakBefore w:val="0"/>
              <w:kinsoku/>
              <w:wordWrap/>
              <w:overflowPunct/>
              <w:topLinePunct w:val="0"/>
              <w:autoSpaceDE/>
              <w:autoSpaceDN/>
              <w:bidi w:val="0"/>
              <w:adjustRightInd/>
              <w:snapToGrid/>
              <w:spacing w:line="348" w:lineRule="auto"/>
              <w:jc w:val="left"/>
              <w:textAlignment w:val="auto"/>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医生通过面谈后，进行理学检查，根据病史与检查所见对心肺、腹腔脏器、神经系统等状态和功能情况进行最有可能的诊断。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b/>
                <w:bCs/>
                <w:sz w:val="24"/>
                <w:szCs w:val="24"/>
                <w:vertAlign w:val="baseline"/>
                <w:lang w:eastAsia="zh-CN"/>
              </w:rPr>
            </w:pPr>
          </w:p>
        </w:tc>
        <w:tc>
          <w:tcPr>
            <w:tcW w:w="1997" w:type="dxa"/>
            <w:vAlign w:val="center"/>
          </w:tcPr>
          <w:p>
            <w:pPr>
              <w:keepNext w:val="0"/>
              <w:keepLines w:val="0"/>
              <w:pageBreakBefore w:val="0"/>
              <w:widowControl/>
              <w:suppressLineNumbers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外科（女）</w:t>
            </w:r>
          </w:p>
        </w:tc>
        <w:tc>
          <w:tcPr>
            <w:tcW w:w="5466" w:type="dxa"/>
          </w:tcPr>
          <w:p>
            <w:pPr>
              <w:keepNext w:val="0"/>
              <w:keepLines w:val="0"/>
              <w:pageBreakBefore w:val="0"/>
              <w:kinsoku/>
              <w:wordWrap/>
              <w:overflowPunct/>
              <w:topLinePunct w:val="0"/>
              <w:autoSpaceDE/>
              <w:autoSpaceDN/>
              <w:bidi w:val="0"/>
              <w:adjustRightInd/>
              <w:snapToGrid/>
              <w:spacing w:line="348" w:lineRule="auto"/>
              <w:jc w:val="left"/>
              <w:textAlignment w:val="auto"/>
              <w:rPr>
                <w:rFonts w:hint="eastAsia" w:asciiTheme="minorEastAsia" w:hAnsiTheme="minorEastAsia" w:cstheme="minorEastAsia"/>
                <w:b w:val="0"/>
                <w:bCs w:val="0"/>
                <w:sz w:val="24"/>
                <w:szCs w:val="24"/>
                <w:vertAlign w:val="baseline"/>
                <w:lang w:eastAsia="zh-CN"/>
              </w:rPr>
            </w:pPr>
            <w:r>
              <w:rPr>
                <w:rFonts w:hint="eastAsia" w:asciiTheme="minorEastAsia" w:hAnsiTheme="minorEastAsia" w:cstheme="minorEastAsia"/>
                <w:b w:val="0"/>
                <w:bCs w:val="0"/>
                <w:sz w:val="24"/>
                <w:szCs w:val="24"/>
                <w:vertAlign w:val="baseline"/>
                <w:lang w:val="en-US" w:eastAsia="zh-CN"/>
              </w:rPr>
              <w:t>1、</w:t>
            </w:r>
            <w:r>
              <w:rPr>
                <w:rFonts w:hint="eastAsia" w:asciiTheme="minorEastAsia" w:hAnsiTheme="minorEastAsia" w:eastAsiaTheme="minorEastAsia" w:cstheme="minorEastAsia"/>
                <w:b w:val="0"/>
                <w:bCs w:val="0"/>
                <w:sz w:val="24"/>
                <w:szCs w:val="24"/>
                <w:vertAlign w:val="baseline"/>
                <w:lang w:eastAsia="zh-CN"/>
              </w:rPr>
              <w:t>对甲状腺、浅表淋巴结、脊柱四肢等检查有无异常</w:t>
            </w:r>
            <w:r>
              <w:rPr>
                <w:rFonts w:hint="eastAsia" w:asciiTheme="minorEastAsia" w:hAnsiTheme="minorEastAsia" w:cstheme="minorEastAsia"/>
                <w:b w:val="0"/>
                <w:bCs w:val="0"/>
                <w:sz w:val="24"/>
                <w:szCs w:val="24"/>
                <w:vertAlign w:val="baseline"/>
                <w:lang w:eastAsia="zh-CN"/>
              </w:rPr>
              <w:t>；</w:t>
            </w:r>
          </w:p>
          <w:p>
            <w:pPr>
              <w:keepNext w:val="0"/>
              <w:keepLines w:val="0"/>
              <w:pageBreakBefore w:val="0"/>
              <w:kinsoku/>
              <w:wordWrap/>
              <w:overflowPunct/>
              <w:topLinePunct w:val="0"/>
              <w:autoSpaceDE/>
              <w:autoSpaceDN/>
              <w:bidi w:val="0"/>
              <w:adjustRightInd/>
              <w:snapToGrid/>
              <w:spacing w:line="348" w:lineRule="auto"/>
              <w:jc w:val="left"/>
              <w:textAlignment w:val="auto"/>
              <w:rPr>
                <w:rFonts w:hint="eastAsia" w:asciiTheme="minorEastAsia" w:hAnsiTheme="minorEastAsia" w:cstheme="minorEastAsia"/>
                <w:b w:val="0"/>
                <w:bCs w:val="0"/>
                <w:sz w:val="24"/>
                <w:szCs w:val="24"/>
                <w:vertAlign w:val="baseline"/>
                <w:lang w:eastAsia="zh-CN"/>
              </w:rPr>
            </w:pP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以上体检内容中未包括的异常体征，如皮肤病变(皮疹、炎症、皮下结节、脂肪瘤、溃疡或面积较大影响功能的瘢痕等)。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b/>
                <w:bCs/>
                <w:sz w:val="24"/>
                <w:szCs w:val="24"/>
                <w:vertAlign w:val="baseline"/>
                <w:lang w:eastAsia="zh-CN"/>
              </w:rPr>
            </w:pPr>
          </w:p>
        </w:tc>
        <w:tc>
          <w:tcPr>
            <w:tcW w:w="1997" w:type="dxa"/>
            <w:vAlign w:val="center"/>
          </w:tcPr>
          <w:p>
            <w:pPr>
              <w:keepNext w:val="0"/>
              <w:keepLines w:val="0"/>
              <w:pageBreakBefore w:val="0"/>
              <w:widowControl/>
              <w:suppressLineNumbers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耳鼻喉科</w:t>
            </w:r>
          </w:p>
        </w:tc>
        <w:tc>
          <w:tcPr>
            <w:tcW w:w="5466" w:type="dxa"/>
          </w:tcPr>
          <w:p>
            <w:pPr>
              <w:keepNext w:val="0"/>
              <w:keepLines w:val="0"/>
              <w:pageBreakBefore w:val="0"/>
              <w:kinsoku/>
              <w:wordWrap/>
              <w:overflowPunct/>
              <w:topLinePunct w:val="0"/>
              <w:autoSpaceDE/>
              <w:autoSpaceDN/>
              <w:bidi w:val="0"/>
              <w:adjustRightInd/>
              <w:snapToGrid/>
              <w:spacing w:line="348" w:lineRule="auto"/>
              <w:jc w:val="left"/>
              <w:textAlignment w:val="auto"/>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对耳、鼻、咽喉、扁桃体、听力状态进行检查。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b/>
                <w:bCs/>
                <w:sz w:val="24"/>
                <w:szCs w:val="24"/>
                <w:vertAlign w:val="baseline"/>
                <w:lang w:eastAsia="zh-CN"/>
              </w:rPr>
            </w:pPr>
          </w:p>
        </w:tc>
        <w:tc>
          <w:tcPr>
            <w:tcW w:w="1997" w:type="dxa"/>
            <w:vAlign w:val="center"/>
          </w:tcPr>
          <w:p>
            <w:pPr>
              <w:keepNext w:val="0"/>
              <w:keepLines w:val="0"/>
              <w:pageBreakBefore w:val="0"/>
              <w:widowControl/>
              <w:suppressLineNumbers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病史及家族史</w:t>
            </w:r>
          </w:p>
        </w:tc>
        <w:tc>
          <w:tcPr>
            <w:tcW w:w="5466" w:type="dxa"/>
          </w:tcPr>
          <w:p>
            <w:pPr>
              <w:keepNext w:val="0"/>
              <w:keepLines w:val="0"/>
              <w:pageBreakBefore w:val="0"/>
              <w:kinsoku/>
              <w:wordWrap/>
              <w:overflowPunct/>
              <w:topLinePunct w:val="0"/>
              <w:autoSpaceDE/>
              <w:autoSpaceDN/>
              <w:bidi w:val="0"/>
              <w:adjustRightInd/>
              <w:snapToGrid/>
              <w:spacing w:line="348" w:lineRule="auto"/>
              <w:jc w:val="left"/>
              <w:textAlignment w:val="auto"/>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询问了解病史及家族史，并通过了解情况提醒注意事项。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采血检查</w:t>
            </w:r>
          </w:p>
        </w:tc>
        <w:tc>
          <w:tcPr>
            <w:tcW w:w="1997" w:type="dxa"/>
            <w:vAlign w:val="center"/>
          </w:tcPr>
          <w:p>
            <w:pPr>
              <w:keepNext w:val="0"/>
              <w:keepLines w:val="0"/>
              <w:pageBreakBefore w:val="0"/>
              <w:widowControl/>
              <w:suppressLineNumbers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癌胚抗原(CEA)</w:t>
            </w:r>
          </w:p>
        </w:tc>
        <w:tc>
          <w:tcPr>
            <w:tcW w:w="5466" w:type="dxa"/>
          </w:tcPr>
          <w:p>
            <w:pPr>
              <w:keepNext w:val="0"/>
              <w:keepLines w:val="0"/>
              <w:pageBreakBefore w:val="0"/>
              <w:kinsoku/>
              <w:wordWrap/>
              <w:overflowPunct/>
              <w:topLinePunct w:val="0"/>
              <w:autoSpaceDE/>
              <w:autoSpaceDN/>
              <w:bidi w:val="0"/>
              <w:adjustRightInd/>
              <w:snapToGrid/>
              <w:spacing w:line="348" w:lineRule="auto"/>
              <w:jc w:val="left"/>
              <w:textAlignment w:val="auto"/>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能反映出多种肿瘤的存在，筛查消化道及呼吸道肿瘤的指标之一。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b/>
                <w:bCs/>
                <w:sz w:val="24"/>
                <w:szCs w:val="24"/>
                <w:vertAlign w:val="baseline"/>
                <w:lang w:eastAsia="zh-CN"/>
              </w:rPr>
            </w:pPr>
          </w:p>
        </w:tc>
        <w:tc>
          <w:tcPr>
            <w:tcW w:w="1997" w:type="dxa"/>
            <w:vAlign w:val="center"/>
          </w:tcPr>
          <w:p>
            <w:pPr>
              <w:keepNext w:val="0"/>
              <w:keepLines w:val="0"/>
              <w:pageBreakBefore w:val="0"/>
              <w:widowControl/>
              <w:suppressLineNumbers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肾功三项</w:t>
            </w:r>
          </w:p>
        </w:tc>
        <w:tc>
          <w:tcPr>
            <w:tcW w:w="5466" w:type="dxa"/>
          </w:tcPr>
          <w:p>
            <w:pPr>
              <w:keepNext w:val="0"/>
              <w:keepLines w:val="0"/>
              <w:pageBreakBefore w:val="0"/>
              <w:kinsoku/>
              <w:wordWrap/>
              <w:overflowPunct/>
              <w:topLinePunct w:val="0"/>
              <w:autoSpaceDE/>
              <w:autoSpaceDN/>
              <w:bidi w:val="0"/>
              <w:adjustRightInd/>
              <w:snapToGrid/>
              <w:spacing w:line="348" w:lineRule="auto"/>
              <w:jc w:val="left"/>
              <w:textAlignment w:val="auto"/>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通过血液中尿素氮、肌酐、尿酸水平，评估肾功能的状况，测定肾功能损害程度；血尿酸增高对高尿酸血症、痛风有诊断意义。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b/>
                <w:bCs/>
                <w:sz w:val="24"/>
                <w:szCs w:val="24"/>
                <w:vertAlign w:val="baseline"/>
                <w:lang w:eastAsia="zh-CN"/>
              </w:rPr>
            </w:pPr>
          </w:p>
        </w:tc>
        <w:tc>
          <w:tcPr>
            <w:tcW w:w="1997" w:type="dxa"/>
            <w:vAlign w:val="center"/>
          </w:tcPr>
          <w:p>
            <w:pPr>
              <w:keepNext w:val="0"/>
              <w:keepLines w:val="0"/>
              <w:pageBreakBefore w:val="0"/>
              <w:widowControl/>
              <w:suppressLineNumbers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血脂四项</w:t>
            </w:r>
          </w:p>
        </w:tc>
        <w:tc>
          <w:tcPr>
            <w:tcW w:w="5466" w:type="dxa"/>
          </w:tcPr>
          <w:p>
            <w:pPr>
              <w:keepNext w:val="0"/>
              <w:keepLines w:val="0"/>
              <w:pageBreakBefore w:val="0"/>
              <w:kinsoku/>
              <w:wordWrap/>
              <w:overflowPunct/>
              <w:topLinePunct w:val="0"/>
              <w:autoSpaceDE/>
              <w:autoSpaceDN/>
              <w:bidi w:val="0"/>
              <w:adjustRightInd/>
              <w:snapToGrid/>
              <w:spacing w:line="348" w:lineRule="auto"/>
              <w:jc w:val="left"/>
              <w:textAlignment w:val="auto"/>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血脂是血浆中的中性脂肪（甘油三酯和胆固醇）类脂（磷脂、糖脂、固醇、类固醇）的总称。主要是测定血清中的总胆固醇、甘油三酯、低密度脂蛋白胆固醇和高密度脂蛋白胆固醇的水平等。通过检查血浆中的血脂，可以预防或知晓是否患有肥胖症、动脉硬化、高血脂、冠心病、糖尿病、肾病综合征，以及其他一些心血管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b/>
                <w:bCs/>
                <w:sz w:val="24"/>
                <w:szCs w:val="24"/>
                <w:vertAlign w:val="baseline"/>
                <w:lang w:eastAsia="zh-CN"/>
              </w:rPr>
            </w:pPr>
          </w:p>
        </w:tc>
        <w:tc>
          <w:tcPr>
            <w:tcW w:w="1997" w:type="dxa"/>
            <w:vAlign w:val="center"/>
          </w:tcPr>
          <w:p>
            <w:pPr>
              <w:keepNext w:val="0"/>
              <w:keepLines w:val="0"/>
              <w:pageBreakBefore w:val="0"/>
              <w:widowControl/>
              <w:suppressLineNumbers w:val="0"/>
              <w:kinsoku/>
              <w:wordWrap/>
              <w:overflowPunct/>
              <w:topLinePunct w:val="0"/>
              <w:autoSpaceDE/>
              <w:autoSpaceDN/>
              <w:bidi w:val="0"/>
              <w:adjustRightInd/>
              <w:snapToGrid/>
              <w:spacing w:line="348" w:lineRule="auto"/>
              <w:jc w:val="center"/>
              <w:textAlignment w:val="auto"/>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CA125</w:t>
            </w:r>
          </w:p>
        </w:tc>
        <w:tc>
          <w:tcPr>
            <w:tcW w:w="5466" w:type="dxa"/>
          </w:tcPr>
          <w:p>
            <w:pPr>
              <w:keepNext w:val="0"/>
              <w:keepLines w:val="0"/>
              <w:pageBreakBefore w:val="0"/>
              <w:kinsoku/>
              <w:wordWrap/>
              <w:overflowPunct/>
              <w:topLinePunct w:val="0"/>
              <w:autoSpaceDE/>
              <w:autoSpaceDN/>
              <w:bidi w:val="0"/>
              <w:adjustRightInd/>
              <w:snapToGrid/>
              <w:spacing w:line="348" w:lineRule="auto"/>
              <w:jc w:val="left"/>
              <w:textAlignment w:val="auto"/>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筛查消卵巢癌的指标之一，输卵管腺癌、子宫内膜癌、宫颈癌、胰腺癌、肠癌、乳腺癌和肺癌患者该项指标结果也有明显升高。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spacing w:line="360" w:lineRule="auto"/>
              <w:jc w:val="center"/>
              <w:rPr>
                <w:rFonts w:hint="eastAsia" w:asciiTheme="minorEastAsia" w:hAnsiTheme="minorEastAsia" w:eastAsiaTheme="minorEastAsia" w:cstheme="minorEastAsia"/>
                <w:b/>
                <w:bCs/>
                <w:sz w:val="24"/>
                <w:szCs w:val="24"/>
                <w:vertAlign w:val="baseline"/>
                <w:lang w:eastAsia="zh-CN"/>
              </w:rPr>
            </w:pPr>
          </w:p>
        </w:tc>
        <w:tc>
          <w:tcPr>
            <w:tcW w:w="1997"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甲胎蛋白(AFP)</w:t>
            </w:r>
          </w:p>
        </w:tc>
        <w:tc>
          <w:tcPr>
            <w:tcW w:w="5466" w:type="dxa"/>
          </w:tcPr>
          <w:p>
            <w:pPr>
              <w:spacing w:line="360" w:lineRule="auto"/>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作为原发性肝癌的血清标志物，用于原发性肝癌的诊断及疗效监测。与肝癌及多种肿瘤的发生、发展密切相关，也可用于提示肝癌手术切除的疗效(即是否彻底或复发)。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spacing w:line="360" w:lineRule="auto"/>
              <w:jc w:val="center"/>
              <w:rPr>
                <w:rFonts w:hint="eastAsia" w:asciiTheme="minorEastAsia" w:hAnsiTheme="minorEastAsia" w:eastAsiaTheme="minorEastAsia" w:cstheme="minorEastAsia"/>
                <w:b/>
                <w:bCs/>
                <w:sz w:val="24"/>
                <w:szCs w:val="24"/>
                <w:vertAlign w:val="baseline"/>
                <w:lang w:eastAsia="zh-CN"/>
              </w:rPr>
            </w:pPr>
          </w:p>
        </w:tc>
        <w:tc>
          <w:tcPr>
            <w:tcW w:w="1997"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血糖</w:t>
            </w:r>
          </w:p>
        </w:tc>
        <w:tc>
          <w:tcPr>
            <w:tcW w:w="5466" w:type="dxa"/>
          </w:tcPr>
          <w:p>
            <w:pPr>
              <w:spacing w:line="360" w:lineRule="auto"/>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评价人体空腹状态下糖代谢是否正常，评估糖尿病患者空腹血糖控制是否达标。是诊断糖代谢紊乱的最常用和最重要指标。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spacing w:line="360" w:lineRule="auto"/>
              <w:jc w:val="center"/>
              <w:rPr>
                <w:rFonts w:hint="eastAsia" w:asciiTheme="minorEastAsia" w:hAnsiTheme="minorEastAsia" w:eastAsiaTheme="minorEastAsia" w:cstheme="minorEastAsia"/>
                <w:b/>
                <w:bCs/>
                <w:sz w:val="24"/>
                <w:szCs w:val="24"/>
                <w:vertAlign w:val="baseline"/>
                <w:lang w:eastAsia="zh-CN"/>
              </w:rPr>
            </w:pPr>
          </w:p>
        </w:tc>
        <w:tc>
          <w:tcPr>
            <w:tcW w:w="1997"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肝功能9项</w:t>
            </w:r>
          </w:p>
        </w:tc>
        <w:tc>
          <w:tcPr>
            <w:tcW w:w="5466" w:type="dxa"/>
          </w:tcPr>
          <w:p>
            <w:pPr>
              <w:spacing w:line="360" w:lineRule="auto"/>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肝功能检查包括：肝脏的蛋白质代谢功能、胆红素和胆汁酸代谢功能、酶学指标、脂质代谢功能、肝脏排泄和解毒功能的检测。是肝细胞受损最敏感的指标，升高可提示肝胆系统疾病：如急性传染性肝炎、酒精肝等，以及反应肝脏合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spacing w:line="360" w:lineRule="auto"/>
              <w:jc w:val="center"/>
              <w:rPr>
                <w:rFonts w:hint="eastAsia" w:asciiTheme="minorEastAsia" w:hAnsiTheme="minorEastAsia" w:eastAsiaTheme="minorEastAsia" w:cstheme="minorEastAsia"/>
                <w:b/>
                <w:bCs/>
                <w:sz w:val="24"/>
                <w:szCs w:val="24"/>
                <w:vertAlign w:val="baseline"/>
                <w:lang w:eastAsia="zh-CN"/>
              </w:rPr>
            </w:pPr>
          </w:p>
        </w:tc>
        <w:tc>
          <w:tcPr>
            <w:tcW w:w="1997"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血细胞分析+细胞形态</w:t>
            </w:r>
          </w:p>
        </w:tc>
        <w:tc>
          <w:tcPr>
            <w:tcW w:w="5466" w:type="dxa"/>
          </w:tcPr>
          <w:p>
            <w:pPr>
              <w:spacing w:line="360" w:lineRule="auto"/>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通过检查可发现血液方面的问题，评价骨髓功能，有助于临床急慢性感染，病毒性疾病的判断；有助于了解有无贫血及贫血分类；有助于出血性疾病的诊断等。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尿</w:t>
            </w:r>
          </w:p>
        </w:tc>
        <w:tc>
          <w:tcPr>
            <w:tcW w:w="1997"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尿沉渣定量及尿液分析</w:t>
            </w:r>
          </w:p>
        </w:tc>
        <w:tc>
          <w:tcPr>
            <w:tcW w:w="5466" w:type="dxa"/>
          </w:tcPr>
          <w:p>
            <w:pPr>
              <w:spacing w:line="360" w:lineRule="auto"/>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化验尿的PH值、蛋白、白细胞等成份来筛查早期肾</w:t>
            </w:r>
            <w:r>
              <w:rPr>
                <w:rFonts w:hint="eastAsia" w:asciiTheme="minorEastAsia" w:hAnsiTheme="minorEastAsia" w:cstheme="minorEastAsia"/>
                <w:b w:val="0"/>
                <w:bCs w:val="0"/>
                <w:sz w:val="24"/>
                <w:szCs w:val="24"/>
                <w:vertAlign w:val="baseline"/>
                <w:lang w:eastAsia="zh-CN"/>
              </w:rPr>
              <w:t>脏</w:t>
            </w:r>
            <w:r>
              <w:rPr>
                <w:rFonts w:hint="eastAsia" w:asciiTheme="minorEastAsia" w:hAnsiTheme="minorEastAsia" w:eastAsiaTheme="minorEastAsia" w:cstheme="minorEastAsia"/>
                <w:b w:val="0"/>
                <w:bCs w:val="0"/>
                <w:sz w:val="24"/>
                <w:szCs w:val="24"/>
                <w:vertAlign w:val="baseline"/>
                <w:lang w:eastAsia="zh-CN"/>
              </w:rPr>
              <w:t>和尿路疾病。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心电图</w:t>
            </w:r>
          </w:p>
        </w:tc>
        <w:tc>
          <w:tcPr>
            <w:tcW w:w="1997"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心电图</w:t>
            </w:r>
          </w:p>
        </w:tc>
        <w:tc>
          <w:tcPr>
            <w:tcW w:w="5466" w:type="dxa"/>
          </w:tcPr>
          <w:p>
            <w:pPr>
              <w:spacing w:line="360" w:lineRule="auto"/>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是心脏电兴奋的发生、传导及恢复过程的客观指标。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放射科</w:t>
            </w:r>
          </w:p>
        </w:tc>
        <w:tc>
          <w:tcPr>
            <w:tcW w:w="1997"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低剂量肺部CT</w:t>
            </w:r>
          </w:p>
        </w:tc>
        <w:tc>
          <w:tcPr>
            <w:tcW w:w="5466" w:type="dxa"/>
          </w:tcPr>
          <w:p>
            <w:pPr>
              <w:spacing w:line="360" w:lineRule="auto"/>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检查心脏、两肺、纵隔、膈、胸膜，判断有无炎症、肿瘤、结节等；尤其能够鉴别肺炎、肺癌、肺脓肿、肺结核，筛查早期肺癌。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restart"/>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彩超</w:t>
            </w:r>
          </w:p>
        </w:tc>
        <w:tc>
          <w:tcPr>
            <w:tcW w:w="1997"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肝、胆、胰、脾、肾彩超</w:t>
            </w:r>
          </w:p>
        </w:tc>
        <w:tc>
          <w:tcPr>
            <w:tcW w:w="5466"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对人体腹部内脏器官的状况和各种病变（如肿瘤、结石、脂肪肝等）提供高清晰度的彩色动态超声断层图像判断，依病灶周围血管情况、病灶内血流血供情况-良恶性病变鉴别。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997"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甲状腺彩超</w:t>
            </w:r>
          </w:p>
        </w:tc>
        <w:tc>
          <w:tcPr>
            <w:tcW w:w="5466"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val="0"/>
                <w:sz w:val="24"/>
                <w:szCs w:val="24"/>
                <w:vertAlign w:val="baseline"/>
                <w:lang w:eastAsia="zh-CN"/>
              </w:rPr>
            </w:pPr>
            <w:r>
              <w:rPr>
                <w:rStyle w:val="31"/>
                <w:rFonts w:hint="eastAsia" w:asciiTheme="minorEastAsia" w:hAnsiTheme="minorEastAsia" w:eastAsiaTheme="minorEastAsia" w:cstheme="minorEastAsia"/>
                <w:b w:val="0"/>
                <w:bCs w:val="0"/>
                <w:sz w:val="24"/>
                <w:szCs w:val="24"/>
                <w:lang w:val="en-US" w:eastAsia="zh-CN" w:bidi="ar"/>
              </w:rPr>
              <w:t>对甲状腺大小、体积与血流做定性和定量估测，对肿瘤的良、恶性可进行定性或半定性诊断，</w:t>
            </w:r>
            <w:r>
              <w:rPr>
                <w:rStyle w:val="32"/>
                <w:rFonts w:hint="eastAsia" w:asciiTheme="minorEastAsia" w:hAnsiTheme="minorEastAsia" w:eastAsiaTheme="minorEastAsia" w:cstheme="minorEastAsia"/>
                <w:b w:val="0"/>
                <w:bCs w:val="0"/>
                <w:sz w:val="24"/>
                <w:szCs w:val="24"/>
                <w:lang w:val="en-US" w:eastAsia="zh-CN" w:bidi="ar"/>
              </w:rPr>
              <w:t>可进一步观察甲状腺血流分布和血流动力学，增加了对甲状腺功能的诊断依据。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997"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子宫附件阴式彩超（体检）</w:t>
            </w:r>
          </w:p>
        </w:tc>
        <w:tc>
          <w:tcPr>
            <w:tcW w:w="5466"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观察子宫及附件（卵巢、输卵管）大小、形态结构及内部回声的情况，鉴别正常和异常，了解病变的性质，判别有无恶性病变，判断肾动脉狭窄等。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997"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双乳彩超</w:t>
            </w:r>
          </w:p>
        </w:tc>
        <w:tc>
          <w:tcPr>
            <w:tcW w:w="5466"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检查乳腺有无乳腺增生、肿物、结节、囊肿、腺瘤、乳腺癌等病变。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6" w:type="dxa"/>
            <w:vMerge w:val="restart"/>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妇科</w:t>
            </w:r>
          </w:p>
        </w:tc>
        <w:tc>
          <w:tcPr>
            <w:tcW w:w="1997"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宫颈细胞学检查</w:t>
            </w:r>
          </w:p>
        </w:tc>
        <w:tc>
          <w:tcPr>
            <w:tcW w:w="5466"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对脱落细胞的形态观察，筛查阴道及宫颈感染、宫颈病变、宫颈癌。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997"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妇科检查</w:t>
            </w:r>
          </w:p>
        </w:tc>
        <w:tc>
          <w:tcPr>
            <w:tcW w:w="5466"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检查外阴、阴道、子宫颈和子宫、输卵管、卵巢及宫旁组织和骨盆腔内壁的情况。对一些妇科疾病作出早期诊断、预防以及早期治疗。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997"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阴道分泌物五联检</w:t>
            </w:r>
          </w:p>
        </w:tc>
        <w:tc>
          <w:tcPr>
            <w:tcW w:w="5466"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检查阴道内有无滴虫、念珠菌，同时还可确定阴道清洁度，是筛查阴道炎的有效手段。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其他</w:t>
            </w:r>
          </w:p>
        </w:tc>
        <w:tc>
          <w:tcPr>
            <w:tcW w:w="7463" w:type="dxa"/>
            <w:gridSpan w:val="2"/>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cstheme="minorEastAsia"/>
                <w:b w:val="0"/>
                <w:bCs w:val="0"/>
                <w:i w:val="0"/>
                <w:iCs w:val="0"/>
                <w:color w:val="000000"/>
                <w:kern w:val="0"/>
                <w:sz w:val="24"/>
                <w:szCs w:val="24"/>
                <w:u w:val="none"/>
                <w:lang w:val="en-US" w:eastAsia="zh-CN" w:bidi="ar"/>
              </w:rPr>
              <w:t>提供静脉采血一次性医用材料；</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提供营养早餐</w:t>
            </w:r>
            <w:r>
              <w:rPr>
                <w:rFonts w:hint="eastAsia" w:asciiTheme="minorEastAsia" w:hAnsiTheme="minorEastAsia" w:cstheme="minorEastAsia"/>
                <w:b w:val="0"/>
                <w:bCs w:val="0"/>
                <w:i w:val="0"/>
                <w:iCs w:val="0"/>
                <w:color w:val="000000"/>
                <w:kern w:val="0"/>
                <w:sz w:val="24"/>
                <w:szCs w:val="24"/>
                <w:u w:val="none"/>
                <w:lang w:val="en-US" w:eastAsia="zh-CN" w:bidi="ar"/>
              </w:rPr>
              <w:t>；</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建立健康档案</w:t>
            </w:r>
            <w:r>
              <w:rPr>
                <w:rFonts w:hint="eastAsia" w:asciiTheme="minorEastAsia" w:hAnsiTheme="minorEastAsia" w:cstheme="minorEastAsia"/>
                <w:b w:val="0"/>
                <w:bCs w:val="0"/>
                <w:i w:val="0"/>
                <w:iCs w:val="0"/>
                <w:color w:val="000000"/>
                <w:kern w:val="0"/>
                <w:sz w:val="24"/>
                <w:szCs w:val="24"/>
                <w:u w:val="none"/>
                <w:lang w:val="en-US" w:eastAsia="zh-CN" w:bidi="ar"/>
              </w:rPr>
              <w:t>；</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提供图文报告、健康咨询</w:t>
            </w:r>
            <w:r>
              <w:rPr>
                <w:rFonts w:hint="eastAsia" w:asciiTheme="minorEastAsia" w:hAnsiTheme="minorEastAsia" w:cstheme="minorEastAsia"/>
                <w:b w:val="0"/>
                <w:bCs w:val="0"/>
                <w:i w:val="0"/>
                <w:iCs w:val="0"/>
                <w:color w:val="000000"/>
                <w:kern w:val="0"/>
                <w:sz w:val="24"/>
                <w:szCs w:val="24"/>
                <w:u w:val="none"/>
                <w:lang w:val="en-US" w:eastAsia="zh-CN" w:bidi="ar"/>
              </w:rPr>
              <w:t>；</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提供后续医疗便捷服务。</w:t>
            </w:r>
          </w:p>
        </w:tc>
      </w:tr>
    </w:tbl>
    <w:p>
      <w:pPr>
        <w:rPr>
          <w:rFonts w:hint="eastAsia"/>
          <w:b/>
          <w:bCs/>
          <w:sz w:val="24"/>
          <w:szCs w:val="24"/>
          <w:lang w:eastAsia="zh-CN"/>
        </w:rPr>
      </w:pPr>
    </w:p>
    <w:p>
      <w:pPr>
        <w:rPr>
          <w:rFonts w:asciiTheme="minorEastAsia" w:hAnsiTheme="minorEastAsia" w:cstheme="minorEastAsia"/>
          <w:b/>
          <w:bCs/>
          <w:sz w:val="28"/>
          <w:szCs w:val="28"/>
        </w:rPr>
      </w:pPr>
      <w:r>
        <w:rPr>
          <w:rFonts w:hint="eastAsia" w:asciiTheme="minorEastAsia" w:hAnsiTheme="minorEastAsia" w:cstheme="minorEastAsia"/>
          <w:b/>
          <w:bCs/>
          <w:sz w:val="28"/>
          <w:szCs w:val="28"/>
        </w:rPr>
        <w:t>男性套餐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724"/>
        <w:gridCol w:w="5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Align w:val="center"/>
          </w:tcPr>
          <w:p>
            <w:pPr>
              <w:keepNext w:val="0"/>
              <w:keepLines w:val="0"/>
              <w:pageBreakBefore w:val="0"/>
              <w:kinsoku/>
              <w:wordWrap/>
              <w:overflowPunct/>
              <w:topLinePunct w:val="0"/>
              <w:autoSpaceDE/>
              <w:autoSpaceDN/>
              <w:bidi w:val="0"/>
              <w:adjustRightInd/>
              <w:snapToGrid/>
              <w:spacing w:line="348" w:lineRule="auto"/>
              <w:jc w:val="center"/>
              <w:rPr>
                <w:rFonts w:asciiTheme="minorEastAsia" w:hAnsiTheme="minorEastAsia" w:cstheme="minorEastAsia"/>
                <w:b/>
                <w:bCs/>
                <w:sz w:val="24"/>
              </w:rPr>
            </w:pPr>
          </w:p>
        </w:tc>
        <w:tc>
          <w:tcPr>
            <w:tcW w:w="1731" w:type="dxa"/>
            <w:vAlign w:val="center"/>
          </w:tcPr>
          <w:p>
            <w:pPr>
              <w:keepNext w:val="0"/>
              <w:keepLines w:val="0"/>
              <w:pageBreakBefore w:val="0"/>
              <w:kinsoku/>
              <w:wordWrap/>
              <w:overflowPunct/>
              <w:topLinePunct w:val="0"/>
              <w:autoSpaceDE/>
              <w:autoSpaceDN/>
              <w:bidi w:val="0"/>
              <w:adjustRightInd/>
              <w:snapToGrid/>
              <w:spacing w:line="348" w:lineRule="auto"/>
              <w:jc w:val="center"/>
              <w:rPr>
                <w:rFonts w:asciiTheme="minorEastAsia" w:hAnsiTheme="minorEastAsia" w:cstheme="minorEastAsia"/>
                <w:sz w:val="24"/>
              </w:rPr>
            </w:pPr>
            <w:r>
              <w:rPr>
                <w:rFonts w:hint="eastAsia" w:asciiTheme="minorEastAsia" w:hAnsiTheme="minorEastAsia" w:cstheme="minorEastAsia"/>
                <w:sz w:val="24"/>
              </w:rPr>
              <w:t>体检项目</w:t>
            </w:r>
          </w:p>
        </w:tc>
        <w:tc>
          <w:tcPr>
            <w:tcW w:w="5582" w:type="dxa"/>
            <w:vAlign w:val="center"/>
          </w:tcPr>
          <w:p>
            <w:pPr>
              <w:keepNext w:val="0"/>
              <w:keepLines w:val="0"/>
              <w:pageBreakBefore w:val="0"/>
              <w:kinsoku/>
              <w:wordWrap/>
              <w:overflowPunct/>
              <w:topLinePunct w:val="0"/>
              <w:autoSpaceDE/>
              <w:autoSpaceDN/>
              <w:bidi w:val="0"/>
              <w:adjustRightInd/>
              <w:snapToGrid/>
              <w:spacing w:line="348" w:lineRule="auto"/>
              <w:jc w:val="center"/>
              <w:rPr>
                <w:rFonts w:asciiTheme="minorEastAsia" w:hAnsiTheme="minorEastAsia" w:cstheme="minorEastAsia"/>
                <w:sz w:val="24"/>
              </w:rPr>
            </w:pPr>
            <w:r>
              <w:rPr>
                <w:rFonts w:hint="eastAsia" w:asciiTheme="minorEastAsia" w:hAnsiTheme="minorEastAsia" w:cstheme="minorEastAsia"/>
                <w:sz w:val="24"/>
              </w:rPr>
              <w:t>检查意义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restart"/>
            <w:vAlign w:val="center"/>
          </w:tcPr>
          <w:p>
            <w:pPr>
              <w:keepNext w:val="0"/>
              <w:keepLines w:val="0"/>
              <w:pageBreakBefore w:val="0"/>
              <w:kinsoku/>
              <w:wordWrap/>
              <w:overflowPunct/>
              <w:topLinePunct w:val="0"/>
              <w:autoSpaceDE/>
              <w:autoSpaceDN/>
              <w:bidi w:val="0"/>
              <w:adjustRightInd/>
              <w:snapToGrid/>
              <w:spacing w:line="348" w:lineRule="auto"/>
              <w:jc w:val="center"/>
              <w:rPr>
                <w:rFonts w:asciiTheme="minorEastAsia" w:hAnsiTheme="minorEastAsia" w:cstheme="minorEastAsia"/>
                <w:b/>
                <w:bCs/>
                <w:sz w:val="24"/>
              </w:rPr>
            </w:pPr>
            <w:r>
              <w:rPr>
                <w:rFonts w:asciiTheme="minorEastAsia" w:hAnsiTheme="minorEastAsia" w:cstheme="minorEastAsia"/>
                <w:b/>
                <w:bCs/>
                <w:sz w:val="24"/>
              </w:rPr>
              <w:t>普通检查</w:t>
            </w:r>
          </w:p>
        </w:tc>
        <w:tc>
          <w:tcPr>
            <w:tcW w:w="1731" w:type="dxa"/>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一般情况</w:t>
            </w:r>
          </w:p>
        </w:tc>
        <w:tc>
          <w:tcPr>
            <w:tcW w:w="5582" w:type="dxa"/>
          </w:tcPr>
          <w:p>
            <w:pPr>
              <w:keepNext w:val="0"/>
              <w:keepLines w:val="0"/>
              <w:pageBreakBefore w:val="0"/>
              <w:widowControl/>
              <w:kinsoku/>
              <w:wordWrap/>
              <w:overflowPunct/>
              <w:topLinePunct w:val="0"/>
              <w:autoSpaceDE/>
              <w:autoSpaceDN/>
              <w:bidi w:val="0"/>
              <w:adjustRightInd/>
              <w:snapToGrid/>
              <w:spacing w:line="348" w:lineRule="auto"/>
              <w:jc w:val="left"/>
              <w:textAlignment w:val="top"/>
              <w:rPr>
                <w:rFonts w:asciiTheme="minorEastAsia" w:hAnsiTheme="minorEastAsia" w:cstheme="minorEastAsia"/>
                <w:b/>
                <w:bCs/>
                <w:sz w:val="24"/>
              </w:rPr>
            </w:pPr>
            <w:r>
              <w:rPr>
                <w:rFonts w:hint="eastAsia" w:asciiTheme="minorEastAsia" w:hAnsiTheme="minorEastAsia" w:cstheme="minorEastAsia"/>
                <w:sz w:val="24"/>
              </w:rPr>
              <w:t>测量人体基本健康指标。如：血压是否正常，有无体重偏低、超重或肥胖。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vAlign w:val="center"/>
          </w:tcPr>
          <w:p>
            <w:pPr>
              <w:keepNext w:val="0"/>
              <w:keepLines w:val="0"/>
              <w:pageBreakBefore w:val="0"/>
              <w:kinsoku/>
              <w:wordWrap/>
              <w:overflowPunct/>
              <w:topLinePunct w:val="0"/>
              <w:autoSpaceDE/>
              <w:autoSpaceDN/>
              <w:bidi w:val="0"/>
              <w:adjustRightInd/>
              <w:snapToGrid/>
              <w:spacing w:line="348" w:lineRule="auto"/>
              <w:jc w:val="center"/>
              <w:rPr>
                <w:rFonts w:asciiTheme="minorEastAsia" w:hAnsiTheme="minorEastAsia" w:cstheme="minorEastAsia"/>
                <w:b/>
                <w:bCs/>
                <w:sz w:val="24"/>
              </w:rPr>
            </w:pPr>
          </w:p>
        </w:tc>
        <w:tc>
          <w:tcPr>
            <w:tcW w:w="1731" w:type="dxa"/>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外科（男）</w:t>
            </w:r>
          </w:p>
        </w:tc>
        <w:tc>
          <w:tcPr>
            <w:tcW w:w="5582" w:type="dxa"/>
            <w:vAlign w:val="center"/>
          </w:tcPr>
          <w:p>
            <w:pPr>
              <w:keepNext w:val="0"/>
              <w:keepLines w:val="0"/>
              <w:pageBreakBefore w:val="0"/>
              <w:widowControl/>
              <w:kinsoku/>
              <w:wordWrap/>
              <w:overflowPunct/>
              <w:topLinePunct w:val="0"/>
              <w:autoSpaceDE/>
              <w:autoSpaceDN/>
              <w:bidi w:val="0"/>
              <w:adjustRightInd/>
              <w:snapToGrid/>
              <w:spacing w:line="348" w:lineRule="auto"/>
              <w:jc w:val="left"/>
              <w:textAlignment w:val="center"/>
              <w:rPr>
                <w:rFonts w:hint="eastAsia" w:eastAsia="宋体"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bidi="ar"/>
              </w:rPr>
              <w:t>1、对甲状腺、浅表淋巴结、前列腺、脊柱四肢等检查有无异常；</w:t>
            </w:r>
          </w:p>
          <w:p>
            <w:pPr>
              <w:keepNext w:val="0"/>
              <w:keepLines w:val="0"/>
              <w:pageBreakBefore w:val="0"/>
              <w:widowControl/>
              <w:kinsoku/>
              <w:wordWrap/>
              <w:overflowPunct/>
              <w:topLinePunct w:val="0"/>
              <w:autoSpaceDE/>
              <w:autoSpaceDN/>
              <w:bidi w:val="0"/>
              <w:adjustRightInd/>
              <w:snapToGrid/>
              <w:spacing w:line="348" w:lineRule="auto"/>
              <w:jc w:val="left"/>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2、以上体检内容中未包括的异常体征，如皮肤病变(皮疹、炎症、皮下结节、脂肪瘤、溃疡或面积较大影响功能的瘢痕等)。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vAlign w:val="center"/>
          </w:tcPr>
          <w:p>
            <w:pPr>
              <w:keepNext w:val="0"/>
              <w:keepLines w:val="0"/>
              <w:pageBreakBefore w:val="0"/>
              <w:kinsoku/>
              <w:wordWrap/>
              <w:overflowPunct/>
              <w:topLinePunct w:val="0"/>
              <w:autoSpaceDE/>
              <w:autoSpaceDN/>
              <w:bidi w:val="0"/>
              <w:adjustRightInd/>
              <w:snapToGrid/>
              <w:spacing w:line="348" w:lineRule="auto"/>
              <w:jc w:val="center"/>
              <w:rPr>
                <w:rFonts w:asciiTheme="minorEastAsia" w:hAnsiTheme="minorEastAsia" w:cstheme="minorEastAsia"/>
                <w:b/>
                <w:bCs/>
                <w:sz w:val="24"/>
              </w:rPr>
            </w:pPr>
          </w:p>
        </w:tc>
        <w:tc>
          <w:tcPr>
            <w:tcW w:w="1731" w:type="dxa"/>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内科</w:t>
            </w:r>
          </w:p>
        </w:tc>
        <w:tc>
          <w:tcPr>
            <w:tcW w:w="5582" w:type="dxa"/>
            <w:vAlign w:val="center"/>
          </w:tcPr>
          <w:p>
            <w:pPr>
              <w:keepNext w:val="0"/>
              <w:keepLines w:val="0"/>
              <w:pageBreakBefore w:val="0"/>
              <w:widowControl/>
              <w:kinsoku/>
              <w:wordWrap/>
              <w:overflowPunct/>
              <w:topLinePunct w:val="0"/>
              <w:autoSpaceDE/>
              <w:autoSpaceDN/>
              <w:bidi w:val="0"/>
              <w:adjustRightInd/>
              <w:snapToGrid/>
              <w:spacing w:line="348" w:lineRule="auto"/>
              <w:jc w:val="left"/>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医生通过面谈后，进行理学检查，根据病史与检查所见对心肺、腹腔脏器、神经系统等状态和功能情况进行最有可能的诊断。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vAlign w:val="center"/>
          </w:tcPr>
          <w:p>
            <w:pPr>
              <w:keepNext w:val="0"/>
              <w:keepLines w:val="0"/>
              <w:pageBreakBefore w:val="0"/>
              <w:kinsoku/>
              <w:wordWrap/>
              <w:overflowPunct/>
              <w:topLinePunct w:val="0"/>
              <w:autoSpaceDE/>
              <w:autoSpaceDN/>
              <w:bidi w:val="0"/>
              <w:adjustRightInd/>
              <w:snapToGrid/>
              <w:spacing w:line="348" w:lineRule="auto"/>
              <w:jc w:val="center"/>
              <w:rPr>
                <w:rFonts w:asciiTheme="minorEastAsia" w:hAnsiTheme="minorEastAsia" w:cstheme="minorEastAsia"/>
                <w:b/>
                <w:bCs/>
                <w:sz w:val="24"/>
              </w:rPr>
            </w:pPr>
          </w:p>
        </w:tc>
        <w:tc>
          <w:tcPr>
            <w:tcW w:w="1731" w:type="dxa"/>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眼科</w:t>
            </w:r>
          </w:p>
        </w:tc>
        <w:tc>
          <w:tcPr>
            <w:tcW w:w="5582" w:type="dxa"/>
            <w:vAlign w:val="center"/>
          </w:tcPr>
          <w:p>
            <w:pPr>
              <w:keepNext w:val="0"/>
              <w:keepLines w:val="0"/>
              <w:pageBreakBefore w:val="0"/>
              <w:widowControl/>
              <w:kinsoku/>
              <w:wordWrap/>
              <w:overflowPunct/>
              <w:topLinePunct w:val="0"/>
              <w:autoSpaceDE/>
              <w:autoSpaceDN/>
              <w:bidi w:val="0"/>
              <w:adjustRightInd/>
              <w:snapToGrid/>
              <w:spacing w:line="348" w:lineRule="auto"/>
              <w:jc w:val="left"/>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眼科检查是眼病诊断的主要依据，包括病史采集、视功能检查及眼部形态学检查。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vAlign w:val="center"/>
          </w:tcPr>
          <w:p>
            <w:pPr>
              <w:keepNext w:val="0"/>
              <w:keepLines w:val="0"/>
              <w:pageBreakBefore w:val="0"/>
              <w:kinsoku/>
              <w:wordWrap/>
              <w:overflowPunct/>
              <w:topLinePunct w:val="0"/>
              <w:autoSpaceDE/>
              <w:autoSpaceDN/>
              <w:bidi w:val="0"/>
              <w:adjustRightInd/>
              <w:snapToGrid/>
              <w:spacing w:line="348" w:lineRule="auto"/>
              <w:jc w:val="center"/>
              <w:rPr>
                <w:rFonts w:asciiTheme="minorEastAsia" w:hAnsiTheme="minorEastAsia" w:cstheme="minorEastAsia"/>
                <w:b/>
                <w:bCs/>
                <w:sz w:val="24"/>
              </w:rPr>
            </w:pPr>
          </w:p>
        </w:tc>
        <w:tc>
          <w:tcPr>
            <w:tcW w:w="1731" w:type="dxa"/>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耳鼻喉科</w:t>
            </w:r>
          </w:p>
        </w:tc>
        <w:tc>
          <w:tcPr>
            <w:tcW w:w="5582" w:type="dxa"/>
            <w:vAlign w:val="center"/>
          </w:tcPr>
          <w:p>
            <w:pPr>
              <w:keepNext w:val="0"/>
              <w:keepLines w:val="0"/>
              <w:pageBreakBefore w:val="0"/>
              <w:widowControl/>
              <w:kinsoku/>
              <w:wordWrap/>
              <w:overflowPunct/>
              <w:topLinePunct w:val="0"/>
              <w:autoSpaceDE/>
              <w:autoSpaceDN/>
              <w:bidi w:val="0"/>
              <w:adjustRightInd/>
              <w:snapToGrid/>
              <w:spacing w:line="348" w:lineRule="auto"/>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对耳、鼻、咽喉、扁桃体、听力状态进行检查。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vAlign w:val="center"/>
          </w:tcPr>
          <w:p>
            <w:pPr>
              <w:keepNext w:val="0"/>
              <w:keepLines w:val="0"/>
              <w:pageBreakBefore w:val="0"/>
              <w:kinsoku/>
              <w:wordWrap/>
              <w:overflowPunct/>
              <w:topLinePunct w:val="0"/>
              <w:autoSpaceDE/>
              <w:autoSpaceDN/>
              <w:bidi w:val="0"/>
              <w:adjustRightInd/>
              <w:snapToGrid/>
              <w:spacing w:line="348" w:lineRule="auto"/>
              <w:jc w:val="center"/>
              <w:rPr>
                <w:rFonts w:asciiTheme="minorEastAsia" w:hAnsiTheme="minorEastAsia" w:cstheme="minorEastAsia"/>
                <w:b/>
                <w:bCs/>
                <w:sz w:val="24"/>
              </w:rPr>
            </w:pPr>
          </w:p>
        </w:tc>
        <w:tc>
          <w:tcPr>
            <w:tcW w:w="1731" w:type="dxa"/>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口腔科</w:t>
            </w:r>
          </w:p>
        </w:tc>
        <w:tc>
          <w:tcPr>
            <w:tcW w:w="5582" w:type="dxa"/>
            <w:vAlign w:val="center"/>
          </w:tcPr>
          <w:p>
            <w:pPr>
              <w:keepNext w:val="0"/>
              <w:keepLines w:val="0"/>
              <w:pageBreakBefore w:val="0"/>
              <w:widowControl/>
              <w:kinsoku/>
              <w:wordWrap/>
              <w:overflowPunct/>
              <w:topLinePunct w:val="0"/>
              <w:autoSpaceDE/>
              <w:autoSpaceDN/>
              <w:bidi w:val="0"/>
              <w:adjustRightInd/>
              <w:snapToGrid/>
              <w:spacing w:line="348" w:lineRule="auto"/>
              <w:jc w:val="left"/>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对牙齿、牙龈、口腔内软组织等进行无创检查，通过观察检测是否患有口腔科疾病，如口腔颌面部皮样、表皮颌下间隙感染、颌面部淋巴管瘤、齿状突发育畸形、上颌窦恶性肿瘤、颌骨造釉细胞瘤、慢性筛窦炎、下颌后缩、四环素牙、舌白斑等疾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vAlign w:val="center"/>
          </w:tcPr>
          <w:p>
            <w:pPr>
              <w:keepNext w:val="0"/>
              <w:keepLines w:val="0"/>
              <w:pageBreakBefore w:val="0"/>
              <w:kinsoku/>
              <w:wordWrap/>
              <w:overflowPunct/>
              <w:topLinePunct w:val="0"/>
              <w:autoSpaceDE/>
              <w:autoSpaceDN/>
              <w:bidi w:val="0"/>
              <w:adjustRightInd/>
              <w:snapToGrid/>
              <w:spacing w:line="348" w:lineRule="auto"/>
              <w:jc w:val="center"/>
              <w:rPr>
                <w:rFonts w:asciiTheme="minorEastAsia" w:hAnsiTheme="minorEastAsia" w:cstheme="minorEastAsia"/>
                <w:b/>
                <w:bCs/>
                <w:sz w:val="24"/>
              </w:rPr>
            </w:pPr>
          </w:p>
        </w:tc>
        <w:tc>
          <w:tcPr>
            <w:tcW w:w="1731" w:type="dxa"/>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病史及家族史</w:t>
            </w:r>
          </w:p>
        </w:tc>
        <w:tc>
          <w:tcPr>
            <w:tcW w:w="5582" w:type="dxa"/>
            <w:vAlign w:val="center"/>
          </w:tcPr>
          <w:p>
            <w:pPr>
              <w:keepNext w:val="0"/>
              <w:keepLines w:val="0"/>
              <w:pageBreakBefore w:val="0"/>
              <w:widowControl/>
              <w:kinsoku/>
              <w:wordWrap/>
              <w:overflowPunct/>
              <w:topLinePunct w:val="0"/>
              <w:autoSpaceDE/>
              <w:autoSpaceDN/>
              <w:bidi w:val="0"/>
              <w:adjustRightInd/>
              <w:snapToGrid/>
              <w:spacing w:line="348" w:lineRule="auto"/>
              <w:jc w:val="left"/>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询问了解病史及家族史，并通过了解情况提醒注意事项。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restart"/>
            <w:vAlign w:val="center"/>
          </w:tcPr>
          <w:p>
            <w:pPr>
              <w:keepNext w:val="0"/>
              <w:keepLines w:val="0"/>
              <w:pageBreakBefore w:val="0"/>
              <w:kinsoku/>
              <w:wordWrap/>
              <w:overflowPunct/>
              <w:topLinePunct w:val="0"/>
              <w:autoSpaceDE/>
              <w:autoSpaceDN/>
              <w:bidi w:val="0"/>
              <w:adjustRightInd/>
              <w:snapToGrid/>
              <w:spacing w:line="348" w:lineRule="auto"/>
              <w:jc w:val="center"/>
              <w:rPr>
                <w:rFonts w:asciiTheme="minorEastAsia" w:hAnsiTheme="minorEastAsia" w:cstheme="minorEastAsia"/>
                <w:b/>
                <w:bCs/>
                <w:sz w:val="24"/>
              </w:rPr>
            </w:pPr>
            <w:r>
              <w:rPr>
                <w:rFonts w:asciiTheme="minorEastAsia" w:hAnsiTheme="minorEastAsia" w:cstheme="minorEastAsia"/>
                <w:b/>
                <w:bCs/>
                <w:sz w:val="24"/>
              </w:rPr>
              <w:t>采血检查</w:t>
            </w:r>
          </w:p>
        </w:tc>
        <w:tc>
          <w:tcPr>
            <w:tcW w:w="1731" w:type="dxa"/>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血糖</w:t>
            </w:r>
          </w:p>
        </w:tc>
        <w:tc>
          <w:tcPr>
            <w:tcW w:w="5582" w:type="dxa"/>
            <w:vAlign w:val="center"/>
          </w:tcPr>
          <w:p>
            <w:pPr>
              <w:keepNext w:val="0"/>
              <w:keepLines w:val="0"/>
              <w:pageBreakBefore w:val="0"/>
              <w:widowControl/>
              <w:kinsoku/>
              <w:wordWrap/>
              <w:overflowPunct/>
              <w:topLinePunct w:val="0"/>
              <w:autoSpaceDE/>
              <w:autoSpaceDN/>
              <w:bidi w:val="0"/>
              <w:adjustRightInd/>
              <w:snapToGrid/>
              <w:spacing w:line="348" w:lineRule="auto"/>
              <w:jc w:val="left"/>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评价人体空腹状态下糖代谢是否正常，评估糖尿病患者空腹血糖控制是否达标。是诊断糖代谢紊乱的最常用和最重要指标。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vAlign w:val="center"/>
          </w:tcPr>
          <w:p>
            <w:pPr>
              <w:keepNext w:val="0"/>
              <w:keepLines w:val="0"/>
              <w:pageBreakBefore w:val="0"/>
              <w:kinsoku/>
              <w:wordWrap/>
              <w:overflowPunct/>
              <w:topLinePunct w:val="0"/>
              <w:autoSpaceDE/>
              <w:autoSpaceDN/>
              <w:bidi w:val="0"/>
              <w:adjustRightInd/>
              <w:snapToGrid/>
              <w:spacing w:line="348" w:lineRule="auto"/>
              <w:jc w:val="center"/>
              <w:rPr>
                <w:rFonts w:asciiTheme="minorEastAsia" w:hAnsiTheme="minorEastAsia" w:cstheme="minorEastAsia"/>
                <w:b/>
                <w:bCs/>
                <w:sz w:val="24"/>
              </w:rPr>
            </w:pPr>
          </w:p>
        </w:tc>
        <w:tc>
          <w:tcPr>
            <w:tcW w:w="1731" w:type="dxa"/>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肝功能9项</w:t>
            </w:r>
          </w:p>
        </w:tc>
        <w:tc>
          <w:tcPr>
            <w:tcW w:w="5582" w:type="dxa"/>
            <w:vAlign w:val="center"/>
          </w:tcPr>
          <w:p>
            <w:pPr>
              <w:keepNext w:val="0"/>
              <w:keepLines w:val="0"/>
              <w:pageBreakBefore w:val="0"/>
              <w:widowControl/>
              <w:kinsoku/>
              <w:wordWrap/>
              <w:overflowPunct/>
              <w:topLinePunct w:val="0"/>
              <w:autoSpaceDE/>
              <w:autoSpaceDN/>
              <w:bidi w:val="0"/>
              <w:adjustRightInd/>
              <w:snapToGrid/>
              <w:spacing w:line="348" w:lineRule="auto"/>
              <w:jc w:val="left"/>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肝功能检查包括：肝脏的蛋白质代谢功能、胆红素和胆汁酸代谢功能、酶学指标、脂质代谢功能、肝脏排泄和解毒功能的检测。是肝细胞受损最敏感的指标，升高可提示肝胆系统疾病：如急性传染性肝炎、酒精肝等，以及反应肝脏合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vAlign w:val="center"/>
          </w:tcPr>
          <w:p>
            <w:pPr>
              <w:keepNext w:val="0"/>
              <w:keepLines w:val="0"/>
              <w:pageBreakBefore w:val="0"/>
              <w:kinsoku/>
              <w:wordWrap/>
              <w:overflowPunct/>
              <w:topLinePunct w:val="0"/>
              <w:autoSpaceDE/>
              <w:autoSpaceDN/>
              <w:bidi w:val="0"/>
              <w:adjustRightInd/>
              <w:snapToGrid/>
              <w:spacing w:line="348" w:lineRule="auto"/>
              <w:jc w:val="center"/>
              <w:rPr>
                <w:rFonts w:asciiTheme="minorEastAsia" w:hAnsiTheme="minorEastAsia" w:cstheme="minorEastAsia"/>
                <w:b/>
                <w:bCs/>
                <w:sz w:val="24"/>
              </w:rPr>
            </w:pPr>
          </w:p>
        </w:tc>
        <w:tc>
          <w:tcPr>
            <w:tcW w:w="1731" w:type="dxa"/>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癌胚抗原(CEA)</w:t>
            </w:r>
          </w:p>
        </w:tc>
        <w:tc>
          <w:tcPr>
            <w:tcW w:w="5582" w:type="dxa"/>
            <w:vAlign w:val="center"/>
          </w:tcPr>
          <w:p>
            <w:pPr>
              <w:keepNext w:val="0"/>
              <w:keepLines w:val="0"/>
              <w:pageBreakBefore w:val="0"/>
              <w:widowControl/>
              <w:kinsoku/>
              <w:wordWrap/>
              <w:overflowPunct/>
              <w:topLinePunct w:val="0"/>
              <w:autoSpaceDE/>
              <w:autoSpaceDN/>
              <w:bidi w:val="0"/>
              <w:adjustRightInd/>
              <w:snapToGrid/>
              <w:spacing w:line="348" w:lineRule="auto"/>
              <w:jc w:val="left"/>
              <w:textAlignment w:val="center"/>
              <w:rPr>
                <w:rFonts w:asciiTheme="minorEastAsia" w:hAnsiTheme="minorEastAsia" w:cstheme="minorEastAsia"/>
                <w:b/>
                <w:bCs/>
                <w:sz w:val="24"/>
              </w:rPr>
            </w:pPr>
            <w:r>
              <w:rPr>
                <w:rFonts w:hint="eastAsia" w:asciiTheme="minorEastAsia" w:hAnsiTheme="minorEastAsia" w:cstheme="minorEastAsia"/>
                <w:sz w:val="24"/>
              </w:rPr>
              <w:t>能反映出多种肿瘤的存在，筛查消化道及呼吸道肿瘤的指标之一。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vAlign w:val="center"/>
          </w:tcPr>
          <w:p>
            <w:pPr>
              <w:keepNext w:val="0"/>
              <w:keepLines w:val="0"/>
              <w:pageBreakBefore w:val="0"/>
              <w:kinsoku/>
              <w:wordWrap/>
              <w:overflowPunct/>
              <w:topLinePunct w:val="0"/>
              <w:autoSpaceDE/>
              <w:autoSpaceDN/>
              <w:bidi w:val="0"/>
              <w:adjustRightInd/>
              <w:snapToGrid/>
              <w:spacing w:line="348" w:lineRule="auto"/>
              <w:jc w:val="center"/>
              <w:rPr>
                <w:rFonts w:asciiTheme="minorEastAsia" w:hAnsiTheme="minorEastAsia" w:cstheme="minorEastAsia"/>
                <w:b/>
                <w:bCs/>
                <w:sz w:val="24"/>
              </w:rPr>
            </w:pPr>
          </w:p>
        </w:tc>
        <w:tc>
          <w:tcPr>
            <w:tcW w:w="1731" w:type="dxa"/>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CA199</w:t>
            </w:r>
          </w:p>
        </w:tc>
        <w:tc>
          <w:tcPr>
            <w:tcW w:w="5582" w:type="dxa"/>
            <w:vAlign w:val="center"/>
          </w:tcPr>
          <w:p>
            <w:pPr>
              <w:keepNext w:val="0"/>
              <w:keepLines w:val="0"/>
              <w:pageBreakBefore w:val="0"/>
              <w:widowControl/>
              <w:kinsoku/>
              <w:wordWrap/>
              <w:overflowPunct/>
              <w:topLinePunct w:val="0"/>
              <w:autoSpaceDE/>
              <w:autoSpaceDN/>
              <w:bidi w:val="0"/>
              <w:adjustRightInd/>
              <w:snapToGrid/>
              <w:spacing w:line="348" w:lineRule="auto"/>
              <w:jc w:val="left"/>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主要反映消化道恶性肿瘤标志物，是迄今为止对胰腺癌敏感性最高的标志物，同时对卵巢癌、淋巴瘤、胃癌、肝癌、食管癌、乳腺癌、直肠、结肠癌患者也有一定的敏感性。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vAlign w:val="center"/>
          </w:tcPr>
          <w:p>
            <w:pPr>
              <w:keepNext w:val="0"/>
              <w:keepLines w:val="0"/>
              <w:pageBreakBefore w:val="0"/>
              <w:kinsoku/>
              <w:wordWrap/>
              <w:overflowPunct/>
              <w:topLinePunct w:val="0"/>
              <w:autoSpaceDE/>
              <w:autoSpaceDN/>
              <w:bidi w:val="0"/>
              <w:adjustRightInd/>
              <w:snapToGrid/>
              <w:spacing w:line="348" w:lineRule="auto"/>
              <w:jc w:val="center"/>
              <w:rPr>
                <w:rFonts w:asciiTheme="minorEastAsia" w:hAnsiTheme="minorEastAsia" w:cstheme="minorEastAsia"/>
                <w:b/>
                <w:bCs/>
                <w:sz w:val="24"/>
              </w:rPr>
            </w:pPr>
          </w:p>
        </w:tc>
        <w:tc>
          <w:tcPr>
            <w:tcW w:w="1731" w:type="dxa"/>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甲胎蛋白(AFP)</w:t>
            </w:r>
          </w:p>
        </w:tc>
        <w:tc>
          <w:tcPr>
            <w:tcW w:w="5582" w:type="dxa"/>
            <w:vAlign w:val="center"/>
          </w:tcPr>
          <w:p>
            <w:pPr>
              <w:keepNext w:val="0"/>
              <w:keepLines w:val="0"/>
              <w:pageBreakBefore w:val="0"/>
              <w:widowControl/>
              <w:kinsoku/>
              <w:wordWrap/>
              <w:overflowPunct/>
              <w:topLinePunct w:val="0"/>
              <w:autoSpaceDE/>
              <w:autoSpaceDN/>
              <w:bidi w:val="0"/>
              <w:adjustRightInd/>
              <w:snapToGrid/>
              <w:spacing w:line="348" w:lineRule="auto"/>
              <w:jc w:val="left"/>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作为原发性肝癌的血清标志物，用于原发性肝癌的诊断及疗效监测。与肝癌及多种肿瘤的发生、发展密切相关，也可用于提示肝癌手术切除的疗效(即是否彻底或复发)。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vAlign w:val="center"/>
          </w:tcPr>
          <w:p>
            <w:pPr>
              <w:keepNext w:val="0"/>
              <w:keepLines w:val="0"/>
              <w:pageBreakBefore w:val="0"/>
              <w:kinsoku/>
              <w:wordWrap/>
              <w:overflowPunct/>
              <w:topLinePunct w:val="0"/>
              <w:autoSpaceDE/>
              <w:autoSpaceDN/>
              <w:bidi w:val="0"/>
              <w:adjustRightInd/>
              <w:snapToGrid/>
              <w:spacing w:line="348" w:lineRule="auto"/>
              <w:jc w:val="center"/>
              <w:rPr>
                <w:rFonts w:asciiTheme="minorEastAsia" w:hAnsiTheme="minorEastAsia" w:cstheme="minorEastAsia"/>
                <w:b/>
                <w:bCs/>
                <w:sz w:val="24"/>
              </w:rPr>
            </w:pPr>
          </w:p>
        </w:tc>
        <w:tc>
          <w:tcPr>
            <w:tcW w:w="1731" w:type="dxa"/>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肾功三项</w:t>
            </w:r>
          </w:p>
        </w:tc>
        <w:tc>
          <w:tcPr>
            <w:tcW w:w="5582" w:type="dxa"/>
            <w:vAlign w:val="center"/>
          </w:tcPr>
          <w:p>
            <w:pPr>
              <w:keepNext w:val="0"/>
              <w:keepLines w:val="0"/>
              <w:pageBreakBefore w:val="0"/>
              <w:widowControl/>
              <w:kinsoku/>
              <w:wordWrap/>
              <w:overflowPunct/>
              <w:topLinePunct w:val="0"/>
              <w:autoSpaceDE/>
              <w:autoSpaceDN/>
              <w:bidi w:val="0"/>
              <w:adjustRightInd/>
              <w:snapToGrid/>
              <w:spacing w:line="348" w:lineRule="auto"/>
              <w:jc w:val="left"/>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通过血液中尿素氮、肌酐、尿酸水平，评估肾功能的状况，测定肾功能损害程度及估计预后；血尿酸增高</w:t>
            </w:r>
            <w:r>
              <w:rPr>
                <w:rFonts w:hint="eastAsia" w:asciiTheme="minorEastAsia" w:hAnsiTheme="minorEastAsia" w:cstheme="minorEastAsia"/>
                <w:sz w:val="24"/>
              </w:rPr>
              <w:t>对高尿酸血症、痛风有诊断意义。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vAlign w:val="center"/>
          </w:tcPr>
          <w:p>
            <w:pPr>
              <w:keepNext w:val="0"/>
              <w:keepLines w:val="0"/>
              <w:pageBreakBefore w:val="0"/>
              <w:kinsoku/>
              <w:wordWrap/>
              <w:overflowPunct/>
              <w:topLinePunct w:val="0"/>
              <w:autoSpaceDE/>
              <w:autoSpaceDN/>
              <w:bidi w:val="0"/>
              <w:adjustRightInd/>
              <w:snapToGrid/>
              <w:spacing w:line="348" w:lineRule="auto"/>
              <w:jc w:val="center"/>
              <w:rPr>
                <w:rFonts w:asciiTheme="minorEastAsia" w:hAnsiTheme="minorEastAsia" w:cstheme="minorEastAsia"/>
                <w:b/>
                <w:bCs/>
                <w:sz w:val="24"/>
              </w:rPr>
            </w:pPr>
          </w:p>
        </w:tc>
        <w:tc>
          <w:tcPr>
            <w:tcW w:w="1731" w:type="dxa"/>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血脂四项</w:t>
            </w:r>
          </w:p>
        </w:tc>
        <w:tc>
          <w:tcPr>
            <w:tcW w:w="5582" w:type="dxa"/>
            <w:vAlign w:val="center"/>
          </w:tcPr>
          <w:p>
            <w:pPr>
              <w:keepNext w:val="0"/>
              <w:keepLines w:val="0"/>
              <w:pageBreakBefore w:val="0"/>
              <w:widowControl/>
              <w:kinsoku/>
              <w:wordWrap/>
              <w:overflowPunct/>
              <w:topLinePunct w:val="0"/>
              <w:autoSpaceDE/>
              <w:autoSpaceDN/>
              <w:bidi w:val="0"/>
              <w:adjustRightInd/>
              <w:snapToGrid/>
              <w:spacing w:line="348" w:lineRule="auto"/>
              <w:jc w:val="left"/>
              <w:textAlignment w:val="center"/>
              <w:rPr>
                <w:rFonts w:asciiTheme="minorEastAsia" w:hAnsiTheme="minorEastAsia" w:cstheme="minorEastAsia"/>
                <w:b/>
                <w:bCs/>
                <w:sz w:val="24"/>
              </w:rPr>
            </w:pPr>
            <w:r>
              <w:rPr>
                <w:rFonts w:hint="eastAsia" w:asciiTheme="minorEastAsia" w:hAnsiTheme="minorEastAsia" w:cstheme="minorEastAsia"/>
                <w:sz w:val="24"/>
              </w:rPr>
              <w:t>血脂是血浆中的中性脂肪（甘油三酯和胆固醇）类脂（磷脂、糖脂、固醇、类固醇）的总称。主要是测定血清中的总胆固醇、甘油三酯、低密度脂蛋白胆固醇和高密度脂蛋白胆固醇的水平等。通过检查血浆中的血脂，可以预防或知晓是否患有肥胖症、动脉硬化、高血脂、冠心病、糖尿病、肾病综合征，以及其他一些心血管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vAlign w:val="center"/>
          </w:tcPr>
          <w:p>
            <w:pPr>
              <w:keepNext w:val="0"/>
              <w:keepLines w:val="0"/>
              <w:pageBreakBefore w:val="0"/>
              <w:kinsoku/>
              <w:wordWrap/>
              <w:overflowPunct/>
              <w:topLinePunct w:val="0"/>
              <w:autoSpaceDE/>
              <w:autoSpaceDN/>
              <w:bidi w:val="0"/>
              <w:adjustRightInd/>
              <w:snapToGrid/>
              <w:spacing w:line="348" w:lineRule="auto"/>
              <w:jc w:val="center"/>
              <w:rPr>
                <w:rFonts w:asciiTheme="minorEastAsia" w:hAnsiTheme="minorEastAsia" w:cstheme="minorEastAsia"/>
                <w:b/>
                <w:bCs/>
                <w:sz w:val="24"/>
              </w:rPr>
            </w:pPr>
          </w:p>
        </w:tc>
        <w:tc>
          <w:tcPr>
            <w:tcW w:w="1731" w:type="dxa"/>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血细胞分析+细胞形态</w:t>
            </w:r>
          </w:p>
        </w:tc>
        <w:tc>
          <w:tcPr>
            <w:tcW w:w="5582" w:type="dxa"/>
            <w:vAlign w:val="center"/>
          </w:tcPr>
          <w:p>
            <w:pPr>
              <w:keepNext w:val="0"/>
              <w:keepLines w:val="0"/>
              <w:pageBreakBefore w:val="0"/>
              <w:widowControl/>
              <w:kinsoku/>
              <w:wordWrap/>
              <w:overflowPunct/>
              <w:topLinePunct w:val="0"/>
              <w:autoSpaceDE/>
              <w:autoSpaceDN/>
              <w:bidi w:val="0"/>
              <w:adjustRightInd/>
              <w:snapToGrid/>
              <w:spacing w:line="348" w:lineRule="auto"/>
              <w:jc w:val="left"/>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通过检查可发现血液方面的问题，评价骨髓功能，有助于临床急慢性感染，病毒性疾病的判断；有助于了解有无贫血及贫血分类；有助于出血性疾病的诊断等。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Align w:val="center"/>
          </w:tcPr>
          <w:p>
            <w:pPr>
              <w:keepNext w:val="0"/>
              <w:keepLines w:val="0"/>
              <w:pageBreakBefore w:val="0"/>
              <w:kinsoku/>
              <w:wordWrap/>
              <w:overflowPunct/>
              <w:topLinePunct w:val="0"/>
              <w:autoSpaceDE/>
              <w:autoSpaceDN/>
              <w:bidi w:val="0"/>
              <w:adjustRightInd/>
              <w:snapToGrid/>
              <w:spacing w:line="348" w:lineRule="auto"/>
              <w:jc w:val="center"/>
              <w:rPr>
                <w:rFonts w:asciiTheme="minorEastAsia" w:hAnsiTheme="minorEastAsia" w:cstheme="minorEastAsia"/>
                <w:b/>
                <w:bCs/>
                <w:sz w:val="24"/>
              </w:rPr>
            </w:pPr>
            <w:r>
              <w:rPr>
                <w:rFonts w:asciiTheme="minorEastAsia" w:hAnsiTheme="minorEastAsia" w:cstheme="minorEastAsia"/>
                <w:b/>
                <w:bCs/>
                <w:sz w:val="24"/>
              </w:rPr>
              <w:t>尿</w:t>
            </w:r>
          </w:p>
        </w:tc>
        <w:tc>
          <w:tcPr>
            <w:tcW w:w="1731" w:type="dxa"/>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尿沉渣定量及尿液分析</w:t>
            </w:r>
          </w:p>
        </w:tc>
        <w:tc>
          <w:tcPr>
            <w:tcW w:w="5582" w:type="dxa"/>
            <w:vAlign w:val="center"/>
          </w:tcPr>
          <w:p>
            <w:pPr>
              <w:keepNext w:val="0"/>
              <w:keepLines w:val="0"/>
              <w:pageBreakBefore w:val="0"/>
              <w:widowControl/>
              <w:kinsoku/>
              <w:wordWrap/>
              <w:overflowPunct/>
              <w:topLinePunct w:val="0"/>
              <w:autoSpaceDE/>
              <w:autoSpaceDN/>
              <w:bidi w:val="0"/>
              <w:adjustRightInd/>
              <w:snapToGrid/>
              <w:spacing w:line="348" w:lineRule="auto"/>
              <w:jc w:val="left"/>
              <w:textAlignment w:val="center"/>
              <w:rPr>
                <w:rFonts w:asciiTheme="minorEastAsia" w:hAnsiTheme="minorEastAsia" w:cstheme="minorEastAsia"/>
                <w:b/>
                <w:bCs/>
                <w:sz w:val="24"/>
              </w:rPr>
            </w:pPr>
            <w:r>
              <w:rPr>
                <w:rFonts w:hint="eastAsia" w:asciiTheme="minorEastAsia" w:hAnsiTheme="minorEastAsia" w:cstheme="minorEastAsia"/>
                <w:sz w:val="24"/>
              </w:rPr>
              <w:t>化验尿的PH值、蛋白、白细胞等成份来筛查早期肾脏和尿路疾病。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Align w:val="center"/>
          </w:tcPr>
          <w:p>
            <w:pPr>
              <w:keepNext w:val="0"/>
              <w:keepLines w:val="0"/>
              <w:pageBreakBefore w:val="0"/>
              <w:kinsoku/>
              <w:wordWrap/>
              <w:overflowPunct/>
              <w:topLinePunct w:val="0"/>
              <w:autoSpaceDE/>
              <w:autoSpaceDN/>
              <w:bidi w:val="0"/>
              <w:adjustRightInd/>
              <w:snapToGrid/>
              <w:spacing w:line="348" w:lineRule="auto"/>
              <w:jc w:val="center"/>
              <w:rPr>
                <w:rFonts w:asciiTheme="minorEastAsia" w:hAnsiTheme="minorEastAsia" w:cstheme="minorEastAsia"/>
                <w:b/>
                <w:bCs/>
                <w:sz w:val="24"/>
              </w:rPr>
            </w:pPr>
            <w:r>
              <w:rPr>
                <w:rFonts w:asciiTheme="minorEastAsia" w:hAnsiTheme="minorEastAsia" w:cstheme="minorEastAsia"/>
                <w:b/>
                <w:bCs/>
                <w:sz w:val="24"/>
              </w:rPr>
              <w:t>心电图</w:t>
            </w:r>
          </w:p>
        </w:tc>
        <w:tc>
          <w:tcPr>
            <w:tcW w:w="1731" w:type="dxa"/>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心电图</w:t>
            </w:r>
          </w:p>
        </w:tc>
        <w:tc>
          <w:tcPr>
            <w:tcW w:w="5582" w:type="dxa"/>
            <w:vAlign w:val="center"/>
          </w:tcPr>
          <w:p>
            <w:pPr>
              <w:keepNext w:val="0"/>
              <w:keepLines w:val="0"/>
              <w:pageBreakBefore w:val="0"/>
              <w:widowControl/>
              <w:kinsoku/>
              <w:wordWrap/>
              <w:overflowPunct/>
              <w:topLinePunct w:val="0"/>
              <w:autoSpaceDE/>
              <w:autoSpaceDN/>
              <w:bidi w:val="0"/>
              <w:adjustRightInd/>
              <w:snapToGrid/>
              <w:spacing w:line="348" w:lineRule="auto"/>
              <w:jc w:val="left"/>
              <w:textAlignment w:val="center"/>
              <w:rPr>
                <w:rFonts w:asciiTheme="minorEastAsia" w:hAnsiTheme="minorEastAsia" w:cstheme="minorEastAsia"/>
                <w:b/>
                <w:bCs/>
                <w:sz w:val="24"/>
              </w:rPr>
            </w:pPr>
            <w:r>
              <w:rPr>
                <w:rFonts w:hint="eastAsia" w:asciiTheme="minorEastAsia" w:hAnsiTheme="minorEastAsia" w:cstheme="minorEastAsia"/>
                <w:sz w:val="24"/>
              </w:rPr>
              <w:t>是心脏电兴奋的发生、传导及恢复过程的客观指标。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Align w:val="center"/>
          </w:tcPr>
          <w:p>
            <w:pPr>
              <w:keepNext w:val="0"/>
              <w:keepLines w:val="0"/>
              <w:pageBreakBefore w:val="0"/>
              <w:kinsoku/>
              <w:wordWrap/>
              <w:overflowPunct/>
              <w:topLinePunct w:val="0"/>
              <w:autoSpaceDE/>
              <w:autoSpaceDN/>
              <w:bidi w:val="0"/>
              <w:adjustRightInd/>
              <w:snapToGrid/>
              <w:spacing w:line="348" w:lineRule="auto"/>
              <w:jc w:val="center"/>
              <w:rPr>
                <w:rFonts w:asciiTheme="minorEastAsia" w:hAnsiTheme="minorEastAsia" w:cstheme="minorEastAsia"/>
                <w:b/>
                <w:bCs/>
                <w:sz w:val="24"/>
              </w:rPr>
            </w:pPr>
            <w:r>
              <w:rPr>
                <w:rFonts w:asciiTheme="minorEastAsia" w:hAnsiTheme="minorEastAsia" w:cstheme="minorEastAsia"/>
                <w:b/>
                <w:bCs/>
                <w:sz w:val="24"/>
              </w:rPr>
              <w:t>放射科</w:t>
            </w:r>
          </w:p>
        </w:tc>
        <w:tc>
          <w:tcPr>
            <w:tcW w:w="1731" w:type="dxa"/>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低剂量肺部CT</w:t>
            </w:r>
          </w:p>
        </w:tc>
        <w:tc>
          <w:tcPr>
            <w:tcW w:w="5582" w:type="dxa"/>
            <w:vAlign w:val="center"/>
          </w:tcPr>
          <w:p>
            <w:pPr>
              <w:keepNext w:val="0"/>
              <w:keepLines w:val="0"/>
              <w:pageBreakBefore w:val="0"/>
              <w:widowControl/>
              <w:kinsoku/>
              <w:wordWrap/>
              <w:overflowPunct/>
              <w:topLinePunct w:val="0"/>
              <w:autoSpaceDE/>
              <w:autoSpaceDN/>
              <w:bidi w:val="0"/>
              <w:adjustRightInd/>
              <w:snapToGrid/>
              <w:spacing w:line="348" w:lineRule="auto"/>
              <w:jc w:val="left"/>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检查心脏、两肺、纵隔、膈、胸膜，判断有无炎症、肿瘤、结节等；尤其能够鉴别肺炎、肺癌、肺脓肿、肺结核，筛查早期肺癌。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Align w:val="center"/>
          </w:tcPr>
          <w:p>
            <w:pPr>
              <w:keepNext w:val="0"/>
              <w:keepLines w:val="0"/>
              <w:pageBreakBefore w:val="0"/>
              <w:kinsoku/>
              <w:wordWrap/>
              <w:overflowPunct/>
              <w:topLinePunct w:val="0"/>
              <w:autoSpaceDE/>
              <w:autoSpaceDN/>
              <w:bidi w:val="0"/>
              <w:adjustRightInd/>
              <w:snapToGrid/>
              <w:spacing w:line="348" w:lineRule="auto"/>
              <w:jc w:val="center"/>
              <w:rPr>
                <w:rFonts w:asciiTheme="minorEastAsia" w:hAnsiTheme="minorEastAsia" w:cstheme="minorEastAsia"/>
                <w:b/>
                <w:bCs/>
                <w:sz w:val="24"/>
              </w:rPr>
            </w:pPr>
            <w:r>
              <w:rPr>
                <w:rFonts w:asciiTheme="minorEastAsia" w:hAnsiTheme="minorEastAsia" w:cstheme="minorEastAsia"/>
                <w:b/>
                <w:bCs/>
                <w:sz w:val="24"/>
              </w:rPr>
              <w:t>彩超</w:t>
            </w:r>
          </w:p>
        </w:tc>
        <w:tc>
          <w:tcPr>
            <w:tcW w:w="1731" w:type="dxa"/>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肝、胆、胰、脾、肾、前列腺彩超</w:t>
            </w:r>
          </w:p>
        </w:tc>
        <w:tc>
          <w:tcPr>
            <w:tcW w:w="5582" w:type="dxa"/>
            <w:vAlign w:val="center"/>
          </w:tcPr>
          <w:p>
            <w:pPr>
              <w:keepNext w:val="0"/>
              <w:keepLines w:val="0"/>
              <w:pageBreakBefore w:val="0"/>
              <w:widowControl/>
              <w:kinsoku/>
              <w:wordWrap/>
              <w:overflowPunct/>
              <w:topLinePunct w:val="0"/>
              <w:autoSpaceDE/>
              <w:autoSpaceDN/>
              <w:bidi w:val="0"/>
              <w:adjustRightInd/>
              <w:snapToGrid/>
              <w:spacing w:line="348" w:lineRule="auto"/>
              <w:jc w:val="left"/>
              <w:textAlignment w:val="center"/>
              <w:rPr>
                <w:rFonts w:asciiTheme="minorEastAsia" w:hAnsiTheme="minorEastAsia" w:cstheme="minorEastAsia"/>
                <w:b/>
                <w:bCs/>
                <w:sz w:val="24"/>
              </w:rPr>
            </w:pPr>
            <w:r>
              <w:rPr>
                <w:rFonts w:hint="eastAsia" w:asciiTheme="minorEastAsia" w:hAnsiTheme="minorEastAsia" w:cstheme="minorEastAsia"/>
                <w:color w:val="000000"/>
                <w:kern w:val="0"/>
                <w:sz w:val="24"/>
                <w:lang w:bidi="ar"/>
              </w:rPr>
              <w:t>对人体腹部内脏器官的状况和各种病变（如肿瘤、结石、脂肪肝等）提供高清晰度的彩色动态超声断层图像判断，依病灶周围血管情况、病灶内血流血供情况-良恶性病变鉴别。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center"/>
              <w:rPr>
                <w:rFonts w:asciiTheme="minorEastAsia" w:hAnsiTheme="minorEastAsia" w:cstheme="minorEastAsia"/>
                <w:b/>
                <w:bCs/>
                <w:sz w:val="24"/>
              </w:rPr>
            </w:pPr>
            <w:r>
              <w:rPr>
                <w:rFonts w:hint="eastAsia" w:asciiTheme="minorEastAsia" w:hAnsiTheme="minorEastAsia" w:cstheme="minorEastAsia"/>
                <w:b/>
                <w:bCs/>
                <w:color w:val="000000"/>
                <w:kern w:val="0"/>
                <w:sz w:val="24"/>
                <w:lang w:bidi="ar"/>
              </w:rPr>
              <w:t>其他</w:t>
            </w:r>
          </w:p>
        </w:tc>
        <w:tc>
          <w:tcPr>
            <w:tcW w:w="7313" w:type="dxa"/>
            <w:gridSpan w:val="2"/>
            <w:vAlign w:val="center"/>
          </w:tcPr>
          <w:p>
            <w:pPr>
              <w:keepNext w:val="0"/>
              <w:keepLines w:val="0"/>
              <w:pageBreakBefore w:val="0"/>
              <w:widowControl/>
              <w:kinsoku/>
              <w:wordWrap/>
              <w:overflowPunct/>
              <w:topLinePunct w:val="0"/>
              <w:autoSpaceDE/>
              <w:autoSpaceDN/>
              <w:bidi w:val="0"/>
              <w:adjustRightInd/>
              <w:snapToGrid/>
              <w:spacing w:line="348" w:lineRule="auto"/>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提供静脉采血一次性医用材料；提供营养早餐；建立健康档案；提供图文报告、健康咨询；提供后续医疗便捷服务。</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★三、商务要求</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服务时间：合同签订后开展体检工作，</w:t>
      </w: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应</w:t>
      </w:r>
      <w:r>
        <w:rPr>
          <w:rFonts w:hint="eastAsia" w:ascii="宋体" w:hAnsi="宋体" w:cs="宋体"/>
          <w:sz w:val="24"/>
          <w:szCs w:val="24"/>
          <w:lang w:val="en-US" w:eastAsia="zh-CN"/>
        </w:rPr>
        <w:t>在</w:t>
      </w:r>
      <w:r>
        <w:rPr>
          <w:rFonts w:hint="eastAsia" w:ascii="宋体" w:hAnsi="宋体" w:eastAsia="宋体" w:cs="宋体"/>
          <w:sz w:val="24"/>
          <w:szCs w:val="24"/>
          <w:lang w:val="en-US" w:eastAsia="zh-CN"/>
        </w:rPr>
        <w:t>70个工作日内完成体检工作。</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服务地点：成交供应商提供体检服务所在地。</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报价要求：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1、合同价是供应商响应采购项目要求的全部工作内容的单价体现，包括供应商拟投入的人员、体检、设备、耗材、早餐、税费、招标代理服务费、其他成本支出以及供应商获得的合法合理利润。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outlineLvl w:val="9"/>
        <w:rPr>
          <w:rFonts w:hint="default"/>
          <w:lang w:val="en-US" w:eastAsia="zh-CN"/>
        </w:rPr>
      </w:pPr>
      <w:r>
        <w:rPr>
          <w:rFonts w:hint="eastAsia" w:ascii="宋体" w:hAnsi="宋体" w:cs="宋体"/>
          <w:sz w:val="24"/>
          <w:szCs w:val="24"/>
          <w:lang w:val="en-US" w:eastAsia="zh-CN"/>
        </w:rPr>
        <w:t>2、成交报价在合同履行过程中是固定不变的，任何有选择或可调整的报价将不予接受，作无效响应处理。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四</w:t>
      </w:r>
      <w:r>
        <w:rPr>
          <w:rFonts w:hint="eastAsia" w:ascii="宋体" w:hAnsi="宋体" w:eastAsia="宋体" w:cs="宋体"/>
          <w:sz w:val="24"/>
          <w:szCs w:val="24"/>
          <w:lang w:val="en-US" w:eastAsia="zh-CN"/>
        </w:rPr>
        <w:t>）付款</w:t>
      </w:r>
      <w:r>
        <w:rPr>
          <w:rFonts w:hint="eastAsia" w:ascii="宋体" w:hAnsi="宋体" w:cs="宋体"/>
          <w:sz w:val="24"/>
          <w:szCs w:val="24"/>
          <w:lang w:val="en-US" w:eastAsia="zh-CN"/>
        </w:rPr>
        <w:t>方式</w:t>
      </w:r>
      <w:r>
        <w:rPr>
          <w:rFonts w:hint="eastAsia" w:ascii="宋体" w:hAnsi="宋体" w:eastAsia="宋体" w:cs="宋体"/>
          <w:sz w:val="24"/>
          <w:szCs w:val="24"/>
          <w:lang w:val="en-US" w:eastAsia="zh-CN"/>
        </w:rPr>
        <w:t>：体检完毕后7个工作日内，成交</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应提交参检人员明细报表给采购人审核和核算，合同价款的计算根据实际体检人数和成交的单价据实结算，审核通过后的30个工作日内按实际参检人数全额支付款项。若成交</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在规定时限内未向采购人递交上述资料，采购人可延期付款。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五</w:t>
      </w:r>
      <w:r>
        <w:rPr>
          <w:rFonts w:hint="eastAsia" w:ascii="宋体" w:hAnsi="宋体" w:eastAsia="宋体" w:cs="宋体"/>
          <w:sz w:val="24"/>
          <w:szCs w:val="24"/>
          <w:lang w:val="en-US" w:eastAsia="zh-CN"/>
        </w:rPr>
        <w:t>）验收标准和方法：双方严格按照《财政部关于进一步加强政府采购需求和履约验收管理的</w:t>
      </w:r>
      <w:r>
        <w:rPr>
          <w:rFonts w:hint="eastAsia" w:ascii="宋体" w:hAnsi="宋体" w:eastAsia="宋体" w:cs="宋体"/>
          <w:color w:val="000000" w:themeColor="text1"/>
          <w:sz w:val="24"/>
          <w:szCs w:val="24"/>
          <w:lang w:val="en-US" w:eastAsia="zh-CN"/>
          <w14:textFill>
            <w14:solidFill>
              <w14:schemeClr w14:val="tx1"/>
            </w14:solidFill>
          </w14:textFill>
        </w:rPr>
        <w:t>指导</w:t>
      </w:r>
      <w:r>
        <w:rPr>
          <w:rFonts w:hint="eastAsia" w:ascii="宋体" w:hAnsi="宋体" w:eastAsia="宋体" w:cs="宋体"/>
          <w:sz w:val="24"/>
          <w:szCs w:val="24"/>
          <w:lang w:val="en-US" w:eastAsia="zh-CN"/>
        </w:rPr>
        <w:t>意见》（财库〔2016〕205号）相关规定执行。</w:t>
      </w:r>
    </w:p>
    <w:p>
      <w:pPr>
        <w:pStyle w:val="5"/>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六</w:t>
      </w:r>
      <w:r>
        <w:rPr>
          <w:rFonts w:hint="eastAsia" w:asciiTheme="minorEastAsia" w:hAnsiTheme="minorEastAsia" w:eastAsiaTheme="minorEastAsia" w:cstheme="minorEastAsia"/>
          <w:sz w:val="24"/>
        </w:rPr>
        <w:t>）其他未尽事宜，签订合同时双方协商确定。</w:t>
      </w:r>
    </w:p>
    <w:p>
      <w:pPr>
        <w:pStyle w:val="5"/>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b/>
          <w:bCs/>
          <w:color w:val="000000"/>
          <w:sz w:val="24"/>
          <w:lang w:eastAsia="zh-CN"/>
        </w:rPr>
      </w:pPr>
      <w:r>
        <w:rPr>
          <w:rFonts w:hint="eastAsia" w:asciiTheme="minorEastAsia" w:hAnsiTheme="minorEastAsia" w:eastAsiaTheme="minorEastAsia" w:cstheme="minorEastAsia"/>
          <w:b/>
          <w:bCs/>
          <w:color w:val="000000"/>
          <w:sz w:val="24"/>
        </w:rPr>
        <w:t>备注：本次采购以上述参数和要求为准，若上述参数和要求中表述不完整的，各供应商自行与采购人联系，了解情况或现场踏勘，必须在响应文件中补充完整，但必须符合国家的相关要求，带★号参数和要求不得有负偏离</w:t>
      </w:r>
      <w:r>
        <w:rPr>
          <w:rFonts w:hint="eastAsia" w:asciiTheme="minorEastAsia" w:hAnsiTheme="minorEastAsia" w:eastAsiaTheme="minorEastAsia" w:cstheme="minorEastAsia"/>
          <w:b/>
          <w:bCs/>
          <w:color w:val="000000"/>
          <w:sz w:val="24"/>
          <w:lang w:eastAsia="zh-CN"/>
        </w:rPr>
        <w:t>。</w:t>
      </w:r>
      <w:bookmarkEnd w:id="101"/>
      <w:bookmarkEnd w:id="102"/>
    </w:p>
    <w:p>
      <w:pPr>
        <w:rPr>
          <w:rFonts w:hint="eastAsia" w:asciiTheme="minorEastAsia" w:hAnsiTheme="minorEastAsia" w:eastAsiaTheme="minorEastAsia" w:cstheme="minorEastAsia"/>
        </w:rPr>
      </w:pPr>
      <w:r>
        <w:rPr>
          <w:rFonts w:hint="eastAsia" w:eastAsiaTheme="minorEastAsia"/>
          <w:lang w:eastAsia="zh-CN"/>
        </w:rPr>
        <w:br w:type="page"/>
      </w:r>
    </w:p>
    <w:bookmarkEnd w:id="93"/>
    <w:bookmarkEnd w:id="94"/>
    <w:bookmarkEnd w:id="95"/>
    <w:bookmarkEnd w:id="96"/>
    <w:bookmarkEnd w:id="97"/>
    <w:p>
      <w:pPr>
        <w:pStyle w:val="3"/>
        <w:keepNext/>
        <w:keepLines/>
        <w:pageBreakBefore w:val="0"/>
        <w:widowControl w:val="0"/>
        <w:kinsoku/>
        <w:wordWrap/>
        <w:overflowPunct/>
        <w:topLinePunct w:val="0"/>
        <w:autoSpaceDE/>
        <w:autoSpaceDN/>
        <w:bidi w:val="0"/>
        <w:adjustRightInd/>
        <w:snapToGrid/>
        <w:spacing w:before="0" w:line="579" w:lineRule="auto"/>
        <w:jc w:val="center"/>
        <w:textAlignment w:val="auto"/>
        <w:rPr>
          <w:rFonts w:hint="eastAsia" w:asciiTheme="minorEastAsia" w:hAnsiTheme="minorEastAsia" w:eastAsiaTheme="minorEastAsia" w:cstheme="minorEastAsia"/>
          <w:b/>
          <w:color w:val="000000" w:themeColor="text1"/>
          <w:sz w:val="44"/>
          <w:szCs w:val="44"/>
          <w14:textFill>
            <w14:solidFill>
              <w14:schemeClr w14:val="tx1"/>
            </w14:solidFill>
          </w14:textFill>
        </w:rPr>
      </w:pPr>
      <w:bookmarkStart w:id="103" w:name="_Toc30724"/>
      <w:bookmarkStart w:id="104" w:name="_Toc17958"/>
      <w:r>
        <w:rPr>
          <w:rStyle w:val="16"/>
          <w:rFonts w:hint="eastAsia" w:asciiTheme="minorEastAsia" w:hAnsiTheme="minorEastAsia" w:eastAsiaTheme="minorEastAsia" w:cstheme="minorEastAsia"/>
          <w:b/>
          <w:bCs/>
          <w:color w:val="000000" w:themeColor="text1"/>
          <w:sz w:val="44"/>
          <w:szCs w:val="44"/>
          <w14:textFill>
            <w14:solidFill>
              <w14:schemeClr w14:val="tx1"/>
            </w14:solidFill>
          </w14:textFill>
        </w:rPr>
        <w:t>第六章  采购项目实质性要求</w:t>
      </w:r>
      <w:bookmarkEnd w:id="103"/>
      <w:bookmarkEnd w:id="104"/>
    </w:p>
    <w:p>
      <w:pPr>
        <w:widowControl/>
        <w:spacing w:line="480" w:lineRule="auto"/>
        <w:ind w:firstLine="48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bookmarkStart w:id="105" w:name="_Toc503794733"/>
      <w:r>
        <w:rPr>
          <w:rFonts w:hint="eastAsia" w:asciiTheme="minorEastAsia" w:hAnsiTheme="minorEastAsia" w:eastAsiaTheme="minorEastAsia" w:cstheme="minorEastAsia"/>
          <w:color w:val="000000" w:themeColor="text1"/>
          <w:sz w:val="24"/>
          <w:szCs w:val="24"/>
          <w14:textFill>
            <w14:solidFill>
              <w14:schemeClr w14:val="tx1"/>
            </w14:solidFill>
          </w14:textFill>
        </w:rPr>
        <w:t>1.技术、服务要求：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详见</w:t>
      </w:r>
      <w:r>
        <w:rPr>
          <w:rFonts w:hint="eastAsia" w:asciiTheme="minorEastAsia" w:hAnsiTheme="minorEastAsia" w:eastAsiaTheme="minorEastAsia" w:cstheme="minorEastAsia"/>
          <w:color w:val="000000" w:themeColor="text1"/>
          <w:sz w:val="24"/>
          <w:szCs w:val="24"/>
          <w14:textFill>
            <w14:solidFill>
              <w14:schemeClr w14:val="tx1"/>
            </w14:solidFill>
          </w14:textFill>
        </w:rPr>
        <w:t>第五章</w:t>
      </w:r>
      <w:bookmarkEnd w:id="105"/>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widowControl/>
        <w:spacing w:line="480" w:lineRule="auto"/>
        <w:ind w:firstLine="48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bookmarkStart w:id="106" w:name="_Toc503794734"/>
      <w:r>
        <w:rPr>
          <w:rFonts w:hint="eastAsia" w:asciiTheme="minorEastAsia" w:hAnsiTheme="minorEastAsia" w:eastAsiaTheme="minorEastAsia" w:cstheme="minorEastAsia"/>
          <w:color w:val="000000" w:themeColor="text1"/>
          <w:sz w:val="24"/>
          <w:szCs w:val="24"/>
          <w14:textFill>
            <w14:solidFill>
              <w14:schemeClr w14:val="tx1"/>
            </w14:solidFill>
          </w14:textFill>
        </w:rPr>
        <w:t>2.政府采购合同内容条款要求：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详见</w:t>
      </w:r>
      <w:r>
        <w:rPr>
          <w:rFonts w:hint="eastAsia" w:asciiTheme="minorEastAsia" w:hAnsiTheme="minorEastAsia" w:eastAsiaTheme="minorEastAsia" w:cstheme="minorEastAsia"/>
          <w:color w:val="000000" w:themeColor="text1"/>
          <w:sz w:val="24"/>
          <w:szCs w:val="24"/>
          <w14:textFill>
            <w14:solidFill>
              <w14:schemeClr w14:val="tx1"/>
            </w14:solidFill>
          </w14:textFill>
        </w:rPr>
        <w:t>第九章</w:t>
      </w:r>
      <w:bookmarkEnd w:id="106"/>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widowControl/>
        <w:spacing w:line="480" w:lineRule="auto"/>
        <w:ind w:firstLine="48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bookmarkStart w:id="107" w:name="_Toc503794735"/>
      <w:r>
        <w:rPr>
          <w:rFonts w:hint="eastAsia" w:asciiTheme="minorEastAsia" w:hAnsiTheme="minorEastAsia" w:eastAsiaTheme="minorEastAsia" w:cstheme="minorEastAsia"/>
          <w:color w:val="000000" w:themeColor="text1"/>
          <w:sz w:val="24"/>
          <w:szCs w:val="24"/>
          <w14:textFill>
            <w14:solidFill>
              <w14:schemeClr w14:val="tx1"/>
            </w14:solidFill>
          </w14:textFill>
        </w:rPr>
        <w:t>3.商务要求：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详见</w:t>
      </w:r>
      <w:r>
        <w:rPr>
          <w:rFonts w:hint="eastAsia" w:asciiTheme="minorEastAsia" w:hAnsiTheme="minorEastAsia" w:eastAsiaTheme="minorEastAsia" w:cstheme="minorEastAsia"/>
          <w:color w:val="000000" w:themeColor="text1"/>
          <w:sz w:val="24"/>
          <w:szCs w:val="24"/>
          <w14:textFill>
            <w14:solidFill>
              <w14:schemeClr w14:val="tx1"/>
            </w14:solidFill>
          </w14:textFill>
        </w:rPr>
        <w:t>第五章</w:t>
      </w:r>
      <w:bookmarkEnd w:id="107"/>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widowControl/>
        <w:spacing w:line="48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4.政府采购政策要求：执行小微企业（监狱企业、残疾人福利性单位视同小微企业）价格扣除和失信企业报价加成；按照国家“财库[2004]185 号、财库[2006]90 号、国办发[2007]51 号”文件的规定，对节能、环保产品强制采购、优先采购的评审标准（如涉及）。</w:t>
      </w:r>
    </w:p>
    <w:p>
      <w:pPr>
        <w:ind w:firstLine="360" w:firstLineChars="150"/>
        <w:rPr>
          <w:rFonts w:hint="eastAsia" w:asciiTheme="minorEastAsia" w:hAnsiTheme="minorEastAsia" w:eastAsiaTheme="minorEastAsia" w:cstheme="minorEastAsia"/>
          <w:color w:val="000000" w:themeColor="text1"/>
          <w:sz w:val="24"/>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tabs>
          <w:tab w:val="left" w:pos="7665"/>
        </w:tabs>
        <w:spacing w:line="400" w:lineRule="exact"/>
        <w:ind w:firstLine="480"/>
        <w:rPr>
          <w:rFonts w:hint="eastAsia" w:asciiTheme="minorEastAsia" w:hAnsiTheme="minorEastAsia" w:eastAsiaTheme="minorEastAsia" w:cstheme="minorEastAsia"/>
          <w:bCs/>
          <w:color w:val="000000" w:themeColor="text1"/>
          <w:sz w:val="24"/>
          <w14:textFill>
            <w14:solidFill>
              <w14:schemeClr w14:val="tx1"/>
            </w14:solidFill>
          </w14:textFill>
        </w:rPr>
      </w:pPr>
    </w:p>
    <w:p>
      <w:pPr>
        <w:tabs>
          <w:tab w:val="left" w:pos="7665"/>
        </w:tabs>
        <w:spacing w:line="400" w:lineRule="exact"/>
        <w:ind w:firstLine="480"/>
        <w:rPr>
          <w:rFonts w:hint="eastAsia" w:asciiTheme="minorEastAsia" w:hAnsiTheme="minorEastAsia" w:eastAsiaTheme="minorEastAsia" w:cstheme="minorEastAsia"/>
          <w:bCs/>
          <w:color w:val="000000" w:themeColor="text1"/>
          <w:sz w:val="24"/>
          <w14:textFill>
            <w14:solidFill>
              <w14:schemeClr w14:val="tx1"/>
            </w14:solidFill>
          </w14:textFill>
        </w:rPr>
      </w:pPr>
    </w:p>
    <w:p>
      <w:pPr>
        <w:tabs>
          <w:tab w:val="left" w:pos="7665"/>
        </w:tabs>
        <w:spacing w:line="400" w:lineRule="exact"/>
        <w:ind w:firstLine="480"/>
        <w:rPr>
          <w:rFonts w:hint="eastAsia" w:asciiTheme="minorEastAsia" w:hAnsiTheme="minorEastAsia" w:eastAsiaTheme="minorEastAsia" w:cstheme="minorEastAsia"/>
          <w:bCs/>
          <w:color w:val="000000" w:themeColor="text1"/>
          <w:sz w:val="24"/>
          <w14:textFill>
            <w14:solidFill>
              <w14:schemeClr w14:val="tx1"/>
            </w14:solidFill>
          </w14:textFill>
        </w:rPr>
      </w:pPr>
    </w:p>
    <w:p>
      <w:pPr>
        <w:keepNext w:val="0"/>
        <w:keepLines w:val="0"/>
        <w:pageBreakBefore w:val="0"/>
        <w:widowControl w:val="0"/>
        <w:tabs>
          <w:tab w:val="left" w:pos="7665"/>
        </w:tabs>
        <w:kinsoku/>
        <w:wordWrap/>
        <w:overflowPunct/>
        <w:topLinePunct w:val="0"/>
        <w:autoSpaceDE/>
        <w:autoSpaceDN/>
        <w:bidi w:val="0"/>
        <w:adjustRightInd/>
        <w:snapToGrid/>
        <w:spacing w:line="240" w:lineRule="auto"/>
        <w:ind w:left="0" w:leftChars="0" w:right="0" w:rightChars="0" w:firstLine="482" w:firstLineChars="0"/>
        <w:jc w:val="center"/>
        <w:textAlignment w:val="auto"/>
        <w:outlineLvl w:val="0"/>
        <w:rPr>
          <w:rStyle w:val="16"/>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br w:type="page"/>
      </w:r>
      <w:bookmarkStart w:id="108" w:name="_Toc25381"/>
      <w:bookmarkStart w:id="109" w:name="_Toc12126"/>
      <w:r>
        <w:rPr>
          <w:rStyle w:val="16"/>
          <w:rFonts w:hint="eastAsia" w:asciiTheme="minorEastAsia" w:hAnsiTheme="minorEastAsia" w:eastAsiaTheme="minorEastAsia" w:cstheme="minorEastAsia"/>
          <w:color w:val="000000" w:themeColor="text1"/>
          <w14:textFill>
            <w14:solidFill>
              <w14:schemeClr w14:val="tx1"/>
            </w14:solidFill>
          </w14:textFill>
        </w:rPr>
        <w:t>第</w:t>
      </w:r>
      <w:r>
        <w:rPr>
          <w:rStyle w:val="16"/>
          <w:rFonts w:hint="eastAsia" w:asciiTheme="minorEastAsia" w:hAnsiTheme="minorEastAsia" w:eastAsiaTheme="minorEastAsia" w:cstheme="minorEastAsia"/>
          <w:color w:val="000000" w:themeColor="text1"/>
          <w:lang w:eastAsia="zh-CN"/>
          <w14:textFill>
            <w14:solidFill>
              <w14:schemeClr w14:val="tx1"/>
            </w14:solidFill>
          </w14:textFill>
        </w:rPr>
        <w:t>七</w:t>
      </w:r>
      <w:r>
        <w:rPr>
          <w:rStyle w:val="16"/>
          <w:rFonts w:hint="eastAsia" w:asciiTheme="minorEastAsia" w:hAnsiTheme="minorEastAsia" w:eastAsiaTheme="minorEastAsia" w:cstheme="minorEastAsia"/>
          <w:color w:val="000000" w:themeColor="text1"/>
          <w14:textFill>
            <w14:solidFill>
              <w14:schemeClr w14:val="tx1"/>
            </w14:solidFill>
          </w14:textFill>
        </w:rPr>
        <w:t>章  响应文件格式</w:t>
      </w:r>
      <w:bookmarkEnd w:id="108"/>
      <w:bookmarkEnd w:id="10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一、本章所制响应文件格式，除格式中明确将该格式作为实质性要求的，一律不具有强制性，但是，供应商响应文件相关资料和本章所制格式不一致</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14:textFill>
            <w14:solidFill>
              <w14:schemeClr w14:val="tx1"/>
            </w14:solidFill>
          </w14:textFill>
        </w:rPr>
        <w:t>磋商小组将在评分时以响应文件不规范予以扣分处理。</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二、本章所制响应文件格式有关表格中的备注栏，由供应商根据自身响应情况作解释性说明，不作为必填项。</w:t>
      </w:r>
    </w:p>
    <w:p>
      <w:pPr>
        <w:spacing w:line="48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sectPr>
          <w:footerReference r:id="rId8" w:type="first"/>
          <w:footerReference r:id="rId7" w:type="default"/>
          <w:pgSz w:w="11850" w:h="16783"/>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keepNext/>
        <w:keepLines/>
        <w:spacing w:before="260" w:after="260" w:line="413" w:lineRule="auto"/>
        <w:ind w:firstLine="643" w:firstLineChars="200"/>
        <w:jc w:val="center"/>
        <w:outlineLvl w:val="1"/>
        <w:rPr>
          <w:rFonts w:hint="eastAsia" w:asciiTheme="minorEastAsia" w:hAnsiTheme="minorEastAsia" w:eastAsiaTheme="minorEastAsia" w:cstheme="minorEastAsia"/>
          <w:b/>
          <w:bCs/>
          <w:color w:val="000000" w:themeColor="text1"/>
          <w:sz w:val="32"/>
          <w:szCs w:val="32"/>
          <w14:textFill>
            <w14:solidFill>
              <w14:schemeClr w14:val="tx1"/>
            </w14:solidFill>
          </w14:textFill>
        </w:rPr>
      </w:pPr>
      <w:bookmarkStart w:id="110" w:name="_Toc19442"/>
      <w:bookmarkStart w:id="111" w:name="_Toc19040"/>
      <w:r>
        <w:rPr>
          <w:rFonts w:hint="eastAsia" w:asciiTheme="minorEastAsia" w:hAnsiTheme="minorEastAsia" w:eastAsiaTheme="minorEastAsia" w:cstheme="minorEastAsia"/>
          <w:b/>
          <w:bCs/>
          <w:color w:val="000000" w:themeColor="text1"/>
          <w:sz w:val="32"/>
          <w:szCs w:val="32"/>
          <w14:textFill>
            <w14:solidFill>
              <w14:schemeClr w14:val="tx1"/>
            </w14:solidFill>
          </w14:textFill>
        </w:rPr>
        <w:t>第一部分     资格性响应文件</w:t>
      </w:r>
      <w:bookmarkEnd w:id="110"/>
      <w:bookmarkEnd w:id="111"/>
    </w:p>
    <w:p>
      <w:pPr>
        <w:widowControl/>
        <w:ind w:firstLine="480"/>
        <w:jc w:val="center"/>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封   面</w:t>
      </w:r>
    </w:p>
    <w:p>
      <w:pPr>
        <w:widowControl/>
        <w:ind w:firstLine="48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bdr w:val="single" w:color="auto" w:sz="4" w:space="0"/>
          <w14:textFill>
            <w14:solidFill>
              <w14:schemeClr w14:val="tx1"/>
            </w14:solidFill>
          </w14:textFill>
        </w:rPr>
        <w:t>正本或副本</w:t>
      </w:r>
    </w:p>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ind w:firstLine="480"/>
        <w:jc w:val="center"/>
        <w:rPr>
          <w:rFonts w:hint="eastAsia" w:asciiTheme="minorEastAsia" w:hAnsiTheme="minorEastAsia" w:eastAsiaTheme="minorEastAsia" w:cstheme="minorEastAsia"/>
          <w:color w:val="000000" w:themeColor="text1"/>
          <w:sz w:val="44"/>
          <w:szCs w:val="44"/>
          <w14:textFill>
            <w14:solidFill>
              <w14:schemeClr w14:val="tx1"/>
            </w14:solidFill>
          </w14:textFill>
        </w:rPr>
      </w:pPr>
      <w:r>
        <w:rPr>
          <w:rFonts w:hint="eastAsia" w:asciiTheme="minorEastAsia" w:hAnsiTheme="minorEastAsia" w:eastAsiaTheme="minorEastAsia" w:cstheme="minorEastAsia"/>
          <w:color w:val="000000" w:themeColor="text1"/>
          <w:sz w:val="44"/>
          <w:szCs w:val="44"/>
          <w14:textFill>
            <w14:solidFill>
              <w14:schemeClr w14:val="tx1"/>
            </w14:solidFill>
          </w14:textFill>
        </w:rPr>
        <w:t>响 应 文 件</w:t>
      </w:r>
    </w:p>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ind w:firstLine="48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（资格性响应文件）</w:t>
      </w:r>
    </w:p>
    <w:p>
      <w:pPr>
        <w:widowControl/>
        <w:ind w:firstLine="48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pPr>
        <w:widowControl/>
        <w:ind w:firstLine="480"/>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项目名称：</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pPr>
        <w:widowControl/>
        <w:ind w:firstLine="48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供应商名称（全称加盖公章）：</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pPr>
        <w:widowControl/>
        <w:ind w:firstLine="48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法定代表人/单位负责人或授权代表（签字或加盖个人名章）：</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pPr>
        <w:widowControl/>
        <w:ind w:firstLine="48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pPr>
        <w:widowControl/>
        <w:ind w:firstLine="48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widowControl/>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日期：</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p>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pPr>
        <w:pStyle w:val="24"/>
        <w:spacing w:before="156" w:after="156"/>
        <w:jc w:val="center"/>
        <w:rPr>
          <w:rFonts w:hint="eastAsia" w:asciiTheme="minorEastAsia" w:hAnsiTheme="minorEastAsia" w:eastAsiaTheme="minorEastAsia" w:cstheme="minorEastAsia"/>
          <w:color w:val="000000" w:themeColor="text1"/>
          <w14:textFill>
            <w14:solidFill>
              <w14:schemeClr w14:val="tx1"/>
            </w14:solidFill>
          </w14:textFill>
        </w:rPr>
      </w:pPr>
      <w:bookmarkStart w:id="112" w:name="_Toc24547"/>
      <w:bookmarkStart w:id="113" w:name="_Toc13692"/>
      <w:r>
        <w:rPr>
          <w:rFonts w:hint="eastAsia" w:asciiTheme="minorEastAsia" w:hAnsiTheme="minorEastAsia" w:eastAsiaTheme="minorEastAsia" w:cstheme="minorEastAsia"/>
          <w:color w:val="000000" w:themeColor="text1"/>
          <w14:textFill>
            <w14:solidFill>
              <w14:schemeClr w14:val="tx1"/>
            </w14:solidFill>
          </w14:textFill>
        </w:rPr>
        <w:t>一、承诺函（实质性要求）</w:t>
      </w:r>
      <w:bookmarkEnd w:id="112"/>
      <w:bookmarkEnd w:id="113"/>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14" w:name="_Toc480288345"/>
      <w:bookmarkStart w:id="115" w:name="_Toc482366498"/>
      <w:bookmarkStart w:id="116" w:name="_Toc480288574"/>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bookmarkStart w:id="117" w:name="_Toc503794737"/>
      <w:r>
        <w:rPr>
          <w:rFonts w:hint="eastAsia" w:asciiTheme="minorEastAsia" w:hAnsiTheme="minorEastAsia" w:eastAsiaTheme="minorEastAsia" w:cstheme="minorEastAsia"/>
          <w:color w:val="000000" w:themeColor="text1"/>
          <w:sz w:val="24"/>
          <w:szCs w:val="24"/>
          <w14:textFill>
            <w14:solidFill>
              <w14:schemeClr w14:val="tx1"/>
            </w14:solidFill>
          </w14:textFill>
        </w:rPr>
        <w:t>（采购代理机构名称）：</w:t>
      </w:r>
      <w:bookmarkEnd w:id="114"/>
      <w:bookmarkEnd w:id="115"/>
      <w:bookmarkEnd w:id="116"/>
      <w:bookmarkEnd w:id="117"/>
    </w:p>
    <w:p>
      <w:pPr>
        <w:keepNext w:val="0"/>
        <w:keepLines w:val="0"/>
        <w:pageBreakBefore w:val="0"/>
        <w:widowControl/>
        <w:kinsoku/>
        <w:wordWrap/>
        <w:overflowPunct/>
        <w:topLinePunct w:val="0"/>
        <w:autoSpaceDE/>
        <w:autoSpaceDN/>
        <w:bidi w:val="0"/>
        <w:adjustRightInd/>
        <w:snapToGrid/>
        <w:spacing w:line="312" w:lineRule="auto"/>
        <w:ind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18" w:name="_Toc503794738"/>
      <w:bookmarkStart w:id="119" w:name="_Toc480288346"/>
      <w:bookmarkStart w:id="120" w:name="_Toc480288575"/>
      <w:bookmarkStart w:id="121" w:name="_Toc482366499"/>
      <w:r>
        <w:rPr>
          <w:rFonts w:hint="eastAsia" w:asciiTheme="minorEastAsia" w:hAnsiTheme="minorEastAsia" w:eastAsiaTheme="minorEastAsia" w:cstheme="minorEastAsia"/>
          <w:color w:val="000000" w:themeColor="text1"/>
          <w:sz w:val="24"/>
          <w:szCs w:val="24"/>
          <w14:textFill>
            <w14:solidFill>
              <w14:schemeClr w14:val="tx1"/>
            </w14:solidFill>
          </w14:textFill>
        </w:rPr>
        <w:t>我公司作为本次采购项目的供应商，根据本项目竞争性磋商文件要求，现郑重承诺如下：</w:t>
      </w:r>
      <w:bookmarkEnd w:id="118"/>
      <w:bookmarkEnd w:id="119"/>
      <w:bookmarkEnd w:id="120"/>
      <w:bookmarkEnd w:id="121"/>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22" w:name="_Toc480288576"/>
      <w:bookmarkStart w:id="123" w:name="_Toc480288347"/>
      <w:bookmarkStart w:id="124" w:name="_Toc482366500"/>
      <w:bookmarkStart w:id="125" w:name="_Toc503794739"/>
      <w:r>
        <w:rPr>
          <w:rFonts w:hint="eastAsia" w:asciiTheme="minorEastAsia" w:hAnsiTheme="minorEastAsia" w:eastAsiaTheme="minorEastAsia" w:cstheme="minorEastAsia"/>
          <w:color w:val="000000" w:themeColor="text1"/>
          <w:sz w:val="24"/>
          <w:szCs w:val="24"/>
          <w14:textFill>
            <w14:solidFill>
              <w14:schemeClr w14:val="tx1"/>
            </w14:solidFill>
          </w14:textFill>
        </w:rPr>
        <w:t>一、具备《中华人民共和国政府采购法》第二十二条第一款和本项目规定的条件：</w:t>
      </w:r>
      <w:bookmarkEnd w:id="122"/>
      <w:bookmarkEnd w:id="123"/>
      <w:bookmarkEnd w:id="124"/>
      <w:bookmarkEnd w:id="125"/>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bookmarkStart w:id="126" w:name="_Toc482366501"/>
      <w:bookmarkStart w:id="127" w:name="_Toc503794740"/>
      <w:bookmarkStart w:id="128" w:name="_Toc480288577"/>
      <w:bookmarkStart w:id="129" w:name="_Toc480288348"/>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（一）具有独立承担民事责任的能力； </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（二）具有良好的商业信誉和健全的财务会计制度； </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（三）具有履行合同所必需的设备和专业技术能力； </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具</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有依法缴纳税收和社会保障资金的良好记录； </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（五）参加政府采购活动前三年内，在经营活动中没有重大违法记录；</w:t>
      </w:r>
      <w:bookmarkEnd w:id="126"/>
      <w:bookmarkEnd w:id="127"/>
      <w:bookmarkEnd w:id="128"/>
      <w:bookmarkEnd w:id="129"/>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30" w:name="_Toc503794741"/>
      <w:bookmarkStart w:id="131" w:name="_Toc482366502"/>
      <w:bookmarkStart w:id="132" w:name="_Toc480288349"/>
      <w:bookmarkStart w:id="133" w:name="_Toc480288578"/>
      <w:r>
        <w:rPr>
          <w:rFonts w:hint="eastAsia" w:asciiTheme="minorEastAsia" w:hAnsiTheme="minorEastAsia" w:eastAsiaTheme="minorEastAsia" w:cstheme="minorEastAsia"/>
          <w:color w:val="000000" w:themeColor="text1"/>
          <w:sz w:val="24"/>
          <w:szCs w:val="24"/>
          <w14:textFill>
            <w14:solidFill>
              <w14:schemeClr w14:val="tx1"/>
            </w14:solidFill>
          </w14:textFill>
        </w:rPr>
        <w:t>（六）法律、行政法规规定的其他条件；</w:t>
      </w:r>
      <w:bookmarkEnd w:id="130"/>
      <w:bookmarkEnd w:id="131"/>
      <w:bookmarkEnd w:id="132"/>
      <w:bookmarkEnd w:id="133"/>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34" w:name="_Toc480288350"/>
      <w:bookmarkStart w:id="135" w:name="_Toc482366503"/>
      <w:bookmarkStart w:id="136" w:name="_Toc480288579"/>
      <w:bookmarkStart w:id="137" w:name="_Toc503794742"/>
      <w:r>
        <w:rPr>
          <w:rFonts w:hint="eastAsia" w:asciiTheme="minorEastAsia" w:hAnsiTheme="minorEastAsia" w:eastAsiaTheme="minorEastAsia" w:cstheme="minorEastAsia"/>
          <w:color w:val="000000" w:themeColor="text1"/>
          <w:sz w:val="24"/>
          <w:szCs w:val="24"/>
          <w14:textFill>
            <w14:solidFill>
              <w14:schemeClr w14:val="tx1"/>
            </w14:solidFill>
          </w14:textFill>
        </w:rPr>
        <w:t>（七）根据采购项目提出的特殊条件。</w:t>
      </w:r>
      <w:bookmarkEnd w:id="134"/>
      <w:bookmarkEnd w:id="135"/>
      <w:bookmarkEnd w:id="136"/>
      <w:bookmarkEnd w:id="137"/>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38" w:name="_Toc480288351"/>
      <w:bookmarkStart w:id="139" w:name="_Toc480288580"/>
      <w:bookmarkStart w:id="140" w:name="_Toc482366504"/>
      <w:bookmarkStart w:id="141" w:name="_Toc503794743"/>
      <w:r>
        <w:rPr>
          <w:rFonts w:hint="eastAsia" w:asciiTheme="minorEastAsia" w:hAnsiTheme="minorEastAsia" w:eastAsiaTheme="minorEastAsia" w:cstheme="minorEastAsia"/>
          <w:color w:val="000000" w:themeColor="text1"/>
          <w:sz w:val="24"/>
          <w:szCs w:val="24"/>
          <w14:textFill>
            <w14:solidFill>
              <w14:schemeClr w14:val="tx1"/>
            </w14:solidFill>
          </w14:textFill>
        </w:rPr>
        <w:t>二、完全接受和满足本项目竞争性磋商文件中规定的实质性要求，如对竞争性磋商文件有异议，已经在响应文件递交截止时间届满前依法进行维权救济，不存在对竞争性磋商文件有异议的同时又参加磋商以求侥幸成交或者为实现其他非法目的的行为。</w:t>
      </w:r>
      <w:bookmarkEnd w:id="138"/>
      <w:bookmarkEnd w:id="139"/>
      <w:bookmarkEnd w:id="140"/>
      <w:bookmarkEnd w:id="141"/>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42" w:name="_Toc480288581"/>
      <w:bookmarkStart w:id="143" w:name="_Toc480288352"/>
      <w:bookmarkStart w:id="144" w:name="_Toc482366505"/>
      <w:bookmarkStart w:id="145" w:name="_Toc503794744"/>
      <w:r>
        <w:rPr>
          <w:rFonts w:hint="eastAsia" w:asciiTheme="minorEastAsia" w:hAnsiTheme="minorEastAsia" w:eastAsiaTheme="minorEastAsia" w:cstheme="minorEastAsia"/>
          <w:color w:val="000000" w:themeColor="text1"/>
          <w:sz w:val="24"/>
          <w:szCs w:val="24"/>
          <w14:textFill>
            <w14:solidFill>
              <w14:schemeClr w14:val="tx1"/>
            </w14:solidFill>
          </w14:textFill>
        </w:rPr>
        <w:t>三、参加本次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采购活动，不存在与单位负责人为同一人或者存在直接控股、管理关系的其他供应商参与同一合同项下的政府采购活动的行为。</w:t>
      </w:r>
      <w:bookmarkEnd w:id="142"/>
      <w:bookmarkEnd w:id="143"/>
      <w:bookmarkEnd w:id="144"/>
      <w:bookmarkEnd w:id="145"/>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46" w:name="_Toc480288582"/>
      <w:bookmarkStart w:id="147" w:name="_Toc482366506"/>
      <w:bookmarkStart w:id="148" w:name="_Toc480288353"/>
      <w:bookmarkStart w:id="149" w:name="_Toc503794745"/>
      <w:r>
        <w:rPr>
          <w:rFonts w:hint="eastAsia" w:asciiTheme="minorEastAsia" w:hAnsiTheme="minorEastAsia" w:eastAsiaTheme="minorEastAsia" w:cstheme="minorEastAsia"/>
          <w:color w:val="000000" w:themeColor="text1"/>
          <w:sz w:val="24"/>
          <w:szCs w:val="24"/>
          <w14:textFill>
            <w14:solidFill>
              <w14:schemeClr w14:val="tx1"/>
            </w14:solidFill>
          </w14:textFill>
        </w:rPr>
        <w:t>四、参加本次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采购活动，不存在和其他供应商在同一合同项下的采购项目中，同时委托同一个自然人、同一家庭的人员、同一单位的人员作为代理人的行为。</w:t>
      </w:r>
      <w:bookmarkEnd w:id="146"/>
      <w:bookmarkEnd w:id="147"/>
      <w:bookmarkEnd w:id="148"/>
      <w:bookmarkEnd w:id="149"/>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50" w:name="_Toc503794746"/>
      <w:bookmarkStart w:id="151" w:name="_Toc480288354"/>
      <w:bookmarkStart w:id="152" w:name="_Toc482366507"/>
      <w:bookmarkStart w:id="153" w:name="_Toc480288583"/>
      <w:r>
        <w:rPr>
          <w:rFonts w:hint="eastAsia" w:asciiTheme="minorEastAsia" w:hAnsiTheme="minorEastAsia" w:eastAsiaTheme="minorEastAsia" w:cstheme="minorEastAsia"/>
          <w:color w:val="000000" w:themeColor="text1"/>
          <w:sz w:val="24"/>
          <w:szCs w:val="24"/>
          <w14:textFill>
            <w14:solidFill>
              <w14:schemeClr w14:val="tx1"/>
            </w14:solidFill>
          </w14:textFill>
        </w:rPr>
        <w:t>五、不属于为本采购项目提供整体设计、规范编制或者项目管理、监理、检测等服务的供应商。</w:t>
      </w:r>
      <w:bookmarkEnd w:id="150"/>
      <w:bookmarkEnd w:id="151"/>
      <w:bookmarkEnd w:id="152"/>
      <w:bookmarkEnd w:id="153"/>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54" w:name="_Toc480288355"/>
      <w:bookmarkStart w:id="155" w:name="_Toc480288584"/>
      <w:bookmarkStart w:id="156" w:name="_Toc482366508"/>
      <w:bookmarkStart w:id="157" w:name="_Toc503794747"/>
      <w:r>
        <w:rPr>
          <w:rFonts w:hint="eastAsia" w:asciiTheme="minorEastAsia" w:hAnsiTheme="minorEastAsia" w:eastAsiaTheme="minorEastAsia" w:cstheme="minorEastAsia"/>
          <w:color w:val="000000" w:themeColor="text1"/>
          <w:sz w:val="24"/>
          <w:szCs w:val="24"/>
          <w14:textFill>
            <w14:solidFill>
              <w14:schemeClr w14:val="tx1"/>
            </w14:solidFill>
          </w14:textFill>
        </w:rPr>
        <w:t>六、响应文件中提供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14:textFill>
            <w14:solidFill>
              <w14:schemeClr w14:val="tx1"/>
            </w14:solidFill>
          </w14:textFill>
        </w:rPr>
        <w:t>任何材料资料和技术、服务、商务等响应承诺情况都是真实的、有效的、合法的。</w:t>
      </w:r>
      <w:bookmarkEnd w:id="154"/>
      <w:bookmarkEnd w:id="155"/>
      <w:bookmarkEnd w:id="156"/>
      <w:bookmarkEnd w:id="157"/>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58" w:name="_Toc482366509"/>
      <w:bookmarkStart w:id="159" w:name="_Toc503794748"/>
      <w:bookmarkStart w:id="160" w:name="_Toc480288585"/>
      <w:bookmarkStart w:id="161" w:name="_Toc480288356"/>
      <w:r>
        <w:rPr>
          <w:rFonts w:hint="eastAsia" w:asciiTheme="minorEastAsia" w:hAnsiTheme="minorEastAsia" w:eastAsiaTheme="minorEastAsia" w:cstheme="minorEastAsia"/>
          <w:color w:val="000000" w:themeColor="text1"/>
          <w:sz w:val="24"/>
          <w:szCs w:val="24"/>
          <w14:textFill>
            <w14:solidFill>
              <w14:schemeClr w14:val="tx1"/>
            </w14:solidFill>
          </w14:textFill>
        </w:rPr>
        <w:t>本公司对上述承诺的内容事项真实性负责。如经查实上述承诺的内容事项存在虚假，我公司愿意接受以提供虚假材料谋取成交追究法律责任。</w:t>
      </w:r>
      <w:bookmarkEnd w:id="158"/>
      <w:bookmarkEnd w:id="159"/>
      <w:bookmarkEnd w:id="160"/>
      <w:bookmarkEnd w:id="161"/>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62" w:name="_Toc480288586"/>
      <w:bookmarkStart w:id="163" w:name="_Toc503794749"/>
      <w:bookmarkStart w:id="164" w:name="_Toc482366510"/>
      <w:bookmarkStart w:id="165" w:name="_Toc480288357"/>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供应商名称：</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（单位公章）。</w:t>
      </w:r>
      <w:bookmarkEnd w:id="162"/>
      <w:bookmarkEnd w:id="163"/>
      <w:bookmarkEnd w:id="164"/>
      <w:bookmarkEnd w:id="165"/>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66" w:name="_Toc503794750"/>
      <w:bookmarkStart w:id="167" w:name="_Toc480288587"/>
      <w:bookmarkStart w:id="168" w:name="_Toc482366511"/>
      <w:bookmarkStart w:id="169" w:name="_Toc480288358"/>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r>
        <w:rPr>
          <w:rFonts w:hint="eastAsia" w:asciiTheme="minorEastAsia" w:hAnsiTheme="minorEastAsia" w:eastAsiaTheme="minorEastAsia" w:cstheme="minorEastAsia"/>
          <w:bCs/>
          <w:sz w:val="24"/>
        </w:rPr>
        <w:t>/单位负责人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或授权代表（签字或加盖个人名章）：</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bookmarkEnd w:id="166"/>
      <w:bookmarkEnd w:id="167"/>
      <w:bookmarkEnd w:id="168"/>
      <w:bookmarkEnd w:id="169"/>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日    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法定代表人/单位负责人授权委托书格式</w:t>
      </w:r>
      <w:r>
        <w:rPr>
          <w:rFonts w:hint="eastAsia" w:asciiTheme="minorEastAsia" w:hAnsiTheme="minorEastAsia" w:eastAsiaTheme="minorEastAsia" w:cstheme="minorEastAsia"/>
        </w:rPr>
        <w:t>（实质性要求）</w:t>
      </w:r>
    </w:p>
    <w:p>
      <w:pPr>
        <w:keepNext w:val="0"/>
        <w:keepLines w:val="0"/>
        <w:widowControl/>
        <w:suppressLineNumbers w:val="0"/>
        <w:spacing w:line="360" w:lineRule="auto"/>
        <w:jc w:val="center"/>
        <w:rPr>
          <w:rFonts w:hint="eastAsia" w:asciiTheme="minorEastAsia" w:hAnsiTheme="minorEastAsia" w:eastAsiaTheme="minorEastAsia" w:cstheme="minorEastAsia"/>
          <w:b/>
          <w:color w:val="000000" w:themeColor="text1"/>
          <w:kern w:val="0"/>
          <w:sz w:val="24"/>
          <w:szCs w:val="24"/>
          <w:lang w:val="en-US" w:eastAsia="zh-CN" w:bidi="ar"/>
          <w14:textFill>
            <w14:solidFill>
              <w14:schemeClr w14:val="tx1"/>
            </w14:solidFill>
          </w14:textFill>
        </w:rPr>
      </w:pPr>
    </w:p>
    <w:p>
      <w:pPr>
        <w:keepNext w:val="0"/>
        <w:keepLines w:val="0"/>
        <w:widowControl/>
        <w:suppressLineNumbers w:val="0"/>
        <w:spacing w:line="360" w:lineRule="auto"/>
        <w:jc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lang w:val="en-US" w:eastAsia="zh-CN" w:bidi="ar"/>
          <w14:textFill>
            <w14:solidFill>
              <w14:schemeClr w14:val="tx1"/>
            </w14:solidFill>
          </w14:textFill>
        </w:rPr>
        <w:t>（一）</w:t>
      </w:r>
      <w:r>
        <w:rPr>
          <w:rFonts w:hint="eastAsia" w:asciiTheme="minorEastAsia" w:hAnsiTheme="minorEastAsia" w:eastAsiaTheme="minorEastAsia" w:cstheme="minorEastAsia"/>
          <w:b/>
          <w:bCs w:val="0"/>
          <w:color w:val="000000" w:themeColor="text1"/>
          <w:kern w:val="0"/>
          <w:sz w:val="32"/>
          <w:szCs w:val="32"/>
          <w:lang w:val="en-US" w:eastAsia="zh-CN" w:bidi="ar"/>
          <w14:textFill>
            <w14:solidFill>
              <w14:schemeClr w14:val="tx1"/>
            </w14:solidFill>
          </w14:textFill>
        </w:rPr>
        <w:t>法定代表人/单位负责人证明</w:t>
      </w:r>
      <w:r>
        <w:rPr>
          <w:rFonts w:hint="eastAsia" w:asciiTheme="minorEastAsia" w:hAnsiTheme="minorEastAsia" w:eastAsiaTheme="minorEastAsia" w:cstheme="minorEastAsia"/>
          <w:b/>
          <w:bCs w:val="0"/>
          <w:color w:val="000000" w:themeColor="text1"/>
          <w:sz w:val="32"/>
          <w:szCs w:val="32"/>
          <w14:textFill>
            <w14:solidFill>
              <w14:schemeClr w14:val="tx1"/>
            </w14:solidFill>
          </w14:textFill>
        </w:rPr>
        <w:t>（实质性要求）</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（仅在法定代表人/单位负责人参加竞争性磋商时须提供此证明） </w:t>
      </w:r>
    </w:p>
    <w:p>
      <w:pPr>
        <w:keepNext w:val="0"/>
        <w:keepLines w:val="0"/>
        <w:widowControl/>
        <w:suppressLineNumbers w:val="0"/>
        <w:spacing w:line="480" w:lineRule="auto"/>
        <w:jc w:val="left"/>
        <w:rPr>
          <w:rFonts w:hint="eastAsia" w:asciiTheme="minorEastAsia" w:hAnsiTheme="minorEastAsia" w:eastAsiaTheme="minorEastAsia" w:cstheme="minorEastAsia"/>
          <w:color w:val="000000" w:themeColor="text1"/>
          <w:sz w:val="24"/>
          <w:szCs w:val="24"/>
          <w:u w:val="singl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供应商名称：</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p>
    <w:p>
      <w:pPr>
        <w:keepNext w:val="0"/>
        <w:keepLines w:val="0"/>
        <w:widowControl/>
        <w:suppressLineNumbers w:val="0"/>
        <w:spacing w:line="48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单位性质： </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p>
    <w:p>
      <w:pPr>
        <w:keepNext w:val="0"/>
        <w:keepLines w:val="0"/>
        <w:widowControl/>
        <w:suppressLineNumbers w:val="0"/>
        <w:spacing w:line="48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地址：</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 </w:t>
      </w:r>
    </w:p>
    <w:p>
      <w:pPr>
        <w:keepNext w:val="0"/>
        <w:keepLines w:val="0"/>
        <w:widowControl/>
        <w:suppressLineNumbers w:val="0"/>
        <w:spacing w:line="48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成立时间：</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 年 </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月 </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日 </w:t>
      </w:r>
    </w:p>
    <w:p>
      <w:pPr>
        <w:keepNext w:val="0"/>
        <w:keepLines w:val="0"/>
        <w:widowControl/>
        <w:suppressLineNumbers w:val="0"/>
        <w:spacing w:line="48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经营期限： </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p>
    <w:p>
      <w:pPr>
        <w:keepNext w:val="0"/>
        <w:keepLines w:val="0"/>
        <w:widowControl/>
        <w:suppressLineNumbers w:val="0"/>
        <w:spacing w:line="48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姓名：</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 性别：</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 年龄：</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 职务： </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p>
    <w:p>
      <w:pPr>
        <w:keepNext w:val="0"/>
        <w:keepLines w:val="0"/>
        <w:widowControl/>
        <w:suppressLineNumbers w:val="0"/>
        <w:spacing w:line="48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身份证号码： </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系 </w:t>
      </w:r>
      <w:r>
        <w:rPr>
          <w:rFonts w:hint="eastAsia" w:asciiTheme="minorEastAsia" w:hAnsiTheme="minorEastAsia" w:eastAsiaTheme="minorEastAsia" w:cstheme="minorEastAsia"/>
          <w:color w:val="000000" w:themeColor="text1"/>
          <w:kern w:val="0"/>
          <w:sz w:val="24"/>
          <w:szCs w:val="24"/>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（供应商名称）的法定代表人</w:t>
      </w:r>
      <w:r>
        <w:rPr>
          <w:rFonts w:hint="eastAsia" w:asciiTheme="minorEastAsia" w:hAnsiTheme="minorEastAsia" w:eastAsiaTheme="minorEastAsia" w:cstheme="minorEastAsia"/>
          <w:sz w:val="24"/>
          <w:szCs w:val="24"/>
          <w:lang w:val="en-US" w:eastAsia="zh-CN"/>
        </w:rPr>
        <w:t>/单位负责人</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 </w:t>
      </w:r>
    </w:p>
    <w:p>
      <w:pPr>
        <w:keepNext w:val="0"/>
        <w:keepLines w:val="0"/>
        <w:widowControl/>
        <w:suppressLineNumbers w:val="0"/>
        <w:spacing w:line="480" w:lineRule="auto"/>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p>
    <w:p>
      <w:pPr>
        <w:keepNext w:val="0"/>
        <w:keepLines w:val="0"/>
        <w:widowControl/>
        <w:suppressLineNumbers w:val="0"/>
        <w:spacing w:line="480" w:lineRule="auto"/>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特此证明。 </w:t>
      </w:r>
    </w:p>
    <w:p>
      <w:pPr>
        <w:keepNext w:val="0"/>
        <w:keepLines w:val="0"/>
        <w:widowControl/>
        <w:suppressLineNumbers w:val="0"/>
        <w:spacing w:line="480" w:lineRule="auto"/>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附：法定代表人</w:t>
      </w:r>
      <w:r>
        <w:rPr>
          <w:rFonts w:hint="eastAsia" w:asciiTheme="minorEastAsia" w:hAnsiTheme="minorEastAsia" w:eastAsiaTheme="minorEastAsia" w:cstheme="minorEastAsia"/>
          <w:bCs/>
          <w:sz w:val="24"/>
        </w:rPr>
        <w:t>/单位负责人</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身份证复印件</w:t>
      </w:r>
    </w:p>
    <w:p>
      <w:pPr>
        <w:keepNext w:val="0"/>
        <w:keepLines w:val="0"/>
        <w:widowControl/>
        <w:suppressLineNumbers w:val="0"/>
        <w:spacing w:line="480" w:lineRule="auto"/>
        <w:jc w:val="right"/>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供应商名称：</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（单位公章）。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r>
        <w:rPr>
          <w:rFonts w:hint="eastAsia" w:asciiTheme="minorEastAsia" w:hAnsiTheme="minorEastAsia" w:eastAsiaTheme="minorEastAsia" w:cstheme="minorEastAsia"/>
          <w:bCs/>
          <w:sz w:val="24"/>
        </w:rPr>
        <w:t>/单位负责人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（签字或加盖个人名章）：</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日    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pPr>
        <w:widowControl/>
        <w:spacing w:line="360" w:lineRule="auto"/>
        <w:ind w:firstLine="4142" w:firstLineChars="1726"/>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jc w:val="both"/>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p>
    <w:p>
      <w:pPr>
        <w:jc w:val="both"/>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p>
    <w:p>
      <w:pPr>
        <w:ind w:firstLine="480" w:firstLineChars="200"/>
        <w:jc w:val="both"/>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注：供应商根据自身情况在响应文件中提供（一）或（二）。 </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br w:type="page"/>
      </w: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法定代表人授权书（实质性要求）</w:t>
      </w:r>
    </w:p>
    <w:p>
      <w:pPr>
        <w:widowControl/>
        <w:spacing w:line="360" w:lineRule="auto"/>
        <w:ind w:firstLine="48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bookmarkStart w:id="170" w:name="_Toc485828487"/>
    </w:p>
    <w:p>
      <w:pPr>
        <w:keepNext w:val="0"/>
        <w:keepLines w:val="0"/>
        <w:pageBreakBefore w:val="0"/>
        <w:widowControl/>
        <w:kinsoku/>
        <w:wordWrap w:val="0"/>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bookmarkStart w:id="171" w:name="_Toc503794751"/>
      <w:r>
        <w:rPr>
          <w:rFonts w:hint="eastAsia" w:asciiTheme="minorEastAsia" w:hAnsiTheme="minorEastAsia" w:eastAsiaTheme="minorEastAsia" w:cstheme="minorEastAsia"/>
          <w:color w:val="000000" w:themeColor="text1"/>
          <w:sz w:val="24"/>
          <w:szCs w:val="24"/>
          <w14:textFill>
            <w14:solidFill>
              <w14:schemeClr w14:val="tx1"/>
            </w14:solidFill>
          </w14:textFill>
        </w:rPr>
        <w:t>（采购代理机构名称）：</w:t>
      </w:r>
      <w:bookmarkEnd w:id="170"/>
      <w:bookmarkEnd w:id="171"/>
    </w:p>
    <w:p>
      <w:pPr>
        <w:keepNext w:val="0"/>
        <w:keepLines w:val="0"/>
        <w:pageBreakBefore w:val="0"/>
        <w:widowControl/>
        <w:kinsoku/>
        <w:wordWrap w:val="0"/>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72" w:name="_Toc485828488"/>
      <w:bookmarkStart w:id="173" w:name="_Toc503794752"/>
      <w:r>
        <w:rPr>
          <w:rFonts w:hint="eastAsia" w:asciiTheme="minorEastAsia" w:hAnsiTheme="minorEastAsia" w:eastAsiaTheme="minorEastAsia" w:cstheme="minorEastAsia"/>
          <w:color w:val="000000" w:themeColor="text1"/>
          <w:sz w:val="24"/>
          <w:szCs w:val="24"/>
          <w14:textFill>
            <w14:solidFill>
              <w14:schemeClr w14:val="tx1"/>
            </w14:solidFill>
          </w14:textFill>
        </w:rPr>
        <w:t>本授权声明：</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（供应商名称）</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r>
        <w:rPr>
          <w:rFonts w:hint="eastAsia" w:asciiTheme="minorEastAsia" w:hAnsiTheme="minorEastAsia" w:eastAsiaTheme="minorEastAsia" w:cstheme="minorEastAsia"/>
          <w:bCs/>
          <w:sz w:val="24"/>
        </w:rPr>
        <w:t>/单位负责人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姓名、职务）授权</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（被授权人姓名、职务）为我方“</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（项目编号）磋商活动的合法代表，以我方名义全权处理该项目有关磋商、签订合同以及执行合同等一切事宜。</w:t>
      </w:r>
      <w:bookmarkEnd w:id="172"/>
      <w:bookmarkEnd w:id="173"/>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74" w:name="_Toc485828489"/>
      <w:bookmarkStart w:id="175" w:name="_Toc503794753"/>
      <w:r>
        <w:rPr>
          <w:rFonts w:hint="eastAsia" w:asciiTheme="minorEastAsia" w:hAnsiTheme="minorEastAsia" w:eastAsiaTheme="minorEastAsia" w:cstheme="minorEastAsia"/>
          <w:color w:val="000000" w:themeColor="text1"/>
          <w:sz w:val="24"/>
          <w:szCs w:val="24"/>
          <w14:textFill>
            <w14:solidFill>
              <w14:schemeClr w14:val="tx1"/>
            </w14:solidFill>
          </w14:textFill>
        </w:rPr>
        <w:t>特此声明。</w:t>
      </w:r>
      <w:bookmarkEnd w:id="174"/>
      <w:bookmarkEnd w:id="175"/>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附：法定代表人</w:t>
      </w:r>
      <w:r>
        <w:rPr>
          <w:rFonts w:hint="eastAsia" w:asciiTheme="minorEastAsia" w:hAnsiTheme="minorEastAsia" w:eastAsiaTheme="minorEastAsia" w:cstheme="minorEastAsia"/>
          <w:bCs/>
          <w:sz w:val="24"/>
        </w:rPr>
        <w:t>/单位负责人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身份证件复印件、被授权人身份证件复印件</w:t>
      </w:r>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76" w:name="_Toc503794754"/>
      <w:bookmarkStart w:id="177" w:name="_Toc485828490"/>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r>
        <w:rPr>
          <w:rFonts w:hint="eastAsia" w:asciiTheme="minorEastAsia" w:hAnsiTheme="minorEastAsia" w:eastAsiaTheme="minorEastAsia" w:cstheme="minorEastAsia"/>
          <w:bCs/>
          <w:sz w:val="24"/>
        </w:rPr>
        <w:t>/单位负责人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签字或者加盖个人名章：</w:t>
      </w:r>
      <w:bookmarkEnd w:id="176"/>
      <w:bookmarkEnd w:id="177"/>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78" w:name="_Toc503794755"/>
      <w:bookmarkStart w:id="179" w:name="_Toc485828491"/>
      <w:r>
        <w:rPr>
          <w:rFonts w:hint="eastAsia" w:asciiTheme="minorEastAsia" w:hAnsiTheme="minorEastAsia" w:eastAsiaTheme="minorEastAsia" w:cstheme="minorEastAsia"/>
          <w:color w:val="000000" w:themeColor="text1"/>
          <w:sz w:val="24"/>
          <w:szCs w:val="24"/>
          <w14:textFill>
            <w14:solidFill>
              <w14:schemeClr w14:val="tx1"/>
            </w14:solidFill>
          </w14:textFill>
        </w:rPr>
        <w:t>授权代表签字：</w:t>
      </w:r>
      <w:bookmarkEnd w:id="178"/>
      <w:bookmarkEnd w:id="179"/>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80" w:name="_Toc485828492"/>
      <w:bookmarkStart w:id="181" w:name="_Toc503794756"/>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供应商名称：</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（单位盖章）</w:t>
      </w:r>
      <w:bookmarkEnd w:id="180"/>
      <w:bookmarkEnd w:id="181"/>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日    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ind w:firstLine="48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widowControl/>
        <w:ind w:firstLine="48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br w:type="page"/>
      </w:r>
    </w:p>
    <w:p>
      <w:pPr>
        <w:pStyle w:val="24"/>
        <w:spacing w:before="156" w:after="156"/>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82" w:name="_Toc485828477"/>
      <w:bookmarkStart w:id="183" w:name="_Toc18483"/>
      <w:bookmarkStart w:id="184" w:name="_Toc12285"/>
      <w:r>
        <w:rPr>
          <w:rFonts w:hint="eastAsia" w:asciiTheme="minorEastAsia" w:hAnsiTheme="minorEastAsia" w:eastAsiaTheme="minorEastAsia" w:cstheme="minorEastAsia"/>
          <w:color w:val="000000" w:themeColor="text1"/>
          <w:lang w:eastAsia="zh-CN"/>
          <w14:textFill>
            <w14:solidFill>
              <w14:schemeClr w14:val="tx1"/>
            </w14:solidFill>
          </w14:textFill>
        </w:rPr>
        <w:t>三</w:t>
      </w:r>
      <w:r>
        <w:rPr>
          <w:rFonts w:hint="eastAsia" w:asciiTheme="minorEastAsia" w:hAnsiTheme="minorEastAsia" w:eastAsiaTheme="minorEastAsia" w:cstheme="minorEastAsia"/>
          <w:color w:val="000000" w:themeColor="text1"/>
          <w14:textFill>
            <w14:solidFill>
              <w14:schemeClr w14:val="tx1"/>
            </w14:solidFill>
          </w14:textFill>
        </w:rPr>
        <w:t>、供应商应当提供的其他资格、资质性及其他类似效力</w:t>
      </w:r>
      <w:bookmarkEnd w:id="182"/>
      <w:bookmarkStart w:id="185" w:name="_Toc485828478"/>
      <w:bookmarkStart w:id="186" w:name="_Toc503794757"/>
      <w:r>
        <w:rPr>
          <w:rFonts w:hint="eastAsia" w:asciiTheme="minorEastAsia" w:hAnsiTheme="minorEastAsia" w:eastAsiaTheme="minorEastAsia" w:cstheme="minorEastAsia"/>
          <w:color w:val="000000" w:themeColor="text1"/>
          <w14:textFill>
            <w14:solidFill>
              <w14:schemeClr w14:val="tx1"/>
            </w14:solidFill>
          </w14:textFill>
        </w:rPr>
        <w:t>要求的相关证明材料</w:t>
      </w:r>
      <w:bookmarkEnd w:id="183"/>
      <w:bookmarkEnd w:id="184"/>
      <w:bookmarkEnd w:id="185"/>
      <w:bookmarkEnd w:id="186"/>
    </w:p>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供应商应根据本项目竞争性磋商文件第四章的要求提供的其他相关证明材料，格式自拟。</w:t>
      </w:r>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br w:type="page"/>
      </w:r>
    </w:p>
    <w:p>
      <w:pPr>
        <w:pStyle w:val="24"/>
        <w:numPr>
          <w:ilvl w:val="0"/>
          <w:numId w:val="0"/>
        </w:numPr>
        <w:spacing w:before="156" w:after="156"/>
        <w:rPr>
          <w:rFonts w:hint="eastAsia" w:asciiTheme="minorEastAsia" w:hAnsiTheme="minorEastAsia" w:eastAsiaTheme="minorEastAsia" w:cstheme="minorEastAsia"/>
          <w:color w:val="000000" w:themeColor="text1"/>
          <w14:textFill>
            <w14:solidFill>
              <w14:schemeClr w14:val="tx1"/>
            </w14:solidFill>
          </w14:textFill>
        </w:rPr>
      </w:pPr>
      <w:bookmarkStart w:id="187" w:name="_Toc27188"/>
      <w:bookmarkStart w:id="188" w:name="_Toc27569"/>
      <w:r>
        <w:rPr>
          <w:rFonts w:hint="eastAsia" w:asciiTheme="minorEastAsia" w:hAnsiTheme="minorEastAsia" w:eastAsiaTheme="minorEastAsia" w:cstheme="minorEastAsia"/>
          <w:color w:val="000000" w:themeColor="text1"/>
          <w:lang w:eastAsia="zh-CN"/>
          <w14:textFill>
            <w14:solidFill>
              <w14:schemeClr w14:val="tx1"/>
            </w14:solidFill>
          </w14:textFill>
        </w:rPr>
        <w:t>四、</w:t>
      </w:r>
      <w:r>
        <w:rPr>
          <w:rFonts w:hint="eastAsia" w:asciiTheme="minorEastAsia" w:hAnsiTheme="minorEastAsia" w:eastAsiaTheme="minorEastAsia" w:cstheme="minorEastAsia"/>
          <w:color w:val="000000" w:themeColor="text1"/>
          <w14:textFill>
            <w14:solidFill>
              <w14:schemeClr w14:val="tx1"/>
            </w14:solidFill>
          </w14:textFill>
        </w:rPr>
        <w:t>相关文书格式</w:t>
      </w:r>
      <w:bookmarkEnd w:id="187"/>
      <w:bookmarkEnd w:id="188"/>
    </w:p>
    <w:p>
      <w:pPr>
        <w:pageBreakBefore w:val="0"/>
        <w:kinsoku/>
        <w:wordWrap/>
        <w:overflowPunct/>
        <w:topLinePunct w:val="0"/>
        <w:autoSpaceDE/>
        <w:autoSpaceDN/>
        <w:bidi w:val="0"/>
        <w:adjustRightInd/>
        <w:snapToGrid/>
        <w:jc w:val="left"/>
        <w:textAlignment w:val="auto"/>
        <w:outlineLvl w:val="9"/>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格式一：</w:t>
      </w:r>
    </w:p>
    <w:p>
      <w:pPr>
        <w:pStyle w:val="4"/>
        <w:bidi w:val="0"/>
        <w:rPr>
          <w:rFonts w:hint="eastAsia" w:asciiTheme="minorEastAsia" w:hAnsiTheme="minorEastAsia" w:eastAsiaTheme="minorEastAsia" w:cstheme="minorEastAsia"/>
        </w:rPr>
      </w:pPr>
      <w:bookmarkStart w:id="189" w:name="_Toc31235"/>
      <w:bookmarkStart w:id="190" w:name="_Toc4362"/>
      <w:bookmarkStart w:id="191" w:name="_Toc20933"/>
      <w:r>
        <w:rPr>
          <w:rFonts w:hint="eastAsia" w:asciiTheme="minorEastAsia" w:hAnsiTheme="minorEastAsia" w:eastAsiaTheme="minorEastAsia" w:cstheme="minorEastAsia"/>
        </w:rPr>
        <w:t>中小企业声明函</w:t>
      </w:r>
      <w:bookmarkEnd w:id="189"/>
      <w:bookmarkEnd w:id="190"/>
      <w:bookmarkEnd w:id="191"/>
    </w:p>
    <w:p>
      <w:pPr>
        <w:pageBreakBefore w:val="0"/>
        <w:widowControl/>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本公司郑重声明，根据《政府采购促进中小企业发展管理办法》（财库﹝2020﹞46号）的规定，本公司参加</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（单位名称）</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b w:val="0"/>
          <w:bCs w:val="0"/>
          <w:sz w:val="24"/>
          <w:szCs w:val="24"/>
          <w:u w:val="single"/>
          <w:lang w:eastAsia="zh-CN"/>
        </w:rPr>
        <w:t>（项目名称）</w:t>
      </w:r>
      <w:r>
        <w:rPr>
          <w:rFonts w:hint="eastAsia" w:asciiTheme="minorEastAsia" w:hAnsiTheme="minorEastAsia" w:eastAsiaTheme="minorEastAsia" w:cstheme="minorEastAsia"/>
          <w:sz w:val="24"/>
        </w:rPr>
        <w:t>采购活动，</w:t>
      </w:r>
      <w:r>
        <w:rPr>
          <w:rFonts w:hint="eastAsia" w:asciiTheme="minorEastAsia" w:hAnsiTheme="minorEastAsia" w:eastAsiaTheme="minorEastAsia" w:cstheme="minorEastAsia"/>
          <w:sz w:val="24"/>
          <w:lang w:eastAsia="zh-CN"/>
        </w:rPr>
        <w:t>服务全部由</w:t>
      </w:r>
      <w:r>
        <w:rPr>
          <w:rFonts w:hint="eastAsia" w:asciiTheme="minorEastAsia" w:hAnsiTheme="minorEastAsia" w:eastAsiaTheme="minorEastAsia" w:cstheme="minorEastAsia"/>
          <w:sz w:val="24"/>
        </w:rPr>
        <w:t>符合政策要求的中小企业</w:t>
      </w:r>
      <w:r>
        <w:rPr>
          <w:rFonts w:hint="eastAsia" w:asciiTheme="minorEastAsia" w:hAnsiTheme="minorEastAsia" w:eastAsiaTheme="minorEastAsia" w:cstheme="minorEastAsia"/>
          <w:sz w:val="24"/>
          <w:lang w:eastAsia="zh-CN"/>
        </w:rPr>
        <w:t>承接</w:t>
      </w:r>
      <w:r>
        <w:rPr>
          <w:rFonts w:hint="eastAsia" w:asciiTheme="minorEastAsia" w:hAnsiTheme="minorEastAsia" w:eastAsiaTheme="minorEastAsia" w:cstheme="minorEastAsia"/>
          <w:sz w:val="24"/>
        </w:rPr>
        <w:t>。相关企业（含联合体中的中小企业、签订分包意向协议的中小企业）的具体情况如下：</w:t>
      </w:r>
    </w:p>
    <w:p>
      <w:pPr>
        <w:pageBreakBefore w:val="0"/>
        <w:widowControl/>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u w:val="single"/>
        </w:rPr>
        <w:t>（标的名称）</w:t>
      </w:r>
      <w:r>
        <w:rPr>
          <w:rFonts w:hint="eastAsia" w:asciiTheme="minorEastAsia" w:hAnsiTheme="minorEastAsia" w:eastAsiaTheme="minorEastAsia" w:cstheme="minorEastAsia"/>
          <w:sz w:val="24"/>
        </w:rPr>
        <w:t>，属于</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lang w:eastAsia="zh-CN"/>
        </w:rPr>
        <w:t>采购文件</w:t>
      </w:r>
      <w:r>
        <w:rPr>
          <w:rFonts w:hint="eastAsia" w:asciiTheme="minorEastAsia" w:hAnsiTheme="minorEastAsia" w:eastAsiaTheme="minorEastAsia" w:cstheme="minorEastAsia"/>
          <w:sz w:val="24"/>
          <w:u w:val="single"/>
        </w:rPr>
        <w:t>中明确的所属行业）</w:t>
      </w:r>
      <w:r>
        <w:rPr>
          <w:rFonts w:hint="eastAsia" w:asciiTheme="minorEastAsia" w:hAnsiTheme="minorEastAsia" w:eastAsiaTheme="minorEastAsia" w:cstheme="minorEastAsia"/>
          <w:sz w:val="24"/>
        </w:rPr>
        <w:t>；承接企业为</w:t>
      </w:r>
      <w:r>
        <w:rPr>
          <w:rFonts w:hint="eastAsia" w:asciiTheme="minorEastAsia" w:hAnsiTheme="minorEastAsia" w:eastAsiaTheme="minorEastAsia" w:cstheme="minorEastAsia"/>
          <w:sz w:val="24"/>
          <w:u w:val="single"/>
        </w:rPr>
        <w:t>（企业名称）</w:t>
      </w:r>
      <w:r>
        <w:rPr>
          <w:rFonts w:hint="eastAsia" w:asciiTheme="minorEastAsia" w:hAnsiTheme="minorEastAsia" w:eastAsiaTheme="minorEastAsia" w:cstheme="minorEastAsia"/>
          <w:sz w:val="24"/>
        </w:rPr>
        <w:t>，从业人员</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人，营业收入为</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万元，资产总额为</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万</w:t>
      </w:r>
      <w:r>
        <w:rPr>
          <w:rFonts w:hint="eastAsia" w:asciiTheme="minorEastAsia" w:hAnsiTheme="minorEastAsia" w:eastAsiaTheme="minorEastAsia" w:cstheme="minorEastAsia"/>
          <w:sz w:val="24"/>
          <w:lang w:eastAsia="zh-CN"/>
        </w:rPr>
        <w:t>元</w:t>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XE "1" </w:instrTex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XE "</w:instrText>
      </w:r>
      <w:r>
        <w:rPr>
          <w:rFonts w:hint="eastAsia" w:asciiTheme="minorEastAsia" w:hAnsiTheme="minorEastAsia" w:eastAsiaTheme="minorEastAsia" w:cstheme="minorEastAsia"/>
        </w:rPr>
        <w:instrText xml:space="preserve">1</w:instrText>
      </w:r>
      <w:r>
        <w:rPr>
          <w:rFonts w:hint="eastAsia" w:asciiTheme="minorEastAsia" w:hAnsiTheme="minorEastAsia" w:eastAsiaTheme="minorEastAsia" w:cstheme="minorEastAsia"/>
          <w:sz w:val="24"/>
        </w:rPr>
        <w:instrText xml:space="preserve">" </w:instrTex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，属于</w:t>
      </w:r>
      <w:r>
        <w:rPr>
          <w:rFonts w:hint="eastAsia" w:asciiTheme="minorEastAsia" w:hAnsiTheme="minorEastAsia" w:eastAsiaTheme="minorEastAsia" w:cstheme="minorEastAsia"/>
          <w:sz w:val="24"/>
          <w:u w:val="single"/>
        </w:rPr>
        <w:t>（中型企业、 小型企业、微型企业）</w:t>
      </w:r>
      <w:r>
        <w:rPr>
          <w:rFonts w:hint="eastAsia" w:asciiTheme="minorEastAsia" w:hAnsiTheme="minorEastAsia" w:eastAsiaTheme="minorEastAsia" w:cstheme="minorEastAsia"/>
          <w:sz w:val="24"/>
        </w:rPr>
        <w:t xml:space="preserve">； </w:t>
      </w:r>
    </w:p>
    <w:p>
      <w:pPr>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lang w:val="en-US" w:eastAsia="zh-CN"/>
        </w:rPr>
        <w:t>2.</w:t>
      </w:r>
      <w:r>
        <w:rPr>
          <w:rFonts w:hint="eastAsia" w:asciiTheme="minorEastAsia" w:hAnsiTheme="minorEastAsia" w:eastAsiaTheme="minorEastAsia" w:cstheme="minorEastAsia"/>
          <w:sz w:val="24"/>
          <w:u w:val="single"/>
        </w:rPr>
        <w:t>（标的名称）</w:t>
      </w:r>
      <w:r>
        <w:rPr>
          <w:rFonts w:hint="eastAsia" w:asciiTheme="minorEastAsia" w:hAnsiTheme="minorEastAsia" w:eastAsiaTheme="minorEastAsia" w:cstheme="minorEastAsia"/>
          <w:sz w:val="24"/>
        </w:rPr>
        <w:t>，属于</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lang w:eastAsia="zh-CN"/>
        </w:rPr>
        <w:t>采购文件</w:t>
      </w:r>
      <w:r>
        <w:rPr>
          <w:rFonts w:hint="eastAsia" w:asciiTheme="minorEastAsia" w:hAnsiTheme="minorEastAsia" w:eastAsiaTheme="minorEastAsia" w:cstheme="minorEastAsia"/>
          <w:sz w:val="24"/>
          <w:u w:val="single"/>
        </w:rPr>
        <w:t>中明确的所属行业）</w:t>
      </w:r>
      <w:r>
        <w:rPr>
          <w:rFonts w:hint="eastAsia" w:asciiTheme="minorEastAsia" w:hAnsiTheme="minorEastAsia" w:eastAsiaTheme="minorEastAsia" w:cstheme="minorEastAsia"/>
          <w:sz w:val="24"/>
        </w:rPr>
        <w:t>；承接企业为</w:t>
      </w:r>
      <w:r>
        <w:rPr>
          <w:rFonts w:hint="eastAsia" w:asciiTheme="minorEastAsia" w:hAnsiTheme="minorEastAsia" w:eastAsiaTheme="minorEastAsia" w:cstheme="minorEastAsia"/>
          <w:sz w:val="24"/>
          <w:u w:val="single"/>
        </w:rPr>
        <w:t>（企业名称）</w:t>
      </w:r>
      <w:r>
        <w:rPr>
          <w:rFonts w:hint="eastAsia" w:asciiTheme="minorEastAsia" w:hAnsiTheme="minorEastAsia" w:eastAsiaTheme="minorEastAsia" w:cstheme="minorEastAsia"/>
          <w:sz w:val="24"/>
        </w:rPr>
        <w:t>，从业人员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人，营业收入为</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万元，资产总额为</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万元，属于</w:t>
      </w:r>
      <w:r>
        <w:rPr>
          <w:rFonts w:hint="eastAsia" w:asciiTheme="minorEastAsia" w:hAnsiTheme="minorEastAsia" w:eastAsiaTheme="minorEastAsia" w:cstheme="minorEastAsia"/>
          <w:sz w:val="24"/>
          <w:u w:val="single"/>
        </w:rPr>
        <w:t>（中型企业、 小型企业、微型企业）</w:t>
      </w:r>
      <w:r>
        <w:rPr>
          <w:rFonts w:hint="eastAsia" w:asciiTheme="minorEastAsia" w:hAnsiTheme="minorEastAsia" w:eastAsiaTheme="minorEastAsia" w:cstheme="minorEastAsia"/>
          <w:sz w:val="24"/>
        </w:rPr>
        <w:t xml:space="preserve">； </w:t>
      </w:r>
    </w:p>
    <w:p>
      <w:pPr>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以上企业，不属于大企业的分支机构，不存在控股股东为大企业的情形，也不存在与大企业的负责人为同一人的情形。</w:t>
      </w:r>
    </w:p>
    <w:p>
      <w:pPr>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本企业对上述声明内容的真实性负责。如有虚假，将依法承担相应责任。</w:t>
      </w:r>
    </w:p>
    <w:p>
      <w:pPr>
        <w:pageBreakBefore w:val="0"/>
        <w:widowControl/>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sz w:val="24"/>
        </w:rPr>
      </w:pPr>
    </w:p>
    <w:p>
      <w:pPr>
        <w:pageBreakBefore w:val="0"/>
        <w:widowControl/>
        <w:kinsoku/>
        <w:wordWrap/>
        <w:overflowPunct/>
        <w:topLinePunct w:val="0"/>
        <w:autoSpaceDE/>
        <w:autoSpaceDN/>
        <w:bidi w:val="0"/>
        <w:adjustRightInd/>
        <w:snapToGrid/>
        <w:spacing w:line="360" w:lineRule="auto"/>
        <w:ind w:firstLine="480"/>
        <w:jc w:val="right"/>
        <w:textAlignment w:val="auto"/>
        <w:outlineLvl w:val="9"/>
        <w:rPr>
          <w:rFonts w:hint="eastAsia" w:asciiTheme="minorEastAsia" w:hAnsiTheme="minorEastAsia" w:eastAsiaTheme="minorEastAsia" w:cstheme="minorEastAsia"/>
          <w:sz w:val="24"/>
        </w:rPr>
      </w:pPr>
    </w:p>
    <w:p>
      <w:pPr>
        <w:pageBreakBefore w:val="0"/>
        <w:widowControl/>
        <w:kinsoku/>
        <w:wordWrap/>
        <w:overflowPunct/>
        <w:topLinePunct w:val="0"/>
        <w:autoSpaceDE/>
        <w:autoSpaceDN/>
        <w:bidi w:val="0"/>
        <w:adjustRightInd/>
        <w:snapToGrid/>
        <w:spacing w:line="360" w:lineRule="auto"/>
        <w:ind w:firstLine="480"/>
        <w:jc w:val="center"/>
        <w:textAlignment w:val="auto"/>
        <w:outlineLvl w:val="9"/>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企业</w:t>
      </w:r>
      <w:r>
        <w:rPr>
          <w:rFonts w:hint="eastAsia" w:asciiTheme="minorEastAsia" w:hAnsiTheme="minorEastAsia" w:eastAsiaTheme="minorEastAsia" w:cstheme="minorEastAsia"/>
          <w:sz w:val="24"/>
          <w:szCs w:val="24"/>
        </w:rPr>
        <w:t>名称（盖章）：</w:t>
      </w:r>
      <w:r>
        <w:rPr>
          <w:rFonts w:hint="eastAsia" w:asciiTheme="minorEastAsia" w:hAnsiTheme="minorEastAsia" w:eastAsiaTheme="minorEastAsia" w:cstheme="minorEastAsia"/>
          <w:sz w:val="24"/>
          <w:szCs w:val="24"/>
          <w:u w:val="single"/>
          <w:lang w:val="en-US" w:eastAsia="zh-CN"/>
        </w:rPr>
        <w:t xml:space="preserve">              </w:t>
      </w:r>
    </w:p>
    <w:p>
      <w:pPr>
        <w:pageBreakBefore w:val="0"/>
        <w:widowControl/>
        <w:kinsoku/>
        <w:wordWrap/>
        <w:overflowPunct/>
        <w:topLinePunct w:val="0"/>
        <w:autoSpaceDE/>
        <w:autoSpaceDN/>
        <w:bidi w:val="0"/>
        <w:adjustRightInd/>
        <w:snapToGrid/>
        <w:spacing w:line="360" w:lineRule="auto"/>
        <w:ind w:firstLine="480"/>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日</w:t>
      </w:r>
    </w:p>
    <w:p>
      <w:pPr>
        <w:pageBreakBefore w:val="0"/>
        <w:widowControl/>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sz w:val="24"/>
        </w:rPr>
      </w:pPr>
    </w:p>
    <w:p>
      <w:pPr>
        <w:pageBreakBefore w:val="0"/>
        <w:widowControl/>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注： 从业人员、营业收入、资产总额填报上一年度数据，无上一年度数据的新成立企业可不填报。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jc w:val="left"/>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格式二：</w:t>
      </w:r>
    </w:p>
    <w:p>
      <w:pPr>
        <w:jc w:val="both"/>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残疾人福利性单位声明函</w:t>
      </w:r>
    </w:p>
    <w:p>
      <w:pPr>
        <w:widowControl/>
        <w:spacing w:before="100" w:beforeAutospacing="1" w:after="100" w:afterAutospacing="1" w:line="360" w:lineRule="auto"/>
        <w:ind w:firstLine="504" w:firstLineChars="200"/>
        <w:jc w:val="left"/>
        <w:rPr>
          <w:rFonts w:hint="eastAsia" w:asciiTheme="minorEastAsia" w:hAnsiTheme="minorEastAsia" w:eastAsiaTheme="minorEastAsia" w:cstheme="minorEastAsia"/>
          <w:color w:val="000000" w:themeColor="text1"/>
          <w:spacing w:val="6"/>
          <w:sz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000000" w:themeColor="text1"/>
          <w:sz w:val="24"/>
          <w14:textFill>
            <w14:solidFill>
              <w14:schemeClr w14:val="tx1"/>
            </w14:solidFill>
          </w14:textFill>
        </w:rPr>
        <w:t>〔2017〕 141</w:t>
      </w:r>
      <w:r>
        <w:rPr>
          <w:rFonts w:hint="eastAsia" w:asciiTheme="minorEastAsia" w:hAnsiTheme="minorEastAsia" w:eastAsiaTheme="minorEastAsia" w:cstheme="minorEastAsia"/>
          <w:color w:val="000000" w:themeColor="text1"/>
          <w:spacing w:val="6"/>
          <w:sz w:val="24"/>
          <w14:textFill>
            <w14:solidFill>
              <w14:schemeClr w14:val="tx1"/>
            </w14:solidFill>
          </w14:textFill>
        </w:rPr>
        <w:t>号）的规定，本单位为符合条件的残疾人福利性单位，且本单位参加______单位的______项目采购活动</w:t>
      </w:r>
      <w:r>
        <w:rPr>
          <w:rFonts w:hint="eastAsia" w:asciiTheme="minorEastAsia" w:hAnsiTheme="minorEastAsia" w:eastAsiaTheme="minorEastAsia" w:cstheme="minorEastAsia"/>
          <w:color w:val="000000" w:themeColor="text1"/>
          <w:spacing w:val="6"/>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6"/>
          <w:sz w:val="24"/>
          <w14:textFill>
            <w14:solidFill>
              <w14:schemeClr w14:val="tx1"/>
            </w14:solidFill>
          </w14:textFill>
        </w:rPr>
        <w:t>由本单位提供服务。</w:t>
      </w:r>
    </w:p>
    <w:p>
      <w:pPr>
        <w:widowControl/>
        <w:spacing w:line="360" w:lineRule="auto"/>
        <w:ind w:firstLine="504" w:firstLineChars="200"/>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14:textFill>
            <w14:solidFill>
              <w14:schemeClr w14:val="tx1"/>
            </w14:solidFill>
          </w14:textFill>
        </w:rPr>
        <w:t>本单位对上述声明的真实性负责。如有虚假，将依法承担相应责任。</w:t>
      </w:r>
    </w:p>
    <w:p>
      <w:pPr>
        <w:widowControl/>
        <w:spacing w:line="360" w:lineRule="auto"/>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p>
    <w:p>
      <w:pPr>
        <w:widowControl/>
        <w:spacing w:line="400" w:lineRule="exact"/>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p>
    <w:p>
      <w:pPr>
        <w:widowControl/>
        <w:spacing w:line="400" w:lineRule="exact"/>
        <w:jc w:val="left"/>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供应商名称：XXXX（</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24"/>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法定代表人</w:t>
      </w:r>
      <w:r>
        <w:rPr>
          <w:rFonts w:hint="eastAsia" w:asciiTheme="minorEastAsia" w:hAnsiTheme="minorEastAsia" w:eastAsiaTheme="minorEastAsia" w:cstheme="minorEastAsia"/>
          <w:bCs/>
          <w:sz w:val="24"/>
        </w:rPr>
        <w:t>/单位负责人</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或</w:t>
      </w:r>
      <w:r>
        <w:rPr>
          <w:rFonts w:hint="eastAsia" w:asciiTheme="minorEastAsia" w:hAnsiTheme="minorEastAsia" w:eastAsiaTheme="minorEastAsia" w:cstheme="minorEastAsia"/>
          <w:color w:val="000000" w:themeColor="text1"/>
          <w:sz w:val="24"/>
          <w14:textFill>
            <w14:solidFill>
              <w14:schemeClr w14:val="tx1"/>
            </w14:solidFill>
          </w14:textFill>
        </w:rPr>
        <w:t>授权</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代表（签字或加盖个人名章）</w:t>
      </w:r>
      <w:r>
        <w:rPr>
          <w:rFonts w:hint="eastAsia" w:asciiTheme="minorEastAsia" w:hAnsiTheme="minorEastAsia" w:eastAsiaTheme="minorEastAsia" w:cstheme="minorEastAsia"/>
          <w:color w:val="000000" w:themeColor="text1"/>
          <w:sz w:val="24"/>
          <w14:textFill>
            <w14:solidFill>
              <w14:schemeClr w14:val="tx1"/>
            </w14:solidFill>
          </w14:textFill>
        </w:rPr>
        <w:t>：XXXX</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    期：XXX年XXX月XXX日</w:t>
      </w:r>
    </w:p>
    <w:p>
      <w:pPr>
        <w:spacing w:line="360" w:lineRule="auto"/>
        <w:ind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注：1.残疾人福利性单位视同小型、微型企业，享受预留份额、评审中价格扣除等促进中小企业发展的政府采购政策。残疾人福利性单位属于小型、微型企业的，不重复享受政策。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eastAsia="zh-CN"/>
        </w:rPr>
        <w:t>供应商</w:t>
      </w:r>
      <w:r>
        <w:rPr>
          <w:rFonts w:hint="eastAsia" w:asciiTheme="minorEastAsia" w:hAnsiTheme="minorEastAsia" w:eastAsiaTheme="minorEastAsia" w:cstheme="minorEastAsia"/>
          <w:color w:val="auto"/>
          <w:sz w:val="24"/>
        </w:rPr>
        <w:t>为非残疾人福利性单位的，可不提供此声明，不影响</w:t>
      </w:r>
      <w:r>
        <w:rPr>
          <w:rFonts w:hint="eastAsia" w:asciiTheme="minorEastAsia" w:hAnsiTheme="minorEastAsia" w:eastAsiaTheme="minorEastAsia" w:cstheme="minorEastAsia"/>
          <w:color w:val="auto"/>
          <w:sz w:val="24"/>
          <w:lang w:eastAsia="zh-CN"/>
        </w:rPr>
        <w:t>供应商响应</w:t>
      </w:r>
      <w:r>
        <w:rPr>
          <w:rFonts w:hint="eastAsia" w:asciiTheme="minorEastAsia" w:hAnsiTheme="minorEastAsia" w:eastAsiaTheme="minorEastAsia" w:cstheme="minorEastAsia"/>
          <w:color w:val="auto"/>
          <w:sz w:val="24"/>
        </w:rPr>
        <w:t>文件的有效性。</w:t>
      </w:r>
    </w:p>
    <w:p>
      <w:pP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br w:type="page"/>
      </w:r>
    </w:p>
    <w:p>
      <w:pPr>
        <w:jc w:val="left"/>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格式三：</w:t>
      </w: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监狱企业证明材料</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1.根据《财政部 司法部关于政府采购支持监狱企业发展有关问题的通知》财库〔2014〕68 号文的规定，监狱企业参加政府采购活动时，应当提供由省级以上监狱管理局、戒毒管理局（含新疆生产建设兵团）出具的属于监狱企业的证明文件。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2. 在政府采购活动中，监狱企业视同小型、微型企业，享受预留份额、评审中价格扣除等政府采购促进中小企业发展的政府采购政策。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3.如未提供监狱企业相关证明材料的，则不能享受采购文件规定的价格扣除，但不影响供应商文件的有效性。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4.非监狱企业参加本次采购活动，无需提供本证明材料。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pPr>
        <w:pStyle w:val="6"/>
        <w:rPr>
          <w:rFonts w:hint="eastAsia" w:asciiTheme="minorEastAsia" w:hAnsiTheme="minorEastAsia" w:eastAsiaTheme="minorEastAsia" w:cstheme="minorEastAsia"/>
          <w:lang w:eastAsia="zh-CN"/>
        </w:rPr>
      </w:pPr>
    </w:p>
    <w:p>
      <w:pPr>
        <w:keepNext/>
        <w:keepLines/>
        <w:spacing w:before="260" w:after="260" w:line="413" w:lineRule="auto"/>
        <w:ind w:firstLine="643" w:firstLineChars="200"/>
        <w:jc w:val="center"/>
        <w:outlineLvl w:val="1"/>
        <w:rPr>
          <w:rFonts w:hint="eastAsia" w:asciiTheme="minorEastAsia" w:hAnsiTheme="minorEastAsia" w:eastAsiaTheme="minorEastAsia" w:cstheme="minorEastAsia"/>
          <w:b/>
          <w:bCs/>
          <w:color w:val="000000" w:themeColor="text1"/>
          <w:sz w:val="32"/>
          <w:szCs w:val="32"/>
          <w14:textFill>
            <w14:solidFill>
              <w14:schemeClr w14:val="tx1"/>
            </w14:solidFill>
          </w14:textFill>
        </w:rPr>
      </w:pPr>
      <w:bookmarkStart w:id="192" w:name="_Toc18229"/>
      <w:bookmarkStart w:id="193" w:name="_Toc12060"/>
      <w:r>
        <w:rPr>
          <w:rFonts w:hint="eastAsia" w:asciiTheme="minorEastAsia" w:hAnsiTheme="minorEastAsia" w:eastAsiaTheme="minorEastAsia" w:cstheme="minorEastAsia"/>
          <w:b/>
          <w:bCs/>
          <w:color w:val="000000" w:themeColor="text1"/>
          <w:sz w:val="32"/>
          <w:szCs w:val="32"/>
          <w14:textFill>
            <w14:solidFill>
              <w14:schemeClr w14:val="tx1"/>
            </w14:solidFill>
          </w14:textFill>
        </w:rPr>
        <w:t>第二部分     其他响应文件</w:t>
      </w:r>
      <w:bookmarkEnd w:id="192"/>
      <w:bookmarkEnd w:id="193"/>
    </w:p>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ind w:firstLine="480"/>
        <w:jc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封  面</w:t>
      </w:r>
    </w:p>
    <w:p>
      <w:pPr>
        <w:widowControl/>
        <w:ind w:firstLine="48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bdr w:val="single" w:color="auto" w:sz="4" w:space="0"/>
          <w14:textFill>
            <w14:solidFill>
              <w14:schemeClr w14:val="tx1"/>
            </w14:solidFill>
          </w14:textFill>
        </w:rPr>
        <w:t>正本或副本</w:t>
      </w:r>
    </w:p>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ind w:firstLine="480"/>
        <w:jc w:val="center"/>
        <w:rPr>
          <w:rFonts w:hint="eastAsia" w:asciiTheme="minorEastAsia" w:hAnsiTheme="minorEastAsia" w:eastAsiaTheme="minorEastAsia" w:cstheme="minorEastAsia"/>
          <w:color w:val="000000" w:themeColor="text1"/>
          <w:sz w:val="44"/>
          <w:szCs w:val="44"/>
          <w14:textFill>
            <w14:solidFill>
              <w14:schemeClr w14:val="tx1"/>
            </w14:solidFill>
          </w14:textFill>
        </w:rPr>
      </w:pPr>
      <w:r>
        <w:rPr>
          <w:rFonts w:hint="eastAsia" w:asciiTheme="minorEastAsia" w:hAnsiTheme="minorEastAsia" w:eastAsiaTheme="minorEastAsia" w:cstheme="minorEastAsia"/>
          <w:color w:val="000000" w:themeColor="text1"/>
          <w:sz w:val="44"/>
          <w:szCs w:val="44"/>
          <w14:textFill>
            <w14:solidFill>
              <w14:schemeClr w14:val="tx1"/>
            </w14:solidFill>
          </w14:textFill>
        </w:rPr>
        <w:t>响 应 文 件</w:t>
      </w:r>
    </w:p>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ind w:firstLine="48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（其他响应文件）</w:t>
      </w:r>
    </w:p>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项</w:t>
      </w:r>
      <w:r>
        <w:rPr>
          <w:rFonts w:hint="eastAsia" w:asciiTheme="minorEastAsia" w:hAnsiTheme="minorEastAsia" w:eastAsiaTheme="minorEastAsia" w:cstheme="minorEastAsia"/>
          <w:color w:val="000000" w:themeColor="text1"/>
          <w:sz w:val="28"/>
          <w:szCs w:val="28"/>
          <w14:textFill>
            <w14:solidFill>
              <w14:schemeClr w14:val="tx1"/>
            </w14:solidFill>
          </w14:textFill>
        </w:rPr>
        <w:t>目编号：</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pPr>
        <w:widowControl/>
        <w:ind w:firstLine="480"/>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项目名称：</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pPr>
        <w:widowControl/>
        <w:ind w:firstLine="48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供应商名称（全称加盖公章）：</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pPr>
        <w:widowControl/>
        <w:ind w:firstLine="48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法定代表人/单位负责人或授权代表（签字或加盖个人名章）：</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pPr>
        <w:widowControl/>
        <w:ind w:firstLine="48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pPr>
        <w:widowControl/>
        <w:ind w:firstLine="48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widowControl/>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日期：</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p>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4"/>
        <w:spacing w:before="156" w:after="156"/>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94" w:name="_Toc480288604"/>
      <w:bookmarkStart w:id="195" w:name="_Toc482366528"/>
      <w:bookmarkStart w:id="196" w:name="_Toc503794758"/>
      <w:bookmarkStart w:id="197" w:name="_Toc480288375"/>
      <w:r>
        <w:rPr>
          <w:rFonts w:hint="eastAsia" w:asciiTheme="minorEastAsia" w:hAnsiTheme="minorEastAsia" w:eastAsiaTheme="minorEastAsia" w:cstheme="minorEastAsia"/>
          <w:color w:val="000000" w:themeColor="text1"/>
          <w14:textFill>
            <w14:solidFill>
              <w14:schemeClr w14:val="tx1"/>
            </w14:solidFill>
          </w14:textFill>
        </w:rPr>
        <w:br w:type="page"/>
      </w:r>
      <w:bookmarkEnd w:id="194"/>
      <w:bookmarkEnd w:id="195"/>
      <w:bookmarkEnd w:id="196"/>
      <w:bookmarkEnd w:id="197"/>
      <w:bookmarkStart w:id="198" w:name="_Toc19243"/>
      <w:bookmarkStart w:id="199" w:name="_Toc14867"/>
      <w:bookmarkStart w:id="200" w:name="_Toc485828493"/>
      <w:r>
        <w:rPr>
          <w:rFonts w:hint="eastAsia" w:asciiTheme="minorEastAsia" w:hAnsiTheme="minorEastAsia" w:eastAsiaTheme="minorEastAsia" w:cstheme="minorEastAsia"/>
          <w:color w:val="000000" w:themeColor="text1"/>
          <w14:textFill>
            <w14:solidFill>
              <w14:schemeClr w14:val="tx1"/>
            </w14:solidFill>
          </w14:textFill>
        </w:rPr>
        <w:t>一、报 价 函</w:t>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t>（实质性要求）</w:t>
      </w:r>
      <w:bookmarkEnd w:id="198"/>
      <w:bookmarkEnd w:id="199"/>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01" w:name="_Toc480288605"/>
      <w:bookmarkStart w:id="202" w:name="_Toc480288376"/>
      <w:bookmarkStart w:id="203" w:name="_Toc482366529"/>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bookmarkStart w:id="204" w:name="_Toc503794759"/>
      <w:r>
        <w:rPr>
          <w:rFonts w:hint="eastAsia" w:asciiTheme="minorEastAsia" w:hAnsiTheme="minorEastAsia" w:eastAsiaTheme="minorEastAsia" w:cstheme="minorEastAsia"/>
          <w:color w:val="000000" w:themeColor="text1"/>
          <w:sz w:val="24"/>
          <w:szCs w:val="24"/>
          <w14:textFill>
            <w14:solidFill>
              <w14:schemeClr w14:val="tx1"/>
            </w14:solidFill>
          </w14:textFill>
        </w:rPr>
        <w:t>（采购代理机构名称）：</w:t>
      </w:r>
      <w:bookmarkEnd w:id="201"/>
      <w:bookmarkEnd w:id="202"/>
      <w:bookmarkEnd w:id="203"/>
      <w:bookmarkEnd w:id="204"/>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我方全面研究了“</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”项目（项目编号：</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）竞争性磋商文件，决定参加贵单位组织的本项目磋商。我方授权（姓名）</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代表我方</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（供应商名称）全权处理本项目报价的有关事宜。</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14:textFill>
            <w14:solidFill>
              <w14:schemeClr w14:val="tx1"/>
            </w14:solidFill>
          </w14:textFill>
        </w:rPr>
        <w:t>我方自愿按照本项目竞争性磋商文件规定的各项要求向采购人提供所需服务，本次竞争性磋商</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首轮报价为</w:t>
      </w:r>
      <w:r>
        <w:rPr>
          <w:rFonts w:hint="eastAsia" w:asciiTheme="minorEastAsia" w:hAnsiTheme="minorEastAsia" w:eastAsiaTheme="minorEastAsia" w:cstheme="minorEastAsia"/>
          <w:b w:val="0"/>
          <w:bCs w:val="0"/>
          <w:color w:val="auto"/>
          <w:sz w:val="24"/>
          <w:highlight w:val="none"/>
        </w:rPr>
        <w:t>男性体检单价</w:t>
      </w:r>
      <w:r>
        <w:rPr>
          <w:rFonts w:hint="eastAsia" w:asciiTheme="minorEastAsia" w:hAnsiTheme="minorEastAsia" w:eastAsiaTheme="minorEastAsia" w:cstheme="minorEastAsia"/>
          <w:b w:val="0"/>
          <w:bCs w:val="0"/>
          <w:color w:val="auto"/>
          <w:sz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highlight w:val="none"/>
        </w:rPr>
        <w:t>元</w:t>
      </w:r>
      <w:r>
        <w:rPr>
          <w:rFonts w:hint="eastAsia" w:asciiTheme="minorEastAsia" w:hAnsiTheme="minorEastAsia" w:eastAsiaTheme="minorEastAsia" w:cstheme="minorEastAsia"/>
          <w:b w:val="0"/>
          <w:bCs w:val="0"/>
          <w:color w:val="auto"/>
          <w:sz w:val="24"/>
          <w:highlight w:val="none"/>
          <w:lang w:val="en-US" w:eastAsia="zh-CN"/>
        </w:rPr>
        <w:t>/人</w:t>
      </w:r>
      <w:r>
        <w:rPr>
          <w:rFonts w:hint="eastAsia" w:asciiTheme="minorEastAsia" w:hAnsiTheme="minorEastAsia" w:eastAsiaTheme="minorEastAsia" w:cstheme="minorEastAsia"/>
          <w:b w:val="0"/>
          <w:bCs w:val="0"/>
          <w:color w:val="auto"/>
          <w:sz w:val="24"/>
          <w:highlight w:val="none"/>
        </w:rPr>
        <w:t>，</w:t>
      </w:r>
      <w:r>
        <w:rPr>
          <w:rFonts w:hint="eastAsia" w:asciiTheme="minorEastAsia" w:hAnsiTheme="minorEastAsia" w:eastAsiaTheme="minorEastAsia" w:cstheme="minorEastAsia"/>
          <w:b w:val="0"/>
          <w:bCs w:val="0"/>
          <w:color w:val="auto"/>
          <w:sz w:val="24"/>
          <w:highlight w:val="none"/>
          <w:lang w:eastAsia="zh-CN"/>
        </w:rPr>
        <w:t>女</w:t>
      </w:r>
      <w:r>
        <w:rPr>
          <w:rFonts w:hint="eastAsia" w:asciiTheme="minorEastAsia" w:hAnsiTheme="minorEastAsia" w:eastAsiaTheme="minorEastAsia" w:cstheme="minorEastAsia"/>
          <w:b w:val="0"/>
          <w:bCs w:val="0"/>
          <w:color w:val="auto"/>
          <w:sz w:val="24"/>
          <w:highlight w:val="none"/>
        </w:rPr>
        <w:t>性体检单价</w:t>
      </w:r>
      <w:r>
        <w:rPr>
          <w:rFonts w:hint="eastAsia" w:asciiTheme="minorEastAsia" w:hAnsiTheme="minorEastAsia" w:eastAsiaTheme="minorEastAsia" w:cstheme="minorEastAsia"/>
          <w:b w:val="0"/>
          <w:bCs w:val="0"/>
          <w:color w:val="auto"/>
          <w:sz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highlight w:val="none"/>
        </w:rPr>
        <w:t>元</w:t>
      </w:r>
      <w:r>
        <w:rPr>
          <w:rFonts w:hint="eastAsia" w:asciiTheme="minorEastAsia" w:hAnsiTheme="minorEastAsia" w:eastAsiaTheme="minorEastAsia" w:cstheme="minorEastAsia"/>
          <w:b w:val="0"/>
          <w:bCs w:val="0"/>
          <w:color w:val="auto"/>
          <w:sz w:val="24"/>
          <w:highlight w:val="none"/>
          <w:lang w:val="en-US" w:eastAsia="zh-CN"/>
        </w:rPr>
        <w:t>/人，报价合计</w:t>
      </w:r>
      <w:r>
        <w:rPr>
          <w:rFonts w:hint="eastAsia" w:asciiTheme="minorEastAsia" w:hAnsiTheme="minorEastAsia" w:eastAsiaTheme="minorEastAsia" w:cstheme="minorEastAsia"/>
          <w:b w:val="0"/>
          <w:bCs w:val="0"/>
          <w:color w:val="auto"/>
          <w:sz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highlight w:val="none"/>
          <w:u w:val="none"/>
          <w:lang w:val="en-US" w:eastAsia="zh-CN"/>
        </w:rPr>
        <w:t>元</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二、一旦我方成交，将严格履行合同规定的责任和义务。</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三、我方为本项目提交的响应文件正本</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份，副本</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份，</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电子文档</w:t>
      </w:r>
      <w:r>
        <w:rPr>
          <w:rFonts w:hint="eastAsia" w:asciiTheme="minorEastAsia" w:hAnsiTheme="minorEastAsia" w:eastAsiaTheme="minorEastAsia" w:cstheme="minorEastAsia"/>
          <w:bCs/>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份，</w:t>
      </w:r>
      <w:r>
        <w:rPr>
          <w:rFonts w:hint="eastAsia" w:asciiTheme="minorEastAsia" w:hAnsiTheme="minorEastAsia" w:eastAsiaTheme="minorEastAsia" w:cstheme="minorEastAsia"/>
          <w:color w:val="000000" w:themeColor="text1"/>
          <w:sz w:val="24"/>
          <w:szCs w:val="24"/>
          <w14:textFill>
            <w14:solidFill>
              <w14:schemeClr w14:val="tx1"/>
            </w14:solidFill>
          </w14:textFill>
        </w:rPr>
        <w:t>用于磋商报价。</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四、我方同意本次招标的磋商有效期为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天。</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五、我方愿意提供贵</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可能另外要求的，与磋商有关的文件资料，并保证我方已提供和将要提供的文件资料是真实、准确的。</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六、如果我方成交，保证按照本竞争性磋商文件的规定向贵方交纳采购代理服务费。</w:t>
      </w:r>
    </w:p>
    <w:p>
      <w:pPr>
        <w:keepNext w:val="0"/>
        <w:keepLines w:val="0"/>
        <w:pageBreakBefore w:val="0"/>
        <w:kinsoku/>
        <w:wordWrap/>
        <w:overflowPunct/>
        <w:topLinePunct w:val="0"/>
        <w:autoSpaceDE/>
        <w:autoSpaceDN/>
        <w:bidi w:val="0"/>
        <w:adjustRightInd w:val="0"/>
        <w:snapToGrid/>
        <w:spacing w:line="336" w:lineRule="auto"/>
        <w:ind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4"/>
          <w14:textFill>
            <w14:solidFill>
              <w14:schemeClr w14:val="tx1"/>
            </w14:solidFill>
          </w14:textFill>
        </w:rPr>
        <w:t xml:space="preserve">、我单位如存在《四川省政府采购当事人诚信管理办法》川财采〔2015〕33 号规定的记入诚信档案的且在有效期内的情形，关于记录情况及次数我单位将在响应文件中如实反映。 </w:t>
      </w:r>
    </w:p>
    <w:p>
      <w:pPr>
        <w:keepNext w:val="0"/>
        <w:keepLines w:val="0"/>
        <w:pageBreakBefore w:val="0"/>
        <w:widowControl/>
        <w:kinsoku/>
        <w:wordWrap/>
        <w:overflowPunct/>
        <w:topLinePunct w:val="0"/>
        <w:autoSpaceDE/>
        <w:autoSpaceDN/>
        <w:bidi w:val="0"/>
        <w:snapToGrid/>
        <w:spacing w:line="336"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05" w:name="_Toc480288606"/>
      <w:bookmarkStart w:id="206" w:name="_Toc503794760"/>
      <w:bookmarkStart w:id="207" w:name="_Toc480288377"/>
      <w:bookmarkStart w:id="208" w:name="_Toc482366530"/>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供应商名称：</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（单位公章）。</w:t>
      </w:r>
      <w:bookmarkEnd w:id="205"/>
      <w:bookmarkEnd w:id="206"/>
      <w:bookmarkEnd w:id="207"/>
      <w:bookmarkEnd w:id="208"/>
    </w:p>
    <w:p>
      <w:pPr>
        <w:keepNext w:val="0"/>
        <w:keepLines w:val="0"/>
        <w:pageBreakBefore w:val="0"/>
        <w:widowControl/>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09" w:name="_Toc480288378"/>
      <w:bookmarkStart w:id="210" w:name="_Toc503794761"/>
      <w:bookmarkStart w:id="211" w:name="_Toc480288607"/>
      <w:bookmarkStart w:id="212" w:name="_Toc482366531"/>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r>
        <w:rPr>
          <w:rFonts w:hint="eastAsia" w:asciiTheme="minorEastAsia" w:hAnsiTheme="minorEastAsia" w:eastAsiaTheme="minorEastAsia" w:cstheme="minorEastAsia"/>
          <w:bCs/>
          <w:sz w:val="24"/>
        </w:rPr>
        <w:t>/单位负责人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或授权代表（签字或加盖个人名章）：</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bookmarkEnd w:id="209"/>
      <w:bookmarkEnd w:id="210"/>
      <w:bookmarkEnd w:id="211"/>
      <w:bookmarkEnd w:id="212"/>
    </w:p>
    <w:p>
      <w:pPr>
        <w:keepNext w:val="0"/>
        <w:keepLines w:val="0"/>
        <w:pageBreakBefore w:val="0"/>
        <w:widowControl/>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13" w:name="_Toc482366532"/>
      <w:bookmarkStart w:id="214" w:name="_Toc480288379"/>
      <w:bookmarkStart w:id="215" w:name="_Toc503794762"/>
      <w:bookmarkStart w:id="216" w:name="_Toc480288608"/>
      <w:r>
        <w:rPr>
          <w:rFonts w:hint="eastAsia" w:asciiTheme="minorEastAsia" w:hAnsiTheme="minorEastAsia" w:eastAsiaTheme="minorEastAsia" w:cstheme="minorEastAsia"/>
          <w:color w:val="000000" w:themeColor="text1"/>
          <w:sz w:val="24"/>
          <w:szCs w:val="24"/>
          <w14:textFill>
            <w14:solidFill>
              <w14:schemeClr w14:val="tx1"/>
            </w14:solidFill>
          </w14:textFill>
        </w:rPr>
        <w:t>通讯地址：</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bookmarkEnd w:id="213"/>
      <w:bookmarkEnd w:id="214"/>
      <w:bookmarkEnd w:id="215"/>
      <w:bookmarkEnd w:id="216"/>
    </w:p>
    <w:p>
      <w:pPr>
        <w:keepNext w:val="0"/>
        <w:keepLines w:val="0"/>
        <w:pageBreakBefore w:val="0"/>
        <w:widowControl/>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17" w:name="_Toc480288609"/>
      <w:bookmarkStart w:id="218" w:name="_Toc503794763"/>
      <w:bookmarkStart w:id="219" w:name="_Toc480288380"/>
      <w:bookmarkStart w:id="220" w:name="_Toc482366533"/>
      <w:r>
        <w:rPr>
          <w:rFonts w:hint="eastAsia" w:asciiTheme="minorEastAsia" w:hAnsiTheme="minorEastAsia" w:eastAsiaTheme="minorEastAsia" w:cstheme="minorEastAsia"/>
          <w:color w:val="000000" w:themeColor="text1"/>
          <w:sz w:val="24"/>
          <w:szCs w:val="24"/>
          <w14:textFill>
            <w14:solidFill>
              <w14:schemeClr w14:val="tx1"/>
            </w14:solidFill>
          </w14:textFill>
        </w:rPr>
        <w:t>邮政编码：</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bookmarkEnd w:id="217"/>
      <w:bookmarkEnd w:id="218"/>
      <w:bookmarkEnd w:id="219"/>
      <w:bookmarkEnd w:id="220"/>
    </w:p>
    <w:p>
      <w:pPr>
        <w:keepNext w:val="0"/>
        <w:keepLines w:val="0"/>
        <w:pageBreakBefore w:val="0"/>
        <w:widowControl/>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21" w:name="_Toc480288381"/>
      <w:bookmarkStart w:id="222" w:name="_Toc503794764"/>
      <w:bookmarkStart w:id="223" w:name="_Toc482366534"/>
      <w:bookmarkStart w:id="224" w:name="_Toc480288610"/>
      <w:r>
        <w:rPr>
          <w:rFonts w:hint="eastAsia" w:asciiTheme="minorEastAsia" w:hAnsiTheme="minorEastAsia" w:eastAsiaTheme="minorEastAsia" w:cstheme="minorEastAsia"/>
          <w:color w:val="000000" w:themeColor="text1"/>
          <w:sz w:val="24"/>
          <w:szCs w:val="24"/>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bookmarkEnd w:id="221"/>
      <w:bookmarkEnd w:id="222"/>
      <w:bookmarkEnd w:id="223"/>
      <w:bookmarkEnd w:id="224"/>
    </w:p>
    <w:p>
      <w:pPr>
        <w:keepNext w:val="0"/>
        <w:keepLines w:val="0"/>
        <w:pageBreakBefore w:val="0"/>
        <w:widowControl/>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25" w:name="_Toc480288611"/>
      <w:bookmarkStart w:id="226" w:name="_Toc480288382"/>
      <w:bookmarkStart w:id="227" w:name="_Toc482366535"/>
      <w:bookmarkStart w:id="228" w:name="_Toc503794765"/>
      <w:r>
        <w:rPr>
          <w:rFonts w:hint="eastAsia" w:asciiTheme="minorEastAsia" w:hAnsiTheme="minorEastAsia" w:eastAsiaTheme="minorEastAsia" w:cstheme="minorEastAsia"/>
          <w:color w:val="000000" w:themeColor="text1"/>
          <w:sz w:val="24"/>
          <w:szCs w:val="24"/>
          <w14:textFill>
            <w14:solidFill>
              <w14:schemeClr w14:val="tx1"/>
            </w14:solidFill>
          </w14:textFill>
        </w:rPr>
        <w:t>传    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bookmarkEnd w:id="225"/>
      <w:bookmarkEnd w:id="226"/>
      <w:bookmarkEnd w:id="227"/>
      <w:bookmarkEnd w:id="228"/>
    </w:p>
    <w:p>
      <w:pPr>
        <w:keepNext w:val="0"/>
        <w:keepLines w:val="0"/>
        <w:pageBreakBefore w:val="0"/>
        <w:widowControl/>
        <w:kinsoku/>
        <w:wordWrap/>
        <w:overflowPunct/>
        <w:topLinePunct w:val="0"/>
        <w:autoSpaceDE/>
        <w:autoSpaceDN/>
        <w:bidi w:val="0"/>
        <w:snapToGrid/>
        <w:spacing w:line="360"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日    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bookmarkEnd w:id="200"/>
    <w:p>
      <w:pPr>
        <w:pStyle w:val="24"/>
        <w:spacing w:before="156" w:after="156"/>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29" w:name="_Toc19376"/>
      <w:bookmarkStart w:id="230" w:name="_Toc2392"/>
      <w:r>
        <w:rPr>
          <w:rFonts w:hint="eastAsia" w:asciiTheme="minorEastAsia" w:hAnsiTheme="minorEastAsia" w:eastAsiaTheme="minorEastAsia" w:cstheme="minorEastAsia"/>
          <w:color w:val="000000" w:themeColor="text1"/>
          <w:lang w:eastAsia="zh-CN"/>
          <w14:textFill>
            <w14:solidFill>
              <w14:schemeClr w14:val="tx1"/>
            </w14:solidFill>
          </w14:textFill>
        </w:rPr>
        <w:t>二</w:t>
      </w:r>
      <w:r>
        <w:rPr>
          <w:rFonts w:hint="eastAsia" w:asciiTheme="minorEastAsia" w:hAnsiTheme="minorEastAsia" w:eastAsiaTheme="minorEastAsia" w:cstheme="minorEastAsia"/>
          <w:color w:val="000000" w:themeColor="text1"/>
          <w14:textFill>
            <w14:solidFill>
              <w14:schemeClr w14:val="tx1"/>
            </w14:solidFill>
          </w14:textFill>
        </w:rPr>
        <w:t>、商务应答表</w:t>
      </w:r>
      <w:bookmarkEnd w:id="229"/>
      <w:bookmarkEnd w:id="230"/>
    </w:p>
    <w:p>
      <w:pPr>
        <w:widowControl/>
        <w:ind w:firstLine="48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31" w:name="_Toc503794766"/>
      <w:bookmarkStart w:id="232" w:name="_Toc485828494"/>
      <w:r>
        <w:rPr>
          <w:rFonts w:hint="eastAsia" w:asciiTheme="minorEastAsia" w:hAnsiTheme="minorEastAsia" w:eastAsiaTheme="minorEastAsia" w:cstheme="minorEastAsia"/>
          <w:color w:val="000000" w:themeColor="text1"/>
          <w:sz w:val="24"/>
          <w:szCs w:val="24"/>
          <w14:textFill>
            <w14:solidFill>
              <w14:schemeClr w14:val="tx1"/>
            </w14:solidFill>
          </w14:textFill>
        </w:rPr>
        <w:t>项目编号：</w:t>
      </w:r>
      <w:bookmarkEnd w:id="231"/>
      <w:bookmarkEnd w:id="232"/>
    </w:p>
    <w:tbl>
      <w:tblPr>
        <w:tblStyle w:val="12"/>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2457"/>
        <w:gridCol w:w="2526"/>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08"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33" w:name="_Toc485828495"/>
            <w:bookmarkStart w:id="234" w:name="_Toc503794767"/>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bookmarkEnd w:id="233"/>
            <w:bookmarkEnd w:id="234"/>
          </w:p>
        </w:tc>
        <w:tc>
          <w:tcPr>
            <w:tcW w:w="2457"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35" w:name="_Toc485828496"/>
            <w:bookmarkStart w:id="236" w:name="_Toc503794768"/>
            <w:r>
              <w:rPr>
                <w:rFonts w:hint="eastAsia" w:asciiTheme="minorEastAsia" w:hAnsiTheme="minorEastAsia" w:eastAsiaTheme="minorEastAsia" w:cstheme="minorEastAsia"/>
                <w:color w:val="000000" w:themeColor="text1"/>
                <w:sz w:val="24"/>
                <w:szCs w:val="24"/>
                <w14:textFill>
                  <w14:solidFill>
                    <w14:schemeClr w14:val="tx1"/>
                  </w14:solidFill>
                </w14:textFill>
              </w:rPr>
              <w:t>磋商文件要求</w:t>
            </w:r>
            <w:bookmarkEnd w:id="235"/>
            <w:bookmarkEnd w:id="236"/>
          </w:p>
        </w:tc>
        <w:tc>
          <w:tcPr>
            <w:tcW w:w="252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37" w:name="_Toc503794769"/>
            <w:bookmarkStart w:id="238" w:name="_Toc485828497"/>
            <w:r>
              <w:rPr>
                <w:rFonts w:hint="eastAsia" w:asciiTheme="minorEastAsia" w:hAnsiTheme="minorEastAsia" w:eastAsiaTheme="minorEastAsia" w:cstheme="minorEastAsia"/>
                <w:color w:val="000000" w:themeColor="text1"/>
                <w:sz w:val="24"/>
                <w:szCs w:val="24"/>
                <w14:textFill>
                  <w14:solidFill>
                    <w14:schemeClr w14:val="tx1"/>
                  </w14:solidFill>
                </w14:textFill>
              </w:rPr>
              <w:t>磋商应答</w:t>
            </w:r>
            <w:bookmarkEnd w:id="237"/>
            <w:bookmarkEnd w:id="238"/>
          </w:p>
        </w:tc>
        <w:tc>
          <w:tcPr>
            <w:tcW w:w="1949" w:type="dxa"/>
            <w:noWrap w:val="0"/>
            <w:vAlign w:val="center"/>
          </w:tcPr>
          <w:p>
            <w:pPr>
              <w:pStyle w:val="25"/>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8"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57"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52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49"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8"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57"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52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49"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8"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57"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52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49"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8"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57"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52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49"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39" w:name="_Toc503794772"/>
      <w:bookmarkStart w:id="240" w:name="_Toc485828498"/>
      <w:r>
        <w:rPr>
          <w:rFonts w:hint="eastAsia" w:asciiTheme="minorEastAsia" w:hAnsiTheme="minorEastAsia" w:eastAsiaTheme="minorEastAsia" w:cstheme="minorEastAsia"/>
          <w:color w:val="000000" w:themeColor="text1"/>
          <w:sz w:val="24"/>
          <w:szCs w:val="24"/>
          <w14:textFill>
            <w14:solidFill>
              <w14:schemeClr w14:val="tx1"/>
            </w14:solidFill>
          </w14:textFill>
        </w:rPr>
        <w:t>注：</w:t>
      </w:r>
      <w:bookmarkEnd w:id="239"/>
      <w:bookmarkEnd w:id="240"/>
      <w:r>
        <w:rPr>
          <w:rFonts w:hint="eastAsia" w:asciiTheme="minorEastAsia" w:hAnsiTheme="minorEastAsia" w:eastAsiaTheme="minorEastAsia" w:cstheme="minorEastAsia"/>
          <w:color w:val="000000" w:themeColor="text1"/>
          <w:sz w:val="24"/>
          <w14:textFill>
            <w14:solidFill>
              <w14:schemeClr w14:val="tx1"/>
            </w14:solidFill>
          </w14:textFill>
        </w:rPr>
        <w:t>供应商若完全满足竞争性磋商文件要求的，可不填写。若有偏离，应逐一填写。供应商不得虚假响应，否则将取消其报价或成交资格，并按有关规定进行处罚。</w:t>
      </w:r>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供应商名称：</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（单位盖章）</w:t>
      </w:r>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r>
        <w:rPr>
          <w:rFonts w:hint="eastAsia" w:asciiTheme="minorEastAsia" w:hAnsiTheme="minorEastAsia" w:eastAsiaTheme="minorEastAsia" w:cstheme="minorEastAsia"/>
          <w:bCs/>
          <w:sz w:val="24"/>
        </w:rPr>
        <w:t>/单位负责人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或授权代表：</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（签字或加盖个人名章）</w:t>
      </w:r>
    </w:p>
    <w:p>
      <w:pPr>
        <w:widowControl/>
        <w:spacing w:line="360" w:lineRule="auto"/>
        <w:ind w:firstLine="48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pPr>
        <w:pStyle w:val="24"/>
        <w:spacing w:before="156" w:after="156"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41" w:name="_Toc485400619"/>
      <w:bookmarkStart w:id="242" w:name="_Toc485400402"/>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bookmarkStart w:id="243" w:name="_Toc3014"/>
      <w:bookmarkStart w:id="244" w:name="_Toc485828499"/>
      <w:bookmarkStart w:id="245" w:name="_Toc28573"/>
      <w:bookmarkStart w:id="246" w:name="_Toc503794774"/>
      <w:r>
        <w:rPr>
          <w:rFonts w:hint="eastAsia" w:asciiTheme="minorEastAsia" w:hAnsiTheme="minorEastAsia" w:eastAsiaTheme="minorEastAsia" w:cstheme="minorEastAsia"/>
          <w:color w:val="000000" w:themeColor="text1"/>
          <w:lang w:eastAsia="zh-CN"/>
          <w14:textFill>
            <w14:solidFill>
              <w14:schemeClr w14:val="tx1"/>
            </w14:solidFill>
          </w14:textFill>
        </w:rPr>
        <w:t>三</w:t>
      </w:r>
      <w:r>
        <w:rPr>
          <w:rFonts w:hint="eastAsia" w:asciiTheme="minorEastAsia" w:hAnsiTheme="minorEastAsia" w:eastAsiaTheme="minorEastAsia" w:cstheme="minorEastAsia"/>
          <w:color w:val="000000" w:themeColor="text1"/>
          <w14:textFill>
            <w14:solidFill>
              <w14:schemeClr w14:val="tx1"/>
            </w14:solidFill>
          </w14:textFill>
        </w:rPr>
        <w:t>、技术、服务应答表</w:t>
      </w:r>
      <w:bookmarkEnd w:id="241"/>
      <w:bookmarkEnd w:id="242"/>
      <w:bookmarkEnd w:id="243"/>
      <w:bookmarkEnd w:id="244"/>
      <w:bookmarkEnd w:id="245"/>
      <w:bookmarkEnd w:id="246"/>
    </w:p>
    <w:p>
      <w:pPr>
        <w:widowControl/>
        <w:ind w:firstLine="240" w:firstLineChars="10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47" w:name="_Toc503794775"/>
      <w:bookmarkStart w:id="248" w:name="_Toc485828500"/>
      <w:bookmarkStart w:id="249" w:name="_Toc485400620"/>
      <w:bookmarkStart w:id="250" w:name="_Toc485400403"/>
    </w:p>
    <w:p>
      <w:pPr>
        <w:widowControl/>
        <w:ind w:firstLine="240" w:firstLineChars="1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项目编号：</w:t>
      </w:r>
      <w:bookmarkEnd w:id="247"/>
      <w:bookmarkEnd w:id="248"/>
      <w:bookmarkEnd w:id="249"/>
      <w:bookmarkEnd w:id="250"/>
    </w:p>
    <w:tbl>
      <w:tblPr>
        <w:tblStyle w:val="12"/>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2457"/>
        <w:gridCol w:w="2526"/>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05"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p>
        </w:tc>
        <w:tc>
          <w:tcPr>
            <w:tcW w:w="2457"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磋商文件要求</w:t>
            </w:r>
          </w:p>
        </w:tc>
        <w:tc>
          <w:tcPr>
            <w:tcW w:w="252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磋商应答</w:t>
            </w:r>
          </w:p>
        </w:tc>
        <w:tc>
          <w:tcPr>
            <w:tcW w:w="1949" w:type="dxa"/>
            <w:noWrap w:val="0"/>
            <w:vAlign w:val="center"/>
          </w:tcPr>
          <w:p>
            <w:pPr>
              <w:pStyle w:val="25"/>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05"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57"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52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49"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05"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57"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52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49"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05"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57"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52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49"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05"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457"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52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49"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6"/>
        <w:spacing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eastAsia="zh-CN"/>
        </w:rPr>
        <w:t>供应商</w:t>
      </w:r>
      <w:r>
        <w:rPr>
          <w:rFonts w:hint="eastAsia" w:asciiTheme="minorEastAsia" w:hAnsiTheme="minorEastAsia" w:eastAsiaTheme="minorEastAsia" w:cstheme="minorEastAsia"/>
          <w:color w:val="auto"/>
        </w:rPr>
        <w:t>必须把招标项目的全部</w:t>
      </w:r>
      <w:r>
        <w:rPr>
          <w:rFonts w:hint="eastAsia" w:asciiTheme="minorEastAsia" w:hAnsiTheme="minorEastAsia" w:eastAsiaTheme="minorEastAsia" w:cstheme="minorEastAsia"/>
          <w:color w:val="auto"/>
          <w:lang w:eastAsia="zh-CN"/>
        </w:rPr>
        <w:t>技术服务及相关要求</w:t>
      </w:r>
      <w:r>
        <w:rPr>
          <w:rFonts w:hint="eastAsia" w:asciiTheme="minorEastAsia" w:hAnsiTheme="minorEastAsia" w:eastAsiaTheme="minorEastAsia" w:cstheme="minorEastAsia"/>
          <w:color w:val="auto"/>
        </w:rPr>
        <w:t>（含</w:t>
      </w:r>
      <w:r>
        <w:rPr>
          <w:rFonts w:hint="eastAsia" w:asciiTheme="minorEastAsia" w:hAnsiTheme="minorEastAsia" w:eastAsiaTheme="minorEastAsia" w:cstheme="minorEastAsia"/>
          <w:color w:val="auto"/>
          <w:lang w:eastAsia="zh-CN"/>
        </w:rPr>
        <w:t>磋商</w:t>
      </w:r>
      <w:r>
        <w:rPr>
          <w:rFonts w:hint="eastAsia" w:asciiTheme="minorEastAsia" w:hAnsiTheme="minorEastAsia" w:eastAsiaTheme="minorEastAsia" w:cstheme="minorEastAsia"/>
          <w:color w:val="auto"/>
        </w:rPr>
        <w:t>文件要求和</w:t>
      </w:r>
      <w:r>
        <w:rPr>
          <w:rFonts w:hint="eastAsia" w:asciiTheme="minorEastAsia" w:hAnsiTheme="minorEastAsia" w:eastAsiaTheme="minorEastAsia" w:cstheme="minorEastAsia"/>
          <w:color w:val="000000"/>
          <w:sz w:val="24"/>
          <w:lang w:eastAsia="zh-CN"/>
        </w:rPr>
        <w:t>磋商应答</w:t>
      </w:r>
      <w:r>
        <w:rPr>
          <w:rFonts w:hint="eastAsia" w:asciiTheme="minorEastAsia" w:hAnsiTheme="minorEastAsia" w:eastAsiaTheme="minorEastAsia" w:cstheme="minorEastAsia"/>
          <w:color w:val="auto"/>
        </w:rPr>
        <w:t>）列入此表，否则按无效投标处理（</w:t>
      </w:r>
      <w:r>
        <w:rPr>
          <w:rFonts w:hint="eastAsia" w:asciiTheme="minorEastAsia" w:hAnsiTheme="minorEastAsia" w:eastAsiaTheme="minorEastAsia" w:cstheme="minorEastAsia"/>
          <w:color w:val="auto"/>
          <w:lang w:eastAsia="zh-CN"/>
        </w:rPr>
        <w:t>磋商</w:t>
      </w:r>
      <w:r>
        <w:rPr>
          <w:rFonts w:hint="eastAsia" w:asciiTheme="minorEastAsia" w:hAnsiTheme="minorEastAsia" w:eastAsiaTheme="minorEastAsia" w:cstheme="minorEastAsia"/>
          <w:color w:val="auto"/>
        </w:rPr>
        <w:t>文件要求是指第</w:t>
      </w:r>
      <w:r>
        <w:rPr>
          <w:rFonts w:hint="eastAsia" w:asciiTheme="minorEastAsia" w:hAnsiTheme="minorEastAsia" w:eastAsiaTheme="minorEastAsia" w:cstheme="minorEastAsia"/>
          <w:color w:val="auto"/>
          <w:lang w:eastAsia="zh-CN"/>
        </w:rPr>
        <w:t>五</w:t>
      </w:r>
      <w:r>
        <w:rPr>
          <w:rFonts w:hint="eastAsia" w:asciiTheme="minorEastAsia" w:hAnsiTheme="minorEastAsia" w:eastAsiaTheme="minorEastAsia" w:cstheme="minorEastAsia"/>
          <w:color w:val="auto"/>
        </w:rPr>
        <w:t>章“</w:t>
      </w:r>
      <w:r>
        <w:rPr>
          <w:rFonts w:hint="eastAsia" w:asciiTheme="minorEastAsia" w:hAnsiTheme="minorEastAsia" w:eastAsiaTheme="minorEastAsia" w:cstheme="minorEastAsia"/>
          <w:b/>
          <w:bCs/>
          <w:color w:val="auto"/>
          <w:lang w:eastAsia="zh-CN"/>
        </w:rPr>
        <w:t>服务内容及</w:t>
      </w:r>
      <w:r>
        <w:rPr>
          <w:rFonts w:hint="eastAsia" w:asciiTheme="minorEastAsia" w:hAnsiTheme="minorEastAsia" w:eastAsiaTheme="minorEastAsia" w:cstheme="minorEastAsia"/>
          <w:b/>
          <w:bCs/>
          <w:color w:val="000000"/>
          <w:sz w:val="24"/>
          <w:szCs w:val="24"/>
          <w:lang w:eastAsia="zh-CN"/>
        </w:rPr>
        <w:t>相关要求</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000000"/>
          <w:sz w:val="24"/>
          <w:lang w:eastAsia="zh-CN"/>
        </w:rPr>
        <w:t>磋商应答</w:t>
      </w:r>
      <w:r>
        <w:rPr>
          <w:rFonts w:hint="eastAsia" w:asciiTheme="minorEastAsia" w:hAnsiTheme="minorEastAsia" w:eastAsiaTheme="minorEastAsia" w:cstheme="minorEastAsia"/>
          <w:color w:val="auto"/>
        </w:rPr>
        <w:t>是指</w:t>
      </w:r>
      <w:r>
        <w:rPr>
          <w:rFonts w:hint="eastAsia" w:asciiTheme="minorEastAsia" w:hAnsiTheme="minorEastAsia" w:eastAsiaTheme="minorEastAsia" w:cstheme="minorEastAsia"/>
          <w:color w:val="auto"/>
          <w:lang w:eastAsia="zh-CN"/>
        </w:rPr>
        <w:t>供应商</w:t>
      </w:r>
      <w:r>
        <w:rPr>
          <w:rFonts w:hint="eastAsia" w:asciiTheme="minorEastAsia" w:hAnsiTheme="minorEastAsia" w:eastAsiaTheme="minorEastAsia" w:cstheme="minorEastAsia"/>
          <w:color w:val="auto"/>
        </w:rPr>
        <w:t>对第</w:t>
      </w:r>
      <w:r>
        <w:rPr>
          <w:rFonts w:hint="eastAsia" w:asciiTheme="minorEastAsia" w:hAnsiTheme="minorEastAsia" w:eastAsiaTheme="minorEastAsia" w:cstheme="minorEastAsia"/>
          <w:color w:val="auto"/>
          <w:lang w:eastAsia="zh-CN"/>
        </w:rPr>
        <w:t>五</w:t>
      </w:r>
      <w:r>
        <w:rPr>
          <w:rFonts w:hint="eastAsia" w:asciiTheme="minorEastAsia" w:hAnsiTheme="minorEastAsia" w:eastAsiaTheme="minorEastAsia" w:cstheme="minorEastAsia"/>
          <w:color w:val="auto"/>
        </w:rPr>
        <w:t>章“</w:t>
      </w:r>
      <w:r>
        <w:rPr>
          <w:rFonts w:hint="eastAsia" w:asciiTheme="minorEastAsia" w:hAnsiTheme="minorEastAsia" w:eastAsiaTheme="minorEastAsia" w:cstheme="minorEastAsia"/>
          <w:b/>
          <w:bCs/>
          <w:color w:val="auto"/>
          <w:lang w:eastAsia="zh-CN"/>
        </w:rPr>
        <w:t>服务内容及</w:t>
      </w:r>
      <w:r>
        <w:rPr>
          <w:rFonts w:hint="eastAsia" w:asciiTheme="minorEastAsia" w:hAnsiTheme="minorEastAsia" w:eastAsiaTheme="minorEastAsia" w:cstheme="minorEastAsia"/>
          <w:b/>
          <w:bCs/>
          <w:color w:val="000000"/>
          <w:sz w:val="24"/>
          <w:szCs w:val="24"/>
          <w:lang w:eastAsia="zh-CN"/>
        </w:rPr>
        <w:t>相关要求</w:t>
      </w:r>
      <w:r>
        <w:rPr>
          <w:rFonts w:hint="eastAsia" w:asciiTheme="minorEastAsia" w:hAnsiTheme="minorEastAsia" w:eastAsiaTheme="minorEastAsia" w:cstheme="minorEastAsia"/>
          <w:color w:val="auto"/>
        </w:rPr>
        <w:t>”逐项进行的应答）。</w:t>
      </w:r>
    </w:p>
    <w:p>
      <w:pPr>
        <w:pStyle w:val="26"/>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000000"/>
          <w:sz w:val="24"/>
        </w:rPr>
        <w:t>供应商必须根据磋商文件要求据实逐条填写，不得虚假响应，虚假响应的，其响应文件无效并按规定追究其相关责任。</w:t>
      </w:r>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51" w:name="_Toc485400626"/>
      <w:bookmarkStart w:id="252" w:name="_Toc503794780"/>
      <w:bookmarkStart w:id="253" w:name="_Toc485400409"/>
      <w:bookmarkStart w:id="254" w:name="_Toc485828506"/>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供应商名称：</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（单位盖章）</w:t>
      </w:r>
      <w:bookmarkEnd w:id="251"/>
      <w:bookmarkEnd w:id="252"/>
      <w:bookmarkEnd w:id="253"/>
      <w:bookmarkEnd w:id="254"/>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55" w:name="_Toc485400627"/>
      <w:bookmarkStart w:id="256" w:name="_Toc485828507"/>
      <w:bookmarkStart w:id="257" w:name="_Toc503794781"/>
      <w:bookmarkStart w:id="258" w:name="_Toc485400410"/>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r>
        <w:rPr>
          <w:rFonts w:hint="eastAsia" w:asciiTheme="minorEastAsia" w:hAnsiTheme="minorEastAsia" w:eastAsiaTheme="minorEastAsia" w:cstheme="minorEastAsia"/>
          <w:bCs/>
          <w:sz w:val="24"/>
        </w:rPr>
        <w:t>/单位负责人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或授权代表：</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（签字或加盖个人名章）</w:t>
      </w:r>
      <w:bookmarkEnd w:id="255"/>
      <w:bookmarkEnd w:id="256"/>
      <w:bookmarkEnd w:id="257"/>
      <w:bookmarkEnd w:id="258"/>
    </w:p>
    <w:p>
      <w:pPr>
        <w:widowControl/>
        <w:spacing w:line="360" w:lineRule="auto"/>
        <w:ind w:firstLine="48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4"/>
        <w:spacing w:before="156" w:after="15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bookmarkStart w:id="259" w:name="_Toc503794783"/>
      <w:bookmarkStart w:id="260" w:name="_Toc7559"/>
      <w:bookmarkStart w:id="261" w:name="_Toc485828509"/>
      <w:bookmarkStart w:id="262" w:name="_Toc19153"/>
      <w:r>
        <w:rPr>
          <w:rFonts w:hint="eastAsia" w:asciiTheme="minorEastAsia" w:hAnsiTheme="minorEastAsia" w:eastAsiaTheme="minorEastAsia" w:cstheme="minorEastAsia"/>
          <w:color w:val="000000" w:themeColor="text1"/>
          <w:lang w:eastAsia="zh-CN"/>
          <w14:textFill>
            <w14:solidFill>
              <w14:schemeClr w14:val="tx1"/>
            </w14:solidFill>
          </w14:textFill>
        </w:rPr>
        <w:t>四</w:t>
      </w:r>
      <w:r>
        <w:rPr>
          <w:rFonts w:hint="eastAsia" w:asciiTheme="minorEastAsia" w:hAnsiTheme="minorEastAsia" w:eastAsiaTheme="minorEastAsia" w:cstheme="minorEastAsia"/>
          <w:color w:val="000000" w:themeColor="text1"/>
          <w14:textFill>
            <w14:solidFill>
              <w14:schemeClr w14:val="tx1"/>
            </w14:solidFill>
          </w14:textFill>
        </w:rPr>
        <w:t>、供应商基本情况表</w:t>
      </w:r>
      <w:bookmarkEnd w:id="259"/>
      <w:bookmarkEnd w:id="260"/>
      <w:bookmarkEnd w:id="261"/>
      <w:bookmarkEnd w:id="262"/>
    </w:p>
    <w:p>
      <w:pPr>
        <w:widowControl/>
        <w:ind w:firstLine="480"/>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pPr>
    </w:p>
    <w:tbl>
      <w:tblPr>
        <w:tblStyle w:val="12"/>
        <w:tblW w:w="8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000"/>
        <w:gridCol w:w="1016"/>
        <w:gridCol w:w="1252"/>
        <w:gridCol w:w="8"/>
        <w:gridCol w:w="1323"/>
        <w:gridCol w:w="401"/>
        <w:gridCol w:w="775"/>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0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供应商名称</w:t>
            </w:r>
          </w:p>
        </w:tc>
        <w:tc>
          <w:tcPr>
            <w:tcW w:w="6846" w:type="dxa"/>
            <w:gridSpan w:val="8"/>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0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注册地址</w:t>
            </w:r>
          </w:p>
        </w:tc>
        <w:tc>
          <w:tcPr>
            <w:tcW w:w="3276" w:type="dxa"/>
            <w:gridSpan w:val="4"/>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23"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邮政编码</w:t>
            </w:r>
          </w:p>
        </w:tc>
        <w:tc>
          <w:tcPr>
            <w:tcW w:w="2247" w:type="dxa"/>
            <w:gridSpan w:val="3"/>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vMerge w:val="restart"/>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联系方式</w:t>
            </w:r>
          </w:p>
        </w:tc>
        <w:tc>
          <w:tcPr>
            <w:tcW w:w="1000"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p>
        </w:tc>
        <w:tc>
          <w:tcPr>
            <w:tcW w:w="2268" w:type="dxa"/>
            <w:gridSpan w:val="2"/>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1" w:type="dxa"/>
            <w:gridSpan w:val="2"/>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电话</w:t>
            </w:r>
          </w:p>
        </w:tc>
        <w:tc>
          <w:tcPr>
            <w:tcW w:w="2247" w:type="dxa"/>
            <w:gridSpan w:val="3"/>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jc w:val="center"/>
        </w:trPr>
        <w:tc>
          <w:tcPr>
            <w:tcW w:w="1706" w:type="dxa"/>
            <w:vMerge w:val="continue"/>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00"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传真</w:t>
            </w:r>
          </w:p>
        </w:tc>
        <w:tc>
          <w:tcPr>
            <w:tcW w:w="2268" w:type="dxa"/>
            <w:gridSpan w:val="2"/>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1" w:type="dxa"/>
            <w:gridSpan w:val="2"/>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网址</w:t>
            </w:r>
          </w:p>
        </w:tc>
        <w:tc>
          <w:tcPr>
            <w:tcW w:w="2247" w:type="dxa"/>
            <w:gridSpan w:val="3"/>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组织结构</w:t>
            </w:r>
          </w:p>
        </w:tc>
        <w:tc>
          <w:tcPr>
            <w:tcW w:w="6846" w:type="dxa"/>
            <w:gridSpan w:val="8"/>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0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p>
        </w:tc>
        <w:tc>
          <w:tcPr>
            <w:tcW w:w="1000"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姓名</w:t>
            </w:r>
          </w:p>
        </w:tc>
        <w:tc>
          <w:tcPr>
            <w:tcW w:w="101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2"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技术职称</w:t>
            </w:r>
          </w:p>
        </w:tc>
        <w:tc>
          <w:tcPr>
            <w:tcW w:w="1331" w:type="dxa"/>
            <w:gridSpan w:val="2"/>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76" w:type="dxa"/>
            <w:gridSpan w:val="2"/>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电话</w:t>
            </w:r>
          </w:p>
        </w:tc>
        <w:tc>
          <w:tcPr>
            <w:tcW w:w="1071"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70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技术负责人</w:t>
            </w:r>
          </w:p>
        </w:tc>
        <w:tc>
          <w:tcPr>
            <w:tcW w:w="1000"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姓名</w:t>
            </w:r>
          </w:p>
        </w:tc>
        <w:tc>
          <w:tcPr>
            <w:tcW w:w="101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2"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技术职称</w:t>
            </w:r>
          </w:p>
        </w:tc>
        <w:tc>
          <w:tcPr>
            <w:tcW w:w="1331" w:type="dxa"/>
            <w:gridSpan w:val="2"/>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76" w:type="dxa"/>
            <w:gridSpan w:val="2"/>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电话</w:t>
            </w:r>
          </w:p>
        </w:tc>
        <w:tc>
          <w:tcPr>
            <w:tcW w:w="1071"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0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财务负责人</w:t>
            </w:r>
          </w:p>
        </w:tc>
        <w:tc>
          <w:tcPr>
            <w:tcW w:w="1000"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姓名</w:t>
            </w:r>
          </w:p>
        </w:tc>
        <w:tc>
          <w:tcPr>
            <w:tcW w:w="101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2"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技术职称</w:t>
            </w:r>
          </w:p>
        </w:tc>
        <w:tc>
          <w:tcPr>
            <w:tcW w:w="1331" w:type="dxa"/>
            <w:gridSpan w:val="2"/>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76" w:type="dxa"/>
            <w:gridSpan w:val="2"/>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电话</w:t>
            </w:r>
          </w:p>
        </w:tc>
        <w:tc>
          <w:tcPr>
            <w:tcW w:w="1071"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成立时间</w:t>
            </w:r>
          </w:p>
        </w:tc>
        <w:tc>
          <w:tcPr>
            <w:tcW w:w="2016" w:type="dxa"/>
            <w:gridSpan w:val="2"/>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830" w:type="dxa"/>
            <w:gridSpan w:val="6"/>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0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企业资质等级</w:t>
            </w:r>
          </w:p>
        </w:tc>
        <w:tc>
          <w:tcPr>
            <w:tcW w:w="2016" w:type="dxa"/>
            <w:gridSpan w:val="2"/>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2" w:type="dxa"/>
            <w:vMerge w:val="restart"/>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其中</w:t>
            </w:r>
          </w:p>
        </w:tc>
        <w:tc>
          <w:tcPr>
            <w:tcW w:w="1732" w:type="dxa"/>
            <w:gridSpan w:val="3"/>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项目经理</w:t>
            </w:r>
          </w:p>
        </w:tc>
        <w:tc>
          <w:tcPr>
            <w:tcW w:w="1846" w:type="dxa"/>
            <w:gridSpan w:val="2"/>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营业执照号</w:t>
            </w:r>
          </w:p>
        </w:tc>
        <w:tc>
          <w:tcPr>
            <w:tcW w:w="2016" w:type="dxa"/>
            <w:gridSpan w:val="2"/>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2" w:type="dxa"/>
            <w:vMerge w:val="continue"/>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732" w:type="dxa"/>
            <w:gridSpan w:val="3"/>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高级职称人员</w:t>
            </w:r>
          </w:p>
        </w:tc>
        <w:tc>
          <w:tcPr>
            <w:tcW w:w="1846" w:type="dxa"/>
            <w:gridSpan w:val="2"/>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注册资金</w:t>
            </w:r>
          </w:p>
        </w:tc>
        <w:tc>
          <w:tcPr>
            <w:tcW w:w="2016" w:type="dxa"/>
            <w:gridSpan w:val="2"/>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2" w:type="dxa"/>
            <w:vMerge w:val="continue"/>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732" w:type="dxa"/>
            <w:gridSpan w:val="3"/>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中级职称人员</w:t>
            </w:r>
          </w:p>
        </w:tc>
        <w:tc>
          <w:tcPr>
            <w:tcW w:w="1846" w:type="dxa"/>
            <w:gridSpan w:val="2"/>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0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开户银行</w:t>
            </w:r>
          </w:p>
        </w:tc>
        <w:tc>
          <w:tcPr>
            <w:tcW w:w="2016" w:type="dxa"/>
            <w:gridSpan w:val="2"/>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2" w:type="dxa"/>
            <w:vMerge w:val="continue"/>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732" w:type="dxa"/>
            <w:gridSpan w:val="3"/>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初级职称人员</w:t>
            </w:r>
          </w:p>
        </w:tc>
        <w:tc>
          <w:tcPr>
            <w:tcW w:w="1846" w:type="dxa"/>
            <w:gridSpan w:val="2"/>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账号</w:t>
            </w:r>
          </w:p>
        </w:tc>
        <w:tc>
          <w:tcPr>
            <w:tcW w:w="2016" w:type="dxa"/>
            <w:gridSpan w:val="2"/>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52" w:type="dxa"/>
            <w:vMerge w:val="continue"/>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732" w:type="dxa"/>
            <w:gridSpan w:val="3"/>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技工</w:t>
            </w:r>
          </w:p>
        </w:tc>
        <w:tc>
          <w:tcPr>
            <w:tcW w:w="1846" w:type="dxa"/>
            <w:gridSpan w:val="2"/>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170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经营范围</w:t>
            </w:r>
          </w:p>
        </w:tc>
        <w:tc>
          <w:tcPr>
            <w:tcW w:w="6846" w:type="dxa"/>
            <w:gridSpan w:val="8"/>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1706"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备注</w:t>
            </w:r>
          </w:p>
        </w:tc>
        <w:tc>
          <w:tcPr>
            <w:tcW w:w="6846" w:type="dxa"/>
            <w:gridSpan w:val="8"/>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说明：表格不能满足使用时可自行增加。</w:t>
      </w:r>
    </w:p>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63" w:name="_Toc485828510"/>
      <w:bookmarkStart w:id="264" w:name="_Toc503794784"/>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供应商名称：</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（单位公章）</w:t>
      </w:r>
      <w:bookmarkEnd w:id="263"/>
      <w:bookmarkEnd w:id="264"/>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65" w:name="_Toc503794785"/>
      <w:bookmarkStart w:id="266" w:name="_Toc485828511"/>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r>
        <w:rPr>
          <w:rFonts w:hint="eastAsia" w:asciiTheme="minorEastAsia" w:hAnsiTheme="minorEastAsia" w:eastAsiaTheme="minorEastAsia" w:cstheme="minorEastAsia"/>
          <w:bCs/>
          <w:sz w:val="24"/>
        </w:rPr>
        <w:t>/单位负责人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或授权代表：</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（签字或加盖个人名章）</w:t>
      </w:r>
      <w:bookmarkEnd w:id="265"/>
      <w:bookmarkEnd w:id="266"/>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pPr>
        <w:pStyle w:val="24"/>
        <w:spacing w:before="156" w:after="156"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67" w:name="_Toc480288370"/>
      <w:bookmarkStart w:id="268" w:name="_Toc480288599"/>
      <w:bookmarkStart w:id="269" w:name="_Toc482366523"/>
      <w:bookmarkStart w:id="270" w:name="_Toc485828516"/>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bookmarkStart w:id="271" w:name="_Toc482366521"/>
      <w:bookmarkStart w:id="272" w:name="_Toc480288597"/>
      <w:bookmarkStart w:id="273" w:name="_Toc480288368"/>
      <w:bookmarkStart w:id="274" w:name="_Toc485828512"/>
      <w:bookmarkStart w:id="275" w:name="_Toc6863"/>
      <w:bookmarkStart w:id="276" w:name="_Toc503794786"/>
      <w:bookmarkStart w:id="277" w:name="_Toc2941"/>
      <w:r>
        <w:rPr>
          <w:rFonts w:hint="eastAsia" w:asciiTheme="minorEastAsia" w:hAnsiTheme="minorEastAsia" w:eastAsiaTheme="minorEastAsia" w:cstheme="minorEastAsia"/>
          <w:color w:val="000000" w:themeColor="text1"/>
          <w:lang w:eastAsia="zh-CN"/>
          <w14:textFill>
            <w14:solidFill>
              <w14:schemeClr w14:val="tx1"/>
            </w14:solidFill>
          </w14:textFill>
        </w:rPr>
        <w:t>五</w:t>
      </w:r>
      <w:r>
        <w:rPr>
          <w:rFonts w:hint="eastAsia" w:asciiTheme="minorEastAsia" w:hAnsiTheme="minorEastAsia" w:eastAsiaTheme="minorEastAsia" w:cstheme="minorEastAsia"/>
          <w:color w:val="000000" w:themeColor="text1"/>
          <w14:textFill>
            <w14:solidFill>
              <w14:schemeClr w14:val="tx1"/>
            </w14:solidFill>
          </w14:textFill>
        </w:rPr>
        <w:t>、项目管理机构配置</w:t>
      </w:r>
      <w:bookmarkEnd w:id="271"/>
      <w:bookmarkEnd w:id="272"/>
      <w:bookmarkEnd w:id="273"/>
      <w:bookmarkEnd w:id="274"/>
      <w:r>
        <w:rPr>
          <w:rFonts w:hint="eastAsia" w:asciiTheme="minorEastAsia" w:hAnsiTheme="minorEastAsia" w:eastAsiaTheme="minorEastAsia" w:cstheme="minorEastAsia"/>
          <w:color w:val="000000" w:themeColor="text1"/>
          <w14:textFill>
            <w14:solidFill>
              <w14:schemeClr w14:val="tx1"/>
            </w14:solidFill>
          </w14:textFill>
        </w:rPr>
        <w:t>表</w:t>
      </w:r>
      <w:bookmarkEnd w:id="275"/>
      <w:bookmarkEnd w:id="276"/>
      <w:bookmarkEnd w:id="277"/>
    </w:p>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项目编号：</w:t>
      </w:r>
    </w:p>
    <w:tbl>
      <w:tblPr>
        <w:tblStyle w:val="12"/>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940"/>
        <w:gridCol w:w="970"/>
        <w:gridCol w:w="830"/>
        <w:gridCol w:w="1290"/>
        <w:gridCol w:w="1371"/>
        <w:gridCol w:w="879"/>
        <w:gridCol w:w="92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2"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类别</w:t>
            </w:r>
          </w:p>
        </w:tc>
        <w:tc>
          <w:tcPr>
            <w:tcW w:w="940"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职务</w:t>
            </w:r>
          </w:p>
        </w:tc>
        <w:tc>
          <w:tcPr>
            <w:tcW w:w="970"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姓名</w:t>
            </w:r>
          </w:p>
        </w:tc>
        <w:tc>
          <w:tcPr>
            <w:tcW w:w="830"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职称</w:t>
            </w:r>
          </w:p>
        </w:tc>
        <w:tc>
          <w:tcPr>
            <w:tcW w:w="1290"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常住地</w:t>
            </w:r>
          </w:p>
        </w:tc>
        <w:tc>
          <w:tcPr>
            <w:tcW w:w="1371"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证书名称</w:t>
            </w:r>
          </w:p>
        </w:tc>
        <w:tc>
          <w:tcPr>
            <w:tcW w:w="879"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级别</w:t>
            </w:r>
          </w:p>
        </w:tc>
        <w:tc>
          <w:tcPr>
            <w:tcW w:w="920"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证号</w:t>
            </w:r>
          </w:p>
        </w:tc>
        <w:tc>
          <w:tcPr>
            <w:tcW w:w="920"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vMerge w:val="restart"/>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管理</w:t>
            </w:r>
          </w:p>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人员</w:t>
            </w:r>
          </w:p>
        </w:tc>
        <w:tc>
          <w:tcPr>
            <w:tcW w:w="94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7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9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71"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79"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2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2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4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7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9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71"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79"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2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2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4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7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9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71"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79"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2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2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2" w:type="dxa"/>
            <w:vMerge w:val="restart"/>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技术</w:t>
            </w:r>
          </w:p>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人员</w:t>
            </w:r>
          </w:p>
        </w:tc>
        <w:tc>
          <w:tcPr>
            <w:tcW w:w="94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7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9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71"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79"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2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2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4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7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9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71"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79"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2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2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4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7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9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71"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79"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2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2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2" w:type="dxa"/>
            <w:vMerge w:val="restart"/>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其他人员</w:t>
            </w:r>
          </w:p>
        </w:tc>
        <w:tc>
          <w:tcPr>
            <w:tcW w:w="94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7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9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71"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79"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2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2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4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7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9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71"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79"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2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2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 w:type="dxa"/>
            <w:vMerge w:val="continue"/>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4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7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9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71"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79"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2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920" w:type="dxa"/>
            <w:noWrap w:val="0"/>
            <w:vAlign w:val="top"/>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注：人员如需附相关证明、证件的，相关证明、证件附后。</w:t>
      </w:r>
    </w:p>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供应商名称：</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（单位盖章）</w:t>
      </w:r>
    </w:p>
    <w:p>
      <w:pPr>
        <w:widowControl/>
        <w:spacing w:line="360" w:lineRule="auto"/>
        <w:ind w:firstLine="48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r>
        <w:rPr>
          <w:rFonts w:hint="eastAsia" w:asciiTheme="minorEastAsia" w:hAnsiTheme="minorEastAsia" w:eastAsiaTheme="minorEastAsia" w:cstheme="minorEastAsia"/>
          <w:bCs/>
          <w:sz w:val="24"/>
        </w:rPr>
        <w:t>/单位负责人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或授权代表：</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（签字或加盖个人名章）</w:t>
      </w:r>
    </w:p>
    <w:p>
      <w:pPr>
        <w:widowControl/>
        <w:spacing w:line="360" w:lineRule="auto"/>
        <w:ind w:firstLine="48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bookmarkEnd w:id="267"/>
    <w:bookmarkEnd w:id="268"/>
    <w:bookmarkEnd w:id="269"/>
    <w:bookmarkEnd w:id="270"/>
    <w:p>
      <w:pPr>
        <w:widowControl/>
        <w:spacing w:line="360" w:lineRule="auto"/>
        <w:ind w:firstLine="480"/>
        <w:rPr>
          <w:rFonts w:hint="eastAsia" w:asciiTheme="minorEastAsia" w:hAnsiTheme="minorEastAsia" w:eastAsiaTheme="minorEastAsia" w:cstheme="minorEastAsia"/>
          <w:color w:val="000000" w:themeColor="text1"/>
          <w:w w:val="9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br w:type="page"/>
      </w:r>
    </w:p>
    <w:p>
      <w:pPr>
        <w:pStyle w:val="24"/>
        <w:spacing w:before="156" w:after="156"/>
        <w:rPr>
          <w:rFonts w:hint="eastAsia" w:asciiTheme="minorEastAsia" w:hAnsiTheme="minorEastAsia" w:eastAsiaTheme="minorEastAsia" w:cstheme="minorEastAsia"/>
          <w:color w:val="000000" w:themeColor="text1"/>
          <w14:textFill>
            <w14:solidFill>
              <w14:schemeClr w14:val="tx1"/>
            </w14:solidFill>
          </w14:textFill>
        </w:rPr>
      </w:pPr>
      <w:bookmarkStart w:id="278" w:name="_Toc7424"/>
      <w:bookmarkStart w:id="279" w:name="_Toc21074"/>
      <w:r>
        <w:rPr>
          <w:rFonts w:hint="eastAsia" w:asciiTheme="minorEastAsia" w:hAnsiTheme="minorEastAsia" w:eastAsiaTheme="minorEastAsia" w:cstheme="minorEastAsia"/>
          <w:color w:val="000000" w:themeColor="text1"/>
          <w:lang w:eastAsia="zh-CN"/>
          <w14:textFill>
            <w14:solidFill>
              <w14:schemeClr w14:val="tx1"/>
            </w14:solidFill>
          </w14:textFill>
        </w:rPr>
        <w:t>六</w:t>
      </w:r>
      <w:r>
        <w:rPr>
          <w:rFonts w:hint="eastAsia" w:asciiTheme="minorEastAsia" w:hAnsiTheme="minorEastAsia" w:eastAsiaTheme="minorEastAsia" w:cstheme="minorEastAsia"/>
          <w:color w:val="000000" w:themeColor="text1"/>
          <w14:textFill>
            <w14:solidFill>
              <w14:schemeClr w14:val="tx1"/>
            </w14:solidFill>
          </w14:textFill>
        </w:rPr>
        <w:t>、供应商类似业绩一览表</w:t>
      </w:r>
      <w:bookmarkEnd w:id="278"/>
      <w:bookmarkEnd w:id="279"/>
    </w:p>
    <w:tbl>
      <w:tblPr>
        <w:tblStyle w:val="12"/>
        <w:tblW w:w="83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1645"/>
        <w:gridCol w:w="8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76" w:hRule="atLeast"/>
          <w:jc w:val="center"/>
        </w:trPr>
        <w:tc>
          <w:tcPr>
            <w:tcW w:w="720" w:type="dxa"/>
            <w:tcBorders>
              <w:top w:val="single" w:color="auto" w:sz="4" w:space="0"/>
            </w:tcBorders>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年份</w:t>
            </w:r>
          </w:p>
        </w:tc>
        <w:tc>
          <w:tcPr>
            <w:tcW w:w="1440"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用户名称</w:t>
            </w:r>
          </w:p>
        </w:tc>
        <w:tc>
          <w:tcPr>
            <w:tcW w:w="1320"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项目名称</w:t>
            </w:r>
          </w:p>
        </w:tc>
        <w:tc>
          <w:tcPr>
            <w:tcW w:w="1161"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完成时间</w:t>
            </w:r>
          </w:p>
        </w:tc>
        <w:tc>
          <w:tcPr>
            <w:tcW w:w="1260" w:type="dxa"/>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合同金额</w:t>
            </w:r>
          </w:p>
        </w:tc>
        <w:tc>
          <w:tcPr>
            <w:tcW w:w="1645" w:type="dxa"/>
            <w:tcBorders>
              <w:right w:val="single" w:color="auto" w:sz="4" w:space="0"/>
            </w:tcBorders>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验收情况</w:t>
            </w:r>
          </w:p>
        </w:tc>
        <w:tc>
          <w:tcPr>
            <w:tcW w:w="832" w:type="dxa"/>
            <w:tcBorders>
              <w:left w:val="single" w:color="auto" w:sz="4" w:space="0"/>
            </w:tcBorders>
            <w:noWrap w:val="0"/>
            <w:vAlign w:val="center"/>
          </w:tcPr>
          <w:p>
            <w:pPr>
              <w:pStyle w:val="2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76" w:hRule="atLeast"/>
          <w:jc w:val="center"/>
        </w:trPr>
        <w:tc>
          <w:tcPr>
            <w:tcW w:w="720" w:type="dxa"/>
            <w:noWrap w:val="0"/>
            <w:vAlign w:val="center"/>
          </w:tcPr>
          <w:p>
            <w:pPr>
              <w:pStyle w:val="25"/>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40" w:type="dxa"/>
            <w:noWrap w:val="0"/>
            <w:vAlign w:val="center"/>
          </w:tcPr>
          <w:p>
            <w:pPr>
              <w:pStyle w:val="25"/>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20" w:type="dxa"/>
            <w:noWrap w:val="0"/>
            <w:vAlign w:val="center"/>
          </w:tcPr>
          <w:p>
            <w:pPr>
              <w:pStyle w:val="25"/>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61" w:type="dxa"/>
            <w:noWrap w:val="0"/>
            <w:vAlign w:val="center"/>
          </w:tcPr>
          <w:p>
            <w:pPr>
              <w:pStyle w:val="25"/>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60" w:type="dxa"/>
            <w:noWrap w:val="0"/>
            <w:vAlign w:val="center"/>
          </w:tcPr>
          <w:p>
            <w:pPr>
              <w:pStyle w:val="25"/>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45" w:type="dxa"/>
            <w:tcBorders>
              <w:right w:val="single" w:color="auto" w:sz="4" w:space="0"/>
            </w:tcBorders>
            <w:noWrap w:val="0"/>
            <w:vAlign w:val="center"/>
          </w:tcPr>
          <w:p>
            <w:pPr>
              <w:pStyle w:val="25"/>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2" w:type="dxa"/>
            <w:tcBorders>
              <w:left w:val="single" w:color="auto" w:sz="4" w:space="0"/>
            </w:tcBorders>
            <w:noWrap w:val="0"/>
            <w:vAlign w:val="center"/>
          </w:tcPr>
          <w:p>
            <w:pPr>
              <w:pStyle w:val="25"/>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76" w:hRule="atLeast"/>
          <w:jc w:val="center"/>
        </w:trPr>
        <w:tc>
          <w:tcPr>
            <w:tcW w:w="720" w:type="dxa"/>
            <w:noWrap w:val="0"/>
            <w:vAlign w:val="center"/>
          </w:tcPr>
          <w:p>
            <w:pPr>
              <w:pStyle w:val="25"/>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440" w:type="dxa"/>
            <w:noWrap w:val="0"/>
            <w:vAlign w:val="center"/>
          </w:tcPr>
          <w:p>
            <w:pPr>
              <w:pStyle w:val="25"/>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20" w:type="dxa"/>
            <w:noWrap w:val="0"/>
            <w:vAlign w:val="center"/>
          </w:tcPr>
          <w:p>
            <w:pPr>
              <w:pStyle w:val="25"/>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61" w:type="dxa"/>
            <w:noWrap w:val="0"/>
            <w:vAlign w:val="center"/>
          </w:tcPr>
          <w:p>
            <w:pPr>
              <w:pStyle w:val="25"/>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60" w:type="dxa"/>
            <w:noWrap w:val="0"/>
            <w:vAlign w:val="center"/>
          </w:tcPr>
          <w:p>
            <w:pPr>
              <w:pStyle w:val="25"/>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45" w:type="dxa"/>
            <w:tcBorders>
              <w:right w:val="single" w:color="auto" w:sz="4" w:space="0"/>
            </w:tcBorders>
            <w:noWrap w:val="0"/>
            <w:vAlign w:val="center"/>
          </w:tcPr>
          <w:p>
            <w:pPr>
              <w:pStyle w:val="25"/>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2" w:type="dxa"/>
            <w:tcBorders>
              <w:left w:val="single" w:color="auto" w:sz="4" w:space="0"/>
            </w:tcBorders>
            <w:noWrap w:val="0"/>
            <w:vAlign w:val="center"/>
          </w:tcPr>
          <w:p>
            <w:pPr>
              <w:pStyle w:val="25"/>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76" w:hRule="atLeast"/>
          <w:jc w:val="center"/>
        </w:trPr>
        <w:tc>
          <w:tcPr>
            <w:tcW w:w="720" w:type="dxa"/>
            <w:noWrap w:val="0"/>
            <w:vAlign w:val="center"/>
          </w:tcPr>
          <w:p>
            <w:pPr>
              <w:pStyle w:val="25"/>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tc>
        <w:tc>
          <w:tcPr>
            <w:tcW w:w="1440" w:type="dxa"/>
            <w:noWrap w:val="0"/>
            <w:vAlign w:val="center"/>
          </w:tcPr>
          <w:p>
            <w:pPr>
              <w:pStyle w:val="25"/>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20" w:type="dxa"/>
            <w:noWrap w:val="0"/>
            <w:vAlign w:val="center"/>
          </w:tcPr>
          <w:p>
            <w:pPr>
              <w:pStyle w:val="25"/>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61" w:type="dxa"/>
            <w:noWrap w:val="0"/>
            <w:vAlign w:val="center"/>
          </w:tcPr>
          <w:p>
            <w:pPr>
              <w:pStyle w:val="25"/>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60" w:type="dxa"/>
            <w:noWrap w:val="0"/>
            <w:vAlign w:val="center"/>
          </w:tcPr>
          <w:p>
            <w:pPr>
              <w:pStyle w:val="25"/>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645" w:type="dxa"/>
            <w:tcBorders>
              <w:right w:val="single" w:color="auto" w:sz="4" w:space="0"/>
            </w:tcBorders>
            <w:noWrap w:val="0"/>
            <w:vAlign w:val="center"/>
          </w:tcPr>
          <w:p>
            <w:pPr>
              <w:pStyle w:val="25"/>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32" w:type="dxa"/>
            <w:tcBorders>
              <w:left w:val="single" w:color="auto" w:sz="4" w:space="0"/>
            </w:tcBorders>
            <w:noWrap w:val="0"/>
            <w:vAlign w:val="center"/>
          </w:tcPr>
          <w:p>
            <w:pPr>
              <w:pStyle w:val="25"/>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widowControl/>
        <w:ind w:firstLine="48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注：供应商（仅限于供应商自己实施的）以上业绩需提供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业绩</w:t>
      </w:r>
      <w:r>
        <w:rPr>
          <w:rFonts w:hint="eastAsia" w:asciiTheme="minorEastAsia" w:hAnsiTheme="minorEastAsia" w:eastAsiaTheme="minorEastAsia" w:cstheme="minorEastAsia"/>
          <w:color w:val="000000" w:themeColor="text1"/>
          <w:sz w:val="24"/>
          <w:szCs w:val="24"/>
          <w14:textFill>
            <w14:solidFill>
              <w14:schemeClr w14:val="tx1"/>
            </w14:solidFill>
          </w14:textFill>
        </w:rPr>
        <w:t>合同复印件。</w:t>
      </w:r>
    </w:p>
    <w:p>
      <w:pPr>
        <w:widowControl/>
        <w:spacing w:line="360" w:lineRule="auto"/>
        <w:ind w:firstLine="48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widowControl/>
        <w:spacing w:line="360" w:lineRule="auto"/>
        <w:ind w:firstLine="48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br w:type="page"/>
      </w:r>
    </w:p>
    <w:p>
      <w:pPr>
        <w:pStyle w:val="24"/>
        <w:spacing w:before="156" w:after="156"/>
        <w:rPr>
          <w:rFonts w:hint="eastAsia" w:asciiTheme="minorEastAsia" w:hAnsiTheme="minorEastAsia" w:eastAsiaTheme="minorEastAsia" w:cstheme="minorEastAsia"/>
          <w:color w:val="000000" w:themeColor="text1"/>
          <w:lang w:eastAsia="zh-CN"/>
          <w14:textFill>
            <w14:solidFill>
              <w14:schemeClr w14:val="tx1"/>
            </w14:solidFill>
          </w14:textFill>
        </w:rPr>
      </w:pPr>
      <w:bookmarkStart w:id="280" w:name="_Toc4193"/>
      <w:bookmarkStart w:id="281" w:name="_Toc18201"/>
      <w:r>
        <w:rPr>
          <w:rFonts w:hint="eastAsia" w:asciiTheme="minorEastAsia" w:hAnsiTheme="minorEastAsia" w:eastAsiaTheme="minorEastAsia" w:cstheme="minorEastAsia"/>
          <w:color w:val="000000" w:themeColor="text1"/>
          <w:lang w:eastAsia="zh-CN"/>
          <w14:textFill>
            <w14:solidFill>
              <w14:schemeClr w14:val="tx1"/>
            </w14:solidFill>
          </w14:textFill>
        </w:rPr>
        <w:t>七</w:t>
      </w:r>
      <w:r>
        <w:rPr>
          <w:rFonts w:hint="eastAsia" w:asciiTheme="minorEastAsia" w:hAnsiTheme="minorEastAsia" w:eastAsiaTheme="minorEastAsia" w:cstheme="minorEastAsia"/>
          <w:color w:val="000000" w:themeColor="text1"/>
          <w14:textFill>
            <w14:solidFill>
              <w14:schemeClr w14:val="tx1"/>
            </w14:solidFill>
          </w14:textFill>
        </w:rPr>
        <w:t>、</w:t>
      </w:r>
      <w:bookmarkEnd w:id="280"/>
      <w:bookmarkEnd w:id="281"/>
      <w:r>
        <w:rPr>
          <w:rFonts w:hint="eastAsia" w:asciiTheme="minorEastAsia" w:hAnsiTheme="minorEastAsia" w:eastAsiaTheme="minorEastAsia" w:cstheme="minorEastAsia"/>
          <w:color w:val="000000" w:themeColor="text1"/>
          <w:lang w:eastAsia="zh-CN"/>
          <w14:textFill>
            <w14:solidFill>
              <w14:schemeClr w14:val="tx1"/>
            </w14:solidFill>
          </w14:textFill>
        </w:rPr>
        <w:t>服务方案</w:t>
      </w:r>
    </w:p>
    <w:p>
      <w:pPr>
        <w:widowControl/>
        <w:ind w:firstLine="48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格式自拟。</w:t>
      </w:r>
    </w:p>
    <w:p>
      <w:pPr>
        <w:widowControl/>
        <w:ind w:firstLine="48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br w:type="page"/>
      </w:r>
    </w:p>
    <w:p>
      <w:pPr>
        <w:pStyle w:val="24"/>
        <w:spacing w:before="156" w:after="156"/>
        <w:rPr>
          <w:rFonts w:hint="eastAsia" w:asciiTheme="minorEastAsia" w:hAnsiTheme="minorEastAsia" w:eastAsiaTheme="minorEastAsia" w:cstheme="minorEastAsia"/>
          <w:color w:val="000000" w:themeColor="text1"/>
          <w14:textFill>
            <w14:solidFill>
              <w14:schemeClr w14:val="tx1"/>
            </w14:solidFill>
          </w14:textFill>
        </w:rPr>
      </w:pPr>
      <w:bookmarkStart w:id="282" w:name="_Toc24919"/>
      <w:bookmarkStart w:id="283" w:name="_Toc4185"/>
      <w:r>
        <w:rPr>
          <w:rFonts w:hint="eastAsia" w:asciiTheme="minorEastAsia" w:hAnsiTheme="minorEastAsia" w:eastAsiaTheme="minorEastAsia" w:cstheme="minorEastAsia"/>
          <w:color w:val="000000" w:themeColor="text1"/>
          <w:lang w:eastAsia="zh-CN"/>
          <w14:textFill>
            <w14:solidFill>
              <w14:schemeClr w14:val="tx1"/>
            </w14:solidFill>
          </w14:textFill>
        </w:rPr>
        <w:t>八</w:t>
      </w:r>
      <w:r>
        <w:rPr>
          <w:rFonts w:hint="eastAsia" w:asciiTheme="minorEastAsia" w:hAnsiTheme="minorEastAsia" w:eastAsiaTheme="minorEastAsia" w:cstheme="minorEastAsia"/>
          <w:color w:val="000000" w:themeColor="text1"/>
          <w14:textFill>
            <w14:solidFill>
              <w14:schemeClr w14:val="tx1"/>
            </w14:solidFill>
          </w14:textFill>
        </w:rPr>
        <w:t>、供应商认为需要提供的其他资料</w:t>
      </w:r>
      <w:bookmarkEnd w:id="282"/>
      <w:bookmarkEnd w:id="283"/>
    </w:p>
    <w:p>
      <w:pPr>
        <w:widowControl/>
        <w:ind w:firstLine="48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格式自拟。</w:t>
      </w:r>
    </w:p>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widowControl/>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bookmarkStart w:id="284" w:name="_Toc10230"/>
    </w:p>
    <w:bookmarkEnd w:id="284"/>
    <w:p>
      <w:pPr>
        <w:pStyle w:val="4"/>
        <w:numPr>
          <w:ilvl w:val="0"/>
          <w:numId w:val="8"/>
        </w:numPr>
        <w:bidi w:val="0"/>
        <w:rPr>
          <w:rFonts w:hint="eastAsia" w:asciiTheme="minorEastAsia" w:hAnsiTheme="minorEastAsia" w:eastAsiaTheme="minorEastAsia" w:cstheme="minorEastAsia"/>
          <w:highlight w:val="none"/>
        </w:rPr>
      </w:pPr>
      <w:bookmarkStart w:id="285" w:name="_Toc24626"/>
      <w:r>
        <w:rPr>
          <w:rFonts w:hint="eastAsia" w:asciiTheme="minorEastAsia" w:hAnsiTheme="minorEastAsia" w:eastAsiaTheme="minorEastAsia" w:cstheme="minorEastAsia"/>
          <w:highlight w:val="none"/>
        </w:rPr>
        <w:t>报价表（第   次</w:t>
      </w:r>
      <w:r>
        <w:rPr>
          <w:rFonts w:hint="eastAsia" w:asciiTheme="minorEastAsia" w:hAnsiTheme="minorEastAsia" w:eastAsiaTheme="minorEastAsia" w:cstheme="minorEastAsia"/>
          <w:highlight w:val="none"/>
          <w:lang w:val="en-US" w:eastAsia="zh-CN"/>
        </w:rPr>
        <w:t>/最终报价</w:t>
      </w:r>
      <w:r>
        <w:rPr>
          <w:rFonts w:hint="eastAsia" w:asciiTheme="minorEastAsia" w:hAnsiTheme="minorEastAsia" w:eastAsiaTheme="minorEastAsia" w:cstheme="minorEastAsia"/>
          <w:highlight w:val="none"/>
        </w:rPr>
        <w:t>)（单独递交）</w:t>
      </w:r>
      <w:bookmarkEnd w:id="285"/>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515"/>
        <w:gridCol w:w="1414"/>
        <w:gridCol w:w="1632"/>
        <w:gridCol w:w="1598"/>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rPr>
              <w:t>项目</w:t>
            </w:r>
            <w:r>
              <w:rPr>
                <w:rFonts w:hint="eastAsia" w:asciiTheme="minorEastAsia" w:hAnsiTheme="minorEastAsia" w:eastAsiaTheme="minorEastAsia" w:cstheme="minorEastAsia"/>
                <w:b/>
                <w:bCs/>
                <w:color w:val="auto"/>
                <w:kern w:val="0"/>
                <w:sz w:val="24"/>
                <w:highlight w:val="none"/>
                <w:lang w:eastAsia="zh-CN"/>
              </w:rPr>
              <w:t>编号</w:t>
            </w:r>
          </w:p>
        </w:tc>
        <w:tc>
          <w:tcPr>
            <w:tcW w:w="4191" w:type="pct"/>
            <w:gridSpan w:val="5"/>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rPr>
              <w:t>项目</w:t>
            </w:r>
            <w:r>
              <w:rPr>
                <w:rFonts w:hint="eastAsia" w:asciiTheme="minorEastAsia" w:hAnsiTheme="minorEastAsia" w:eastAsiaTheme="minorEastAsia" w:cstheme="minorEastAsia"/>
                <w:b/>
                <w:bCs/>
                <w:color w:val="auto"/>
                <w:kern w:val="0"/>
                <w:sz w:val="24"/>
                <w:highlight w:val="none"/>
                <w:lang w:eastAsia="zh-CN"/>
              </w:rPr>
              <w:t>名称</w:t>
            </w:r>
          </w:p>
        </w:tc>
        <w:tc>
          <w:tcPr>
            <w:tcW w:w="4191" w:type="pct"/>
            <w:gridSpan w:val="5"/>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序号</w:t>
            </w:r>
          </w:p>
        </w:tc>
        <w:tc>
          <w:tcPr>
            <w:tcW w:w="895" w:type="pc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服务明细</w:t>
            </w:r>
          </w:p>
        </w:tc>
        <w:tc>
          <w:tcPr>
            <w:tcW w:w="835" w:type="pc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数量</w:t>
            </w:r>
          </w:p>
        </w:tc>
        <w:tc>
          <w:tcPr>
            <w:tcW w:w="964" w:type="pc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单价</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auto"/>
                <w:kern w:val="0"/>
                <w:sz w:val="24"/>
                <w:highlight w:val="none"/>
                <w:lang w:eastAsia="zh-CN"/>
              </w:rPr>
            </w:pPr>
            <w:r>
              <w:rPr>
                <w:rFonts w:hint="eastAsia" w:asciiTheme="minorEastAsia" w:hAnsiTheme="minorEastAsia" w:eastAsiaTheme="minorEastAsia" w:cstheme="minorEastAsia"/>
                <w:b/>
                <w:color w:val="auto"/>
                <w:kern w:val="0"/>
                <w:sz w:val="24"/>
                <w:highlight w:val="none"/>
                <w:lang w:eastAsia="zh-CN"/>
              </w:rPr>
              <w:t>金额（元）</w:t>
            </w:r>
          </w:p>
        </w:tc>
        <w:tc>
          <w:tcPr>
            <w:tcW w:w="55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val="0"/>
                <w:bCs/>
                <w:color w:val="auto"/>
                <w:kern w:val="0"/>
                <w:sz w:val="24"/>
                <w:highlight w:val="none"/>
                <w:lang w:val="en-US" w:eastAsia="zh-CN"/>
              </w:rPr>
            </w:pPr>
            <w:r>
              <w:rPr>
                <w:rFonts w:hint="eastAsia" w:asciiTheme="minorEastAsia" w:hAnsiTheme="minorEastAsia" w:eastAsiaTheme="minorEastAsia" w:cstheme="minorEastAsia"/>
                <w:b w:val="0"/>
                <w:bCs/>
                <w:color w:val="auto"/>
                <w:kern w:val="0"/>
                <w:sz w:val="24"/>
                <w:highlight w:val="none"/>
                <w:lang w:val="en-US" w:eastAsia="zh-CN"/>
              </w:rPr>
              <w:t>1</w:t>
            </w:r>
          </w:p>
        </w:tc>
        <w:tc>
          <w:tcPr>
            <w:tcW w:w="895" w:type="pc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val="0"/>
                <w:bCs/>
                <w:color w:val="auto"/>
                <w:kern w:val="0"/>
                <w:sz w:val="24"/>
                <w:highlight w:val="none"/>
                <w:lang w:eastAsia="zh-CN"/>
              </w:rPr>
            </w:pPr>
            <w:r>
              <w:rPr>
                <w:rFonts w:hint="eastAsia" w:asciiTheme="minorEastAsia" w:hAnsiTheme="minorEastAsia" w:eastAsiaTheme="minorEastAsia" w:cstheme="minorEastAsia"/>
                <w:b w:val="0"/>
                <w:bCs/>
                <w:color w:val="auto"/>
                <w:kern w:val="0"/>
                <w:sz w:val="24"/>
                <w:highlight w:val="none"/>
                <w:lang w:eastAsia="zh-CN"/>
              </w:rPr>
              <w:t>男性体检</w:t>
            </w:r>
          </w:p>
        </w:tc>
        <w:tc>
          <w:tcPr>
            <w:tcW w:w="835" w:type="pc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auto"/>
                <w:kern w:val="0"/>
                <w:sz w:val="24"/>
                <w:highlight w:val="none"/>
              </w:rPr>
            </w:pPr>
          </w:p>
        </w:tc>
        <w:tc>
          <w:tcPr>
            <w:tcW w:w="964" w:type="pc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auto"/>
                <w:kern w:val="0"/>
                <w:sz w:val="24"/>
                <w:highlight w:val="none"/>
              </w:rPr>
            </w:pP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auto"/>
                <w:kern w:val="0"/>
                <w:sz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val="0"/>
                <w:bCs/>
                <w:color w:val="auto"/>
                <w:kern w:val="0"/>
                <w:sz w:val="24"/>
                <w:highlight w:val="none"/>
                <w:lang w:val="en-US" w:eastAsia="zh-CN"/>
              </w:rPr>
            </w:pPr>
            <w:r>
              <w:rPr>
                <w:rFonts w:hint="eastAsia" w:asciiTheme="minorEastAsia" w:hAnsiTheme="minorEastAsia" w:eastAsiaTheme="minorEastAsia" w:cstheme="minorEastAsia"/>
                <w:b w:val="0"/>
                <w:bCs/>
                <w:color w:val="auto"/>
                <w:kern w:val="0"/>
                <w:sz w:val="24"/>
                <w:highlight w:val="none"/>
                <w:lang w:val="en-US" w:eastAsia="zh-CN"/>
              </w:rPr>
              <w:t>2</w:t>
            </w:r>
          </w:p>
        </w:tc>
        <w:tc>
          <w:tcPr>
            <w:tcW w:w="89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val="0"/>
                <w:bCs/>
                <w:color w:val="auto"/>
                <w:kern w:val="0"/>
                <w:sz w:val="24"/>
                <w:highlight w:val="none"/>
                <w:lang w:eastAsia="zh-CN"/>
              </w:rPr>
            </w:pPr>
            <w:r>
              <w:rPr>
                <w:rFonts w:hint="eastAsia" w:asciiTheme="minorEastAsia" w:hAnsiTheme="minorEastAsia" w:eastAsiaTheme="minorEastAsia" w:cstheme="minorEastAsia"/>
                <w:b w:val="0"/>
                <w:bCs/>
                <w:color w:val="auto"/>
                <w:kern w:val="0"/>
                <w:sz w:val="24"/>
                <w:highlight w:val="none"/>
                <w:lang w:eastAsia="zh-CN"/>
              </w:rPr>
              <w:t>女性体检</w:t>
            </w:r>
          </w:p>
        </w:tc>
        <w:tc>
          <w:tcPr>
            <w:tcW w:w="83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auto"/>
                <w:kern w:val="0"/>
                <w:sz w:val="24"/>
                <w:highlight w:val="none"/>
              </w:rPr>
            </w:pPr>
          </w:p>
        </w:tc>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auto"/>
                <w:kern w:val="0"/>
                <w:sz w:val="24"/>
                <w:highlight w:val="none"/>
              </w:rPr>
            </w:pP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auto"/>
                <w:kern w:val="0"/>
                <w:sz w:val="24"/>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8"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color w:val="auto"/>
                <w:kern w:val="0"/>
                <w:sz w:val="24"/>
                <w:highlight w:val="none"/>
                <w:lang w:val="en-US" w:eastAsia="zh-CN"/>
              </w:rPr>
            </w:pPr>
            <w:r>
              <w:rPr>
                <w:rFonts w:hint="eastAsia" w:ascii="宋体" w:hAnsi="宋体" w:eastAsia="宋体" w:cs="宋体"/>
                <w:sz w:val="24"/>
                <w:szCs w:val="24"/>
                <w:vertAlign w:val="baseline"/>
                <w:lang w:val="en-US" w:eastAsia="zh-CN"/>
              </w:rPr>
              <w:t>报价合计</w:t>
            </w:r>
          </w:p>
        </w:tc>
        <w:tc>
          <w:tcPr>
            <w:tcW w:w="4191" w:type="pct"/>
            <w:gridSpan w:val="5"/>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人民币大写：</w:t>
            </w:r>
          </w:p>
          <w:p>
            <w:pPr>
              <w:pStyle w:val="6"/>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color w:val="auto"/>
                <w:kern w:val="0"/>
                <w:sz w:val="24"/>
                <w:highlight w:val="none"/>
              </w:rPr>
            </w:pPr>
            <w:r>
              <w:rPr>
                <w:rFonts w:hint="eastAsia" w:ascii="宋体" w:hAnsi="宋体" w:eastAsia="宋体" w:cs="宋体"/>
                <w:sz w:val="24"/>
                <w:szCs w:val="24"/>
                <w:vertAlign w:val="baseline"/>
                <w:lang w:eastAsia="zh-CN"/>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auto"/>
                <w:kern w:val="0"/>
                <w:sz w:val="24"/>
                <w:highlight w:val="none"/>
                <w:lang w:val="en-US" w:eastAsia="zh-CN"/>
              </w:rPr>
            </w:pPr>
            <w:r>
              <w:rPr>
                <w:rFonts w:hint="eastAsia" w:ascii="宋体" w:hAnsi="宋体" w:eastAsia="宋体" w:cs="宋体"/>
                <w:sz w:val="24"/>
                <w:szCs w:val="24"/>
                <w:vertAlign w:val="baseline"/>
                <w:lang w:val="en-US" w:eastAsia="zh-CN"/>
              </w:rPr>
              <w:t>备注</w:t>
            </w:r>
          </w:p>
        </w:tc>
        <w:tc>
          <w:tcPr>
            <w:tcW w:w="4191" w:type="pct"/>
            <w:gridSpan w:val="5"/>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Theme="minorEastAsia" w:hAnsiTheme="minorEastAsia" w:eastAsiaTheme="minorEastAsia" w:cstheme="minorEastAsia"/>
                <w:b/>
                <w:color w:val="auto"/>
                <w:kern w:val="0"/>
                <w:sz w:val="24"/>
                <w:highlight w:val="none"/>
              </w:rPr>
            </w:pPr>
          </w:p>
        </w:tc>
      </w:tr>
    </w:tbl>
    <w:p>
      <w:pPr>
        <w:adjustRightInd w:val="0"/>
        <w:spacing w:line="360" w:lineRule="auto"/>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w:t>
      </w:r>
    </w:p>
    <w:p>
      <w:pPr>
        <w:widowControl/>
        <w:spacing w:line="360" w:lineRule="auto"/>
        <w:ind w:firstLine="482" w:firstLineChars="200"/>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1</w:t>
      </w:r>
      <w:r>
        <w:rPr>
          <w:rFonts w:hint="eastAsia" w:asciiTheme="minorEastAsia" w:hAnsiTheme="minorEastAsia" w:eastAsiaTheme="minorEastAsia" w:cstheme="minorEastAsia"/>
          <w:b/>
          <w:bCs/>
          <w:color w:val="auto"/>
          <w:kern w:val="0"/>
          <w:sz w:val="24"/>
          <w:highlight w:val="none"/>
        </w:rPr>
        <w:t>．供应商所有报价均用人民币表示，其</w:t>
      </w:r>
      <w:r>
        <w:rPr>
          <w:rFonts w:hint="eastAsia" w:asciiTheme="minorEastAsia" w:hAnsiTheme="minorEastAsia" w:eastAsiaTheme="minorEastAsia" w:cstheme="minorEastAsia"/>
          <w:b/>
          <w:bCs/>
          <w:color w:val="auto"/>
          <w:kern w:val="0"/>
          <w:sz w:val="24"/>
          <w:highlight w:val="none"/>
          <w:lang w:eastAsia="zh-CN"/>
        </w:rPr>
        <w:t>单价</w:t>
      </w:r>
      <w:r>
        <w:rPr>
          <w:rFonts w:hint="eastAsia" w:asciiTheme="minorEastAsia" w:hAnsiTheme="minorEastAsia" w:eastAsiaTheme="minorEastAsia" w:cstheme="minorEastAsia"/>
          <w:b/>
          <w:bCs/>
          <w:color w:val="auto"/>
          <w:kern w:val="0"/>
          <w:sz w:val="24"/>
          <w:highlight w:val="none"/>
        </w:rPr>
        <w:t>即为履行合同的固定价格。人工费、检验、培训、税金</w:t>
      </w:r>
      <w:r>
        <w:rPr>
          <w:rFonts w:hint="eastAsia" w:asciiTheme="minorEastAsia" w:hAnsiTheme="minorEastAsia" w:eastAsiaTheme="minorEastAsia" w:cstheme="minorEastAsia"/>
          <w:b/>
          <w:bCs/>
          <w:color w:val="auto"/>
          <w:sz w:val="24"/>
          <w:highlight w:val="none"/>
        </w:rPr>
        <w:t>、知识产权费（若有）</w:t>
      </w:r>
      <w:r>
        <w:rPr>
          <w:rFonts w:hint="eastAsia" w:asciiTheme="minorEastAsia" w:hAnsiTheme="minorEastAsia" w:eastAsiaTheme="minorEastAsia" w:cstheme="minorEastAsia"/>
          <w:b/>
          <w:bCs/>
          <w:color w:val="auto"/>
          <w:kern w:val="0"/>
          <w:sz w:val="24"/>
          <w:highlight w:val="none"/>
        </w:rPr>
        <w:t>和保险等费用以及磋商文件规定的其他费用均应包含在报价中。</w:t>
      </w:r>
    </w:p>
    <w:p>
      <w:pPr>
        <w:keepNext w:val="0"/>
        <w:keepLines w:val="0"/>
        <w:pageBreakBefore w:val="0"/>
        <w:widowControl/>
        <w:kinsoku/>
        <w:wordWrap/>
        <w:overflowPunct/>
        <w:topLinePunct w:val="0"/>
        <w:autoSpaceDE/>
        <w:autoSpaceDN/>
        <w:bidi w:val="0"/>
        <w:adjustRightInd/>
        <w:snapToGrid/>
        <w:spacing w:line="360" w:lineRule="auto"/>
        <w:ind w:leftChars="0"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为方便报价，请供应商准备三份加盖了供应商印章的最后报价表到磋商现场，用于现场报价，最后报价表填写好后必须密封、签字或加盖单位公章</w:t>
      </w:r>
      <w:r>
        <w:rPr>
          <w:rFonts w:hint="eastAsia" w:asciiTheme="minorEastAsia" w:hAnsiTheme="minorEastAsia" w:eastAsiaTheme="minorEastAsia" w:cstheme="minorEastAsia"/>
          <w:b/>
          <w:bCs/>
          <w:color w:val="auto"/>
          <w:sz w:val="24"/>
          <w:szCs w:val="24"/>
          <w:highlight w:val="none"/>
          <w:lang w:eastAsia="zh-CN"/>
        </w:rPr>
        <w:t>。</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3、本表单独递交，不需装订在响应文件中。</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rPr>
      </w:pPr>
    </w:p>
    <w:p>
      <w:pPr>
        <w:widowControl/>
        <w:spacing w:line="360" w:lineRule="auto"/>
        <w:ind w:firstLine="48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（单位盖章）</w:t>
      </w:r>
    </w:p>
    <w:p>
      <w:pPr>
        <w:widowControl/>
        <w:spacing w:line="360" w:lineRule="auto"/>
        <w:ind w:firstLine="48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bCs/>
          <w:sz w:val="24"/>
        </w:rPr>
        <w:t>/单位负责人</w:t>
      </w:r>
      <w:r>
        <w:rPr>
          <w:rFonts w:hint="eastAsia" w:asciiTheme="minorEastAsia" w:hAnsiTheme="minorEastAsia" w:eastAsiaTheme="minorEastAsia" w:cstheme="minorEastAsia"/>
          <w:sz w:val="24"/>
          <w:szCs w:val="24"/>
        </w:rPr>
        <w:t>或其授权代表（签字或加盖个人名章）</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u w:val="single"/>
        </w:rPr>
        <w:t xml:space="preserve">          </w:t>
      </w:r>
    </w:p>
    <w:p>
      <w:pPr>
        <w:widowControl/>
        <w:spacing w:line="360" w:lineRule="auto"/>
        <w:ind w:firstLine="48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日。</w:t>
      </w:r>
    </w:p>
    <w:p>
      <w:pPr>
        <w:pStyle w:val="3"/>
        <w:keepNext/>
        <w:keepLines/>
        <w:pageBreakBefore w:val="0"/>
        <w:widowControl w:val="0"/>
        <w:kinsoku/>
        <w:wordWrap/>
        <w:overflowPunct/>
        <w:topLinePunct w:val="0"/>
        <w:autoSpaceDE/>
        <w:autoSpaceDN/>
        <w:bidi w:val="0"/>
        <w:adjustRightInd/>
        <w:snapToGrid/>
        <w:spacing w:before="0" w:line="360" w:lineRule="auto"/>
        <w:jc w:val="center"/>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bookmarkStart w:id="286" w:name="_Toc11827"/>
      <w:bookmarkStart w:id="287" w:name="_Toc6512"/>
      <w:r>
        <w:rPr>
          <w:rFonts w:hint="eastAsia" w:asciiTheme="minorEastAsia" w:hAnsiTheme="minorEastAsia" w:eastAsiaTheme="minorEastAsia" w:cstheme="minorEastAsia"/>
          <w:color w:val="000000" w:themeColor="text1"/>
          <w14:textFill>
            <w14:solidFill>
              <w14:schemeClr w14:val="tx1"/>
            </w14:solidFill>
          </w14:textFill>
        </w:rPr>
        <w:t>第</w:t>
      </w:r>
      <w:r>
        <w:rPr>
          <w:rFonts w:hint="eastAsia" w:asciiTheme="minorEastAsia" w:hAnsiTheme="minorEastAsia" w:eastAsiaTheme="minorEastAsia" w:cstheme="minorEastAsia"/>
          <w:color w:val="000000" w:themeColor="text1"/>
          <w:lang w:eastAsia="zh-CN"/>
          <w14:textFill>
            <w14:solidFill>
              <w14:schemeClr w14:val="tx1"/>
            </w14:solidFill>
          </w14:textFill>
        </w:rPr>
        <w:t>八</w:t>
      </w:r>
      <w:r>
        <w:rPr>
          <w:rFonts w:hint="eastAsia" w:asciiTheme="minorEastAsia" w:hAnsiTheme="minorEastAsia" w:eastAsiaTheme="minorEastAsia" w:cstheme="minorEastAsia"/>
          <w:color w:val="000000" w:themeColor="text1"/>
          <w14:textFill>
            <w14:solidFill>
              <w14:schemeClr w14:val="tx1"/>
            </w14:solidFill>
          </w14:textFill>
        </w:rPr>
        <w:t>章  评审方法</w:t>
      </w:r>
      <w:bookmarkEnd w:id="286"/>
      <w:bookmarkEnd w:id="287"/>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2" w:firstLineChars="196"/>
        <w:jc w:val="both"/>
        <w:textAlignment w:val="auto"/>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bookmarkStart w:id="288" w:name="_Toc101250640"/>
      <w:bookmarkStart w:id="289" w:name="_Toc209847065"/>
      <w:bookmarkStart w:id="290" w:name="_Toc101174146"/>
      <w:bookmarkStart w:id="291" w:name="_Toc101338358"/>
      <w:bookmarkStart w:id="292" w:name="_Toc430773924"/>
      <w:r>
        <w:rPr>
          <w:rFonts w:hint="eastAsia" w:asciiTheme="minorEastAsia" w:hAnsiTheme="minorEastAsia" w:eastAsiaTheme="minorEastAsia" w:cstheme="minorEastAsia"/>
          <w:b/>
          <w:bCs/>
          <w:color w:val="000000" w:themeColor="text1"/>
          <w:sz w:val="24"/>
          <w:szCs w:val="24"/>
          <w14:textFill>
            <w14:solidFill>
              <w14:schemeClr w14:val="tx1"/>
            </w14:solidFill>
          </w14:textFill>
        </w:rPr>
        <w:t>1.总则</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1.1 根据《中华人民共和国政府采购法》、《中华人民共和国政府采购法实施条例》、《政府采购竞争性磋商采购方式管理暂行办法》等法律制度，结合本采购项目特点制定本磋商方法。</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1.2 磋商工作由采购代理机构负责组织，具体磋商由采购代理机构依法组建的磋商小组负责。</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1.3 磋商工作应遵循公平、公正、科学及择优的原则，并以相同的磋商程序和标准对待所有的供应商。</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1.4 磋商小组按照磋商文件规定的磋商程序、评分方法和标准进行评审，并独立履行下列职责：</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（一）熟悉和理解磋商文件，确定磋商文件内容是否违反国家有关强制性规定或者磋商文件存在歧义、重大缺陷，根据需要书面要求采购人、采购代理机构对磋商文件作出解释；</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（二）审查供应商响应文件是否满足磋商文件要求，并作出公正评价；</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（三）根据需要要求供应商对响应文件中含义不明确、同类问题表述不一致或者有明显文字和计算错误的内容等作出必要的澄清、说明或者更正；</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（四）推荐成交供应商，或者受采购人委托确定成交供应商；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（五）起草评审报告并进行签署；</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（六）向采购人/采购代理机构、财政部门或者其他监督部门报告非法干预评审工作的行为；</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（七）法律、法规和规章规定的其他职责。</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1.5 （实质性要求）磋商过程独立、保密。供应商非法干预磋商过程的，其响应文件作无效处理。</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2" w:firstLineChars="196"/>
        <w:textAlignment w:val="auto"/>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2.磋商程序</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2.1审查磋商文件和停止评审。</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2.1.2 本磋商文件有下列情形之一的，磋商小组应当停止评审：</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（1）磋商文件的规定存在歧义、重大缺陷的；</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（2）磋商文件明显以不合理条件对供应商实行差别待遇或者歧视待遇的；</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（3）采购项目属于国家规定的优先、强制采购范围，但是磋商文件未依法体现优先、强制采购相关规定的；</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（4）采购项目属于政府采购促进中小企业发展的范围，但是磋商文件未依法体现促进中小企业发展相关规定的；</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（5）磋商文件将供应商的资格条件列为评分因素的；</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（6）磋商文件载明的成交原则不合法的；</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（7）磋商文件有违反国家其他有关强制性规定的情形。</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2.1.3 出现本条2.1.2规定应当停止评审情形的，磋商小组应当向采购人书面说明情况。除本条规定的情形外，磋商小组不得以任何方式和理由停止评审。</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2.2资格性审查。</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2.2.1本项目需要磋商小组进行资格性检查。</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磋商小组应依据法律法规和磋商文件的规定，对响应文件是否按照规定要求提供资格性证明材料、是否属于禁止参加磋商的供应商等进行审查，以确定供应商是否具备磋商资格。</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2.2.2资格性审查结束后，磋商小组应当出具资格性审查报告，没有通过资格审查的供应商，磋商小组应当在资格审查报告中说明原因。</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2.2.3磋商小组应依据磋商文件规定的实质性要求，对符合资格的响应文件进行有效性、完整性和响应程度审查，以确定参加磋商的供应商名单。</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2.2.4采购人或者采购代理机构宣布未通过资格性审查的供应商名单时，应当告知供应商未通过审查的原因。</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2.3 通过资格性审查的供应商不足</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家的，终止本次采购活动，并发布终止采购活动公告。</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2.4磋商。</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2.4.2每轮磋商开始前，磋商小组应根据磋商文件的规定，并结合各供应商的响应文件拟定磋商内容。</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2.4.3在磋商过程中，磋商小组可以根据磋商文件和磋商情况实质性变动磋商文件的技术、服务要求以及合同草案条款，但不得变动磋商文件中的其他内容。实质性变动的内容，须经采购人代表书面确认。</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2.4.4对磋商文件作出的实质性变动是磋商文件的有效组成部分，磋商小组应当及时以书面形式同时通知所有参加磋商的供应商。</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2.4.6磋商过程中，磋商的任何一方不得透露与磋商有关的其他供应商的技术资料、价格和其他信息。</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2.4.7磋商过程中，磋商小组发现或者知晓供应商存在违法、违纪行为的，磋商小组应当将该供应商响应文件作无效处理，不允许其提交最后报价。</w:t>
      </w:r>
    </w:p>
    <w:p>
      <w:pPr>
        <w:keepNext w:val="0"/>
        <w:keepLines w:val="0"/>
        <w:pageBreakBefore w:val="0"/>
        <w:kinsoku/>
        <w:wordWrap/>
        <w:overflowPunct/>
        <w:topLinePunct w:val="0"/>
        <w:autoSpaceDE/>
        <w:autoSpaceDN/>
        <w:bidi w:val="0"/>
        <w:spacing w:before="0" w:after="0" w:line="360" w:lineRule="auto"/>
        <w:ind w:right="0" w:rightChars="0" w:firstLine="470" w:firstLineChars="196"/>
        <w:textAlignment w:val="auto"/>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2.4.8磋商完成后，磋商小组应出具磋商情况记录表，磋商情况记录表需包含磋商内容、磋商意见、实质性变动内容等。</w:t>
      </w: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2.5最后报价。</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2.5.1磋商文件能够详细列明采购标的的技术、服务要求的，磋商结束后，磋商小组应当要求所有实质性响应的供应商在规定时间内提交最后报价，提交最后报价的供应商不得少于</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14:textFill>
            <w14:solidFill>
              <w14:schemeClr w14:val="tx1"/>
            </w14:solidFill>
          </w14:textFill>
        </w:rPr>
        <w:t>家。或磋商文件不能详细列明采购标的的技术、服务要求，需经磋商由供应商提供最终设计方案或解决方案的，磋商结束后，磋商小组应当按照少数服从多数的原则投票推荐</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14:textFill>
            <w14:solidFill>
              <w14:schemeClr w14:val="tx1"/>
            </w14:solidFill>
          </w14:textFill>
        </w:rPr>
        <w:t>家以上供应商的设计方案或者解决方案，并要求其在规定时间内提交最后报价。</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2.5.2磋商结束后，磋商小组应当要求所有实质性响应的供应商在规定时间内提交最后报价。两轮（</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响应文件中的报价算一轮</w:t>
      </w:r>
      <w:r>
        <w:rPr>
          <w:rFonts w:hint="eastAsia" w:asciiTheme="minorEastAsia" w:hAnsiTheme="minorEastAsia" w:eastAsiaTheme="minorEastAsia" w:cstheme="minorEastAsia"/>
          <w:color w:val="000000" w:themeColor="text1"/>
          <w:sz w:val="24"/>
          <w14:textFill>
            <w14:solidFill>
              <w14:schemeClr w14:val="tx1"/>
            </w14:solidFill>
          </w14:textFill>
        </w:rPr>
        <w:t>）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2.5.3供应商最后报价应当由法定代表人/主要负责人/本人或其授权代表签字确认或加盖公章。最后报价是供应商响应文件的有效组成部分。</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2.6比较与评价。由磋商小组采用综合评分法对提交最后报价的供应商的响应文件和最后报价进行综合评分，具体要求详见本章综合评分部分。</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rPr>
        <w:t>2.7</w:t>
      </w:r>
      <w:r>
        <w:rPr>
          <w:rFonts w:hint="eastAsia" w:asciiTheme="minorEastAsia" w:hAnsiTheme="minorEastAsia" w:eastAsiaTheme="minorEastAsia" w:cstheme="minorEastAsia"/>
          <w:b/>
          <w:bCs/>
          <w:color w:val="auto"/>
          <w:sz w:val="24"/>
          <w:highlight w:val="none"/>
        </w:rPr>
        <w:t>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得分高低）顺序推荐。评审得分且最后报价且技术指标得分均相同的，成交候选供应商并列,优先选择不发达地区和少数民族地区的供应商；评审得分且最后报价且技术指标得分均相同的，无供应商均属于不发达地区和少数民族地区的或供应商均属于不发达地区和少数民族地区，由采购人随机抽签确定成交供应商。</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2.8磋商小组复核。磋商小组评分汇总结束后，磋商小组应当进行评审复核，对拟推荐为成交候选供应商的、报价最低的、供应商资格审查未通过的、供应商响应文件作无效处理的重点复核。</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2.9采购组织单位现场复核评审结果。</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2.9.1评审结果汇总完成后，磋商小组拟出具磋商评审报告前，采购</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代理机构</w:t>
      </w:r>
      <w:r>
        <w:rPr>
          <w:rFonts w:hint="eastAsia" w:asciiTheme="minorEastAsia" w:hAnsiTheme="minorEastAsia" w:eastAsiaTheme="minorEastAsia" w:cstheme="minorEastAsia"/>
          <w:color w:val="000000" w:themeColor="text1"/>
          <w:sz w:val="24"/>
          <w14:textFill>
            <w14:solidFill>
              <w14:schemeClr w14:val="tx1"/>
            </w14:solidFill>
          </w14:textFill>
        </w:rPr>
        <w:t>应当组织</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14:textFill>
            <w14:solidFill>
              <w14:schemeClr w14:val="tx1"/>
            </w14:solidFill>
          </w14:textFill>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（1）资格性审查认定错误的；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（2）分值汇总计算错误的；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（3）分项评分超出评分标准范围的；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（4）客观评分不一致的。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采购代理机构复核过程中，磋商小组成员不得离开评审现场。</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2.9.2有下列情形之一的，不得现场修改评审结果：</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（1）磋商小组已经出具磋商报告并且离开评审现场的；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（2）采购代理机构现场复核时，复核工作人员数量不足的；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（3）采购代理机构现场复核时，没有采购监督人员现场监督的；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（4）采购代理机构现场复核内容超出规定范围的；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（5）采购代理机构未提供书面建议的。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2.10编写磋商报告。磋商小组推荐成交候选供应商后，应向采购代理机构出具磋商报告。磋商报告应当包括以下主要内容：</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（1）邀请供应商参加采购活动的具体方式和相关情况；</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（2）响应文件开启日期和地点；</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（3）获取磋商文件的供应商名单和磋商小组成员名单；</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（4）评审情况记录和说明，包括对供应商的资格审查情况、供应商响应文件审查情况、磋商情况、报价情况等；</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（5）提出的成交候选供应商的排序名单及理由。</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2.12供应商澄清、说明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2.12.2磋商小组要求供应商澄清、说明或者更正响应文件应当以书面形式作出。供应商的澄清、说明或者更正应当由法定代表人/主要负责人/本人或其授权代表签字或者加盖公章。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2.13终止磋商采购活动。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出现下列情形之一的，采购人或者采购代理机构应当终止竞争性磋商采购活动，发布项目终止公告并说明原因，重新开展采购活动：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（3）在采购过程中符合要求的供应商或者报价未超过采购预算的供应商不足</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14:textFill>
            <w14:solidFill>
              <w14:schemeClr w14:val="tx1"/>
            </w14:solidFill>
          </w14:textFill>
        </w:rPr>
        <w:t>家的。</w:t>
      </w:r>
    </w:p>
    <w:p>
      <w:pPr>
        <w:keepNext w:val="0"/>
        <w:keepLines w:val="0"/>
        <w:pageBreakBefore w:val="0"/>
        <w:kinsoku/>
        <w:wordWrap/>
        <w:overflowPunct/>
        <w:topLinePunct w:val="0"/>
        <w:autoSpaceDE/>
        <w:autoSpaceDN/>
        <w:bidi w:val="0"/>
        <w:adjustRightInd/>
        <w:snapToGrid/>
        <w:spacing w:line="372" w:lineRule="auto"/>
        <w:ind w:right="0" w:rightChars="0" w:firstLine="482" w:firstLineChars="200"/>
        <w:textAlignment w:val="auto"/>
        <w:outlineLvl w:val="9"/>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3.综合评分</w:t>
      </w:r>
    </w:p>
    <w:p>
      <w:pPr>
        <w:keepNext w:val="0"/>
        <w:keepLines w:val="0"/>
        <w:pageBreakBefore w:val="0"/>
        <w:widowControl/>
        <w:kinsoku/>
        <w:wordWrap/>
        <w:overflowPunct/>
        <w:topLinePunct w:val="0"/>
        <w:autoSpaceDE/>
        <w:autoSpaceDN/>
        <w:bidi w:val="0"/>
        <w:adjustRightInd/>
        <w:snapToGrid/>
        <w:spacing w:line="372" w:lineRule="auto"/>
        <w:ind w:right="0" w:rightChars="0" w:firstLine="48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3.1本次综合评分的因素：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详见综合评分明细表</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72"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3.2 除价格因素外，磋商小组成员应当根据自身专业情况独立对每个有效供应商的响应文件进行评价、打分。技术、与技术有关的服务及其他技术类评分因素由抽取的技术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7"/>
        <w:keepNext w:val="0"/>
        <w:keepLines w:val="0"/>
        <w:pageBreakBefore w:val="0"/>
        <w:tabs>
          <w:tab w:val="left" w:pos="600"/>
        </w:tabs>
        <w:kinsoku/>
        <w:wordWrap/>
        <w:overflowPunct/>
        <w:topLinePunct w:val="0"/>
        <w:autoSpaceDE/>
        <w:autoSpaceDN/>
        <w:bidi w:val="0"/>
        <w:adjustRightInd/>
        <w:snapToGrid/>
        <w:spacing w:line="372"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3.3综合评分明细表</w:t>
      </w:r>
    </w:p>
    <w:p>
      <w:pPr>
        <w:pStyle w:val="7"/>
        <w:keepNext w:val="0"/>
        <w:keepLines w:val="0"/>
        <w:pageBreakBefore w:val="0"/>
        <w:tabs>
          <w:tab w:val="left" w:pos="600"/>
        </w:tabs>
        <w:kinsoku/>
        <w:wordWrap/>
        <w:overflowPunct/>
        <w:topLinePunct w:val="0"/>
        <w:autoSpaceDE/>
        <w:autoSpaceDN/>
        <w:bidi w:val="0"/>
        <w:adjustRightInd/>
        <w:snapToGrid/>
        <w:spacing w:line="372"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3.3.1综合评分明细表的制定以科学合理、降低评委会自由裁量权为原则。</w:t>
      </w:r>
    </w:p>
    <w:p>
      <w:pPr>
        <w:keepNext w:val="0"/>
        <w:keepLines w:val="0"/>
        <w:pageBreakBefore w:val="0"/>
        <w:kinsoku/>
        <w:wordWrap/>
        <w:overflowPunct/>
        <w:topLinePunct w:val="0"/>
        <w:autoSpaceDE/>
        <w:autoSpaceDN/>
        <w:bidi w:val="0"/>
        <w:spacing w:before="0" w:after="0" w:line="360" w:lineRule="auto"/>
        <w:ind w:right="0" w:rightChars="0" w:firstLine="472" w:firstLineChars="196"/>
        <w:textAlignment w:val="auto"/>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3.3.2综合评分明细表</w:t>
      </w:r>
    </w:p>
    <w:tbl>
      <w:tblPr>
        <w:tblStyle w:val="12"/>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396"/>
        <w:gridCol w:w="912"/>
        <w:gridCol w:w="5025"/>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jc w:val="center"/>
        </w:trPr>
        <w:tc>
          <w:tcPr>
            <w:tcW w:w="747" w:type="dxa"/>
            <w:vAlign w:val="center"/>
          </w:tcPr>
          <w:p>
            <w:pPr>
              <w:pStyle w:val="25"/>
              <w:keepNext w:val="0"/>
              <w:keepLines w:val="0"/>
              <w:pageBreakBefore w:val="0"/>
              <w:widowControl/>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序号</w:t>
            </w:r>
          </w:p>
        </w:tc>
        <w:tc>
          <w:tcPr>
            <w:tcW w:w="1396" w:type="dxa"/>
            <w:vAlign w:val="center"/>
          </w:tcPr>
          <w:p>
            <w:pPr>
              <w:pStyle w:val="25"/>
              <w:keepNext w:val="0"/>
              <w:keepLines w:val="0"/>
              <w:pageBreakBefore w:val="0"/>
              <w:widowControl/>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评分因素及权重</w:t>
            </w:r>
          </w:p>
        </w:tc>
        <w:tc>
          <w:tcPr>
            <w:tcW w:w="912" w:type="dxa"/>
            <w:vAlign w:val="center"/>
          </w:tcPr>
          <w:p>
            <w:pPr>
              <w:pStyle w:val="25"/>
              <w:keepNext w:val="0"/>
              <w:keepLines w:val="0"/>
              <w:pageBreakBefore w:val="0"/>
              <w:widowControl/>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分值</w:t>
            </w:r>
          </w:p>
        </w:tc>
        <w:tc>
          <w:tcPr>
            <w:tcW w:w="5025" w:type="dxa"/>
            <w:vAlign w:val="center"/>
          </w:tcPr>
          <w:p>
            <w:pPr>
              <w:pStyle w:val="25"/>
              <w:pageBreakBefore w:val="0"/>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评分标准</w:t>
            </w:r>
          </w:p>
        </w:tc>
        <w:tc>
          <w:tcPr>
            <w:tcW w:w="879" w:type="dxa"/>
            <w:vAlign w:val="center"/>
          </w:tcPr>
          <w:p>
            <w:pPr>
              <w:pStyle w:val="25"/>
              <w:pageBreakBefore w:val="0"/>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7" w:type="dxa"/>
            <w:vAlign w:val="center"/>
          </w:tcPr>
          <w:p>
            <w:pPr>
              <w:pStyle w:val="25"/>
              <w:keepNext w:val="0"/>
              <w:keepLines w:val="0"/>
              <w:pageBreakBefore w:val="0"/>
              <w:widowControl/>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w:t>
            </w:r>
          </w:p>
        </w:tc>
        <w:tc>
          <w:tcPr>
            <w:tcW w:w="1396" w:type="dxa"/>
            <w:vAlign w:val="center"/>
          </w:tcPr>
          <w:p>
            <w:pPr>
              <w:pStyle w:val="25"/>
              <w:keepNext w:val="0"/>
              <w:keepLines w:val="0"/>
              <w:pageBreakBefore w:val="0"/>
              <w:widowControl/>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报价1</w:t>
            </w:r>
            <w:r>
              <w:rPr>
                <w:rFonts w:hint="eastAsia" w:asciiTheme="minorEastAsia" w:hAnsiTheme="minorEastAsia" w:eastAsiaTheme="minorEastAsia" w:cstheme="minorEastAsia"/>
                <w:b w:val="0"/>
                <w:bCs w:val="0"/>
                <w:sz w:val="24"/>
                <w:szCs w:val="24"/>
                <w:lang w:val="en-US" w:eastAsia="zh-CN"/>
              </w:rPr>
              <w:t>0</w:t>
            </w:r>
            <w:r>
              <w:rPr>
                <w:rFonts w:hint="eastAsia" w:asciiTheme="minorEastAsia" w:hAnsiTheme="minorEastAsia" w:eastAsiaTheme="minorEastAsia" w:cstheme="minorEastAsia"/>
                <w:b w:val="0"/>
                <w:bCs w:val="0"/>
                <w:sz w:val="24"/>
                <w:szCs w:val="24"/>
              </w:rPr>
              <w:t>%</w:t>
            </w:r>
          </w:p>
        </w:tc>
        <w:tc>
          <w:tcPr>
            <w:tcW w:w="912" w:type="dxa"/>
            <w:vAlign w:val="center"/>
          </w:tcPr>
          <w:p>
            <w:pPr>
              <w:pStyle w:val="25"/>
              <w:keepNext w:val="0"/>
              <w:keepLines w:val="0"/>
              <w:pageBreakBefore w:val="0"/>
              <w:widowControl/>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lang w:val="en-US" w:eastAsia="zh-CN"/>
              </w:rPr>
              <w:t>0</w:t>
            </w:r>
            <w:r>
              <w:rPr>
                <w:rFonts w:hint="eastAsia" w:asciiTheme="minorEastAsia" w:hAnsiTheme="minorEastAsia" w:eastAsiaTheme="minorEastAsia" w:cstheme="minorEastAsia"/>
                <w:b w:val="0"/>
                <w:bCs w:val="0"/>
                <w:sz w:val="24"/>
                <w:szCs w:val="24"/>
              </w:rPr>
              <w:t>分</w:t>
            </w:r>
          </w:p>
        </w:tc>
        <w:tc>
          <w:tcPr>
            <w:tcW w:w="5025" w:type="dxa"/>
            <w:vAlign w:val="center"/>
          </w:tcPr>
          <w:p>
            <w:pPr>
              <w:keepNext w:val="0"/>
              <w:keepLines w:val="0"/>
              <w:pageBreakBefore w:val="0"/>
              <w:widowControl/>
              <w:kinsoku/>
              <w:wordWrap/>
              <w:overflowPunct/>
              <w:topLinePunct w:val="0"/>
              <w:autoSpaceDE/>
              <w:autoSpaceDN/>
              <w:bidi w:val="0"/>
              <w:adjustRightInd/>
              <w:snapToGrid/>
              <w:spacing w:line="384" w:lineRule="auto"/>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满足磋商文件要求且最后报价最低的供应商的价格为磋商基准价，其价格分为满分。其他供应商的价格分统一按照下列公式计算：磋商报价得分=（磋商基准价/最后磋商报价）×1</w:t>
            </w:r>
            <w:r>
              <w:rPr>
                <w:rFonts w:hint="eastAsia" w:asciiTheme="minorEastAsia" w:hAnsiTheme="minorEastAsia" w:eastAsiaTheme="minorEastAsia" w:cstheme="minorEastAsia"/>
                <w:b w:val="0"/>
                <w:bCs w:val="0"/>
                <w:sz w:val="24"/>
                <w:szCs w:val="24"/>
                <w:lang w:val="en-US" w:eastAsia="zh-CN"/>
              </w:rPr>
              <w:t>0</w:t>
            </w:r>
            <w:r>
              <w:rPr>
                <w:rFonts w:hint="eastAsia" w:asciiTheme="minorEastAsia" w:hAnsiTheme="minorEastAsia" w:eastAsiaTheme="minorEastAsia" w:cstheme="minorEastAsia"/>
                <w:b w:val="0"/>
                <w:bCs w:val="0"/>
                <w:sz w:val="24"/>
                <w:szCs w:val="24"/>
              </w:rPr>
              <w:t>%×100。</w:t>
            </w:r>
            <w:r>
              <w:rPr>
                <w:rFonts w:hint="eastAsia" w:asciiTheme="minorEastAsia" w:hAnsiTheme="minorEastAsia" w:eastAsiaTheme="minorEastAsia" w:cstheme="minorEastAsia"/>
                <w:b w:val="0"/>
                <w:bCs w:val="0"/>
                <w:color w:val="000000"/>
                <w:sz w:val="24"/>
                <w:szCs w:val="24"/>
              </w:rPr>
              <w:t>（</w:t>
            </w:r>
            <w:r>
              <w:rPr>
                <w:rFonts w:hint="eastAsia" w:asciiTheme="minorEastAsia" w:hAnsiTheme="minorEastAsia" w:eastAsiaTheme="minorEastAsia" w:cstheme="minorEastAsia"/>
                <w:b w:val="0"/>
                <w:bCs w:val="0"/>
                <w:color w:val="000000"/>
                <w:kern w:val="0"/>
                <w:sz w:val="24"/>
                <w:szCs w:val="24"/>
              </w:rPr>
              <w:t>小微企业（监狱企业、残疾人福利性单位视同小微企业）价格扣除按照本磋商文件供应商须知附表规定执行</w:t>
            </w:r>
            <w:r>
              <w:rPr>
                <w:rFonts w:hint="eastAsia" w:asciiTheme="minorEastAsia" w:hAnsiTheme="minorEastAsia" w:eastAsiaTheme="minorEastAsia" w:cstheme="minorEastAsia"/>
                <w:b w:val="0"/>
                <w:bCs w:val="0"/>
                <w:color w:val="000000"/>
                <w:sz w:val="24"/>
                <w:szCs w:val="24"/>
              </w:rPr>
              <w:t>）。</w:t>
            </w:r>
          </w:p>
        </w:tc>
        <w:tc>
          <w:tcPr>
            <w:tcW w:w="879" w:type="dxa"/>
            <w:vAlign w:val="center"/>
          </w:tcPr>
          <w:p>
            <w:pPr>
              <w:pStyle w:val="25"/>
              <w:pageBreakBefore w:val="0"/>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共同评分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7" w:type="dxa"/>
            <w:vAlign w:val="center"/>
          </w:tcPr>
          <w:p>
            <w:pPr>
              <w:pStyle w:val="25"/>
              <w:keepNext w:val="0"/>
              <w:keepLines w:val="0"/>
              <w:pageBreakBefore w:val="0"/>
              <w:widowControl/>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1396" w:type="dxa"/>
            <w:vAlign w:val="center"/>
          </w:tcPr>
          <w:p>
            <w:pPr>
              <w:pStyle w:val="25"/>
              <w:keepNext w:val="0"/>
              <w:keepLines w:val="0"/>
              <w:pageBreakBefore w:val="0"/>
              <w:widowControl/>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体检设备情况</w:t>
            </w:r>
            <w:r>
              <w:rPr>
                <w:rFonts w:hint="eastAsia" w:asciiTheme="minorEastAsia" w:hAnsiTheme="minorEastAsia" w:eastAsiaTheme="minorEastAsia" w:cstheme="minorEastAsia"/>
                <w:b w:val="0"/>
                <w:bCs w:val="0"/>
                <w:sz w:val="24"/>
                <w:szCs w:val="24"/>
                <w:lang w:val="en-US" w:eastAsia="zh-CN"/>
              </w:rPr>
              <w:t>13%</w:t>
            </w:r>
          </w:p>
        </w:tc>
        <w:tc>
          <w:tcPr>
            <w:tcW w:w="912" w:type="dxa"/>
            <w:vAlign w:val="center"/>
          </w:tcPr>
          <w:p>
            <w:pPr>
              <w:pStyle w:val="25"/>
              <w:keepNext w:val="0"/>
              <w:keepLines w:val="0"/>
              <w:pageBreakBefore w:val="0"/>
              <w:widowControl/>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13分</w:t>
            </w:r>
          </w:p>
        </w:tc>
        <w:tc>
          <w:tcPr>
            <w:tcW w:w="5025" w:type="dxa"/>
            <w:vAlign w:val="center"/>
          </w:tcPr>
          <w:p>
            <w:pPr>
              <w:pStyle w:val="7"/>
              <w:keepNext w:val="0"/>
              <w:keepLines w:val="0"/>
              <w:pageBreakBefore w:val="0"/>
              <w:widowControl/>
              <w:tabs>
                <w:tab w:val="left" w:pos="600"/>
              </w:tabs>
              <w:kinsoku/>
              <w:wordWrap/>
              <w:overflowPunct/>
              <w:topLinePunct w:val="0"/>
              <w:autoSpaceDE/>
              <w:autoSpaceDN/>
              <w:bidi w:val="0"/>
              <w:adjustRightInd/>
              <w:snapToGrid/>
              <w:spacing w:line="384" w:lineRule="auto"/>
              <w:ind w:firstLine="0" w:firstLineChars="0"/>
              <w:jc w:val="left"/>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1、供应商</w:t>
            </w:r>
            <w:r>
              <w:rPr>
                <w:rFonts w:hint="eastAsia" w:asciiTheme="minorEastAsia" w:hAnsiTheme="minorEastAsia" w:eastAsiaTheme="minorEastAsia" w:cstheme="minorEastAsia"/>
                <w:b w:val="0"/>
                <w:bCs w:val="0"/>
                <w:sz w:val="24"/>
                <w:szCs w:val="24"/>
                <w:lang w:eastAsia="zh-CN"/>
              </w:rPr>
              <w:t>拟投入本次</w:t>
            </w:r>
            <w:r>
              <w:rPr>
                <w:rFonts w:hint="eastAsia" w:asciiTheme="minorEastAsia" w:hAnsiTheme="minorEastAsia" w:eastAsiaTheme="minorEastAsia" w:cstheme="minorEastAsia"/>
                <w:b w:val="0"/>
                <w:bCs w:val="0"/>
                <w:sz w:val="24"/>
                <w:szCs w:val="24"/>
              </w:rPr>
              <w:t>体检服务的彩超</w:t>
            </w:r>
            <w:r>
              <w:rPr>
                <w:rFonts w:hint="eastAsia" w:asciiTheme="minorEastAsia" w:hAnsiTheme="minorEastAsia" w:eastAsiaTheme="minorEastAsia" w:cstheme="minorEastAsia"/>
                <w:b w:val="0"/>
                <w:bCs w:val="0"/>
                <w:sz w:val="24"/>
                <w:szCs w:val="24"/>
                <w:lang w:eastAsia="zh-CN"/>
              </w:rPr>
              <w:t>设备</w:t>
            </w:r>
            <w:r>
              <w:rPr>
                <w:rFonts w:hint="eastAsia" w:asciiTheme="minorEastAsia" w:hAnsiTheme="minorEastAsia" w:eastAsiaTheme="minorEastAsia" w:cstheme="minorEastAsia"/>
                <w:b w:val="0"/>
                <w:bCs w:val="0"/>
                <w:sz w:val="24"/>
                <w:szCs w:val="24"/>
              </w:rPr>
              <w:t>数量</w:t>
            </w:r>
            <w:r>
              <w:rPr>
                <w:rFonts w:hint="eastAsia" w:asciiTheme="minorEastAsia" w:hAnsiTheme="minorEastAsia" w:eastAsiaTheme="minorEastAsia" w:cstheme="minorEastAsia"/>
                <w:b w:val="0"/>
                <w:bCs w:val="0"/>
                <w:sz w:val="24"/>
                <w:szCs w:val="24"/>
                <w:lang w:eastAsia="zh-CN"/>
              </w:rPr>
              <w:t>有</w:t>
            </w:r>
            <w:r>
              <w:rPr>
                <w:rFonts w:hint="eastAsia" w:asciiTheme="minorEastAsia" w:hAnsiTheme="minorEastAsia" w:eastAsiaTheme="minorEastAsia" w:cstheme="minorEastAsia"/>
                <w:b w:val="0"/>
                <w:bCs w:val="0"/>
                <w:sz w:val="24"/>
                <w:szCs w:val="24"/>
                <w:lang w:val="en-US" w:eastAsia="zh-CN"/>
              </w:rPr>
              <w:t>1台的得</w:t>
            </w:r>
            <w:r>
              <w:rPr>
                <w:rFonts w:hint="eastAsia" w:asciiTheme="minorEastAsia" w:hAnsi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val="en-US" w:eastAsia="zh-CN"/>
              </w:rPr>
              <w:t>分，每增加1台得1分，</w:t>
            </w:r>
            <w:r>
              <w:rPr>
                <w:rFonts w:hint="eastAsia" w:asciiTheme="minorEastAsia" w:hAnsiTheme="minorEastAsia" w:eastAsiaTheme="minorEastAsia" w:cstheme="minorEastAsia"/>
                <w:b w:val="0"/>
                <w:bCs w:val="0"/>
                <w:sz w:val="24"/>
                <w:szCs w:val="24"/>
              </w:rPr>
              <w:t>本项最高得</w:t>
            </w:r>
            <w:r>
              <w:rPr>
                <w:rFonts w:hint="eastAsia" w:asciiTheme="minorEastAsia" w:hAnsi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分</w:t>
            </w:r>
            <w:r>
              <w:rPr>
                <w:rFonts w:hint="eastAsia" w:asciiTheme="minorEastAsia" w:hAnsiTheme="minorEastAsia" w:eastAsiaTheme="minorEastAsia" w:cstheme="minorEastAsia"/>
                <w:b w:val="0"/>
                <w:bCs w:val="0"/>
                <w:sz w:val="24"/>
                <w:szCs w:val="24"/>
                <w:lang w:eastAsia="zh-CN"/>
              </w:rPr>
              <w:t>。</w:t>
            </w:r>
          </w:p>
          <w:p>
            <w:pPr>
              <w:pStyle w:val="7"/>
              <w:keepNext w:val="0"/>
              <w:keepLines w:val="0"/>
              <w:pageBreakBefore w:val="0"/>
              <w:widowControl/>
              <w:tabs>
                <w:tab w:val="left" w:pos="600"/>
              </w:tabs>
              <w:kinsoku/>
              <w:wordWrap/>
              <w:overflowPunct/>
              <w:topLinePunct w:val="0"/>
              <w:autoSpaceDE/>
              <w:autoSpaceDN/>
              <w:bidi w:val="0"/>
              <w:adjustRightInd/>
              <w:snapToGrid/>
              <w:spacing w:line="384" w:lineRule="auto"/>
              <w:ind w:firstLine="0" w:firstLineChars="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2、供应商</w:t>
            </w:r>
            <w:r>
              <w:rPr>
                <w:rFonts w:hint="eastAsia" w:asciiTheme="minorEastAsia" w:hAnsiTheme="minorEastAsia" w:eastAsiaTheme="minorEastAsia" w:cstheme="minorEastAsia"/>
                <w:b w:val="0"/>
                <w:bCs w:val="0"/>
                <w:sz w:val="24"/>
                <w:szCs w:val="24"/>
                <w:lang w:eastAsia="zh-CN"/>
              </w:rPr>
              <w:t>拟投入本次</w:t>
            </w:r>
            <w:r>
              <w:rPr>
                <w:rFonts w:hint="eastAsia" w:asciiTheme="minorEastAsia" w:hAnsiTheme="minorEastAsia" w:eastAsiaTheme="minorEastAsia" w:cstheme="minorEastAsia"/>
                <w:b w:val="0"/>
                <w:bCs w:val="0"/>
                <w:sz w:val="24"/>
                <w:szCs w:val="24"/>
              </w:rPr>
              <w:t>体检服务的DR</w:t>
            </w:r>
            <w:r>
              <w:rPr>
                <w:rFonts w:hint="eastAsia" w:asciiTheme="minorEastAsia" w:hAnsiTheme="minorEastAsia" w:eastAsiaTheme="minorEastAsia" w:cstheme="minorEastAsia"/>
                <w:b w:val="0"/>
                <w:bCs w:val="0"/>
                <w:sz w:val="24"/>
                <w:szCs w:val="24"/>
                <w:lang w:eastAsia="zh-CN"/>
              </w:rPr>
              <w:t>设备</w:t>
            </w:r>
            <w:r>
              <w:rPr>
                <w:rFonts w:hint="eastAsia" w:asciiTheme="minorEastAsia" w:hAnsiTheme="minorEastAsia" w:eastAsiaTheme="minorEastAsia" w:cstheme="minorEastAsia"/>
                <w:b w:val="0"/>
                <w:bCs w:val="0"/>
                <w:sz w:val="24"/>
                <w:szCs w:val="24"/>
              </w:rPr>
              <w:t>数量</w:t>
            </w:r>
            <w:r>
              <w:rPr>
                <w:rFonts w:hint="eastAsia" w:asciiTheme="minorEastAsia" w:hAnsiTheme="minorEastAsia" w:eastAsiaTheme="minorEastAsia" w:cstheme="minorEastAsia"/>
                <w:b w:val="0"/>
                <w:bCs w:val="0"/>
                <w:sz w:val="24"/>
                <w:szCs w:val="24"/>
                <w:lang w:eastAsia="zh-CN"/>
              </w:rPr>
              <w:t>有</w:t>
            </w:r>
            <w:r>
              <w:rPr>
                <w:rFonts w:hint="eastAsia" w:asciiTheme="minorEastAsia" w:hAnsiTheme="minorEastAsia" w:eastAsiaTheme="minorEastAsia" w:cstheme="minorEastAsia"/>
                <w:b w:val="0"/>
                <w:bCs w:val="0"/>
                <w:sz w:val="24"/>
                <w:szCs w:val="24"/>
                <w:lang w:val="en-US" w:eastAsia="zh-CN"/>
              </w:rPr>
              <w:t>1台的得</w:t>
            </w:r>
            <w:r>
              <w:rPr>
                <w:rFonts w:hint="eastAsia" w:asciiTheme="minorEastAsia" w:hAnsi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val="en-US" w:eastAsia="zh-CN"/>
              </w:rPr>
              <w:t>分，每增加1台得1分，</w:t>
            </w:r>
            <w:r>
              <w:rPr>
                <w:rFonts w:hint="eastAsia" w:asciiTheme="minorEastAsia" w:hAnsiTheme="minorEastAsia" w:eastAsiaTheme="minorEastAsia" w:cstheme="minorEastAsia"/>
                <w:b w:val="0"/>
                <w:bCs w:val="0"/>
                <w:sz w:val="24"/>
                <w:szCs w:val="24"/>
              </w:rPr>
              <w:t>本项最高得</w:t>
            </w:r>
            <w:r>
              <w:rPr>
                <w:rFonts w:hint="eastAsia" w:asciiTheme="minorEastAsia" w:hAnsi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分</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84" w:lineRule="auto"/>
              <w:ind w:firstLine="0" w:firstLineChars="0"/>
              <w:jc w:val="left"/>
              <w:textAlignment w:val="auto"/>
              <w:rPr>
                <w:rFonts w:hint="eastAsia" w:asciiTheme="minorEastAsia" w:hAnsiTheme="minorEastAsia" w:eastAsiaTheme="minorEastAsia" w:cstheme="minorEastAsia"/>
                <w:b w:val="0"/>
                <w:bCs w:val="0"/>
                <w:sz w:val="24"/>
                <w:szCs w:val="24"/>
                <w:highlight w:val="red"/>
                <w:lang w:eastAsia="zh-CN"/>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供应商</w:t>
            </w:r>
            <w:r>
              <w:rPr>
                <w:rFonts w:hint="eastAsia" w:asciiTheme="minorEastAsia" w:hAnsiTheme="minorEastAsia" w:eastAsiaTheme="minorEastAsia" w:cstheme="minorEastAsia"/>
                <w:b w:val="0"/>
                <w:bCs w:val="0"/>
                <w:sz w:val="24"/>
                <w:szCs w:val="24"/>
                <w:lang w:eastAsia="zh-CN"/>
              </w:rPr>
              <w:t>拟投入本次</w:t>
            </w:r>
            <w:r>
              <w:rPr>
                <w:rFonts w:hint="eastAsia" w:asciiTheme="minorEastAsia" w:hAnsiTheme="minorEastAsia" w:eastAsiaTheme="minorEastAsia" w:cstheme="minorEastAsia"/>
                <w:b w:val="0"/>
                <w:bCs w:val="0"/>
                <w:sz w:val="24"/>
                <w:szCs w:val="24"/>
              </w:rPr>
              <w:t>体检服务的</w:t>
            </w:r>
            <w:r>
              <w:rPr>
                <w:rFonts w:hint="eastAsia" w:asciiTheme="minorEastAsia" w:hAnsiTheme="minorEastAsia" w:eastAsiaTheme="minorEastAsia" w:cstheme="minorEastAsia"/>
                <w:b w:val="0"/>
                <w:bCs w:val="0"/>
                <w:sz w:val="24"/>
                <w:szCs w:val="24"/>
                <w:lang w:val="en-US" w:eastAsia="zh-CN"/>
              </w:rPr>
              <w:t>CT设备</w:t>
            </w:r>
            <w:r>
              <w:rPr>
                <w:rFonts w:hint="eastAsia" w:asciiTheme="minorEastAsia" w:hAnsiTheme="minorEastAsia" w:eastAsiaTheme="minorEastAsia" w:cstheme="minorEastAsia"/>
                <w:b w:val="0"/>
                <w:bCs w:val="0"/>
                <w:sz w:val="24"/>
                <w:szCs w:val="24"/>
              </w:rPr>
              <w:t>数量</w:t>
            </w:r>
            <w:r>
              <w:rPr>
                <w:rFonts w:hint="eastAsia" w:asciiTheme="minorEastAsia" w:hAnsiTheme="minorEastAsia" w:eastAsiaTheme="minorEastAsia" w:cstheme="minorEastAsia"/>
                <w:b w:val="0"/>
                <w:bCs w:val="0"/>
                <w:sz w:val="24"/>
                <w:szCs w:val="24"/>
                <w:lang w:eastAsia="zh-CN"/>
              </w:rPr>
              <w:t>有</w:t>
            </w:r>
            <w:r>
              <w:rPr>
                <w:rFonts w:hint="eastAsia" w:asciiTheme="minorEastAsia" w:hAnsiTheme="minorEastAsia" w:eastAsiaTheme="minorEastAsia" w:cstheme="minorEastAsia"/>
                <w:b w:val="0"/>
                <w:bCs w:val="0"/>
                <w:sz w:val="24"/>
                <w:szCs w:val="24"/>
                <w:lang w:val="en-US" w:eastAsia="zh-CN"/>
              </w:rPr>
              <w:t>1台的得1分，每增加1台得1分，</w:t>
            </w:r>
            <w:r>
              <w:rPr>
                <w:rFonts w:hint="eastAsia" w:asciiTheme="minorEastAsia" w:hAnsiTheme="minorEastAsia" w:eastAsiaTheme="minorEastAsia" w:cstheme="minorEastAsia"/>
                <w:b w:val="0"/>
                <w:bCs w:val="0"/>
                <w:sz w:val="24"/>
                <w:szCs w:val="24"/>
              </w:rPr>
              <w:t>本项最高得</w:t>
            </w:r>
            <w:r>
              <w:rPr>
                <w:rFonts w:hint="eastAsia" w:asciiTheme="minorEastAsia" w:hAnsi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分</w:t>
            </w:r>
            <w:r>
              <w:rPr>
                <w:rFonts w:hint="eastAsia" w:asciiTheme="minorEastAsia" w:hAnsiTheme="minorEastAsia" w:eastAsiaTheme="minorEastAsia" w:cstheme="minorEastAsia"/>
                <w:b w:val="0"/>
                <w:bCs w:val="0"/>
                <w:sz w:val="24"/>
                <w:szCs w:val="24"/>
                <w:lang w:eastAsia="zh-CN"/>
              </w:rPr>
              <w:t>。</w:t>
            </w:r>
          </w:p>
          <w:p>
            <w:pPr>
              <w:pStyle w:val="22"/>
              <w:keepNext w:val="0"/>
              <w:keepLines w:val="0"/>
              <w:pageBreakBefore w:val="0"/>
              <w:widowControl/>
              <w:numPr>
                <w:ilvl w:val="4"/>
                <w:numId w:val="0"/>
              </w:numPr>
              <w:tabs>
                <w:tab w:val="left" w:pos="0"/>
              </w:tabs>
              <w:kinsoku/>
              <w:wordWrap/>
              <w:overflowPunct/>
              <w:topLinePunct w:val="0"/>
              <w:autoSpaceDE/>
              <w:autoSpaceDN/>
              <w:bidi w:val="0"/>
              <w:adjustRightInd/>
              <w:snapToGrid/>
              <w:spacing w:before="0" w:after="0" w:line="384"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供应商</w:t>
            </w:r>
            <w:r>
              <w:rPr>
                <w:rFonts w:hint="eastAsia" w:asciiTheme="minorEastAsia" w:hAnsiTheme="minorEastAsia" w:eastAsiaTheme="minorEastAsia" w:cstheme="minorEastAsia"/>
                <w:b w:val="0"/>
                <w:bCs w:val="0"/>
                <w:sz w:val="24"/>
                <w:szCs w:val="24"/>
                <w:lang w:eastAsia="zh-CN"/>
              </w:rPr>
              <w:t>拟投入本次</w:t>
            </w:r>
            <w:r>
              <w:rPr>
                <w:rFonts w:hint="eastAsia" w:asciiTheme="minorEastAsia" w:hAnsiTheme="minorEastAsia" w:eastAsiaTheme="minorEastAsia" w:cstheme="minorEastAsia"/>
                <w:b w:val="0"/>
                <w:bCs w:val="0"/>
                <w:sz w:val="24"/>
                <w:szCs w:val="24"/>
              </w:rPr>
              <w:t>体检服务的</w:t>
            </w:r>
            <w:r>
              <w:rPr>
                <w:rFonts w:hint="eastAsia" w:asciiTheme="minorEastAsia" w:hAnsiTheme="minorEastAsia" w:eastAsiaTheme="minorEastAsia" w:cstheme="minorEastAsia"/>
                <w:b w:val="0"/>
                <w:bCs w:val="0"/>
                <w:sz w:val="24"/>
                <w:szCs w:val="24"/>
                <w:lang w:eastAsia="zh-CN"/>
              </w:rPr>
              <w:t>核磁</w:t>
            </w:r>
            <w:r>
              <w:rPr>
                <w:rFonts w:hint="eastAsia" w:asciiTheme="minorEastAsia" w:hAnsiTheme="minorEastAsia" w:eastAsiaTheme="minorEastAsia" w:cstheme="minorEastAsia"/>
                <w:b w:val="0"/>
                <w:bCs w:val="0"/>
                <w:sz w:val="24"/>
                <w:szCs w:val="24"/>
                <w:lang w:val="en-US" w:eastAsia="zh-CN"/>
              </w:rPr>
              <w:t>设备</w:t>
            </w:r>
            <w:r>
              <w:rPr>
                <w:rFonts w:hint="eastAsia" w:asciiTheme="minorEastAsia" w:hAnsiTheme="minorEastAsia" w:eastAsiaTheme="minorEastAsia" w:cstheme="minorEastAsia"/>
                <w:b w:val="0"/>
                <w:bCs w:val="0"/>
                <w:sz w:val="24"/>
                <w:szCs w:val="24"/>
              </w:rPr>
              <w:t>数量</w:t>
            </w:r>
            <w:r>
              <w:rPr>
                <w:rFonts w:hint="eastAsia" w:asciiTheme="minorEastAsia" w:hAnsiTheme="minorEastAsia" w:eastAsiaTheme="minorEastAsia" w:cstheme="minorEastAsia"/>
                <w:b w:val="0"/>
                <w:bCs w:val="0"/>
                <w:sz w:val="24"/>
                <w:szCs w:val="24"/>
                <w:lang w:eastAsia="zh-CN"/>
              </w:rPr>
              <w:t>有</w:t>
            </w:r>
            <w:r>
              <w:rPr>
                <w:rFonts w:hint="eastAsia" w:asciiTheme="minorEastAsia" w:hAnsiTheme="minorEastAsia" w:eastAsiaTheme="minorEastAsia" w:cstheme="minorEastAsia"/>
                <w:b w:val="0"/>
                <w:bCs w:val="0"/>
                <w:sz w:val="24"/>
                <w:szCs w:val="24"/>
                <w:lang w:val="en-US" w:eastAsia="zh-CN"/>
              </w:rPr>
              <w:t>1台的得1分，每增加1台得1分，</w:t>
            </w:r>
            <w:r>
              <w:rPr>
                <w:rFonts w:hint="eastAsia" w:asciiTheme="minorEastAsia" w:hAnsiTheme="minorEastAsia" w:eastAsiaTheme="minorEastAsia" w:cstheme="minorEastAsia"/>
                <w:b w:val="0"/>
                <w:bCs w:val="0"/>
                <w:sz w:val="24"/>
                <w:szCs w:val="24"/>
              </w:rPr>
              <w:t>本项最高得</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分</w:t>
            </w:r>
            <w:r>
              <w:rPr>
                <w:rFonts w:hint="eastAsia" w:asciiTheme="minorEastAsia" w:hAnsiTheme="minorEastAsia" w:eastAsiaTheme="minorEastAsia" w:cstheme="minorEastAsia"/>
                <w:b w:val="0"/>
                <w:bCs w:val="0"/>
                <w:sz w:val="24"/>
                <w:szCs w:val="24"/>
                <w:lang w:eastAsia="zh-CN"/>
              </w:rPr>
              <w:t>。</w:t>
            </w:r>
          </w:p>
          <w:p>
            <w:pPr>
              <w:pStyle w:val="22"/>
              <w:keepNext w:val="0"/>
              <w:keepLines w:val="0"/>
              <w:pageBreakBefore w:val="0"/>
              <w:widowControl/>
              <w:tabs>
                <w:tab w:val="left" w:pos="0"/>
              </w:tabs>
              <w:kinsoku/>
              <w:wordWrap/>
              <w:overflowPunct/>
              <w:topLinePunct w:val="0"/>
              <w:autoSpaceDE/>
              <w:autoSpaceDN/>
              <w:bidi w:val="0"/>
              <w:adjustRightInd/>
              <w:snapToGrid/>
              <w:spacing w:before="0" w:after="0" w:line="384" w:lineRule="auto"/>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注：需提供设备真实照片。</w:t>
            </w:r>
          </w:p>
        </w:tc>
        <w:tc>
          <w:tcPr>
            <w:tcW w:w="879" w:type="dxa"/>
            <w:vAlign w:val="center"/>
          </w:tcPr>
          <w:p>
            <w:pPr>
              <w:pStyle w:val="25"/>
              <w:pageBreakBefore w:val="0"/>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共同评分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7" w:type="dxa"/>
            <w:vAlign w:val="center"/>
          </w:tcPr>
          <w:p>
            <w:pPr>
              <w:pStyle w:val="25"/>
              <w:keepNext w:val="0"/>
              <w:keepLines w:val="0"/>
              <w:pageBreakBefore w:val="0"/>
              <w:widowControl/>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w:t>
            </w:r>
          </w:p>
        </w:tc>
        <w:tc>
          <w:tcPr>
            <w:tcW w:w="1396" w:type="dxa"/>
            <w:vAlign w:val="center"/>
          </w:tcPr>
          <w:p>
            <w:pPr>
              <w:pStyle w:val="25"/>
              <w:keepNext w:val="0"/>
              <w:keepLines w:val="0"/>
              <w:pageBreakBefore w:val="0"/>
              <w:widowControl/>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类似业绩</w:t>
            </w:r>
            <w:r>
              <w:rPr>
                <w:rFonts w:hint="eastAsia" w:asciiTheme="minorEastAsia" w:hAnsiTheme="minorEastAsia" w:eastAsiaTheme="minorEastAsia" w:cstheme="minorEastAsia"/>
                <w:b w:val="0"/>
                <w:bCs w:val="0"/>
                <w:sz w:val="24"/>
                <w:szCs w:val="24"/>
                <w:lang w:val="en-US" w:eastAsia="zh-CN"/>
              </w:rPr>
              <w:t>9</w:t>
            </w:r>
            <w:r>
              <w:rPr>
                <w:rFonts w:hint="eastAsia" w:asciiTheme="minorEastAsia" w:hAnsiTheme="minorEastAsia" w:eastAsiaTheme="minorEastAsia" w:cstheme="minorEastAsia"/>
                <w:b w:val="0"/>
                <w:bCs w:val="0"/>
                <w:sz w:val="24"/>
                <w:szCs w:val="24"/>
              </w:rPr>
              <w:t>%</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9</w:t>
            </w:r>
            <w:r>
              <w:rPr>
                <w:rFonts w:hint="eastAsia" w:asciiTheme="minorEastAsia" w:hAnsiTheme="minorEastAsia" w:eastAsiaTheme="minorEastAsia" w:cstheme="minorEastAsia"/>
                <w:b w:val="0"/>
                <w:bCs w:val="0"/>
                <w:sz w:val="24"/>
                <w:szCs w:val="24"/>
              </w:rPr>
              <w:t>分</w:t>
            </w:r>
          </w:p>
        </w:tc>
        <w:tc>
          <w:tcPr>
            <w:tcW w:w="5025" w:type="dxa"/>
            <w:vAlign w:val="center"/>
          </w:tcPr>
          <w:p>
            <w:pPr>
              <w:keepNext w:val="0"/>
              <w:keepLines w:val="0"/>
              <w:pageBreakBefore w:val="0"/>
              <w:widowControl/>
              <w:kinsoku/>
              <w:wordWrap/>
              <w:overflowPunct/>
              <w:topLinePunct w:val="0"/>
              <w:autoSpaceDE/>
              <w:autoSpaceDN/>
              <w:bidi w:val="0"/>
              <w:adjustRightInd/>
              <w:snapToGrid/>
              <w:spacing w:line="384" w:lineRule="auto"/>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供应商2018年</w:t>
            </w:r>
            <w:r>
              <w:rPr>
                <w:rFonts w:hint="eastAsia" w:asciiTheme="minorEastAsia" w:hAnsiTheme="minorEastAsia" w:eastAsiaTheme="minorEastAsia" w:cstheme="minorEastAsia"/>
                <w:b w:val="0"/>
                <w:bCs w:val="0"/>
                <w:sz w:val="24"/>
                <w:szCs w:val="24"/>
                <w:lang w:val="en-US" w:eastAsia="zh-CN"/>
              </w:rPr>
              <w:t>1月1日</w:t>
            </w:r>
            <w:r>
              <w:rPr>
                <w:rFonts w:hint="eastAsia" w:asciiTheme="minorEastAsia" w:hAnsiTheme="minorEastAsia" w:eastAsiaTheme="minorEastAsia" w:cstheme="minorEastAsia"/>
                <w:b w:val="0"/>
                <w:bCs w:val="0"/>
                <w:sz w:val="24"/>
                <w:szCs w:val="24"/>
              </w:rPr>
              <w:t>以来具有</w:t>
            </w:r>
            <w:r>
              <w:rPr>
                <w:rFonts w:hint="eastAsia" w:asciiTheme="minorEastAsia" w:hAnsiTheme="minorEastAsia" w:eastAsiaTheme="minorEastAsia" w:cstheme="minorEastAsia"/>
                <w:b w:val="0"/>
                <w:bCs w:val="0"/>
                <w:sz w:val="24"/>
                <w:szCs w:val="24"/>
                <w:lang w:val="en-US" w:eastAsia="zh-CN"/>
              </w:rPr>
              <w:t>1个</w:t>
            </w:r>
            <w:r>
              <w:rPr>
                <w:rFonts w:hint="eastAsia" w:asciiTheme="minorEastAsia" w:hAnsiTheme="minorEastAsia" w:eastAsiaTheme="minorEastAsia" w:cstheme="minorEastAsia"/>
                <w:b w:val="0"/>
                <w:bCs w:val="0"/>
                <w:sz w:val="24"/>
                <w:szCs w:val="24"/>
              </w:rPr>
              <w:t>类似项目业绩的</w:t>
            </w:r>
            <w:r>
              <w:rPr>
                <w:rFonts w:hint="eastAsia" w:asciiTheme="minorEastAsia" w:hAnsiTheme="minorEastAsia" w:eastAsiaTheme="minorEastAsia" w:cstheme="minorEastAsia"/>
                <w:b w:val="0"/>
                <w:bCs w:val="0"/>
                <w:sz w:val="24"/>
                <w:szCs w:val="24"/>
                <w:lang w:eastAsia="zh-CN"/>
              </w:rPr>
              <w:t>得</w:t>
            </w:r>
            <w:r>
              <w:rPr>
                <w:rFonts w:hint="eastAsia" w:asciiTheme="minorEastAsia" w:hAnsi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val="en-US" w:eastAsia="zh-CN"/>
              </w:rPr>
              <w:t>分</w:t>
            </w:r>
            <w:r>
              <w:rPr>
                <w:rFonts w:hint="eastAsia" w:asciiTheme="minorEastAsia" w:hAnsiTheme="minorEastAsia" w:eastAsiaTheme="minorEastAsia" w:cstheme="minorEastAsia"/>
                <w:b w:val="0"/>
                <w:bCs w:val="0"/>
                <w:sz w:val="24"/>
                <w:szCs w:val="24"/>
              </w:rPr>
              <w:t>，每</w:t>
            </w:r>
            <w:r>
              <w:rPr>
                <w:rFonts w:hint="eastAsia" w:asciiTheme="minorEastAsia" w:hAnsiTheme="minorEastAsia" w:eastAsiaTheme="minorEastAsia" w:cstheme="minorEastAsia"/>
                <w:b w:val="0"/>
                <w:bCs w:val="0"/>
                <w:sz w:val="24"/>
                <w:szCs w:val="24"/>
                <w:lang w:eastAsia="zh-CN"/>
              </w:rPr>
              <w:t>增加</w:t>
            </w:r>
            <w:r>
              <w:rPr>
                <w:rFonts w:hint="eastAsia" w:asciiTheme="minorEastAsia" w:hAnsiTheme="minorEastAsia" w:eastAsiaTheme="minorEastAsia" w:cstheme="minorEastAsia"/>
                <w:b w:val="0"/>
                <w:bCs w:val="0"/>
                <w:sz w:val="24"/>
                <w:szCs w:val="24"/>
              </w:rPr>
              <w:t>一个</w:t>
            </w:r>
            <w:r>
              <w:rPr>
                <w:rFonts w:hint="eastAsia" w:asciiTheme="minorEastAsia" w:hAnsiTheme="minorEastAsia" w:eastAsiaTheme="minorEastAsia" w:cstheme="minorEastAsia"/>
                <w:b w:val="0"/>
                <w:bCs w:val="0"/>
                <w:sz w:val="24"/>
                <w:szCs w:val="24"/>
                <w:lang w:eastAsia="zh-CN"/>
              </w:rPr>
              <w:t>业绩加</w:t>
            </w:r>
            <w:r>
              <w:rPr>
                <w:rFonts w:hint="eastAsia" w:asciiTheme="minorEastAsia" w:hAnsiTheme="minorEastAsia" w:eastAsiaTheme="minorEastAsia" w:cstheme="minorEastAsia"/>
                <w:b w:val="0"/>
                <w:bCs w:val="0"/>
                <w:sz w:val="24"/>
                <w:szCs w:val="24"/>
              </w:rPr>
              <w:t>3分，本项最多得</w:t>
            </w:r>
            <w:r>
              <w:rPr>
                <w:rFonts w:hint="eastAsia" w:asciiTheme="minorEastAsia" w:hAnsiTheme="minorEastAsia" w:cstheme="minorEastAsia"/>
                <w:b w:val="0"/>
                <w:bCs w:val="0"/>
                <w:sz w:val="24"/>
                <w:szCs w:val="24"/>
                <w:lang w:val="en-US" w:eastAsia="zh-CN"/>
              </w:rPr>
              <w:t>9</w:t>
            </w:r>
            <w:r>
              <w:rPr>
                <w:rFonts w:hint="eastAsia" w:asciiTheme="minorEastAsia" w:hAnsiTheme="minorEastAsia" w:eastAsiaTheme="minorEastAsia" w:cstheme="minorEastAsia"/>
                <w:b w:val="0"/>
                <w:bCs w:val="0"/>
                <w:sz w:val="24"/>
                <w:szCs w:val="24"/>
              </w:rPr>
              <w:t>分。</w:t>
            </w:r>
          </w:p>
          <w:p>
            <w:pPr>
              <w:keepNext w:val="0"/>
              <w:keepLines w:val="0"/>
              <w:pageBreakBefore w:val="0"/>
              <w:widowControl/>
              <w:kinsoku/>
              <w:wordWrap/>
              <w:overflowPunct/>
              <w:topLinePunct w:val="0"/>
              <w:autoSpaceDE/>
              <w:autoSpaceDN/>
              <w:bidi w:val="0"/>
              <w:adjustRightInd/>
              <w:snapToGrid/>
              <w:spacing w:line="384" w:lineRule="auto"/>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注：需提供业绩合同复印件。</w:t>
            </w:r>
          </w:p>
        </w:tc>
        <w:tc>
          <w:tcPr>
            <w:tcW w:w="879" w:type="dxa"/>
            <w:vAlign w:val="center"/>
          </w:tcPr>
          <w:p>
            <w:pPr>
              <w:pStyle w:val="25"/>
              <w:pageBreakBefore w:val="0"/>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共同评分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7" w:type="dxa"/>
            <w:vAlign w:val="center"/>
          </w:tcPr>
          <w:p>
            <w:pPr>
              <w:pStyle w:val="25"/>
              <w:keepNext w:val="0"/>
              <w:keepLines w:val="0"/>
              <w:pageBreakBefore w:val="0"/>
              <w:widowControl/>
              <w:kinsoku/>
              <w:wordWrap/>
              <w:overflowPunct/>
              <w:topLinePunct w:val="0"/>
              <w:autoSpaceDE/>
              <w:autoSpaceDN/>
              <w:bidi w:val="0"/>
              <w:adjustRightInd/>
              <w:snapToGrid/>
              <w:spacing w:line="336" w:lineRule="auto"/>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1396" w:type="dxa"/>
            <w:vAlign w:val="center"/>
          </w:tcPr>
          <w:p>
            <w:pPr>
              <w:pStyle w:val="25"/>
              <w:keepNext w:val="0"/>
              <w:keepLines w:val="0"/>
              <w:pageBreakBefore w:val="0"/>
              <w:widowControl/>
              <w:kinsoku/>
              <w:wordWrap/>
              <w:overflowPunct/>
              <w:topLinePunct w:val="0"/>
              <w:autoSpaceDE/>
              <w:autoSpaceDN/>
              <w:bidi w:val="0"/>
              <w:adjustRightInd/>
              <w:snapToGrid/>
              <w:spacing w:line="336" w:lineRule="auto"/>
              <w:ind w:firstLine="0" w:firstLine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医资力量</w:t>
            </w:r>
            <w:r>
              <w:rPr>
                <w:rFonts w:hint="eastAsia" w:asciiTheme="minorEastAsia" w:hAnsiTheme="minorEastAsia" w:eastAsiaTheme="minorEastAsia" w:cstheme="minorEastAsia"/>
                <w:b w:val="0"/>
                <w:bCs w:val="0"/>
                <w:sz w:val="24"/>
                <w:szCs w:val="24"/>
                <w:lang w:val="en-US" w:eastAsia="zh-CN"/>
              </w:rPr>
              <w:t>18%</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336"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18</w:t>
            </w:r>
            <w:r>
              <w:rPr>
                <w:rFonts w:hint="eastAsia" w:asciiTheme="minorEastAsia" w:hAnsiTheme="minorEastAsia" w:eastAsiaTheme="minorEastAsia" w:cstheme="minorEastAsia"/>
                <w:b w:val="0"/>
                <w:bCs w:val="0"/>
                <w:sz w:val="24"/>
                <w:szCs w:val="24"/>
                <w:lang w:val="en-US" w:eastAsia="zh-CN"/>
              </w:rPr>
              <w:t>分</w:t>
            </w:r>
          </w:p>
        </w:tc>
        <w:tc>
          <w:tcPr>
            <w:tcW w:w="5025" w:type="dxa"/>
            <w:vAlign w:val="center"/>
          </w:tcPr>
          <w:p>
            <w:pPr>
              <w:pStyle w:val="7"/>
              <w:keepNext w:val="0"/>
              <w:keepLines w:val="0"/>
              <w:pageBreakBefore w:val="0"/>
              <w:widowControl w:val="0"/>
              <w:numPr>
                <w:ilvl w:val="0"/>
                <w:numId w:val="9"/>
              </w:numPr>
              <w:tabs>
                <w:tab w:val="left" w:pos="600"/>
              </w:tabs>
              <w:kinsoku/>
              <w:wordWrap/>
              <w:overflowPunct/>
              <w:topLinePunct w:val="0"/>
              <w:autoSpaceDE/>
              <w:autoSpaceDN/>
              <w:bidi w:val="0"/>
              <w:adjustRightInd/>
              <w:snapToGrid/>
              <w:spacing w:line="336" w:lineRule="auto"/>
              <w:ind w:firstLine="0" w:firstLineChars="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供应商</w:t>
            </w:r>
            <w:r>
              <w:rPr>
                <w:rFonts w:hint="eastAsia" w:asciiTheme="minorEastAsia" w:hAnsiTheme="minorEastAsia" w:eastAsiaTheme="minorEastAsia" w:cstheme="minorEastAsia"/>
                <w:b w:val="0"/>
                <w:bCs w:val="0"/>
                <w:sz w:val="24"/>
                <w:szCs w:val="24"/>
              </w:rPr>
              <w:t>从事体检服务的医生有</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名具有主任医师职称的得</w:t>
            </w:r>
            <w:r>
              <w:rPr>
                <w:rFonts w:hint="eastAsia" w:asciiTheme="minorEastAsia" w:hAnsi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分，每增加1名加1分，本项最高得</w:t>
            </w:r>
            <w:r>
              <w:rPr>
                <w:rFonts w:hint="eastAsia" w:asciiTheme="minorEastAsia" w:hAnsi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分；</w:t>
            </w:r>
          </w:p>
          <w:p>
            <w:pPr>
              <w:pStyle w:val="7"/>
              <w:keepNext w:val="0"/>
              <w:keepLines w:val="0"/>
              <w:pageBreakBefore w:val="0"/>
              <w:widowControl w:val="0"/>
              <w:numPr>
                <w:ilvl w:val="0"/>
                <w:numId w:val="9"/>
              </w:numPr>
              <w:tabs>
                <w:tab w:val="left" w:pos="600"/>
              </w:tabs>
              <w:kinsoku/>
              <w:wordWrap/>
              <w:overflowPunct/>
              <w:topLinePunct w:val="0"/>
              <w:autoSpaceDE/>
              <w:autoSpaceDN/>
              <w:bidi w:val="0"/>
              <w:adjustRightInd/>
              <w:snapToGrid/>
              <w:spacing w:line="336" w:lineRule="auto"/>
              <w:ind w:firstLine="0" w:firstLineChars="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供应商</w:t>
            </w:r>
            <w:r>
              <w:rPr>
                <w:rFonts w:hint="eastAsia" w:asciiTheme="minorEastAsia" w:hAnsiTheme="minorEastAsia" w:eastAsiaTheme="minorEastAsia" w:cstheme="minorEastAsia"/>
                <w:b w:val="0"/>
                <w:bCs w:val="0"/>
                <w:sz w:val="24"/>
                <w:szCs w:val="24"/>
              </w:rPr>
              <w:t>从事体检服务的医生有</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名具有</w:t>
            </w:r>
            <w:r>
              <w:rPr>
                <w:rFonts w:hint="eastAsia" w:asciiTheme="minorEastAsia" w:hAnsiTheme="minorEastAsia" w:cstheme="minorEastAsia"/>
                <w:b w:val="0"/>
                <w:bCs w:val="0"/>
                <w:sz w:val="24"/>
                <w:szCs w:val="24"/>
                <w:lang w:eastAsia="zh-CN"/>
              </w:rPr>
              <w:t>副</w:t>
            </w:r>
            <w:r>
              <w:rPr>
                <w:rFonts w:hint="eastAsia" w:asciiTheme="minorEastAsia" w:hAnsiTheme="minorEastAsia" w:eastAsiaTheme="minorEastAsia" w:cstheme="minorEastAsia"/>
                <w:b w:val="0"/>
                <w:bCs w:val="0"/>
                <w:sz w:val="24"/>
                <w:szCs w:val="24"/>
              </w:rPr>
              <w:t>主任医师职称的得</w:t>
            </w:r>
            <w:r>
              <w:rPr>
                <w:rFonts w:hint="eastAsia" w:asciiTheme="minorEastAsia" w:hAnsi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分，每增加1名加1分，本项最高得</w:t>
            </w:r>
            <w:r>
              <w:rPr>
                <w:rFonts w:hint="eastAsia" w:asciiTheme="minorEastAsia" w:hAnsiTheme="minorEastAsia" w:cstheme="minorEastAsia"/>
                <w:b w:val="0"/>
                <w:bCs w:val="0"/>
                <w:sz w:val="24"/>
                <w:szCs w:val="24"/>
                <w:lang w:val="en-US" w:eastAsia="zh-CN"/>
              </w:rPr>
              <w:t>8</w:t>
            </w:r>
            <w:r>
              <w:rPr>
                <w:rFonts w:hint="eastAsia" w:asciiTheme="minorEastAsia" w:hAnsiTheme="minorEastAsia" w:eastAsiaTheme="minorEastAsia" w:cstheme="minorEastAsia"/>
                <w:b w:val="0"/>
                <w:bCs w:val="0"/>
                <w:sz w:val="24"/>
                <w:szCs w:val="24"/>
              </w:rPr>
              <w:t>分；</w:t>
            </w:r>
          </w:p>
          <w:p>
            <w:pPr>
              <w:pStyle w:val="7"/>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36"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注：</w:t>
            </w:r>
            <w:r>
              <w:rPr>
                <w:rFonts w:hint="eastAsia" w:asciiTheme="minorEastAsia" w:hAnsiTheme="minorEastAsia" w:cstheme="minorEastAsia"/>
                <w:b w:val="0"/>
                <w:bCs w:val="0"/>
                <w:sz w:val="24"/>
                <w:szCs w:val="24"/>
                <w:lang w:val="en-US" w:eastAsia="zh-CN"/>
              </w:rPr>
              <w:t>以上1、2项均</w:t>
            </w:r>
            <w:r>
              <w:rPr>
                <w:rFonts w:hint="eastAsia" w:asciiTheme="minorEastAsia" w:hAnsiTheme="minorEastAsia" w:eastAsiaTheme="minorEastAsia" w:cstheme="minorEastAsia"/>
                <w:b w:val="0"/>
                <w:bCs w:val="0"/>
                <w:sz w:val="24"/>
                <w:szCs w:val="24"/>
                <w:lang w:val="en-US" w:eastAsia="zh-CN"/>
              </w:rPr>
              <w:t>须提供相关人员具有的医师执业（资格）证书复印件和技术职务资格证书复印件并加盖供应商鲜章。</w:t>
            </w:r>
          </w:p>
          <w:p>
            <w:pPr>
              <w:pStyle w:val="7"/>
              <w:keepNext w:val="0"/>
              <w:keepLines w:val="0"/>
              <w:pageBreakBefore w:val="0"/>
              <w:widowControl w:val="0"/>
              <w:numPr>
                <w:ilvl w:val="0"/>
                <w:numId w:val="9"/>
              </w:numPr>
              <w:tabs>
                <w:tab w:val="left" w:pos="600"/>
              </w:tabs>
              <w:kinsoku/>
              <w:wordWrap/>
              <w:overflowPunct/>
              <w:topLinePunct w:val="0"/>
              <w:autoSpaceDE/>
              <w:autoSpaceDN/>
              <w:bidi w:val="0"/>
              <w:adjustRightInd/>
              <w:snapToGrid/>
              <w:spacing w:line="336" w:lineRule="auto"/>
              <w:ind w:left="0" w:leftChars="0" w:firstLine="0" w:firstLineChars="0"/>
              <w:jc w:val="left"/>
              <w:textAlignment w:val="auto"/>
              <w:rPr>
                <w:rFonts w:hint="default"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rPr>
              <w:t>供应商从事体检服务的</w:t>
            </w:r>
            <w:r>
              <w:rPr>
                <w:rFonts w:hint="eastAsia" w:asciiTheme="minorEastAsia" w:hAnsiTheme="minorEastAsia" w:cstheme="minorEastAsia"/>
                <w:b w:val="0"/>
                <w:bCs w:val="0"/>
                <w:sz w:val="24"/>
                <w:szCs w:val="24"/>
                <w:lang w:eastAsia="zh-CN"/>
              </w:rPr>
              <w:t>相关工作人员取得健康管理师证达到</w:t>
            </w:r>
            <w:r>
              <w:rPr>
                <w:rFonts w:hint="eastAsia" w:asciiTheme="minorEastAsia" w:hAnsiTheme="minorEastAsia" w:cstheme="minorEastAsia"/>
                <w:b w:val="0"/>
                <w:bCs w:val="0"/>
                <w:sz w:val="24"/>
                <w:szCs w:val="24"/>
                <w:lang w:val="en-US" w:eastAsia="zh-CN"/>
              </w:rPr>
              <w:t>10人及以上的得7分，5-9人的得4分，5人以下的得2分。没有的不得分。本项最高得7分。</w:t>
            </w:r>
          </w:p>
          <w:p>
            <w:pPr>
              <w:pStyle w:val="7"/>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36" w:lineRule="auto"/>
              <w:ind w:leftChars="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注：须提供相关证明材料并加盖供应商鲜章。</w:t>
            </w:r>
          </w:p>
        </w:tc>
        <w:tc>
          <w:tcPr>
            <w:tcW w:w="879" w:type="dxa"/>
            <w:vAlign w:val="center"/>
          </w:tcPr>
          <w:p>
            <w:pPr>
              <w:pStyle w:val="25"/>
              <w:pageBreakBefore w:val="0"/>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共同评分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7" w:type="dxa"/>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w:t>
            </w:r>
          </w:p>
        </w:tc>
        <w:tc>
          <w:tcPr>
            <w:tcW w:w="1396" w:type="dxa"/>
            <w:vAlign w:val="center"/>
          </w:tcPr>
          <w:p>
            <w:pPr>
              <w:pStyle w:val="25"/>
              <w:keepNext w:val="0"/>
              <w:keepLines w:val="0"/>
              <w:pageBreakBefore w:val="0"/>
              <w:widowControl/>
              <w:kinsoku/>
              <w:wordWrap/>
              <w:overflowPunct/>
              <w:topLinePunct w:val="0"/>
              <w:autoSpaceDE/>
              <w:autoSpaceDN/>
              <w:bidi w:val="0"/>
              <w:adjustRightInd/>
              <w:snapToGrid/>
              <w:spacing w:line="372" w:lineRule="auto"/>
              <w:ind w:firstLine="0" w:firstLineChars="0"/>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医疗检验能力</w:t>
            </w:r>
            <w:r>
              <w:rPr>
                <w:rFonts w:hint="eastAsia" w:asciiTheme="minorEastAsia" w:hAnsiTheme="minorEastAsia" w:eastAsiaTheme="minorEastAsia" w:cstheme="minorEastAsia"/>
                <w:b w:val="0"/>
                <w:bCs w:val="0"/>
                <w:sz w:val="24"/>
                <w:szCs w:val="24"/>
                <w:lang w:val="en-US" w:eastAsia="zh-CN"/>
              </w:rPr>
              <w:t>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372" w:lineRule="auto"/>
              <w:ind w:firstLine="0" w:firstLineChars="0"/>
              <w:jc w:val="center"/>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6分</w:t>
            </w:r>
          </w:p>
        </w:tc>
        <w:tc>
          <w:tcPr>
            <w:tcW w:w="5025" w:type="dxa"/>
            <w:vAlign w:val="center"/>
          </w:tcPr>
          <w:p>
            <w:pPr>
              <w:pStyle w:val="7"/>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72" w:lineRule="auto"/>
              <w:ind w:leftChars="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供应商取得卫生部临床检验中心全国常规化学室间质评证书</w:t>
            </w:r>
            <w:r>
              <w:rPr>
                <w:rFonts w:hint="eastAsia" w:asciiTheme="minorEastAsia" w:hAnsiTheme="minorEastAsia" w:cstheme="minorEastAsia"/>
                <w:b w:val="0"/>
                <w:bCs w:val="0"/>
                <w:sz w:val="24"/>
                <w:szCs w:val="24"/>
                <w:lang w:eastAsia="zh-CN"/>
              </w:rPr>
              <w:t>的</w:t>
            </w:r>
            <w:r>
              <w:rPr>
                <w:rFonts w:hint="eastAsia" w:asciiTheme="minorEastAsia" w:hAnsiTheme="minorEastAsia" w:eastAsiaTheme="minorEastAsia" w:cstheme="minorEastAsia"/>
                <w:b w:val="0"/>
                <w:bCs w:val="0"/>
                <w:sz w:val="24"/>
                <w:szCs w:val="24"/>
              </w:rPr>
              <w:t>得1</w:t>
            </w:r>
            <w:r>
              <w:rPr>
                <w:rFonts w:hint="eastAsia" w:asciiTheme="minorEastAsia" w:hAnsi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 xml:space="preserve">分； </w:t>
            </w:r>
          </w:p>
          <w:p>
            <w:pPr>
              <w:pStyle w:val="7"/>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72" w:lineRule="auto"/>
              <w:ind w:leftChars="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供应商取得卫生部临床检验中心全国肿瘤标志物室间质评证书</w:t>
            </w:r>
            <w:r>
              <w:rPr>
                <w:rFonts w:hint="eastAsia" w:asciiTheme="minorEastAsia" w:hAnsiTheme="minorEastAsia" w:cstheme="minorEastAsia"/>
                <w:b w:val="0"/>
                <w:bCs w:val="0"/>
                <w:sz w:val="24"/>
                <w:szCs w:val="24"/>
                <w:lang w:eastAsia="zh-CN"/>
              </w:rPr>
              <w:t>的</w:t>
            </w:r>
            <w:r>
              <w:rPr>
                <w:rFonts w:hint="eastAsia" w:asciiTheme="minorEastAsia" w:hAnsiTheme="minorEastAsia" w:eastAsiaTheme="minorEastAsia" w:cstheme="minorEastAsia"/>
                <w:b w:val="0"/>
                <w:bCs w:val="0"/>
                <w:sz w:val="24"/>
                <w:szCs w:val="24"/>
              </w:rPr>
              <w:t>得1</w:t>
            </w:r>
            <w:r>
              <w:rPr>
                <w:rFonts w:hint="eastAsia" w:asciiTheme="minorEastAsia" w:hAnsi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分</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 xml:space="preserve"> </w:t>
            </w:r>
          </w:p>
          <w:p>
            <w:pPr>
              <w:pStyle w:val="7"/>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72" w:lineRule="auto"/>
              <w:ind w:leftChars="0"/>
              <w:jc w:val="left"/>
              <w:textAlignment w:val="auto"/>
              <w:rPr>
                <w:rFonts w:hint="eastAsia" w:asciiTheme="minorEastAsia" w:hAnsiTheme="minorEastAsia" w:cstheme="minorEastAsia"/>
                <w:b w:val="0"/>
                <w:bCs w:val="0"/>
                <w:sz w:val="24"/>
                <w:szCs w:val="24"/>
                <w:lang w:eastAsia="zh-CN"/>
              </w:rPr>
            </w:pPr>
            <w:r>
              <w:rPr>
                <w:rFonts w:hint="eastAsia" w:asciiTheme="minorEastAsia" w:hAnsiTheme="minorEastAsia" w:cstheme="minorEastAsia"/>
                <w:b w:val="0"/>
                <w:bCs w:val="0"/>
                <w:sz w:val="24"/>
                <w:szCs w:val="24"/>
                <w:lang w:val="en-US" w:eastAsia="zh-CN"/>
              </w:rPr>
              <w:t>3、供应商取得全国尿液化学分析室间质量评价活动</w:t>
            </w:r>
            <w:r>
              <w:rPr>
                <w:rFonts w:hint="eastAsia" w:asciiTheme="minorEastAsia" w:hAnsiTheme="minorEastAsia" w:eastAsiaTheme="minorEastAsia" w:cstheme="minorEastAsia"/>
                <w:b w:val="0"/>
                <w:bCs w:val="0"/>
                <w:sz w:val="24"/>
                <w:szCs w:val="24"/>
              </w:rPr>
              <w:t>室间质评证书</w:t>
            </w:r>
            <w:r>
              <w:rPr>
                <w:rFonts w:hint="eastAsia" w:asciiTheme="minorEastAsia" w:hAnsiTheme="minorEastAsia" w:cstheme="minorEastAsia"/>
                <w:b w:val="0"/>
                <w:bCs w:val="0"/>
                <w:sz w:val="24"/>
                <w:szCs w:val="24"/>
                <w:lang w:eastAsia="zh-CN"/>
              </w:rPr>
              <w:t>的</w:t>
            </w:r>
            <w:r>
              <w:rPr>
                <w:rFonts w:hint="eastAsia" w:asciiTheme="minorEastAsia" w:hAnsiTheme="minorEastAsia" w:eastAsiaTheme="minorEastAsia" w:cstheme="minorEastAsia"/>
                <w:b w:val="0"/>
                <w:bCs w:val="0"/>
                <w:sz w:val="24"/>
                <w:szCs w:val="24"/>
              </w:rPr>
              <w:t>得1</w:t>
            </w:r>
            <w:r>
              <w:rPr>
                <w:rFonts w:hint="eastAsia" w:asciiTheme="minorEastAsia" w:hAnsi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分</w:t>
            </w:r>
            <w:r>
              <w:rPr>
                <w:rFonts w:hint="eastAsia" w:asciiTheme="minorEastAsia" w:hAnsiTheme="minorEastAsia" w:cstheme="minorEastAsia"/>
                <w:b w:val="0"/>
                <w:bCs w:val="0"/>
                <w:sz w:val="24"/>
                <w:szCs w:val="24"/>
                <w:lang w:eastAsia="zh-CN"/>
              </w:rPr>
              <w:t>；</w:t>
            </w:r>
          </w:p>
          <w:p>
            <w:pPr>
              <w:pStyle w:val="7"/>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72" w:lineRule="auto"/>
              <w:ind w:leftChars="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4、供应商取得全国全血细胞计数室间质量评价活动</w:t>
            </w:r>
            <w:r>
              <w:rPr>
                <w:rFonts w:hint="eastAsia" w:asciiTheme="minorEastAsia" w:hAnsiTheme="minorEastAsia" w:eastAsiaTheme="minorEastAsia" w:cstheme="minorEastAsia"/>
                <w:b w:val="0"/>
                <w:bCs w:val="0"/>
                <w:sz w:val="24"/>
                <w:szCs w:val="24"/>
              </w:rPr>
              <w:t>室间质评证书</w:t>
            </w:r>
            <w:r>
              <w:rPr>
                <w:rFonts w:hint="eastAsia" w:asciiTheme="minorEastAsia" w:hAnsiTheme="minorEastAsia" w:cstheme="minorEastAsia"/>
                <w:b w:val="0"/>
                <w:bCs w:val="0"/>
                <w:sz w:val="24"/>
                <w:szCs w:val="24"/>
                <w:lang w:eastAsia="zh-CN"/>
              </w:rPr>
              <w:t>的</w:t>
            </w:r>
            <w:r>
              <w:rPr>
                <w:rFonts w:hint="eastAsia" w:asciiTheme="minorEastAsia" w:hAnsiTheme="minorEastAsia" w:eastAsiaTheme="minorEastAsia" w:cstheme="minorEastAsia"/>
                <w:b w:val="0"/>
                <w:bCs w:val="0"/>
                <w:sz w:val="24"/>
                <w:szCs w:val="24"/>
              </w:rPr>
              <w:t>得1</w:t>
            </w:r>
            <w:r>
              <w:rPr>
                <w:rFonts w:hint="eastAsia" w:asciiTheme="minorEastAsia" w:hAnsi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分</w:t>
            </w:r>
            <w:r>
              <w:rPr>
                <w:rFonts w:hint="eastAsia" w:asciiTheme="minorEastAsia" w:hAnsiTheme="minorEastAsia" w:cstheme="minorEastAsia"/>
                <w:b w:val="0"/>
                <w:bCs w:val="0"/>
                <w:sz w:val="24"/>
                <w:szCs w:val="24"/>
                <w:lang w:eastAsia="zh-CN"/>
              </w:rPr>
              <w:t>。</w:t>
            </w:r>
          </w:p>
          <w:p>
            <w:pPr>
              <w:pStyle w:val="7"/>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72" w:lineRule="auto"/>
              <w:ind w:leftChars="0"/>
              <w:jc w:val="left"/>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注：供应商需提供相关证明材料并加盖公章。</w:t>
            </w:r>
          </w:p>
        </w:tc>
        <w:tc>
          <w:tcPr>
            <w:tcW w:w="879" w:type="dxa"/>
            <w:vAlign w:val="center"/>
          </w:tcPr>
          <w:p>
            <w:pPr>
              <w:pStyle w:val="25"/>
              <w:pageBreakBefore w:val="0"/>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共同评分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7" w:type="dxa"/>
            <w:vAlign w:val="center"/>
          </w:tcPr>
          <w:p>
            <w:pPr>
              <w:pStyle w:val="25"/>
              <w:keepNext w:val="0"/>
              <w:keepLines w:val="0"/>
              <w:pageBreakBefore w:val="0"/>
              <w:widowControl/>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w:t>
            </w:r>
          </w:p>
        </w:tc>
        <w:tc>
          <w:tcPr>
            <w:tcW w:w="1396" w:type="dxa"/>
            <w:vAlign w:val="center"/>
          </w:tcPr>
          <w:p>
            <w:pPr>
              <w:pStyle w:val="25"/>
              <w:keepNext w:val="0"/>
              <w:keepLines w:val="0"/>
              <w:pageBreakBefore w:val="0"/>
              <w:widowControl/>
              <w:kinsoku/>
              <w:wordWrap/>
              <w:overflowPunct/>
              <w:topLinePunct w:val="0"/>
              <w:autoSpaceDE/>
              <w:autoSpaceDN/>
              <w:bidi w:val="0"/>
              <w:adjustRightInd/>
              <w:snapToGrid/>
              <w:spacing w:line="384" w:lineRule="auto"/>
              <w:ind w:firstLine="0" w:firstLine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接待能力</w:t>
            </w:r>
            <w:r>
              <w:rPr>
                <w:rFonts w:hint="eastAsia" w:asciiTheme="minorEastAsia" w:hAnsiTheme="minorEastAsia" w:eastAsiaTheme="minorEastAsia" w:cstheme="minorEastAsia"/>
                <w:b w:val="0"/>
                <w:bCs w:val="0"/>
                <w:sz w:val="24"/>
                <w:szCs w:val="24"/>
                <w:lang w:val="en-US" w:eastAsia="zh-CN"/>
              </w:rPr>
              <w:t>3%</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384" w:lineRule="auto"/>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3分</w:t>
            </w:r>
          </w:p>
        </w:tc>
        <w:tc>
          <w:tcPr>
            <w:tcW w:w="5025" w:type="dxa"/>
            <w:vAlign w:val="center"/>
          </w:tcPr>
          <w:p>
            <w:pPr>
              <w:pStyle w:val="22"/>
              <w:pageBreakBefore w:val="0"/>
              <w:tabs>
                <w:tab w:val="left" w:pos="0"/>
              </w:tabs>
              <w:kinsoku/>
              <w:wordWrap/>
              <w:overflowPunct/>
              <w:topLinePunct w:val="0"/>
              <w:autoSpaceDE/>
              <w:autoSpaceDN/>
              <w:bidi w:val="0"/>
              <w:adjustRightInd/>
              <w:snapToGrid/>
              <w:spacing w:before="0" w:after="0" w:line="384" w:lineRule="auto"/>
              <w:ind w:firstLine="0" w:firstLineChars="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供应商具有独立体检场所面积达5000平米及以上的得3分，3000—5000平米的得2分，3000平米以下的得1分。无独立体检场所的不得分。</w:t>
            </w:r>
          </w:p>
          <w:p>
            <w:pPr>
              <w:pStyle w:val="23"/>
              <w:pageBreakBefore w:val="0"/>
              <w:kinsoku/>
              <w:wordWrap/>
              <w:overflowPunct/>
              <w:topLinePunct w:val="0"/>
              <w:autoSpaceDE/>
              <w:autoSpaceDN/>
              <w:bidi w:val="0"/>
              <w:adjustRightInd/>
              <w:snapToGrid/>
              <w:spacing w:line="384" w:lineRule="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注：须提供相关证明材料并加盖供应商鲜章。</w:t>
            </w:r>
          </w:p>
        </w:tc>
        <w:tc>
          <w:tcPr>
            <w:tcW w:w="879" w:type="dxa"/>
            <w:vAlign w:val="center"/>
          </w:tcPr>
          <w:p>
            <w:pPr>
              <w:pStyle w:val="25"/>
              <w:pageBreakBefore w:val="0"/>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共同评分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47" w:type="dxa"/>
            <w:vAlign w:val="center"/>
          </w:tcPr>
          <w:p>
            <w:pPr>
              <w:pStyle w:val="25"/>
              <w:keepNext w:val="0"/>
              <w:keepLines w:val="0"/>
              <w:pageBreakBefore w:val="0"/>
              <w:widowControl/>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7</w:t>
            </w:r>
          </w:p>
        </w:tc>
        <w:tc>
          <w:tcPr>
            <w:tcW w:w="1396" w:type="dxa"/>
            <w:vAlign w:val="center"/>
          </w:tcPr>
          <w:p>
            <w:pPr>
              <w:pStyle w:val="25"/>
              <w:keepNext w:val="0"/>
              <w:keepLines w:val="0"/>
              <w:pageBreakBefore w:val="0"/>
              <w:widowControl/>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服务方案</w:t>
            </w:r>
            <w:r>
              <w:rPr>
                <w:rFonts w:hint="eastAsia" w:asciiTheme="minorEastAsia" w:hAnsiTheme="minorEastAsia" w:eastAsiaTheme="minorEastAsia" w:cstheme="minorEastAsia"/>
                <w:b w:val="0"/>
                <w:bCs w:val="0"/>
                <w:sz w:val="24"/>
                <w:szCs w:val="24"/>
                <w:lang w:val="en-US" w:eastAsia="zh-CN"/>
              </w:rPr>
              <w:t>41</w:t>
            </w:r>
            <w:r>
              <w:rPr>
                <w:rFonts w:hint="eastAsia" w:asciiTheme="minorEastAsia" w:hAnsiTheme="minorEastAsia" w:eastAsiaTheme="minorEastAsia" w:cstheme="minorEastAsia"/>
                <w:b w:val="0"/>
                <w:bCs w:val="0"/>
                <w:sz w:val="24"/>
                <w:szCs w:val="24"/>
              </w:rPr>
              <w:t>%</w:t>
            </w:r>
          </w:p>
        </w:tc>
        <w:tc>
          <w:tcPr>
            <w:tcW w:w="912" w:type="dxa"/>
            <w:vAlign w:val="center"/>
          </w:tcPr>
          <w:p>
            <w:pPr>
              <w:pStyle w:val="25"/>
              <w:keepNext w:val="0"/>
              <w:keepLines w:val="0"/>
              <w:pageBreakBefore w:val="0"/>
              <w:widowControl/>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41</w:t>
            </w:r>
            <w:r>
              <w:rPr>
                <w:rFonts w:hint="eastAsia" w:asciiTheme="minorEastAsia" w:hAnsiTheme="minorEastAsia" w:eastAsiaTheme="minorEastAsia" w:cstheme="minorEastAsia"/>
                <w:b w:val="0"/>
                <w:bCs w:val="0"/>
                <w:sz w:val="24"/>
                <w:szCs w:val="24"/>
              </w:rPr>
              <w:t>分</w:t>
            </w:r>
          </w:p>
        </w:tc>
        <w:tc>
          <w:tcPr>
            <w:tcW w:w="5025" w:type="dxa"/>
            <w:vAlign w:val="center"/>
          </w:tcPr>
          <w:p>
            <w:pPr>
              <w:pageBreakBefore w:val="0"/>
              <w:kinsoku/>
              <w:wordWrap/>
              <w:overflowPunct/>
              <w:topLinePunct w:val="0"/>
              <w:autoSpaceDE/>
              <w:autoSpaceDN/>
              <w:bidi w:val="0"/>
              <w:adjustRightInd/>
              <w:snapToGrid/>
              <w:spacing w:line="384"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1、根据供应商为本项目制定的体检安排方案(内容包括但不限于体检引导措施、体检项目流程安排、服务人员的安排、</w:t>
            </w:r>
            <w:r>
              <w:rPr>
                <w:rFonts w:hint="eastAsia" w:asciiTheme="minorEastAsia" w:hAnsiTheme="minorEastAsia" w:eastAsiaTheme="minorEastAsia" w:cstheme="minorEastAsia"/>
                <w:b w:val="0"/>
                <w:bCs w:val="0"/>
                <w:sz w:val="24"/>
                <w:szCs w:val="24"/>
                <w:lang w:eastAsia="zh-CN"/>
              </w:rPr>
              <w:t>秩</w:t>
            </w:r>
            <w:r>
              <w:rPr>
                <w:rFonts w:hint="eastAsia" w:asciiTheme="minorEastAsia" w:hAnsiTheme="minorEastAsia" w:eastAsiaTheme="minorEastAsia" w:cstheme="minorEastAsia"/>
                <w:b w:val="0"/>
                <w:bCs w:val="0"/>
                <w:sz w:val="24"/>
                <w:szCs w:val="24"/>
              </w:rPr>
              <w:t>序维护方案、体检时间地点及场次安排等)进行综合评分</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方案内容完善、清晰并满足采购实际需求得10分；针对上述要求每有</w:t>
            </w:r>
            <w:r>
              <w:rPr>
                <w:rFonts w:hint="eastAsia" w:asciiTheme="minorEastAsia" w:hAnsiTheme="minorEastAsia" w:eastAsiaTheme="minorEastAsia" w:cstheme="minorEastAsia"/>
                <w:b w:val="0"/>
                <w:bCs w:val="0"/>
                <w:sz w:val="24"/>
                <w:szCs w:val="24"/>
                <w:lang w:eastAsia="zh-CN"/>
              </w:rPr>
              <w:t>一</w:t>
            </w:r>
            <w:r>
              <w:rPr>
                <w:rFonts w:hint="eastAsia" w:asciiTheme="minorEastAsia" w:hAnsiTheme="minorEastAsia" w:eastAsiaTheme="minorEastAsia" w:cstheme="minorEastAsia"/>
                <w:b w:val="0"/>
                <w:bCs w:val="0"/>
                <w:sz w:val="24"/>
                <w:szCs w:val="24"/>
              </w:rPr>
              <w:t>项缺项、漏项的扣2分；每有一项描述不完整、条理不清晰，存</w:t>
            </w:r>
            <w:r>
              <w:rPr>
                <w:rFonts w:hint="eastAsia" w:asciiTheme="minorEastAsia" w:hAnsiTheme="minorEastAsia" w:eastAsiaTheme="minorEastAsia" w:cstheme="minorEastAsia"/>
                <w:b w:val="0"/>
                <w:bCs w:val="0"/>
                <w:sz w:val="24"/>
                <w:szCs w:val="24"/>
                <w:lang w:eastAsia="zh-CN"/>
              </w:rPr>
              <w:t>在</w:t>
            </w:r>
            <w:r>
              <w:rPr>
                <w:rFonts w:hint="eastAsia" w:asciiTheme="minorEastAsia" w:hAnsiTheme="minorEastAsia" w:eastAsiaTheme="minorEastAsia" w:cstheme="minorEastAsia"/>
                <w:b w:val="0"/>
                <w:bCs w:val="0"/>
                <w:sz w:val="24"/>
                <w:szCs w:val="24"/>
              </w:rPr>
              <w:t>逻辑问题，针对性不强的扣1分，扣完为止。</w:t>
            </w:r>
          </w:p>
          <w:p>
            <w:pPr>
              <w:pageBreakBefore w:val="0"/>
              <w:kinsoku/>
              <w:wordWrap/>
              <w:overflowPunct/>
              <w:topLinePunct w:val="0"/>
              <w:autoSpaceDE/>
              <w:autoSpaceDN/>
              <w:bidi w:val="0"/>
              <w:adjustRightInd/>
              <w:snapToGrid/>
              <w:spacing w:line="384"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2、根据供应商</w:t>
            </w:r>
            <w:r>
              <w:rPr>
                <w:rFonts w:hint="eastAsia" w:asciiTheme="minorEastAsia" w:hAnsiTheme="minorEastAsia" w:eastAsiaTheme="minorEastAsia" w:cstheme="minorEastAsia"/>
                <w:b w:val="0"/>
                <w:bCs w:val="0"/>
                <w:sz w:val="24"/>
                <w:szCs w:val="24"/>
                <w:lang w:eastAsia="zh-CN"/>
              </w:rPr>
              <w:t>为</w:t>
            </w:r>
            <w:r>
              <w:rPr>
                <w:rFonts w:hint="eastAsia" w:asciiTheme="minorEastAsia" w:hAnsiTheme="minorEastAsia" w:eastAsiaTheme="minorEastAsia" w:cstheme="minorEastAsia"/>
                <w:b w:val="0"/>
                <w:bCs w:val="0"/>
                <w:sz w:val="24"/>
                <w:szCs w:val="24"/>
              </w:rPr>
              <w:t>本项目制定的应急措施(内容包括但不限于突发疾病预案、</w:t>
            </w:r>
            <w:r>
              <w:rPr>
                <w:rFonts w:hint="eastAsia" w:asciiTheme="minorEastAsia" w:hAnsiTheme="minorEastAsia" w:eastAsiaTheme="minorEastAsia" w:cstheme="minorEastAsia"/>
                <w:b w:val="0"/>
                <w:bCs w:val="0"/>
                <w:sz w:val="24"/>
                <w:szCs w:val="24"/>
                <w:lang w:eastAsia="zh-CN"/>
              </w:rPr>
              <w:t>重大疾病预警机制、</w:t>
            </w:r>
            <w:r>
              <w:rPr>
                <w:rFonts w:hint="eastAsia" w:asciiTheme="minorEastAsia" w:hAnsiTheme="minorEastAsia" w:eastAsiaTheme="minorEastAsia" w:cstheme="minorEastAsia"/>
                <w:b w:val="0"/>
                <w:bCs w:val="0"/>
                <w:sz w:val="24"/>
                <w:szCs w:val="24"/>
              </w:rPr>
              <w:t>紧急伤害事件应急预案、火灾应急预案、新冠防范预案等)进行综合评分</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措施内容阐述完善、清晰并有针对性的解决方法且适用于本项目的得</w:t>
            </w:r>
            <w:r>
              <w:rPr>
                <w:rFonts w:hint="eastAsia" w:asciiTheme="minorEastAsia" w:hAnsiTheme="minorEastAsia" w:eastAsiaTheme="minorEastAsia" w:cstheme="minorEastAsia"/>
                <w:b w:val="0"/>
                <w:bCs w:val="0"/>
                <w:sz w:val="24"/>
                <w:szCs w:val="24"/>
                <w:lang w:val="en-US" w:eastAsia="zh-CN"/>
              </w:rPr>
              <w:t>10</w:t>
            </w:r>
            <w:r>
              <w:rPr>
                <w:rFonts w:hint="eastAsia" w:asciiTheme="minorEastAsia" w:hAnsiTheme="minorEastAsia" w:eastAsiaTheme="minorEastAsia" w:cstheme="minorEastAsia"/>
                <w:b w:val="0"/>
                <w:bCs w:val="0"/>
                <w:sz w:val="24"/>
                <w:szCs w:val="24"/>
              </w:rPr>
              <w:t>分，针对上述要求每有一项缺项、漏项的扣2分；每有一项描述不完整、条理不清晰，存</w:t>
            </w:r>
            <w:r>
              <w:rPr>
                <w:rFonts w:hint="eastAsia" w:asciiTheme="minorEastAsia" w:hAnsiTheme="minorEastAsia" w:eastAsiaTheme="minorEastAsia" w:cstheme="minorEastAsia"/>
                <w:b w:val="0"/>
                <w:bCs w:val="0"/>
                <w:sz w:val="24"/>
                <w:szCs w:val="24"/>
                <w:lang w:eastAsia="zh-CN"/>
              </w:rPr>
              <w:t>在</w:t>
            </w:r>
            <w:r>
              <w:rPr>
                <w:rFonts w:hint="eastAsia" w:asciiTheme="minorEastAsia" w:hAnsiTheme="minorEastAsia" w:eastAsiaTheme="minorEastAsia" w:cstheme="minorEastAsia"/>
                <w:b w:val="0"/>
                <w:bCs w:val="0"/>
                <w:sz w:val="24"/>
                <w:szCs w:val="24"/>
              </w:rPr>
              <w:t>逻辑问题，针对性不强的扣1分，扣完为止。</w:t>
            </w:r>
          </w:p>
          <w:p>
            <w:pPr>
              <w:pageBreakBefore w:val="0"/>
              <w:kinsoku/>
              <w:wordWrap/>
              <w:overflowPunct/>
              <w:topLinePunct w:val="0"/>
              <w:autoSpaceDE/>
              <w:autoSpaceDN/>
              <w:bidi w:val="0"/>
              <w:adjustRightInd/>
              <w:snapToGrid/>
              <w:spacing w:line="384"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3、根据供应商为本项目制定的体检质量保证措施(内容包括但不限于项目管理制度制定、质</w:t>
            </w:r>
            <w:r>
              <w:rPr>
                <w:rFonts w:hint="eastAsia" w:asciiTheme="minorEastAsia" w:hAnsiTheme="minorEastAsia" w:eastAsiaTheme="minorEastAsia" w:cstheme="minorEastAsia"/>
                <w:b w:val="0"/>
                <w:bCs w:val="0"/>
                <w:sz w:val="24"/>
                <w:szCs w:val="24"/>
                <w:lang w:eastAsia="zh-CN"/>
              </w:rPr>
              <w:t>量</w:t>
            </w:r>
            <w:r>
              <w:rPr>
                <w:rFonts w:hint="eastAsia" w:asciiTheme="minorEastAsia" w:hAnsiTheme="minorEastAsia" w:eastAsiaTheme="minorEastAsia" w:cstheme="minorEastAsia"/>
                <w:b w:val="0"/>
                <w:bCs w:val="0"/>
                <w:sz w:val="24"/>
                <w:szCs w:val="24"/>
              </w:rPr>
              <w:t>管理组织机构组建、职责权限划分，质量控制目标及手段等)进行综合评分</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措施内容详细可行、有针对性且适用于本项目的得8分，针对上述要求每有一项缺项、漏项的扣2分；每有一项描述不完整、条理不清晰，存</w:t>
            </w:r>
            <w:r>
              <w:rPr>
                <w:rFonts w:hint="eastAsia" w:asciiTheme="minorEastAsia" w:hAnsiTheme="minorEastAsia" w:eastAsiaTheme="minorEastAsia" w:cstheme="minorEastAsia"/>
                <w:b w:val="0"/>
                <w:bCs w:val="0"/>
                <w:sz w:val="24"/>
                <w:szCs w:val="24"/>
                <w:lang w:eastAsia="zh-CN"/>
              </w:rPr>
              <w:t>在</w:t>
            </w:r>
            <w:r>
              <w:rPr>
                <w:rFonts w:hint="eastAsia" w:asciiTheme="minorEastAsia" w:hAnsiTheme="minorEastAsia" w:eastAsiaTheme="minorEastAsia" w:cstheme="minorEastAsia"/>
                <w:b w:val="0"/>
                <w:bCs w:val="0"/>
                <w:sz w:val="24"/>
                <w:szCs w:val="24"/>
              </w:rPr>
              <w:t>逻辑问题，针对性不强的扣1分，扣完为止。</w:t>
            </w:r>
          </w:p>
          <w:p>
            <w:pPr>
              <w:pageBreakBefore w:val="0"/>
              <w:kinsoku/>
              <w:wordWrap/>
              <w:overflowPunct/>
              <w:topLinePunct w:val="0"/>
              <w:autoSpaceDE/>
              <w:autoSpaceDN/>
              <w:bidi w:val="0"/>
              <w:adjustRightInd/>
              <w:snapToGrid/>
              <w:spacing w:line="384"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4、</w:t>
            </w:r>
            <w:r>
              <w:rPr>
                <w:rFonts w:hint="eastAsia" w:asciiTheme="minorEastAsia" w:hAnsiTheme="minorEastAsia" w:eastAsiaTheme="minorEastAsia" w:cstheme="minorEastAsia"/>
                <w:b w:val="0"/>
                <w:bCs w:val="0"/>
                <w:sz w:val="24"/>
                <w:szCs w:val="24"/>
                <w:lang w:eastAsia="zh-CN"/>
              </w:rPr>
              <w:t>若</w:t>
            </w:r>
            <w:r>
              <w:rPr>
                <w:rFonts w:hint="eastAsia" w:asciiTheme="minorEastAsia" w:hAnsiTheme="minorEastAsia" w:eastAsiaTheme="minorEastAsia" w:cstheme="minorEastAsia"/>
                <w:b w:val="0"/>
                <w:bCs w:val="0"/>
                <w:sz w:val="24"/>
                <w:szCs w:val="24"/>
              </w:rPr>
              <w:t>体检发现疾病需进一步治疗的，</w:t>
            </w:r>
            <w:r>
              <w:rPr>
                <w:rFonts w:hint="eastAsia" w:asciiTheme="minorEastAsia" w:hAnsiTheme="minorEastAsia" w:eastAsiaTheme="minorEastAsia" w:cstheme="minorEastAsia"/>
                <w:b w:val="0"/>
                <w:bCs w:val="0"/>
                <w:sz w:val="24"/>
                <w:szCs w:val="24"/>
                <w:lang w:eastAsia="zh-CN"/>
              </w:rPr>
              <w:t>可</w:t>
            </w:r>
            <w:r>
              <w:rPr>
                <w:rFonts w:hint="eastAsia" w:asciiTheme="minorEastAsia" w:hAnsiTheme="minorEastAsia" w:eastAsiaTheme="minorEastAsia" w:cstheme="minorEastAsia"/>
                <w:b w:val="0"/>
                <w:bCs w:val="0"/>
                <w:sz w:val="24"/>
                <w:szCs w:val="24"/>
              </w:rPr>
              <w:t>在本院内提供就医绿色通道的(含复检、挂号、办理住院、专家会诊)得4分</w:t>
            </w:r>
            <w:r>
              <w:rPr>
                <w:rFonts w:hint="eastAsia" w:asciiTheme="minorEastAsia" w:hAnsiTheme="minorEastAsia" w:eastAsiaTheme="minorEastAsia" w:cstheme="minorEastAsia"/>
                <w:b w:val="0"/>
                <w:bCs w:val="0"/>
                <w:sz w:val="24"/>
                <w:szCs w:val="24"/>
                <w:lang w:eastAsia="zh-CN"/>
              </w:rPr>
              <w:t>。</w:t>
            </w:r>
          </w:p>
          <w:p>
            <w:pPr>
              <w:pageBreakBefore w:val="0"/>
              <w:kinsoku/>
              <w:wordWrap/>
              <w:overflowPunct/>
              <w:topLinePunct w:val="0"/>
              <w:autoSpaceDE/>
              <w:autoSpaceDN/>
              <w:bidi w:val="0"/>
              <w:adjustRightInd/>
              <w:snapToGrid/>
              <w:spacing w:line="384" w:lineRule="auto"/>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体检治疗服务方案(内容包括但不限于常见疾病的治疗方案、医疗团队人员配置等)进行综合评分</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治疗方案合理，对于常见疾病的认识到位，医疗团队人员配置合理且适用于本项目得6分，针对上述要求每有</w:t>
            </w:r>
            <w:r>
              <w:rPr>
                <w:rFonts w:hint="eastAsia" w:asciiTheme="minorEastAsia" w:hAnsiTheme="minorEastAsia" w:eastAsiaTheme="minorEastAsia" w:cstheme="minorEastAsia"/>
                <w:b w:val="0"/>
                <w:bCs w:val="0"/>
                <w:sz w:val="24"/>
                <w:szCs w:val="24"/>
                <w:lang w:eastAsia="zh-CN"/>
              </w:rPr>
              <w:t>一</w:t>
            </w:r>
            <w:r>
              <w:rPr>
                <w:rFonts w:hint="eastAsia" w:asciiTheme="minorEastAsia" w:hAnsiTheme="minorEastAsia" w:eastAsiaTheme="minorEastAsia" w:cstheme="minorEastAsia"/>
                <w:b w:val="0"/>
                <w:bCs w:val="0"/>
                <w:sz w:val="24"/>
                <w:szCs w:val="24"/>
              </w:rPr>
              <w:t>项缺项、漏项的扣3分</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每有一项描述不完整、条理不清晰，存</w:t>
            </w:r>
            <w:r>
              <w:rPr>
                <w:rFonts w:hint="eastAsia" w:asciiTheme="minorEastAsia" w:hAnsiTheme="minorEastAsia" w:eastAsiaTheme="minorEastAsia" w:cstheme="minorEastAsia"/>
                <w:b w:val="0"/>
                <w:bCs w:val="0"/>
                <w:sz w:val="24"/>
                <w:szCs w:val="24"/>
                <w:lang w:eastAsia="zh-CN"/>
              </w:rPr>
              <w:t>在</w:t>
            </w:r>
            <w:r>
              <w:rPr>
                <w:rFonts w:hint="eastAsia" w:asciiTheme="minorEastAsia" w:hAnsiTheme="minorEastAsia" w:eastAsiaTheme="minorEastAsia" w:cstheme="minorEastAsia"/>
                <w:b w:val="0"/>
                <w:bCs w:val="0"/>
                <w:sz w:val="24"/>
                <w:szCs w:val="24"/>
              </w:rPr>
              <w:t>逻辑问题，针对性不强的扣1分，扣完为止。</w:t>
            </w:r>
            <w:r>
              <w:rPr>
                <w:rFonts w:hint="eastAsia" w:asciiTheme="minorEastAsia" w:hAnsiTheme="minorEastAsia" w:eastAsiaTheme="minorEastAsia" w:cstheme="minorEastAsia"/>
                <w:b w:val="0"/>
                <w:bCs w:val="0"/>
                <w:sz w:val="24"/>
                <w:szCs w:val="24"/>
                <w:lang w:eastAsia="zh-CN"/>
              </w:rPr>
              <w:t>本项满分为</w:t>
            </w:r>
            <w:r>
              <w:rPr>
                <w:rFonts w:hint="eastAsia" w:asciiTheme="minorEastAsia" w:hAnsiTheme="minorEastAsia" w:eastAsiaTheme="minorEastAsia" w:cstheme="minorEastAsia"/>
                <w:b w:val="0"/>
                <w:bCs w:val="0"/>
                <w:sz w:val="24"/>
                <w:szCs w:val="24"/>
                <w:lang w:val="en-US" w:eastAsia="zh-CN"/>
              </w:rPr>
              <w:t>10分。</w:t>
            </w:r>
          </w:p>
          <w:p>
            <w:pPr>
              <w:pStyle w:val="22"/>
              <w:pageBreakBefore w:val="0"/>
              <w:tabs>
                <w:tab w:val="left" w:pos="0"/>
              </w:tabs>
              <w:kinsoku/>
              <w:wordWrap/>
              <w:overflowPunct/>
              <w:topLinePunct w:val="0"/>
              <w:autoSpaceDE/>
              <w:autoSpaceDN/>
              <w:bidi w:val="0"/>
              <w:adjustRightInd/>
              <w:snapToGrid/>
              <w:spacing w:before="0" w:after="0" w:line="384"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kern w:val="0"/>
                <w:sz w:val="24"/>
                <w:szCs w:val="24"/>
              </w:rPr>
              <w:t>供应商</w:t>
            </w:r>
            <w:r>
              <w:rPr>
                <w:rFonts w:hint="eastAsia" w:asciiTheme="minorEastAsia" w:hAnsiTheme="minorEastAsia" w:eastAsiaTheme="minorEastAsia" w:cstheme="minorEastAsia"/>
                <w:b w:val="0"/>
                <w:bCs w:val="0"/>
                <w:sz w:val="24"/>
                <w:szCs w:val="24"/>
              </w:rPr>
              <w:t>承诺提供体检后续增值服务（包括检后专家现场报告讲座咨询、</w:t>
            </w:r>
            <w:r>
              <w:rPr>
                <w:rFonts w:hint="eastAsia" w:asciiTheme="minorEastAsia" w:hAnsiTheme="minorEastAsia" w:eastAsiaTheme="minorEastAsia" w:cstheme="minorEastAsia"/>
                <w:b w:val="0"/>
                <w:bCs w:val="0"/>
                <w:sz w:val="24"/>
                <w:szCs w:val="24"/>
                <w:lang w:eastAsia="zh-CN"/>
              </w:rPr>
              <w:t>服务</w:t>
            </w:r>
            <w:r>
              <w:rPr>
                <w:rFonts w:hint="eastAsia" w:asciiTheme="minorEastAsia" w:hAnsiTheme="minorEastAsia" w:eastAsiaTheme="minorEastAsia" w:cstheme="minorEastAsia"/>
                <w:b w:val="0"/>
                <w:bCs w:val="0"/>
                <w:sz w:val="24"/>
                <w:szCs w:val="24"/>
              </w:rPr>
              <w:t>短信、电话报告咨询）的，每有一项得1分，</w:t>
            </w:r>
            <w:r>
              <w:rPr>
                <w:rFonts w:hint="eastAsia" w:asciiTheme="minorEastAsia" w:hAnsiTheme="minorEastAsia" w:eastAsiaTheme="minorEastAsia" w:cstheme="minorEastAsia"/>
                <w:b w:val="0"/>
                <w:bCs w:val="0"/>
                <w:sz w:val="24"/>
                <w:szCs w:val="24"/>
                <w:lang w:eastAsia="zh-CN"/>
              </w:rPr>
              <w:t>本项</w:t>
            </w:r>
            <w:r>
              <w:rPr>
                <w:rFonts w:hint="eastAsia" w:asciiTheme="minorEastAsia" w:hAnsiTheme="minorEastAsia" w:eastAsiaTheme="minorEastAsia" w:cstheme="minorEastAsia"/>
                <w:b w:val="0"/>
                <w:bCs w:val="0"/>
                <w:sz w:val="24"/>
                <w:szCs w:val="24"/>
              </w:rPr>
              <w:t>最多得3分（提供承诺函</w:t>
            </w:r>
            <w:r>
              <w:rPr>
                <w:rFonts w:hint="eastAsia" w:asciiTheme="minorEastAsia" w:hAnsiTheme="minorEastAsia" w:eastAsiaTheme="minorEastAsia" w:cstheme="minorEastAsia"/>
                <w:b w:val="0"/>
                <w:bCs w:val="0"/>
                <w:kern w:val="0"/>
                <w:sz w:val="24"/>
                <w:szCs w:val="24"/>
              </w:rPr>
              <w:t>加盖鲜章)</w:t>
            </w:r>
            <w:r>
              <w:rPr>
                <w:rFonts w:hint="eastAsia" w:asciiTheme="minorEastAsia" w:hAnsiTheme="minorEastAsia" w:eastAsiaTheme="minorEastAsia" w:cstheme="minorEastAsia"/>
                <w:b w:val="0"/>
                <w:bCs w:val="0"/>
                <w:sz w:val="24"/>
                <w:szCs w:val="24"/>
              </w:rPr>
              <w:t>。</w:t>
            </w:r>
          </w:p>
        </w:tc>
        <w:tc>
          <w:tcPr>
            <w:tcW w:w="879" w:type="dxa"/>
            <w:vAlign w:val="center"/>
          </w:tcPr>
          <w:p>
            <w:pPr>
              <w:pStyle w:val="25"/>
              <w:pageBreakBefore w:val="0"/>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技术类评分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8</w:t>
            </w:r>
          </w:p>
        </w:tc>
        <w:tc>
          <w:tcPr>
            <w:tcW w:w="1396"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合   计</w:t>
            </w:r>
          </w:p>
        </w:tc>
        <w:tc>
          <w:tcPr>
            <w:tcW w:w="912"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100分</w:t>
            </w:r>
          </w:p>
        </w:tc>
        <w:tc>
          <w:tcPr>
            <w:tcW w:w="5025" w:type="dxa"/>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autoSpaceDN/>
              <w:bidi w:val="0"/>
              <w:adjustRightInd/>
              <w:snapToGrid/>
              <w:spacing w:line="384" w:lineRule="auto"/>
              <w:rPr>
                <w:rFonts w:hint="eastAsia" w:asciiTheme="minorEastAsia" w:hAnsiTheme="minorEastAsia" w:eastAsiaTheme="minorEastAsia" w:cstheme="minorEastAsia"/>
                <w:b w:val="0"/>
                <w:bCs w:val="0"/>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autoSpaceDN/>
              <w:bidi w:val="0"/>
              <w:adjustRightInd/>
              <w:snapToGrid/>
              <w:spacing w:line="384" w:lineRule="auto"/>
              <w:jc w:val="center"/>
              <w:rPr>
                <w:rFonts w:hint="eastAsia" w:asciiTheme="minorEastAsia" w:hAnsiTheme="minorEastAsia" w:eastAsiaTheme="minorEastAsia" w:cstheme="minorEastAsia"/>
                <w:b w:val="0"/>
                <w:bCs w:val="0"/>
                <w:sz w:val="24"/>
                <w:szCs w:val="24"/>
              </w:rPr>
            </w:pPr>
          </w:p>
        </w:tc>
      </w:tr>
      <w:bookmarkEnd w:id="288"/>
      <w:bookmarkEnd w:id="289"/>
      <w:bookmarkEnd w:id="290"/>
      <w:bookmarkEnd w:id="291"/>
    </w:tbl>
    <w:p>
      <w:pPr>
        <w:keepNext w:val="0"/>
        <w:keepLines w:val="0"/>
        <w:pageBreakBefore w:val="0"/>
        <w:widowControl w:val="0"/>
        <w:tabs>
          <w:tab w:val="left" w:pos="851"/>
        </w:tabs>
        <w:kinsoku/>
        <w:wordWrap/>
        <w:overflowPunct/>
        <w:topLinePunct w:val="0"/>
        <w:autoSpaceDE/>
        <w:autoSpaceDN/>
        <w:bidi w:val="0"/>
        <w:adjustRightInd/>
        <w:snapToGrid/>
        <w:spacing w:line="348" w:lineRule="auto"/>
        <w:ind w:right="0" w:rightChars="0" w:firstLine="482" w:firstLineChars="200"/>
        <w:textAlignment w:val="auto"/>
        <w:outlineLvl w:val="9"/>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4.磋商纪律及注意事项</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4.1磋商小组内部讨论的情况和意见必须保密，任何人不得以任何形式透露给供应商或与供应商有关的单位或个人。</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4.2在磋商过程中，供应商不得以任何形式对磋商小组成员进行旨在影响谈判结果的私下接触，否则将取消其参与磋商的资格。</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4.3对各供应商的商业秘密，磋商小组成员应予以保密，不得泄露给其他供应商。</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4.4 磋商小组独立评判，推荐成交候选人，并写出书面报告。</w:t>
      </w:r>
    </w:p>
    <w:p>
      <w:pPr>
        <w:keepNext w:val="0"/>
        <w:keepLines w:val="0"/>
        <w:pageBreakBefore w:val="0"/>
        <w:widowControl w:val="0"/>
        <w:tabs>
          <w:tab w:val="left" w:pos="851"/>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4.5 磋商小组可根据需要对供应商进行实地考察。</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2" w:firstLineChars="200"/>
        <w:textAlignment w:val="auto"/>
        <w:outlineLvl w:val="9"/>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5.</w:t>
      </w:r>
      <w:bookmarkEnd w:id="292"/>
      <w:r>
        <w:rPr>
          <w:rFonts w:hint="eastAsia" w:asciiTheme="minorEastAsia" w:hAnsiTheme="minorEastAsia" w:eastAsiaTheme="minorEastAsia" w:cstheme="minorEastAsia"/>
          <w:b/>
          <w:bCs/>
          <w:color w:val="000000" w:themeColor="text1"/>
          <w:sz w:val="24"/>
          <w14:textFill>
            <w14:solidFill>
              <w14:schemeClr w14:val="tx1"/>
            </w14:solidFill>
          </w14:textFill>
        </w:rPr>
        <w:t>磋商小组在政府采购活动中承担以下义务：</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（一）遵守评审工作纪律；</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（二）按照客观、公正、审慎的原则，根据磋商文件规定的评审程序、评审方法和评审标准进行独立评审；</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（三）不得泄露评审文件、评审情况和在评审过程中获悉的商业秘密；</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（四）及时向财政部门报告评审过程中发现的采购人、采购代理机构向评审专家做倾向性、误导性的解释或者说明，以及供应商行贿、提供虚假材料或者串通等违法行为；</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（五）发现磋商文件内容违反国家有关强制性规定或者磋商文件存在歧义、重大缺陷导致评审工作无法进行时，停止评审并向采购人或者采购代理机构书面说明情况；</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（六）及时向财政、监察等部门举报在评审过程中受到非法干预的情况；</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（七）配合答复处理供应商的询问、质疑和投诉等事项；</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（八）法律、法规和规章规定的其他义务。</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2" w:firstLineChars="200"/>
        <w:textAlignment w:val="auto"/>
        <w:outlineLvl w:val="9"/>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6.评审专家在政府采购活动中应当遵守以下工作纪律：</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（一）不得参加与自己有《中华人民共和国政府采购法实施条例》第九条规定的利害关系的政府采购项目的评标活动。发现参加了与自己有利害关系的评审活动，须主动提出回避，退出评审；</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（二）评审前，应当将通讯工具或者相关电子设备交由采购代理机构统一保管；</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（三）评审过程中，不得与外界联系，因发生不可预见情况，确实需要与外界联系的，应当在监督人员监督之下办理；</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（五）在评审过程中和评审结束后，不得记录、复制或带走任何评审资料，不得向外界透露评审内容；</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（六）评审现场服从采购代理机构工作人员的管理，接受现场监督人员的合法监督；</w:t>
      </w:r>
    </w:p>
    <w:p>
      <w:pPr>
        <w:keepNext w:val="0"/>
        <w:keepLines w:val="0"/>
        <w:pageBreakBefore w:val="0"/>
        <w:widowControl w:val="0"/>
        <w:tabs>
          <w:tab w:val="left" w:pos="7665"/>
        </w:tabs>
        <w:kinsoku/>
        <w:wordWrap/>
        <w:overflowPunct/>
        <w:topLinePunct w:val="0"/>
        <w:autoSpaceDE/>
        <w:autoSpaceDN/>
        <w:bidi w:val="0"/>
        <w:adjustRightInd/>
        <w:snapToGrid/>
        <w:spacing w:line="348" w:lineRule="auto"/>
        <w:ind w:right="0" w:rightChars="0" w:firstLine="480" w:firstLineChars="200"/>
        <w:textAlignment w:val="auto"/>
        <w:outlineLvl w:val="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（七）遵守有关廉洁自律规定，不得私下接触供应商，不得收受供应商及有关业务单位和个人的财物或好处，不得接受采购代理机构的请托。</w:t>
      </w:r>
    </w:p>
    <w:p>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Theme="minorEastAsia" w:hAnsiTheme="minorEastAsia" w:eastAsiaTheme="minorEastAsia" w:cstheme="minorEastAsia"/>
          <w:color w:val="000000" w:themeColor="text1"/>
          <w14:textFill>
            <w14:solidFill>
              <w14:schemeClr w14:val="tx1"/>
            </w14:solidFill>
          </w14:textFill>
        </w:rPr>
      </w:pPr>
      <w:bookmarkStart w:id="293" w:name="_Toc349810624"/>
      <w:bookmarkStart w:id="294" w:name="_Toc2752"/>
      <w:bookmarkStart w:id="295" w:name="_Toc350864527"/>
      <w:r>
        <w:rPr>
          <w:rFonts w:hint="eastAsia" w:asciiTheme="minorEastAsia" w:hAnsiTheme="minorEastAsia" w:eastAsiaTheme="minorEastAsia" w:cstheme="minorEastAsia"/>
          <w:color w:val="000000" w:themeColor="text1"/>
          <w:lang w:val="en-US" w:eastAsia="zh-CN"/>
          <w14:textFill>
            <w14:solidFill>
              <w14:schemeClr w14:val="tx1"/>
            </w14:solidFill>
          </w14:textFill>
        </w:rPr>
        <w:br w:type="page"/>
      </w:r>
    </w:p>
    <w:p>
      <w:pPr>
        <w:pStyle w:val="3"/>
        <w:keepNext/>
        <w:keepLines/>
        <w:pageBreakBefore w:val="0"/>
        <w:widowControl w:val="0"/>
        <w:numPr>
          <w:ilvl w:val="0"/>
          <w:numId w:val="10"/>
        </w:numPr>
        <w:kinsoku/>
        <w:wordWrap/>
        <w:overflowPunct/>
        <w:topLinePunct w:val="0"/>
        <w:autoSpaceDE/>
        <w:autoSpaceDN/>
        <w:bidi w:val="0"/>
        <w:adjustRightInd/>
        <w:snapToGrid/>
        <w:spacing w:line="579" w:lineRule="auto"/>
        <w:jc w:val="center"/>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政府采购合同（草案</w:t>
      </w:r>
      <w:r>
        <w:rPr>
          <w:rFonts w:hint="eastAsia" w:asciiTheme="minorEastAsia" w:hAnsiTheme="minorEastAsia" w:eastAsiaTheme="minorEastAsia" w:cstheme="minorEastAsia"/>
          <w:color w:val="000000" w:themeColor="text1"/>
          <w:lang w:eastAsia="zh-CN"/>
          <w14:textFill>
            <w14:solidFill>
              <w14:schemeClr w14:val="tx1"/>
            </w14:solidFill>
          </w14:textFill>
        </w:rPr>
        <w:t>、仅供参考</w:t>
      </w:r>
      <w:r>
        <w:rPr>
          <w:rFonts w:hint="eastAsia" w:asciiTheme="minorEastAsia" w:hAnsiTheme="minorEastAsia" w:eastAsiaTheme="minorEastAsia" w:cstheme="minorEastAsia"/>
          <w:color w:val="000000" w:themeColor="text1"/>
          <w14:textFill>
            <w14:solidFill>
              <w14:schemeClr w14:val="tx1"/>
            </w14:solidFill>
          </w14:textFill>
        </w:rPr>
        <w:t>）</w:t>
      </w:r>
      <w:bookmarkEnd w:id="98"/>
      <w:bookmarkEnd w:id="99"/>
      <w:bookmarkEnd w:id="100"/>
      <w:bookmarkEnd w:id="293"/>
      <w:bookmarkEnd w:id="294"/>
      <w:bookmarkEnd w:id="295"/>
    </w:p>
    <w:p>
      <w:pPr>
        <w:pStyle w:val="28"/>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合同编号：                                     </w:t>
      </w:r>
    </w:p>
    <w:p>
      <w:pPr>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签订地点：  。</w:t>
      </w:r>
    </w:p>
    <w:p>
      <w:pPr>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签订时间：  年  月  日。</w:t>
      </w:r>
    </w:p>
    <w:p>
      <w:pPr>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14:textFill>
            <w14:solidFill>
              <w14:schemeClr w14:val="tx1"/>
            </w14:solidFill>
          </w14:textFill>
        </w:rPr>
        <w:t>（甲方）：</w:t>
      </w:r>
    </w:p>
    <w:p>
      <w:pPr>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供应商（乙方）：</w:t>
      </w:r>
    </w:p>
    <w:p>
      <w:pPr>
        <w:keepNext w:val="0"/>
        <w:keepLines w:val="0"/>
        <w:pageBreakBefore w:val="0"/>
        <w:widowControl w:val="0"/>
        <w:kinsoku/>
        <w:wordWrap/>
        <w:overflowPunct/>
        <w:topLinePunct w:val="0"/>
        <w:autoSpaceDE/>
        <w:autoSpaceDN/>
        <w:bidi w:val="0"/>
        <w:snapToGrid/>
        <w:spacing w:line="360" w:lineRule="auto"/>
        <w:ind w:left="0"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auto"/>
          <w:sz w:val="24"/>
          <w:szCs w:val="24"/>
          <w:highlight w:val="none"/>
        </w:rPr>
        <w:t>根据《中华人民共和国</w:t>
      </w:r>
      <w:r>
        <w:rPr>
          <w:rFonts w:hint="eastAsia" w:asciiTheme="minorEastAsia" w:hAnsiTheme="minorEastAsia" w:eastAsiaTheme="minorEastAsia" w:cstheme="minorEastAsia"/>
          <w:color w:val="auto"/>
          <w:sz w:val="24"/>
          <w:szCs w:val="24"/>
          <w:highlight w:val="none"/>
          <w:lang w:eastAsia="zh-CN"/>
        </w:rPr>
        <w:t>民法典</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《中华人民共和国政府采购法》、《中华人民共和国政府采购法实施条例》及</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（项目名称）</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（项目编号）</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》、乙方的《</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》及《</w:t>
      </w:r>
      <w:r>
        <w:rPr>
          <w:rFonts w:hint="eastAsia" w:asciiTheme="minorEastAsia" w:hAnsiTheme="minorEastAsia" w:eastAsiaTheme="minorEastAsia" w:cstheme="minorEastAsia"/>
          <w:color w:val="auto"/>
          <w:sz w:val="24"/>
          <w:szCs w:val="24"/>
          <w:highlight w:val="none"/>
          <w:lang w:eastAsia="zh-CN"/>
        </w:rPr>
        <w:t>成交通知书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00" w:themeColor="text1"/>
          <w:sz w:val="24"/>
          <w14:textFill>
            <w14:solidFill>
              <w14:schemeClr w14:val="tx1"/>
            </w14:solidFill>
          </w14:textFill>
        </w:rPr>
        <w:t>甲、乙双方同意签订本合同。详细技术说明及其他有关合同项目的特定信息由合同附件予以说明，合同附件及本项目的《</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磋商文件</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4"/>
          <w14:textFill>
            <w14:solidFill>
              <w14:schemeClr w14:val="tx1"/>
            </w14:solidFill>
          </w14:textFill>
        </w:rPr>
        <w:t>通知书》等均为本合同的组成部分。</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leftChars="0" w:firstLine="482" w:firstLineChars="200"/>
        <w:jc w:val="left"/>
        <w:rPr>
          <w:rFonts w:hint="eastAsia" w:asciiTheme="minorEastAsia" w:hAnsiTheme="minorEastAsia" w:eastAsiaTheme="minorEastAsia" w:cstheme="minorEastAsia"/>
          <w:b/>
          <w:bCs/>
          <w:color w:val="000000" w:themeColor="text1"/>
          <w:sz w:val="24"/>
          <w14:textFill>
            <w14:solidFill>
              <w14:schemeClr w14:val="tx1"/>
            </w14:solidFill>
          </w14:textFill>
        </w:rPr>
      </w:pPr>
      <w:bookmarkStart w:id="296" w:name="_Toc7129"/>
      <w:bookmarkStart w:id="297" w:name="_Toc12860"/>
      <w:r>
        <w:rPr>
          <w:rFonts w:hint="eastAsia" w:asciiTheme="minorEastAsia" w:hAnsiTheme="minorEastAsia" w:eastAsiaTheme="minorEastAsia" w:cstheme="minorEastAsia"/>
          <w:b/>
          <w:bCs/>
          <w:color w:val="000000" w:themeColor="text1"/>
          <w:sz w:val="24"/>
          <w14:textFill>
            <w14:solidFill>
              <w14:schemeClr w14:val="tx1"/>
            </w14:solidFill>
          </w14:textFill>
        </w:rPr>
        <w:t>项目基本情况</w:t>
      </w:r>
      <w:bookmarkEnd w:id="296"/>
      <w:bookmarkEnd w:id="297"/>
    </w:p>
    <w:p>
      <w:pPr>
        <w:pStyle w:val="6"/>
        <w:keepNext w:val="0"/>
        <w:keepLines w:val="0"/>
        <w:pageBreakBefore w:val="0"/>
        <w:widowControl w:val="0"/>
        <w:kinsoku/>
        <w:wordWrap/>
        <w:overflowPunct/>
        <w:topLinePunct w:val="0"/>
        <w:autoSpaceDE/>
        <w:autoSpaceDN/>
        <w:bidi w:val="0"/>
        <w:snapToGrid/>
        <w:spacing w:line="360" w:lineRule="auto"/>
        <w:ind w:left="0" w:leftChars="0" w:firstLine="480" w:firstLineChars="200"/>
        <w:jc w:val="left"/>
        <w:rPr>
          <w:rFonts w:hint="eastAsia"/>
        </w:rPr>
      </w:pPr>
      <w:r>
        <w:rPr>
          <w:rFonts w:hint="eastAsia" w:asciiTheme="minorEastAsia" w:hAnsiTheme="minorEastAsia" w:eastAsiaTheme="minorEastAsia" w:cstheme="minorEastAsia"/>
          <w:b w:val="0"/>
          <w:bCs/>
          <w:sz w:val="24"/>
          <w:szCs w:val="24"/>
          <w:lang w:eastAsia="zh-CN"/>
        </w:rPr>
        <w:t>本次服务内容：</w:t>
      </w:r>
      <w:r>
        <w:rPr>
          <w:rFonts w:hint="eastAsia" w:asciiTheme="minorEastAsia" w:hAnsiTheme="minorEastAsia" w:eastAsiaTheme="minorEastAsia" w:cstheme="minorEastAsia"/>
          <w:b w:val="0"/>
          <w:bCs/>
          <w:kern w:val="0"/>
          <w:sz w:val="24"/>
          <w:szCs w:val="24"/>
          <w:u w:val="none"/>
        </w:rPr>
        <w:t>成都市东部新区水务监管事务中心</w:t>
      </w:r>
      <w:r>
        <w:rPr>
          <w:rFonts w:hint="eastAsia" w:asciiTheme="minorEastAsia" w:hAnsiTheme="minorEastAsia" w:eastAsiaTheme="minorEastAsia" w:cstheme="minorEastAsia"/>
          <w:b w:val="0"/>
          <w:bCs/>
          <w:kern w:val="0"/>
          <w:sz w:val="24"/>
          <w:szCs w:val="24"/>
          <w:u w:val="none"/>
          <w:lang w:eastAsia="zh-CN"/>
        </w:rPr>
        <w:t>职工体检服务。参加</w:t>
      </w:r>
      <w:r>
        <w:rPr>
          <w:rFonts w:hint="eastAsia" w:asciiTheme="minorEastAsia" w:hAnsiTheme="minorEastAsia" w:eastAsiaTheme="minorEastAsia" w:cstheme="minorEastAsia"/>
          <w:b w:val="0"/>
          <w:bCs/>
          <w:kern w:val="0"/>
          <w:sz w:val="24"/>
          <w:szCs w:val="24"/>
          <w:highlight w:val="none"/>
          <w:u w:val="none"/>
          <w:lang w:eastAsia="zh-CN"/>
        </w:rPr>
        <w:t>体检人数共约</w:t>
      </w:r>
      <w:r>
        <w:rPr>
          <w:rFonts w:hint="eastAsia" w:asciiTheme="minorEastAsia" w:hAnsiTheme="minorEastAsia" w:eastAsiaTheme="minorEastAsia" w:cstheme="minorEastAsia"/>
          <w:b w:val="0"/>
          <w:bCs/>
          <w:kern w:val="0"/>
          <w:sz w:val="24"/>
          <w:szCs w:val="24"/>
          <w:highlight w:val="none"/>
          <w:u w:val="none"/>
          <w:lang w:val="en-US" w:eastAsia="zh-CN"/>
        </w:rPr>
        <w:t>680人，其中男性474人，女性206人。</w:t>
      </w:r>
      <w:r>
        <w:rPr>
          <w:rFonts w:hint="eastAsia" w:asciiTheme="minorEastAsia" w:hAnsiTheme="minorEastAsia" w:eastAsiaTheme="minorEastAsia" w:cstheme="minorEastAsia"/>
          <w:b w:val="0"/>
          <w:bCs/>
          <w:kern w:val="0"/>
          <w:sz w:val="24"/>
          <w:szCs w:val="24"/>
          <w:u w:val="none"/>
          <w:lang w:val="en-US" w:eastAsia="zh-CN"/>
        </w:rPr>
        <w:t>结算以实际体检人数为准。体检清单为采购人体检项目。</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leftChars="0" w:firstLine="482" w:firstLineChars="200"/>
        <w:jc w:val="left"/>
        <w:rPr>
          <w:rFonts w:hint="eastAsia" w:asciiTheme="minorEastAsia" w:hAnsiTheme="minorEastAsia" w:eastAsiaTheme="minorEastAsia" w:cstheme="minorEastAsia"/>
          <w:b/>
          <w:bCs/>
          <w:color w:val="000000" w:themeColor="text1"/>
          <w:sz w:val="24"/>
          <w14:textFill>
            <w14:solidFill>
              <w14:schemeClr w14:val="tx1"/>
            </w14:solidFill>
          </w14:textFill>
        </w:rPr>
      </w:pPr>
      <w:bookmarkStart w:id="298" w:name="_Toc152"/>
      <w:bookmarkStart w:id="299" w:name="_Toc2085"/>
      <w:r>
        <w:rPr>
          <w:rFonts w:hint="eastAsia" w:asciiTheme="minorEastAsia" w:hAnsiTheme="minorEastAsia" w:eastAsiaTheme="minorEastAsia" w:cstheme="minorEastAsia"/>
          <w:b/>
          <w:bCs/>
          <w:color w:val="000000" w:themeColor="text1"/>
          <w:sz w:val="24"/>
          <w14:textFill>
            <w14:solidFill>
              <w14:schemeClr w14:val="tx1"/>
            </w14:solidFill>
          </w14:textFill>
        </w:rPr>
        <w:t>合同期限</w:t>
      </w:r>
      <w:bookmarkEnd w:id="298"/>
      <w:bookmarkEnd w:id="299"/>
    </w:p>
    <w:p>
      <w:pPr>
        <w:pStyle w:val="6"/>
        <w:keepNext w:val="0"/>
        <w:keepLines w:val="0"/>
        <w:pageBreakBefore w:val="0"/>
        <w:widowControl w:val="0"/>
        <w:kinsoku/>
        <w:wordWrap/>
        <w:overflowPunct/>
        <w:topLinePunct w:val="0"/>
        <w:autoSpaceDE/>
        <w:autoSpaceDN/>
        <w:bidi w:val="0"/>
        <w:snapToGrid/>
        <w:spacing w:line="360" w:lineRule="auto"/>
        <w:ind w:left="0" w:leftChars="0" w:firstLine="480" w:firstLineChars="200"/>
        <w:jc w:val="left"/>
        <w:rPr>
          <w:rFonts w:hint="eastAsia"/>
        </w:rPr>
      </w:pPr>
      <w:r>
        <w:rPr>
          <w:rFonts w:hint="eastAsia" w:ascii="宋体" w:hAnsi="宋体" w:eastAsia="宋体" w:cs="宋体"/>
          <w:sz w:val="24"/>
          <w:szCs w:val="24"/>
          <w:lang w:val="en-US" w:eastAsia="zh-CN"/>
        </w:rPr>
        <w:t>合同签订后开展体检工作，</w:t>
      </w: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应</w:t>
      </w:r>
      <w:r>
        <w:rPr>
          <w:rFonts w:hint="eastAsia" w:ascii="宋体" w:hAnsi="宋体" w:cs="宋体"/>
          <w:sz w:val="24"/>
          <w:szCs w:val="24"/>
          <w:lang w:val="en-US" w:eastAsia="zh-CN"/>
        </w:rPr>
        <w:t>在</w:t>
      </w:r>
      <w:r>
        <w:rPr>
          <w:rFonts w:hint="eastAsia" w:ascii="宋体" w:hAnsi="宋体" w:eastAsia="宋体" w:cs="宋体"/>
          <w:sz w:val="24"/>
          <w:szCs w:val="24"/>
          <w:lang w:val="en-US" w:eastAsia="zh-CN"/>
        </w:rPr>
        <w:t>70个工作日内完成体检工作</w:t>
      </w:r>
      <w:r>
        <w:rPr>
          <w:rFonts w:hint="eastAsia" w:ascii="宋体" w:hAnsi="宋体" w:cs="宋体"/>
          <w:sz w:val="24"/>
          <w:szCs w:val="24"/>
          <w:lang w:val="en-US" w:eastAsia="zh-CN"/>
        </w:rPr>
        <w:t>。</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leftChars="0" w:firstLine="482" w:firstLineChars="200"/>
        <w:jc w:val="left"/>
        <w:rPr>
          <w:rFonts w:hint="eastAsia" w:asciiTheme="minorEastAsia" w:hAnsiTheme="minorEastAsia" w:eastAsiaTheme="minorEastAsia" w:cstheme="minorEastAsia"/>
          <w:b/>
          <w:bCs/>
          <w:color w:val="000000" w:themeColor="text1"/>
          <w:sz w:val="24"/>
          <w14:textFill>
            <w14:solidFill>
              <w14:schemeClr w14:val="tx1"/>
            </w14:solidFill>
          </w14:textFill>
        </w:rPr>
      </w:pPr>
      <w:bookmarkStart w:id="300" w:name="_Toc32468"/>
      <w:bookmarkStart w:id="301" w:name="_Toc12511"/>
      <w:bookmarkStart w:id="302" w:name="_Toc239233914"/>
      <w:bookmarkStart w:id="303" w:name="_Toc241833903"/>
      <w:bookmarkStart w:id="304" w:name="_Toc211911348"/>
      <w:bookmarkStart w:id="305" w:name="_Toc286993786"/>
      <w:bookmarkStart w:id="306" w:name="_Toc211854449"/>
      <w:bookmarkStart w:id="307" w:name="_Toc239568418"/>
      <w:bookmarkStart w:id="308" w:name="_Toc283019214"/>
      <w:bookmarkStart w:id="309" w:name="_Toc238984975"/>
      <w:bookmarkStart w:id="310" w:name="_Toc225244852"/>
      <w:bookmarkStart w:id="311" w:name="_Toc251768862"/>
      <w:bookmarkStart w:id="312" w:name="_Toc237145406"/>
      <w:bookmarkStart w:id="313" w:name="_Toc282696226"/>
      <w:bookmarkStart w:id="314" w:name="_Toc185395249"/>
      <w:bookmarkStart w:id="315" w:name="_Toc212019594"/>
      <w:bookmarkStart w:id="316" w:name="_Toc247334841"/>
      <w:bookmarkStart w:id="317" w:name="_Toc232492928"/>
      <w:bookmarkStart w:id="318" w:name="_Toc225654644"/>
      <w:bookmarkStart w:id="319" w:name="_Toc225670751"/>
      <w:r>
        <w:rPr>
          <w:rFonts w:hint="eastAsia" w:asciiTheme="minorEastAsia" w:hAnsiTheme="minorEastAsia" w:eastAsiaTheme="minorEastAsia" w:cstheme="minorEastAsia"/>
          <w:b/>
          <w:bCs/>
          <w:color w:val="000000" w:themeColor="text1"/>
          <w:sz w:val="24"/>
          <w14:textFill>
            <w14:solidFill>
              <w14:schemeClr w14:val="tx1"/>
            </w14:solidFill>
          </w14:textFill>
        </w:rPr>
        <w:t>服务内容与质量标准</w:t>
      </w:r>
      <w:bookmarkEnd w:id="300"/>
      <w:bookmarkEnd w:id="30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供应商有义</w:t>
      </w:r>
      <w:r>
        <w:rPr>
          <w:rFonts w:hint="eastAsia" w:asciiTheme="minorEastAsia" w:hAnsiTheme="minorEastAsia" w:eastAsiaTheme="minorEastAsia" w:cstheme="minorEastAsia"/>
          <w:sz w:val="24"/>
          <w:szCs w:val="24"/>
          <w:lang w:val="en-US" w:eastAsia="zh-CN"/>
        </w:rPr>
        <w:t>务</w:t>
      </w:r>
      <w:r>
        <w:rPr>
          <w:rFonts w:hint="eastAsia" w:asciiTheme="minorEastAsia" w:hAnsiTheme="minorEastAsia" w:eastAsiaTheme="minorEastAsia" w:cstheme="minorEastAsia"/>
          <w:sz w:val="24"/>
          <w:szCs w:val="24"/>
        </w:rPr>
        <w:t>协助采购人选择体检项目。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2、供应商应具有独立的体检场所、能做到检患分离，避免交叉感染。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3、对异常结果凡需进一步检查确诊的，由供应商向本人提出并给予安排，进一步检查的费用由需复检本人自行承担，费用不计入体检经费内。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000000"/>
          <w:sz w:val="24"/>
        </w:rPr>
        <w:t>★</w:t>
      </w:r>
      <w:r>
        <w:rPr>
          <w:rFonts w:hint="eastAsia" w:asciiTheme="minorEastAsia" w:hAnsiTheme="minorEastAsia" w:eastAsiaTheme="minorEastAsia" w:cstheme="minorEastAsia"/>
          <w:sz w:val="24"/>
          <w:szCs w:val="24"/>
          <w:lang w:val="en-US" w:eastAsia="zh-CN"/>
        </w:rPr>
        <w:t>4、供应商应落实保密制度，对有可疑肿瘤或其它危害身体健康较大的疾病，由体检医生通知采购人及职工本人，以便及时就诊或进一步检查。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5、供应商应控制每天的体检人数在适当的范围内，根据自身每日接检能力、场地大小，结合防疫要求确定合理的参检人数和参检时间间隔，以确保服务流程顺畅，保障对每一名职工的服务质量。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供应商应提供所有参检人员的体检报告，体检报告中除进行常规的数据分析外，应提供相应的保健知识，以及个性化的健康促进计划。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为采购人提供检后咨询服务。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在采购人参加体检人员的总检报告完成后</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为采购人提供团队检查的健康总结报告。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每批次体检工作结束后15个工作日内</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由供应商统一送体检报告给采购人，再由采购人转发给体检人员。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lang w:val="en-US" w:eastAsia="zh-CN"/>
        </w:rPr>
        <w:t>供应商应向采购人提供</w:t>
      </w:r>
      <w:r>
        <w:rPr>
          <w:rFonts w:hint="eastAsia" w:asciiTheme="minorEastAsia" w:hAnsiTheme="minorEastAsia" w:eastAsiaTheme="minorEastAsia" w:cstheme="minorEastAsia"/>
          <w:sz w:val="24"/>
          <w:szCs w:val="24"/>
          <w:lang w:eastAsia="zh-CN"/>
        </w:rPr>
        <w:t>：各体检项目一览表、</w:t>
      </w:r>
      <w:r>
        <w:rPr>
          <w:rFonts w:hint="eastAsia" w:asciiTheme="minorEastAsia" w:hAnsiTheme="minorEastAsia" w:eastAsiaTheme="minorEastAsia" w:cstheme="minorEastAsia"/>
          <w:sz w:val="24"/>
          <w:szCs w:val="24"/>
        </w:rPr>
        <w:t>清晰准确的检前注意事项</w:t>
      </w:r>
      <w:r>
        <w:rPr>
          <w:rFonts w:hint="eastAsia" w:asciiTheme="minorEastAsia" w:hAnsiTheme="minorEastAsia" w:eastAsiaTheme="minorEastAsia" w:cstheme="minorEastAsia"/>
          <w:sz w:val="24"/>
          <w:szCs w:val="24"/>
          <w:lang w:eastAsia="zh-CN"/>
        </w:rPr>
        <w:t>、体检流程图、体检时间安排表以及</w:t>
      </w:r>
      <w:r>
        <w:rPr>
          <w:rFonts w:hint="eastAsia" w:asciiTheme="minorEastAsia" w:hAnsiTheme="minorEastAsia" w:eastAsiaTheme="minorEastAsia" w:cstheme="minorEastAsia"/>
          <w:sz w:val="24"/>
          <w:szCs w:val="24"/>
        </w:rPr>
        <w:t>饮食、作息等方面准确</w:t>
      </w:r>
      <w:r>
        <w:rPr>
          <w:rFonts w:hint="eastAsia" w:asciiTheme="minorEastAsia" w:hAnsiTheme="minorEastAsia" w:eastAsiaTheme="minorEastAsia" w:cstheme="minorEastAsia"/>
          <w:sz w:val="24"/>
          <w:szCs w:val="24"/>
          <w:lang w:val="en-US" w:eastAsia="zh-CN"/>
        </w:rPr>
        <w:t>的建议</w:t>
      </w:r>
      <w:r>
        <w:rPr>
          <w:rFonts w:hint="eastAsia" w:asciiTheme="minorEastAsia" w:hAnsiTheme="minorEastAsia" w:eastAsiaTheme="minorEastAsia" w:cstheme="minorEastAsia"/>
          <w:sz w:val="24"/>
          <w:szCs w:val="24"/>
          <w:lang w:eastAsia="zh-CN"/>
        </w:rPr>
        <w:t>等</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11、设有餐厅并准备早餐，统一安排体检人员在检后用餐。</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lang w:val="en-US" w:eastAsia="zh-CN"/>
        </w:rPr>
      </w:pPr>
      <w:r>
        <w:rPr>
          <w:rFonts w:hint="eastAsia" w:asciiTheme="minorEastAsia" w:hAnsiTheme="minorEastAsia" w:eastAsiaTheme="minorEastAsia" w:cstheme="minorEastAsia"/>
          <w:sz w:val="24"/>
          <w:szCs w:val="24"/>
          <w:lang w:val="en-US" w:eastAsia="zh-CN"/>
        </w:rPr>
        <w:t>12、体检内容详见体检套餐。</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leftChars="0" w:firstLine="482" w:firstLineChars="200"/>
        <w:jc w:val="left"/>
        <w:rPr>
          <w:rFonts w:hint="eastAsia" w:asciiTheme="minorEastAsia" w:hAnsiTheme="minorEastAsia" w:eastAsiaTheme="minorEastAsia" w:cstheme="minorEastAsia"/>
          <w:b/>
          <w:bCs/>
          <w:color w:val="000000" w:themeColor="text1"/>
          <w:sz w:val="24"/>
          <w14:textFill>
            <w14:solidFill>
              <w14:schemeClr w14:val="tx1"/>
            </w14:solidFill>
          </w14:textFill>
        </w:rPr>
      </w:pPr>
      <w:bookmarkStart w:id="320" w:name="_Toc15014"/>
      <w:r>
        <w:rPr>
          <w:rFonts w:hint="eastAsia" w:asciiTheme="minorEastAsia" w:hAnsiTheme="minorEastAsia" w:eastAsiaTheme="minorEastAsia" w:cstheme="minorEastAsia"/>
          <w:b/>
          <w:bCs/>
          <w:color w:val="000000" w:themeColor="text1"/>
          <w:sz w:val="24"/>
          <w14:textFill>
            <w14:solidFill>
              <w14:schemeClr w14:val="tx1"/>
            </w14:solidFill>
          </w14:textFill>
        </w:rPr>
        <w:t>服务费用及支付方式</w:t>
      </w:r>
      <w:bookmarkEnd w:id="32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Theme="minorEastAsia" w:hAnsiTheme="minorEastAsia" w:eastAsiaTheme="minorEastAsia" w:cstheme="minorEastAsia"/>
          <w:b/>
          <w:bCs/>
          <w:color w:val="000000" w:themeColor="text1"/>
          <w:sz w:val="24"/>
          <w14:textFill>
            <w14:solidFill>
              <w14:schemeClr w14:val="tx1"/>
            </w14:solidFill>
          </w14:textFill>
        </w:rPr>
      </w:pPr>
      <w:bookmarkStart w:id="321" w:name="_Toc20876"/>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4"/>
          <w14:textFill>
            <w14:solidFill>
              <w14:schemeClr w14:val="tx1"/>
            </w14:solidFill>
          </w14:textFill>
        </w:rPr>
        <w:t>本项目服务费用由以下组成：</w:t>
      </w:r>
      <w:bookmarkEnd w:id="32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1、合同价是供应商响应采购项目要求的全部工作内容的单价体现，包括供应商拟投入的人员、体检、设备、耗材、早餐、税费、招标代理服务费、其他成本支出以及供应商获得的合法合理利润。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default"/>
          <w:lang w:val="en-US" w:eastAsia="zh-CN"/>
        </w:rPr>
      </w:pPr>
      <w:r>
        <w:rPr>
          <w:rFonts w:hint="eastAsia" w:ascii="宋体" w:hAnsi="宋体" w:cs="宋体"/>
          <w:sz w:val="24"/>
          <w:szCs w:val="24"/>
          <w:lang w:val="en-US" w:eastAsia="zh-CN"/>
        </w:rPr>
        <w:t>2、成交报价在合同履行过程中是固定不变的。</w:t>
      </w:r>
    </w:p>
    <w:p>
      <w:pPr>
        <w:keepNext w:val="0"/>
        <w:keepLines w:val="0"/>
        <w:pageBreakBefore w:val="0"/>
        <w:widowControl w:val="0"/>
        <w:numPr>
          <w:ilvl w:val="0"/>
          <w:numId w:val="0"/>
        </w:numPr>
        <w:tabs>
          <w:tab w:val="left" w:pos="780"/>
        </w:tabs>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Theme="minorEastAsia" w:hAnsiTheme="minorEastAsia" w:eastAsiaTheme="minorEastAsia" w:cstheme="minorEastAsia"/>
          <w:b/>
          <w:bCs/>
          <w:color w:val="000000" w:themeColor="text1"/>
          <w:sz w:val="24"/>
          <w14:textFill>
            <w14:solidFill>
              <w14:schemeClr w14:val="tx1"/>
            </w14:solidFill>
          </w14:textFill>
        </w:rPr>
      </w:pPr>
      <w:bookmarkStart w:id="322" w:name="_Toc5574"/>
      <w:r>
        <w:rPr>
          <w:rFonts w:hint="eastAsia" w:asciiTheme="minorEastAsia" w:hAnsiTheme="minorEastAsia" w:cstheme="minorEastAsia"/>
          <w:b/>
          <w:bCs/>
          <w:color w:val="000000" w:themeColor="text1"/>
          <w:sz w:val="24"/>
          <w:lang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14:textFill>
            <w14:solidFill>
              <w14:schemeClr w14:val="tx1"/>
            </w14:solidFill>
          </w14:textFill>
        </w:rPr>
        <w:t>服务费支付方式：</w:t>
      </w:r>
      <w:bookmarkEnd w:id="32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体检完毕后7个工作日内，</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应提交参检人员明细报表给采购人审核和核算，合同价款的计算根据实际体检人数和成交的单价据实结算，审核通过后的30个工作日内按实际参检人数全额支付款项。若</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在规定时限内未向采购人递交上述资料，采购人可延期付款。</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leftChars="0" w:firstLine="482" w:firstLineChars="200"/>
        <w:jc w:val="left"/>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验收、交付标准和方法</w:t>
      </w:r>
    </w:p>
    <w:p>
      <w:pPr>
        <w:pStyle w:val="2"/>
        <w:keepNext w:val="0"/>
        <w:keepLines w:val="0"/>
        <w:pageBreakBefore w:val="0"/>
        <w:widowControl w:val="0"/>
        <w:kinsoku/>
        <w:wordWrap/>
        <w:overflowPunct/>
        <w:topLinePunct w:val="0"/>
        <w:autoSpaceDE/>
        <w:autoSpaceDN/>
        <w:bidi w:val="0"/>
        <w:snapToGrid/>
        <w:spacing w:line="360" w:lineRule="auto"/>
        <w:ind w:left="0" w:leftChars="0" w:firstLine="480" w:firstLineChars="200"/>
        <w:jc w:val="left"/>
        <w:rPr>
          <w:rFonts w:hint="eastAsia"/>
          <w:lang w:eastAsia="zh-CN"/>
        </w:rPr>
      </w:pPr>
      <w:r>
        <w:rPr>
          <w:rFonts w:hint="eastAsia" w:ascii="宋体" w:hAnsi="宋体" w:eastAsia="宋体" w:cs="宋体"/>
          <w:sz w:val="24"/>
          <w:szCs w:val="24"/>
          <w:lang w:val="en-US" w:eastAsia="zh-CN"/>
        </w:rPr>
        <w:t>双方严格按照《财政部关于进一步加强政府采购需求和履约验收管理的</w:t>
      </w:r>
      <w:r>
        <w:rPr>
          <w:rFonts w:hint="eastAsia" w:ascii="宋体" w:hAnsi="宋体" w:eastAsia="宋体" w:cs="宋体"/>
          <w:color w:val="000000" w:themeColor="text1"/>
          <w:sz w:val="24"/>
          <w:szCs w:val="24"/>
          <w:lang w:val="en-US" w:eastAsia="zh-CN"/>
          <w14:textFill>
            <w14:solidFill>
              <w14:schemeClr w14:val="tx1"/>
            </w14:solidFill>
          </w14:textFill>
        </w:rPr>
        <w:t>指导</w:t>
      </w:r>
      <w:r>
        <w:rPr>
          <w:rFonts w:hint="eastAsia" w:ascii="宋体" w:hAnsi="宋体" w:eastAsia="宋体" w:cs="宋体"/>
          <w:sz w:val="24"/>
          <w:szCs w:val="24"/>
          <w:lang w:val="en-US" w:eastAsia="zh-CN"/>
        </w:rPr>
        <w:t>意见》（财库〔2016〕205号）相关规定执行</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leftChars="0" w:firstLine="482" w:firstLineChars="200"/>
        <w:jc w:val="left"/>
        <w:rPr>
          <w:rFonts w:hint="eastAsia" w:asciiTheme="minorEastAsia" w:hAnsiTheme="minorEastAsia" w:eastAsiaTheme="minorEastAsia" w:cstheme="minorEastAsia"/>
          <w:b/>
          <w:bCs/>
          <w:color w:val="000000" w:themeColor="text1"/>
          <w:sz w:val="24"/>
          <w14:textFill>
            <w14:solidFill>
              <w14:schemeClr w14:val="tx1"/>
            </w14:solidFill>
          </w14:textFill>
        </w:rPr>
      </w:pPr>
      <w:bookmarkStart w:id="323" w:name="_Toc27312"/>
      <w:bookmarkStart w:id="324" w:name="_Toc22790"/>
      <w:r>
        <w:rPr>
          <w:rFonts w:hint="eastAsia" w:asciiTheme="minorEastAsia" w:hAnsiTheme="minorEastAsia" w:eastAsiaTheme="minorEastAsia" w:cstheme="minorEastAsia"/>
          <w:b/>
          <w:bCs/>
          <w:color w:val="000000" w:themeColor="text1"/>
          <w:sz w:val="24"/>
          <w14:textFill>
            <w14:solidFill>
              <w14:schemeClr w14:val="tx1"/>
            </w14:solidFill>
          </w14:textFill>
        </w:rPr>
        <w:t>知识产权</w:t>
      </w:r>
      <w:bookmarkEnd w:id="323"/>
      <w:bookmarkEnd w:id="324"/>
    </w:p>
    <w:p>
      <w:pPr>
        <w:keepNext w:val="0"/>
        <w:keepLines w:val="0"/>
        <w:pageBreakBefore w:val="0"/>
        <w:widowControl w:val="0"/>
        <w:tabs>
          <w:tab w:val="left" w:pos="1440"/>
        </w:tabs>
        <w:kinsoku/>
        <w:wordWrap/>
        <w:overflowPunct/>
        <w:topLinePunct w:val="0"/>
        <w:autoSpaceDE/>
        <w:autoSpaceDN/>
        <w:bidi w:val="0"/>
        <w:snapToGrid/>
        <w:spacing w:line="360" w:lineRule="auto"/>
        <w:ind w:left="0" w:leftChars="0"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乙方应保证所提供的服务或其任何一部分均不会侵犯任何第三方的专利权、商标权或著作权。</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leftChars="0" w:firstLine="482" w:firstLineChars="200"/>
        <w:jc w:val="left"/>
        <w:rPr>
          <w:rFonts w:hint="eastAsia" w:asciiTheme="minorEastAsia" w:hAnsiTheme="minorEastAsia" w:eastAsiaTheme="minorEastAsia" w:cstheme="minorEastAsia"/>
          <w:b/>
          <w:bCs/>
          <w:color w:val="000000" w:themeColor="text1"/>
          <w:sz w:val="24"/>
          <w14:textFill>
            <w14:solidFill>
              <w14:schemeClr w14:val="tx1"/>
            </w14:solidFill>
          </w14:textFill>
        </w:rPr>
      </w:pPr>
      <w:bookmarkStart w:id="325" w:name="_Toc22044"/>
      <w:r>
        <w:rPr>
          <w:rFonts w:hint="eastAsia" w:asciiTheme="minorEastAsia" w:hAnsiTheme="minorEastAsia" w:eastAsiaTheme="minorEastAsia" w:cstheme="minorEastAsia"/>
          <w:b/>
          <w:bCs/>
          <w:color w:val="000000" w:themeColor="text1"/>
          <w:sz w:val="24"/>
          <w14:textFill>
            <w14:solidFill>
              <w14:schemeClr w14:val="tx1"/>
            </w14:solidFill>
          </w14:textFill>
        </w:rPr>
        <w:t>无产权瑕疵条款</w:t>
      </w:r>
      <w:bookmarkEnd w:id="325"/>
    </w:p>
    <w:p>
      <w:pPr>
        <w:keepNext w:val="0"/>
        <w:keepLines w:val="0"/>
        <w:pageBreakBefore w:val="0"/>
        <w:widowControl w:val="0"/>
        <w:tabs>
          <w:tab w:val="left" w:pos="1440"/>
        </w:tabs>
        <w:kinsoku/>
        <w:wordWrap/>
        <w:overflowPunct/>
        <w:topLinePunct w:val="0"/>
        <w:autoSpaceDE/>
        <w:autoSpaceDN/>
        <w:bidi w:val="0"/>
        <w:snapToGrid/>
        <w:spacing w:line="360" w:lineRule="auto"/>
        <w:ind w:left="0" w:leftChars="0"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leftChars="0" w:firstLine="482" w:firstLineChars="200"/>
        <w:jc w:val="left"/>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cstheme="minorEastAsia"/>
          <w:b/>
          <w:bCs/>
          <w:color w:val="000000" w:themeColor="text1"/>
          <w:sz w:val="24"/>
          <w:lang w:eastAsia="zh-CN"/>
          <w14:textFill>
            <w14:solidFill>
              <w14:schemeClr w14:val="tx1"/>
            </w14:solidFill>
          </w14:textFill>
        </w:rPr>
        <w:t>需补充事项</w:t>
      </w:r>
    </w:p>
    <w:p>
      <w:pPr>
        <w:keepNext w:val="0"/>
        <w:keepLines w:val="0"/>
        <w:pageBreakBefore w:val="0"/>
        <w:widowControl w:val="0"/>
        <w:tabs>
          <w:tab w:val="left" w:pos="1440"/>
        </w:tabs>
        <w:kinsoku/>
        <w:wordWrap/>
        <w:overflowPunct/>
        <w:topLinePunct w:val="0"/>
        <w:autoSpaceDE/>
        <w:autoSpaceDN/>
        <w:bidi w:val="0"/>
        <w:snapToGrid/>
        <w:spacing w:line="360" w:lineRule="auto"/>
        <w:ind w:left="0" w:leftChars="0"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若有</w:t>
      </w:r>
      <w:r>
        <w:rPr>
          <w:rFonts w:hint="eastAsia" w:asciiTheme="minorEastAsia" w:hAnsiTheme="minorEastAsia" w:cstheme="minorEastAsia"/>
          <w:color w:val="000000" w:themeColor="text1"/>
          <w:sz w:val="24"/>
          <w:lang w:eastAsia="zh-CN"/>
          <w14:textFill>
            <w14:solidFill>
              <w14:schemeClr w14:val="tx1"/>
            </w14:solidFill>
          </w14:textFill>
        </w:rPr>
        <w:t>。</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leftChars="0" w:firstLine="482" w:firstLineChars="200"/>
        <w:jc w:val="left"/>
        <w:rPr>
          <w:rFonts w:hint="eastAsia" w:asciiTheme="minorEastAsia" w:hAnsiTheme="minorEastAsia" w:eastAsiaTheme="minorEastAsia" w:cstheme="minorEastAsia"/>
          <w:b/>
          <w:bCs/>
          <w:color w:val="000000" w:themeColor="text1"/>
          <w:sz w:val="24"/>
          <w14:textFill>
            <w14:solidFill>
              <w14:schemeClr w14:val="tx1"/>
            </w14:solidFill>
          </w14:textFill>
        </w:rPr>
      </w:pPr>
      <w:bookmarkStart w:id="326" w:name="_Toc26772"/>
      <w:bookmarkStart w:id="327" w:name="_Toc30261"/>
      <w:r>
        <w:rPr>
          <w:rFonts w:hint="eastAsia" w:asciiTheme="minorEastAsia" w:hAnsiTheme="minorEastAsia" w:eastAsiaTheme="minorEastAsia" w:cstheme="minorEastAsia"/>
          <w:b/>
          <w:bCs/>
          <w:color w:val="000000" w:themeColor="text1"/>
          <w:sz w:val="24"/>
          <w14:textFill>
            <w14:solidFill>
              <w14:schemeClr w14:val="tx1"/>
            </w14:solidFill>
          </w14:textFill>
        </w:rPr>
        <w:t>甲方的权利和义务</w:t>
      </w:r>
      <w:bookmarkEnd w:id="326"/>
      <w:bookmarkEnd w:id="327"/>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3、负责检查监督乙方管理工作的实施及制度的执行情况。</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4、根据本合同规定，按时向乙方支付应付服务费用。</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5、国家法律、法规所规定由甲方承担的其它责任。</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leftChars="0" w:firstLine="482" w:firstLineChars="200"/>
        <w:jc w:val="left"/>
        <w:rPr>
          <w:rFonts w:hint="eastAsia" w:asciiTheme="minorEastAsia" w:hAnsiTheme="minorEastAsia" w:eastAsiaTheme="minorEastAsia" w:cstheme="minorEastAsia"/>
          <w:b/>
          <w:bCs/>
          <w:color w:val="000000" w:themeColor="text1"/>
          <w:sz w:val="24"/>
          <w14:textFill>
            <w14:solidFill>
              <w14:schemeClr w14:val="tx1"/>
            </w14:solidFill>
          </w14:textFill>
        </w:rPr>
      </w:pPr>
      <w:bookmarkStart w:id="328" w:name="_Toc31019"/>
      <w:bookmarkStart w:id="329" w:name="_Toc27528"/>
      <w:r>
        <w:rPr>
          <w:rFonts w:hint="eastAsia" w:asciiTheme="minorEastAsia" w:hAnsiTheme="minorEastAsia" w:eastAsiaTheme="minorEastAsia" w:cstheme="minorEastAsia"/>
          <w:b/>
          <w:bCs/>
          <w:color w:val="000000" w:themeColor="text1"/>
          <w:sz w:val="24"/>
          <w14:textFill>
            <w14:solidFill>
              <w14:schemeClr w14:val="tx1"/>
            </w14:solidFill>
          </w14:textFill>
        </w:rPr>
        <w:t>乙方的权利和义务</w:t>
      </w:r>
      <w:bookmarkEnd w:id="328"/>
      <w:bookmarkEnd w:id="329"/>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1、对本合同规定的委托服务范围内的项目享有管理权及服务义务。</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2、根据本合同的规定向甲方收取相关服务费用，并有权在本项目管理范围内管理及合理使用。</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3、及时向甲方通告本项目服务范围内有关服务的重大事项，及时配合处理投诉。</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4、接受项目行业管理部门及政府有关部门的指导，接受甲方的监督。</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5、国家法律、法规所规定由乙方承担的其它责任。</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leftChars="0" w:firstLine="482" w:firstLineChars="200"/>
        <w:jc w:val="left"/>
        <w:rPr>
          <w:rFonts w:hint="eastAsia" w:asciiTheme="minorEastAsia" w:hAnsiTheme="minorEastAsia" w:eastAsiaTheme="minorEastAsia" w:cstheme="minorEastAsia"/>
          <w:b/>
          <w:bCs/>
          <w:color w:val="000000" w:themeColor="text1"/>
          <w:sz w:val="24"/>
          <w14:textFill>
            <w14:solidFill>
              <w14:schemeClr w14:val="tx1"/>
            </w14:solidFill>
          </w14:textFill>
        </w:rPr>
      </w:pPr>
      <w:bookmarkStart w:id="330" w:name="_Toc30436"/>
      <w:bookmarkStart w:id="331" w:name="_Toc7746"/>
      <w:r>
        <w:rPr>
          <w:rFonts w:hint="eastAsia" w:asciiTheme="minorEastAsia" w:hAnsi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违约责任</w:t>
      </w:r>
      <w:bookmarkEnd w:id="330"/>
      <w:bookmarkEnd w:id="331"/>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1、甲乙双方必须遵守本合同并执行合同中的各项规定，保证本合同的正常履行。</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leftChars="0" w:firstLine="482" w:firstLineChars="200"/>
        <w:jc w:val="left"/>
        <w:rPr>
          <w:rFonts w:hint="eastAsia" w:asciiTheme="minorEastAsia" w:hAnsiTheme="minorEastAsia" w:eastAsiaTheme="minorEastAsia" w:cstheme="minorEastAsia"/>
          <w:b/>
          <w:bCs/>
          <w:color w:val="000000" w:themeColor="text1"/>
          <w:sz w:val="24"/>
          <w14:textFill>
            <w14:solidFill>
              <w14:schemeClr w14:val="tx1"/>
            </w14:solidFill>
          </w14:textFill>
        </w:rPr>
      </w:pPr>
      <w:bookmarkStart w:id="332" w:name="_Toc31004"/>
      <w:bookmarkStart w:id="333" w:name="_Toc30468"/>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不可抗力事件处理</w:t>
      </w:r>
      <w:bookmarkEnd w:id="332"/>
      <w:bookmarkEnd w:id="333"/>
    </w:p>
    <w:p>
      <w:pPr>
        <w:keepNext w:val="0"/>
        <w:keepLines w:val="0"/>
        <w:pageBreakBefore w:val="0"/>
        <w:widowControl w:val="0"/>
        <w:tabs>
          <w:tab w:val="left" w:pos="0"/>
        </w:tabs>
        <w:kinsoku/>
        <w:wordWrap/>
        <w:overflowPunct/>
        <w:topLinePunct w:val="0"/>
        <w:autoSpaceDE/>
        <w:autoSpaceDN/>
        <w:bidi w:val="0"/>
        <w:snapToGrid/>
        <w:spacing w:line="360" w:lineRule="auto"/>
        <w:ind w:left="0" w:leftChars="0"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1、在合同有效期内，任何一方因不可抗力事件导致不能履行合同，则合同履行期可延长，其延长期与不可抗力影响期相同。</w:t>
      </w:r>
    </w:p>
    <w:p>
      <w:pPr>
        <w:keepNext w:val="0"/>
        <w:keepLines w:val="0"/>
        <w:pageBreakBefore w:val="0"/>
        <w:widowControl w:val="0"/>
        <w:tabs>
          <w:tab w:val="left" w:pos="0"/>
        </w:tabs>
        <w:kinsoku/>
        <w:wordWrap/>
        <w:overflowPunct/>
        <w:topLinePunct w:val="0"/>
        <w:autoSpaceDE/>
        <w:autoSpaceDN/>
        <w:bidi w:val="0"/>
        <w:adjustRightInd/>
        <w:snapToGrid/>
        <w:spacing w:line="336" w:lineRule="auto"/>
        <w:ind w:left="0" w:leftChars="0"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2、不可抗力事件发生后，应立即通知对方，并寄送有关权威机构出具的证明。</w:t>
      </w:r>
    </w:p>
    <w:p>
      <w:pPr>
        <w:keepNext w:val="0"/>
        <w:keepLines w:val="0"/>
        <w:pageBreakBefore w:val="0"/>
        <w:widowControl w:val="0"/>
        <w:tabs>
          <w:tab w:val="left" w:pos="0"/>
        </w:tabs>
        <w:kinsoku/>
        <w:wordWrap/>
        <w:overflowPunct/>
        <w:topLinePunct w:val="0"/>
        <w:autoSpaceDE/>
        <w:autoSpaceDN/>
        <w:bidi w:val="0"/>
        <w:adjustRightInd/>
        <w:snapToGrid/>
        <w:spacing w:line="336" w:lineRule="auto"/>
        <w:ind w:left="0" w:leftChars="0"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3、不可抗力事件延续 15天以上，双方应通过友好协商，确定是否继续履行合同。</w:t>
      </w:r>
    </w:p>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Pr>
        <w:keepNext w:val="0"/>
        <w:keepLines w:val="0"/>
        <w:pageBreakBefore w:val="0"/>
        <w:widowControl w:val="0"/>
        <w:numPr>
          <w:ilvl w:val="0"/>
          <w:numId w:val="11"/>
        </w:numPr>
        <w:kinsoku/>
        <w:wordWrap/>
        <w:overflowPunct/>
        <w:topLinePunct w:val="0"/>
        <w:autoSpaceDE/>
        <w:autoSpaceDN/>
        <w:bidi w:val="0"/>
        <w:adjustRightInd/>
        <w:snapToGrid/>
        <w:spacing w:line="336" w:lineRule="auto"/>
        <w:ind w:left="0" w:leftChars="0" w:firstLine="482" w:firstLineChars="200"/>
        <w:jc w:val="left"/>
        <w:textAlignment w:val="auto"/>
        <w:rPr>
          <w:rFonts w:hint="eastAsia" w:asciiTheme="minorEastAsia" w:hAnsiTheme="minorEastAsia" w:eastAsiaTheme="minorEastAsia" w:cstheme="minorEastAsia"/>
          <w:b/>
          <w:bCs/>
          <w:color w:val="000000" w:themeColor="text1"/>
          <w:sz w:val="24"/>
          <w14:textFill>
            <w14:solidFill>
              <w14:schemeClr w14:val="tx1"/>
            </w14:solidFill>
          </w14:textFill>
        </w:rPr>
      </w:pPr>
      <w:bookmarkStart w:id="334" w:name="_Toc225244857"/>
      <w:bookmarkStart w:id="335" w:name="_Toc225654649"/>
      <w:bookmarkStart w:id="336" w:name="_Toc251768867"/>
      <w:bookmarkStart w:id="337" w:name="_Toc237145411"/>
      <w:bookmarkStart w:id="338" w:name="_Toc211854454"/>
      <w:bookmarkStart w:id="339" w:name="_Toc225670756"/>
      <w:bookmarkStart w:id="340" w:name="_Toc185395254"/>
      <w:bookmarkStart w:id="341" w:name="_Toc247334846"/>
      <w:bookmarkStart w:id="342" w:name="_Toc239568423"/>
      <w:bookmarkStart w:id="343" w:name="_Toc286993792"/>
      <w:bookmarkStart w:id="344" w:name="_Toc239233919"/>
      <w:bookmarkStart w:id="345" w:name="_Toc232492933"/>
      <w:bookmarkStart w:id="346" w:name="_Toc28381"/>
      <w:bookmarkStart w:id="347" w:name="_Toc238984980"/>
      <w:bookmarkStart w:id="348" w:name="_Toc212019599"/>
      <w:bookmarkStart w:id="349" w:name="_Toc211911353"/>
      <w:bookmarkStart w:id="350" w:name="_Toc241833908"/>
      <w:bookmarkStart w:id="351" w:name="_Toc4796"/>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解决合同纠纷的方式</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pPr>
        <w:keepNext w:val="0"/>
        <w:keepLines w:val="0"/>
        <w:pageBreakBefore w:val="0"/>
        <w:widowControl w:val="0"/>
        <w:tabs>
          <w:tab w:val="left" w:pos="0"/>
        </w:tabs>
        <w:kinsoku/>
        <w:wordWrap/>
        <w:overflowPunct/>
        <w:topLinePunct w:val="0"/>
        <w:autoSpaceDE/>
        <w:autoSpaceDN/>
        <w:bidi w:val="0"/>
        <w:adjustRightInd/>
        <w:snapToGrid/>
        <w:spacing w:line="336" w:lineRule="auto"/>
        <w:ind w:left="0" w:leftChars="0"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1、在执行本合同中发生的或与本合同有关的争端，双方应通过友好协商解决，经协商在7天内不能达成协议时，应提交项目所在地仲裁委员会仲裁。</w:t>
      </w:r>
    </w:p>
    <w:p>
      <w:pPr>
        <w:keepNext w:val="0"/>
        <w:keepLines w:val="0"/>
        <w:pageBreakBefore w:val="0"/>
        <w:widowControl w:val="0"/>
        <w:tabs>
          <w:tab w:val="left" w:pos="0"/>
        </w:tabs>
        <w:kinsoku/>
        <w:wordWrap/>
        <w:overflowPunct/>
        <w:topLinePunct w:val="0"/>
        <w:autoSpaceDE/>
        <w:autoSpaceDN/>
        <w:bidi w:val="0"/>
        <w:adjustRightInd/>
        <w:snapToGrid/>
        <w:spacing w:line="336" w:lineRule="auto"/>
        <w:ind w:left="0" w:leftChars="0"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2、仲裁裁决应为最终决定，并对双方具有约束力。</w:t>
      </w:r>
    </w:p>
    <w:p>
      <w:pPr>
        <w:keepNext w:val="0"/>
        <w:keepLines w:val="0"/>
        <w:pageBreakBefore w:val="0"/>
        <w:widowControl w:val="0"/>
        <w:tabs>
          <w:tab w:val="left" w:pos="0"/>
        </w:tabs>
        <w:kinsoku/>
        <w:wordWrap/>
        <w:overflowPunct/>
        <w:topLinePunct w:val="0"/>
        <w:autoSpaceDE/>
        <w:autoSpaceDN/>
        <w:bidi w:val="0"/>
        <w:adjustRightInd/>
        <w:snapToGrid/>
        <w:spacing w:line="336" w:lineRule="auto"/>
        <w:ind w:left="0" w:leftChars="0"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3、除另有裁决外，仲裁费应由败诉方负担。 </w:t>
      </w:r>
    </w:p>
    <w:p>
      <w:pPr>
        <w:keepNext w:val="0"/>
        <w:keepLines w:val="0"/>
        <w:pageBreakBefore w:val="0"/>
        <w:widowControl w:val="0"/>
        <w:tabs>
          <w:tab w:val="left" w:pos="0"/>
        </w:tabs>
        <w:kinsoku/>
        <w:wordWrap/>
        <w:overflowPunct/>
        <w:topLinePunct w:val="0"/>
        <w:autoSpaceDE/>
        <w:autoSpaceDN/>
        <w:bidi w:val="0"/>
        <w:adjustRightInd/>
        <w:snapToGrid/>
        <w:spacing w:line="336" w:lineRule="auto"/>
        <w:ind w:left="0" w:leftChars="0"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4、在仲裁期间，除正在进行仲裁部分外，合同其他部分继续执行。  </w:t>
      </w:r>
    </w:p>
    <w:p>
      <w:pPr>
        <w:keepNext w:val="0"/>
        <w:keepLines w:val="0"/>
        <w:pageBreakBefore w:val="0"/>
        <w:widowControl w:val="0"/>
        <w:numPr>
          <w:ilvl w:val="0"/>
          <w:numId w:val="11"/>
        </w:numPr>
        <w:kinsoku/>
        <w:wordWrap/>
        <w:overflowPunct/>
        <w:topLinePunct w:val="0"/>
        <w:autoSpaceDE/>
        <w:autoSpaceDN/>
        <w:bidi w:val="0"/>
        <w:adjustRightInd/>
        <w:snapToGrid/>
        <w:spacing w:line="336" w:lineRule="auto"/>
        <w:ind w:left="0" w:leftChars="0" w:firstLine="482" w:firstLineChars="200"/>
        <w:jc w:val="left"/>
        <w:textAlignment w:val="auto"/>
        <w:rPr>
          <w:rFonts w:hint="eastAsia" w:asciiTheme="minorEastAsia" w:hAnsiTheme="minorEastAsia" w:eastAsiaTheme="minorEastAsia" w:cstheme="minorEastAsia"/>
          <w:b/>
          <w:bCs/>
          <w:color w:val="000000" w:themeColor="text1"/>
          <w:sz w:val="24"/>
          <w14:textFill>
            <w14:solidFill>
              <w14:schemeClr w14:val="tx1"/>
            </w14:solidFill>
          </w14:textFill>
        </w:rPr>
      </w:pPr>
      <w:bookmarkStart w:id="352" w:name="_Toc225670757"/>
      <w:bookmarkStart w:id="353" w:name="_Toc225654650"/>
      <w:bookmarkStart w:id="354" w:name="_Toc239233920"/>
      <w:bookmarkStart w:id="355" w:name="_Toc239568424"/>
      <w:bookmarkStart w:id="356" w:name="_Toc286993793"/>
      <w:bookmarkStart w:id="357" w:name="_Toc237145412"/>
      <w:bookmarkStart w:id="358" w:name="_Toc247334847"/>
      <w:bookmarkStart w:id="359" w:name="_Toc282696231"/>
      <w:bookmarkStart w:id="360" w:name="_Toc232492934"/>
      <w:bookmarkStart w:id="361" w:name="_Toc225244858"/>
      <w:bookmarkStart w:id="362" w:name="_Toc185395255"/>
      <w:bookmarkStart w:id="363" w:name="_Toc211854455"/>
      <w:bookmarkStart w:id="364" w:name="_Toc251768868"/>
      <w:bookmarkStart w:id="365" w:name="_Toc283019219"/>
      <w:bookmarkStart w:id="366" w:name="_Toc241833909"/>
      <w:bookmarkStart w:id="367" w:name="_Toc238984981"/>
      <w:bookmarkStart w:id="368" w:name="_Toc212019600"/>
      <w:bookmarkStart w:id="369" w:name="_Toc211911354"/>
      <w:bookmarkStart w:id="370" w:name="_Toc16935"/>
      <w:bookmarkStart w:id="371" w:name="_Toc28077"/>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合同</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Pr>
          <w:rFonts w:hint="eastAsia" w:asciiTheme="minorEastAsia" w:hAnsiTheme="minorEastAsia" w:eastAsiaTheme="minorEastAsia" w:cstheme="minorEastAsia"/>
          <w:b/>
          <w:bCs/>
          <w:color w:val="000000" w:themeColor="text1"/>
          <w:sz w:val="24"/>
          <w14:textFill>
            <w14:solidFill>
              <w14:schemeClr w14:val="tx1"/>
            </w14:solidFill>
          </w14:textFill>
        </w:rPr>
        <w:t>生效及其他</w:t>
      </w:r>
      <w:bookmarkEnd w:id="370"/>
      <w:bookmarkEnd w:id="371"/>
    </w:p>
    <w:p>
      <w:pPr>
        <w:pStyle w:val="29"/>
        <w:keepNext w:val="0"/>
        <w:keepLines w:val="0"/>
        <w:pageBreakBefore w:val="0"/>
        <w:widowControl w:val="0"/>
        <w:kinsoku/>
        <w:wordWrap/>
        <w:overflowPunct/>
        <w:topLinePunct w:val="0"/>
        <w:autoSpaceDE/>
        <w:autoSpaceDN/>
        <w:bidi w:val="0"/>
        <w:adjustRightInd/>
        <w:snapToGrid/>
        <w:spacing w:line="336" w:lineRule="auto"/>
        <w:ind w:left="0" w:leftChars="0"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1、合同经双方法定代表人或授权委托代理人签字并加盖单位公章后生效。</w:t>
      </w:r>
    </w:p>
    <w:p>
      <w:pPr>
        <w:pStyle w:val="29"/>
        <w:keepNext w:val="0"/>
        <w:keepLines w:val="0"/>
        <w:pageBreakBefore w:val="0"/>
        <w:widowControl w:val="0"/>
        <w:kinsoku/>
        <w:wordWrap/>
        <w:overflowPunct/>
        <w:topLinePunct w:val="0"/>
        <w:autoSpaceDE/>
        <w:autoSpaceDN/>
        <w:bidi w:val="0"/>
        <w:adjustRightInd/>
        <w:snapToGrid/>
        <w:spacing w:line="336" w:lineRule="auto"/>
        <w:ind w:left="0" w:leftChars="0"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2、合同执行中涉及采购资金和采购内容修改或补充的，须经政府采购监管部门审批，并签书面补充协议报政府采购监督管理部门备案，方可作为主合同不可分割的一部分。</w:t>
      </w:r>
    </w:p>
    <w:p>
      <w:pPr>
        <w:pStyle w:val="28"/>
        <w:keepNext w:val="0"/>
        <w:keepLines w:val="0"/>
        <w:pageBreakBefore w:val="0"/>
        <w:widowControl w:val="0"/>
        <w:kinsoku/>
        <w:wordWrap/>
        <w:overflowPunct/>
        <w:topLinePunct w:val="0"/>
        <w:autoSpaceDE/>
        <w:autoSpaceDN/>
        <w:bidi w:val="0"/>
        <w:adjustRightInd/>
        <w:snapToGrid/>
        <w:spacing w:line="336" w:lineRule="auto"/>
        <w:ind w:left="0" w:leftChars="0" w:firstLine="480" w:firstLineChars="200"/>
        <w:jc w:val="left"/>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3、本合同一式六份，自双方签章之日起生效。甲方二份，乙方二份，代理机构一份，监管部门一份，具有同等法律效力。</w:t>
      </w:r>
    </w:p>
    <w:p>
      <w:pPr>
        <w:keepNext w:val="0"/>
        <w:keepLines w:val="0"/>
        <w:pageBreakBefore w:val="0"/>
        <w:widowControl w:val="0"/>
        <w:numPr>
          <w:ilvl w:val="0"/>
          <w:numId w:val="11"/>
        </w:numPr>
        <w:kinsoku/>
        <w:wordWrap/>
        <w:overflowPunct/>
        <w:topLinePunct w:val="0"/>
        <w:autoSpaceDE/>
        <w:autoSpaceDN/>
        <w:bidi w:val="0"/>
        <w:adjustRightInd/>
        <w:snapToGrid/>
        <w:spacing w:line="336" w:lineRule="auto"/>
        <w:ind w:left="0" w:firstLine="482" w:firstLineChars="200"/>
        <w:jc w:val="left"/>
        <w:textAlignment w:val="auto"/>
        <w:rPr>
          <w:rFonts w:hint="eastAsia" w:asciiTheme="minorEastAsia" w:hAnsiTheme="minorEastAsia" w:eastAsiaTheme="minorEastAsia" w:cstheme="minorEastAsia"/>
          <w:b/>
          <w:bCs/>
          <w:color w:val="000000" w:themeColor="text1"/>
          <w:sz w:val="24"/>
          <w14:textFill>
            <w14:solidFill>
              <w14:schemeClr w14:val="tx1"/>
            </w14:solidFill>
          </w14:textFill>
        </w:rPr>
      </w:pPr>
      <w:bookmarkStart w:id="372" w:name="_Toc5178"/>
      <w:bookmarkStart w:id="373" w:name="_Toc2904"/>
      <w:r>
        <w:rPr>
          <w:rFonts w:hint="eastAsia" w:asciiTheme="minorEastAsia" w:hAnsiTheme="minorEastAsia" w:eastAsiaTheme="minorEastAsia" w:cstheme="minorEastAsia"/>
          <w:b/>
          <w:bCs/>
          <w:color w:val="000000" w:themeColor="text1"/>
          <w:sz w:val="24"/>
          <w14:textFill>
            <w14:solidFill>
              <w14:schemeClr w14:val="tx1"/>
            </w14:solidFill>
          </w14:textFill>
        </w:rPr>
        <w:t>附件</w:t>
      </w:r>
      <w:bookmarkEnd w:id="372"/>
      <w:bookmarkEnd w:id="373"/>
    </w:p>
    <w:p>
      <w:pPr>
        <w:pStyle w:val="29"/>
        <w:keepNext w:val="0"/>
        <w:keepLines w:val="0"/>
        <w:pageBreakBefore w:val="0"/>
        <w:widowControl w:val="0"/>
        <w:kinsoku/>
        <w:wordWrap/>
        <w:overflowPunct/>
        <w:topLinePunct w:val="0"/>
        <w:autoSpaceDE/>
        <w:autoSpaceDN/>
        <w:bidi w:val="0"/>
        <w:adjustRightInd/>
        <w:snapToGrid/>
        <w:spacing w:line="336" w:lineRule="auto"/>
        <w:ind w:left="0"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bookmarkStart w:id="374" w:name="_Toc29967"/>
      <w:r>
        <w:rPr>
          <w:rFonts w:hint="eastAsia" w:asciiTheme="minorEastAsia" w:hAnsiTheme="minorEastAsia" w:eastAsiaTheme="minorEastAsia" w:cstheme="minorEastAsia"/>
          <w:color w:val="000000" w:themeColor="text1"/>
          <w:sz w:val="24"/>
          <w14:textFill>
            <w14:solidFill>
              <w14:schemeClr w14:val="tx1"/>
            </w14:solidFill>
          </w14:textFill>
        </w:rPr>
        <w:t>1、项目磋商文件</w:t>
      </w:r>
      <w:bookmarkEnd w:id="374"/>
    </w:p>
    <w:p>
      <w:pPr>
        <w:pStyle w:val="29"/>
        <w:keepNext w:val="0"/>
        <w:keepLines w:val="0"/>
        <w:pageBreakBefore w:val="0"/>
        <w:widowControl w:val="0"/>
        <w:kinsoku/>
        <w:wordWrap/>
        <w:overflowPunct/>
        <w:topLinePunct w:val="0"/>
        <w:autoSpaceDE/>
        <w:autoSpaceDN/>
        <w:bidi w:val="0"/>
        <w:adjustRightInd/>
        <w:snapToGrid/>
        <w:spacing w:line="336" w:lineRule="auto"/>
        <w:ind w:left="0"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bookmarkStart w:id="375" w:name="_Toc17719"/>
      <w:r>
        <w:rPr>
          <w:rFonts w:hint="eastAsia" w:asciiTheme="minorEastAsia" w:hAnsiTheme="minorEastAsia" w:eastAsiaTheme="minorEastAsia" w:cstheme="minorEastAsia"/>
          <w:color w:val="000000" w:themeColor="text1"/>
          <w:sz w:val="24"/>
          <w14:textFill>
            <w14:solidFill>
              <w14:schemeClr w14:val="tx1"/>
            </w14:solidFill>
          </w14:textFill>
        </w:rPr>
        <w:t>2、项目修改澄清文件</w:t>
      </w:r>
      <w:bookmarkEnd w:id="375"/>
    </w:p>
    <w:p>
      <w:pPr>
        <w:pStyle w:val="29"/>
        <w:keepNext w:val="0"/>
        <w:keepLines w:val="0"/>
        <w:pageBreakBefore w:val="0"/>
        <w:widowControl w:val="0"/>
        <w:kinsoku/>
        <w:wordWrap/>
        <w:overflowPunct/>
        <w:topLinePunct w:val="0"/>
        <w:autoSpaceDE/>
        <w:autoSpaceDN/>
        <w:bidi w:val="0"/>
        <w:adjustRightInd/>
        <w:snapToGrid/>
        <w:spacing w:line="336" w:lineRule="auto"/>
        <w:ind w:left="0"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bookmarkStart w:id="376" w:name="_Toc27786"/>
      <w:r>
        <w:rPr>
          <w:rFonts w:hint="eastAsia" w:asciiTheme="minorEastAsia" w:hAnsiTheme="minorEastAsia" w:eastAsiaTheme="minorEastAsia" w:cstheme="minorEastAsia"/>
          <w:color w:val="000000" w:themeColor="text1"/>
          <w:sz w:val="24"/>
          <w14:textFill>
            <w14:solidFill>
              <w14:schemeClr w14:val="tx1"/>
            </w14:solidFill>
          </w14:textFill>
        </w:rPr>
        <w:t>3、项目响应文件</w:t>
      </w:r>
      <w:bookmarkEnd w:id="376"/>
    </w:p>
    <w:p>
      <w:pPr>
        <w:pStyle w:val="29"/>
        <w:keepNext w:val="0"/>
        <w:keepLines w:val="0"/>
        <w:pageBreakBefore w:val="0"/>
        <w:widowControl w:val="0"/>
        <w:kinsoku/>
        <w:wordWrap/>
        <w:overflowPunct/>
        <w:topLinePunct w:val="0"/>
        <w:autoSpaceDE/>
        <w:autoSpaceDN/>
        <w:bidi w:val="0"/>
        <w:adjustRightInd/>
        <w:snapToGrid/>
        <w:spacing w:line="336" w:lineRule="auto"/>
        <w:ind w:left="0"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bookmarkStart w:id="377" w:name="_Toc12318"/>
      <w:r>
        <w:rPr>
          <w:rFonts w:hint="eastAsia" w:asciiTheme="minorEastAsia" w:hAnsiTheme="minorEastAsia" w:eastAsiaTheme="minorEastAsia" w:cstheme="minorEastAsia"/>
          <w:color w:val="000000" w:themeColor="text1"/>
          <w:sz w:val="24"/>
          <w14:textFill>
            <w14:solidFill>
              <w14:schemeClr w14:val="tx1"/>
            </w14:solidFill>
          </w14:textFill>
        </w:rPr>
        <w:t>4、成交通知书</w:t>
      </w:r>
      <w:bookmarkEnd w:id="377"/>
    </w:p>
    <w:p>
      <w:pPr>
        <w:pStyle w:val="29"/>
        <w:keepNext w:val="0"/>
        <w:keepLines w:val="0"/>
        <w:pageBreakBefore w:val="0"/>
        <w:widowControl w:val="0"/>
        <w:kinsoku/>
        <w:wordWrap/>
        <w:overflowPunct/>
        <w:topLinePunct w:val="0"/>
        <w:autoSpaceDE/>
        <w:autoSpaceDN/>
        <w:bidi w:val="0"/>
        <w:adjustRightInd/>
        <w:snapToGrid/>
        <w:spacing w:line="336" w:lineRule="auto"/>
        <w:ind w:left="0"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bookmarkStart w:id="378" w:name="_Toc30184"/>
      <w:r>
        <w:rPr>
          <w:rFonts w:hint="eastAsia" w:asciiTheme="minorEastAsia" w:hAnsiTheme="minorEastAsia" w:eastAsiaTheme="minorEastAsia" w:cstheme="minorEastAsia"/>
          <w:color w:val="000000" w:themeColor="text1"/>
          <w:sz w:val="24"/>
          <w14:textFill>
            <w14:solidFill>
              <w14:schemeClr w14:val="tx1"/>
            </w14:solidFill>
          </w14:textFill>
        </w:rPr>
        <w:t>5、其他</w:t>
      </w:r>
      <w:bookmarkEnd w:id="378"/>
    </w:p>
    <w:tbl>
      <w:tblPr>
        <w:tblStyle w:val="13"/>
        <w:tblW w:w="9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60"/>
        <w:gridCol w:w="4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4760" w:type="dxa"/>
            <w:vAlign w:val="center"/>
          </w:tcPr>
          <w:p>
            <w:pPr>
              <w:pStyle w:val="30"/>
              <w:keepNext w:val="0"/>
              <w:keepLines w:val="0"/>
              <w:pageBreakBefore w:val="0"/>
              <w:widowControl w:val="0"/>
              <w:kinsoku/>
              <w:overflowPunct/>
              <w:autoSpaceDE/>
              <w:autoSpaceDN/>
              <w:bidi w:val="0"/>
              <w:snapToGrid/>
              <w:spacing w:line="24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   (盖章)</w:t>
            </w:r>
          </w:p>
        </w:tc>
        <w:tc>
          <w:tcPr>
            <w:tcW w:w="4760" w:type="dxa"/>
            <w:vAlign w:val="center"/>
          </w:tcPr>
          <w:p>
            <w:pPr>
              <w:pStyle w:val="30"/>
              <w:keepNext w:val="0"/>
              <w:keepLines w:val="0"/>
              <w:pageBreakBefore w:val="0"/>
              <w:widowControl w:val="0"/>
              <w:kinsoku/>
              <w:overflowPunct/>
              <w:autoSpaceDE/>
              <w:autoSpaceDN/>
              <w:bidi w:val="0"/>
              <w:snapToGrid/>
              <w:spacing w:line="24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4760" w:type="dxa"/>
            <w:vAlign w:val="center"/>
          </w:tcPr>
          <w:p>
            <w:pPr>
              <w:pStyle w:val="30"/>
              <w:keepNext w:val="0"/>
              <w:keepLines w:val="0"/>
              <w:pageBreakBefore w:val="0"/>
              <w:widowControl w:val="0"/>
              <w:kinsoku/>
              <w:overflowPunct/>
              <w:autoSpaceDE/>
              <w:autoSpaceDN/>
              <w:bidi w:val="0"/>
              <w:snapToGrid/>
              <w:spacing w:line="24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法定代表人(授权代表)：</w:t>
            </w:r>
          </w:p>
        </w:tc>
        <w:tc>
          <w:tcPr>
            <w:tcW w:w="4760" w:type="dxa"/>
            <w:vAlign w:val="center"/>
          </w:tcPr>
          <w:p>
            <w:pPr>
              <w:pStyle w:val="30"/>
              <w:keepNext w:val="0"/>
              <w:keepLines w:val="0"/>
              <w:pageBreakBefore w:val="0"/>
              <w:widowControl w:val="0"/>
              <w:kinsoku/>
              <w:overflowPunct/>
              <w:autoSpaceDE/>
              <w:autoSpaceDN/>
              <w:bidi w:val="0"/>
              <w:snapToGrid/>
              <w:spacing w:line="24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4760" w:type="dxa"/>
            <w:vAlign w:val="center"/>
          </w:tcPr>
          <w:p>
            <w:pPr>
              <w:pStyle w:val="30"/>
              <w:keepNext w:val="0"/>
              <w:keepLines w:val="0"/>
              <w:pageBreakBefore w:val="0"/>
              <w:widowControl w:val="0"/>
              <w:kinsoku/>
              <w:overflowPunct/>
              <w:autoSpaceDE/>
              <w:autoSpaceDN/>
              <w:bidi w:val="0"/>
              <w:snapToGrid/>
              <w:spacing w:line="24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住所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tc>
        <w:tc>
          <w:tcPr>
            <w:tcW w:w="4760" w:type="dxa"/>
            <w:vAlign w:val="center"/>
          </w:tcPr>
          <w:p>
            <w:pPr>
              <w:pStyle w:val="30"/>
              <w:keepNext w:val="0"/>
              <w:keepLines w:val="0"/>
              <w:pageBreakBefore w:val="0"/>
              <w:widowControl w:val="0"/>
              <w:kinsoku/>
              <w:overflowPunct/>
              <w:autoSpaceDE/>
              <w:autoSpaceDN/>
              <w:bidi w:val="0"/>
              <w:snapToGrid/>
              <w:spacing w:line="24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住所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4760" w:type="dxa"/>
            <w:vAlign w:val="center"/>
          </w:tcPr>
          <w:p>
            <w:pPr>
              <w:pStyle w:val="30"/>
              <w:keepNext w:val="0"/>
              <w:keepLines w:val="0"/>
              <w:pageBreakBefore w:val="0"/>
              <w:widowControl w:val="0"/>
              <w:kinsoku/>
              <w:overflowPunct/>
              <w:autoSpaceDE/>
              <w:autoSpaceDN/>
              <w:bidi w:val="0"/>
              <w:snapToGrid/>
              <w:spacing w:line="24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p>
        </w:tc>
        <w:tc>
          <w:tcPr>
            <w:tcW w:w="4760" w:type="dxa"/>
            <w:vAlign w:val="center"/>
          </w:tcPr>
          <w:p>
            <w:pPr>
              <w:pStyle w:val="30"/>
              <w:keepNext w:val="0"/>
              <w:keepLines w:val="0"/>
              <w:pageBreakBefore w:val="0"/>
              <w:widowControl w:val="0"/>
              <w:kinsoku/>
              <w:overflowPunct/>
              <w:autoSpaceDE/>
              <w:autoSpaceDN/>
              <w:bidi w:val="0"/>
              <w:snapToGrid/>
              <w:spacing w:line="24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4760" w:type="dxa"/>
            <w:vAlign w:val="center"/>
          </w:tcPr>
          <w:p>
            <w:pPr>
              <w:pStyle w:val="30"/>
              <w:keepNext w:val="0"/>
              <w:keepLines w:val="0"/>
              <w:pageBreakBefore w:val="0"/>
              <w:widowControl w:val="0"/>
              <w:kinsoku/>
              <w:overflowPunct/>
              <w:autoSpaceDE/>
              <w:autoSpaceDN/>
              <w:bidi w:val="0"/>
              <w:snapToGrid/>
              <w:spacing w:line="24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p>
        </w:tc>
        <w:tc>
          <w:tcPr>
            <w:tcW w:w="4760" w:type="dxa"/>
            <w:vAlign w:val="center"/>
          </w:tcPr>
          <w:p>
            <w:pPr>
              <w:pStyle w:val="30"/>
              <w:keepNext w:val="0"/>
              <w:keepLines w:val="0"/>
              <w:pageBreakBefore w:val="0"/>
              <w:widowControl w:val="0"/>
              <w:kinsoku/>
              <w:overflowPunct/>
              <w:autoSpaceDE/>
              <w:autoSpaceDN/>
              <w:bidi w:val="0"/>
              <w:snapToGrid/>
              <w:spacing w:line="24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4760" w:type="dxa"/>
            <w:vAlign w:val="center"/>
          </w:tcPr>
          <w:p>
            <w:pPr>
              <w:pStyle w:val="30"/>
              <w:keepNext w:val="0"/>
              <w:keepLines w:val="0"/>
              <w:pageBreakBefore w:val="0"/>
              <w:widowControl w:val="0"/>
              <w:kinsoku/>
              <w:overflowPunct/>
              <w:autoSpaceDE/>
              <w:autoSpaceDN/>
              <w:bidi w:val="0"/>
              <w:snapToGrid/>
              <w:spacing w:line="24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电话： </w:t>
            </w:r>
          </w:p>
        </w:tc>
        <w:tc>
          <w:tcPr>
            <w:tcW w:w="4760" w:type="dxa"/>
            <w:vAlign w:val="center"/>
          </w:tcPr>
          <w:p>
            <w:pPr>
              <w:pStyle w:val="30"/>
              <w:keepNext w:val="0"/>
              <w:keepLines w:val="0"/>
              <w:pageBreakBefore w:val="0"/>
              <w:widowControl w:val="0"/>
              <w:kinsoku/>
              <w:overflowPunct/>
              <w:autoSpaceDE/>
              <w:autoSpaceDN/>
              <w:bidi w:val="0"/>
              <w:snapToGrid/>
              <w:spacing w:line="24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4760" w:type="dxa"/>
            <w:vAlign w:val="center"/>
          </w:tcPr>
          <w:p>
            <w:pPr>
              <w:pStyle w:val="30"/>
              <w:keepNext w:val="0"/>
              <w:keepLines w:val="0"/>
              <w:pageBreakBefore w:val="0"/>
              <w:widowControl w:val="0"/>
              <w:kinsoku/>
              <w:overflowPunct/>
              <w:autoSpaceDE/>
              <w:autoSpaceDN/>
              <w:bidi w:val="0"/>
              <w:snapToGrid/>
              <w:spacing w:line="24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tc>
        <w:tc>
          <w:tcPr>
            <w:tcW w:w="4760" w:type="dxa"/>
            <w:vAlign w:val="center"/>
          </w:tcPr>
          <w:p>
            <w:pPr>
              <w:pStyle w:val="30"/>
              <w:keepNext w:val="0"/>
              <w:keepLines w:val="0"/>
              <w:pageBreakBefore w:val="0"/>
              <w:widowControl w:val="0"/>
              <w:kinsoku/>
              <w:overflowPunct/>
              <w:autoSpaceDE/>
              <w:autoSpaceDN/>
              <w:bidi w:val="0"/>
              <w:snapToGrid/>
              <w:spacing w:line="24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4760" w:type="dxa"/>
            <w:vAlign w:val="center"/>
          </w:tcPr>
          <w:p>
            <w:pPr>
              <w:pStyle w:val="30"/>
              <w:keepNext w:val="0"/>
              <w:keepLines w:val="0"/>
              <w:pageBreakBefore w:val="0"/>
              <w:widowControl w:val="0"/>
              <w:kinsoku/>
              <w:overflowPunct/>
              <w:autoSpaceDE/>
              <w:autoSpaceDN/>
              <w:bidi w:val="0"/>
              <w:snapToGrid/>
              <w:spacing w:line="24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签约日期：XX年XX月XX日</w:t>
            </w:r>
          </w:p>
        </w:tc>
        <w:tc>
          <w:tcPr>
            <w:tcW w:w="4760" w:type="dxa"/>
            <w:vAlign w:val="center"/>
          </w:tcPr>
          <w:p>
            <w:pPr>
              <w:pStyle w:val="30"/>
              <w:keepNext w:val="0"/>
              <w:keepLines w:val="0"/>
              <w:pageBreakBefore w:val="0"/>
              <w:widowControl w:val="0"/>
              <w:kinsoku/>
              <w:overflowPunct/>
              <w:autoSpaceDE/>
              <w:autoSpaceDN/>
              <w:bidi w:val="0"/>
              <w:snapToGrid/>
              <w:spacing w:line="24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签约日期：XX年XX月XX日</w:t>
            </w:r>
          </w:p>
        </w:tc>
      </w:tr>
    </w:tbl>
    <w:p/>
    <w:sectPr>
      <w:headerReference r:id="rId9" w:type="default"/>
      <w:footerReference r:id="rId10" w:type="default"/>
      <w:pgSz w:w="11850" w:h="16783"/>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8"/>
        <w:szCs w:val="28"/>
      </w:rPr>
    </w:pPr>
    <w:r>
      <w:rPr>
        <w:rFonts w:hint="eastAsia" w:ascii="宋体" w:hAnsi="宋体"/>
        <w:sz w:val="21"/>
        <w:szCs w:val="21"/>
        <w:lang w:eastAsia="zh-CN"/>
      </w:rPr>
      <w:t>成都长源工程咨询有限公司</w:t>
    </w:r>
    <w:r>
      <w:rPr>
        <w:rFonts w:hint="eastAsia" w:ascii="宋体" w:hAnsi="宋体"/>
        <w:sz w:val="21"/>
        <w:szCs w:val="21"/>
        <w:lang w:val="en-US"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hint="default" w:eastAsia="宋体"/>
        <w:sz w:val="21"/>
        <w:szCs w:val="21"/>
        <w:lang w:val="en-US" w:eastAsia="zh-CN"/>
      </w:rPr>
    </w:pPr>
    <w:r>
      <w:rPr>
        <w:rFonts w:hint="eastAsia"/>
        <w:b/>
        <w:lang w:val="en-US" w:eastAsia="zh-CN"/>
      </w:rPr>
      <w:t xml:space="preserve">        </w:t>
    </w:r>
  </w:p>
  <w:p>
    <w:pPr>
      <w:pStyle w:val="9"/>
      <w:pBdr>
        <w:bottom w:val="single" w:color="auto" w:sz="4" w:space="0"/>
      </w:pBdr>
      <w:jc w:val="center"/>
      <w:rPr>
        <w:rFonts w:hint="eastAsia" w:eastAsia="宋体"/>
        <w:lang w:val="en-US" w:eastAsia="zh-CN"/>
      </w:rPr>
    </w:pPr>
    <w:r>
      <w:rPr>
        <w:rFonts w:hint="eastAsia"/>
        <w:b/>
        <w:bCs/>
        <w:sz w:val="21"/>
        <w:szCs w:val="21"/>
        <w:lang w:val="en-US" w:eastAsia="zh-CN"/>
      </w:rPr>
      <w:t>成都长源工程咨询有限公司                                专业</w:t>
    </w:r>
    <w:r>
      <w:rPr>
        <w:rFonts w:hint="eastAsia" w:ascii="宋体" w:hAnsi="宋体" w:eastAsia="宋体" w:cs="宋体"/>
        <w:b/>
        <w:bCs/>
        <w:sz w:val="21"/>
        <w:szCs w:val="21"/>
        <w:lang w:val="en-US" w:eastAsia="zh-CN"/>
      </w:rPr>
      <w:t>·</w:t>
    </w:r>
    <w:r>
      <w:rPr>
        <w:rFonts w:hint="eastAsia" w:eastAsia="宋体"/>
        <w:b/>
        <w:bCs/>
        <w:sz w:val="21"/>
        <w:szCs w:val="21"/>
        <w:lang w:val="en-US" w:eastAsia="zh-CN"/>
      </w:rPr>
      <w:t>专注</w:t>
    </w:r>
    <w:r>
      <w:rPr>
        <w:rFonts w:hint="eastAsia" w:ascii="宋体" w:hAnsi="宋体" w:eastAsia="宋体" w:cs="宋体"/>
        <w:b/>
        <w:bCs/>
        <w:sz w:val="21"/>
        <w:szCs w:val="21"/>
        <w:lang w:val="en-US" w:eastAsia="zh-CN"/>
      </w:rPr>
      <w:t>·</w:t>
    </w:r>
    <w:r>
      <w:rPr>
        <w:rFonts w:hint="eastAsia" w:eastAsia="宋体"/>
        <w:b/>
        <w:bCs/>
        <w:sz w:val="21"/>
        <w:szCs w:val="21"/>
        <w:lang w:val="en-US" w:eastAsia="zh-CN"/>
      </w:rPr>
      <w:t>高效</w:t>
    </w:r>
    <w:r>
      <w:rPr>
        <w:rFonts w:hint="eastAsia" w:ascii="宋体" w:hAnsi="宋体" w:eastAsia="宋体" w:cs="宋体"/>
        <w:b/>
        <w:bCs/>
        <w:sz w:val="21"/>
        <w:szCs w:val="21"/>
        <w:lang w:val="en-US" w:eastAsia="zh-CN"/>
      </w:rPr>
      <w:t>·</w:t>
    </w:r>
    <w:r>
      <w:rPr>
        <w:rFonts w:hint="eastAsia" w:eastAsia="宋体"/>
        <w:b/>
        <w:bCs/>
        <w:sz w:val="21"/>
        <w:szCs w:val="21"/>
        <w:lang w:val="en-US" w:eastAsia="zh-CN"/>
      </w:rPr>
      <w:t>汇智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0"/>
      </w:pBdr>
      <w:jc w:val="center"/>
      <w:rPr>
        <w:rFonts w:hint="eastAsia" w:eastAsia="宋体"/>
        <w:lang w:val="en-US" w:eastAsia="zh-CN"/>
      </w:rPr>
    </w:pPr>
    <w:r>
      <w:rPr>
        <w:rFonts w:hint="eastAsia"/>
        <w:b/>
        <w:bCs/>
        <w:sz w:val="21"/>
        <w:szCs w:val="21"/>
        <w:lang w:val="en-US" w:eastAsia="zh-CN"/>
      </w:rPr>
      <w:t>成都长源工程咨询有限公司                                专业</w:t>
    </w:r>
    <w:r>
      <w:rPr>
        <w:rFonts w:hint="eastAsia" w:ascii="宋体" w:hAnsi="宋体" w:eastAsia="宋体" w:cs="宋体"/>
        <w:b/>
        <w:bCs/>
        <w:sz w:val="21"/>
        <w:szCs w:val="21"/>
        <w:lang w:val="en-US" w:eastAsia="zh-CN"/>
      </w:rPr>
      <w:t>·</w:t>
    </w:r>
    <w:r>
      <w:rPr>
        <w:rFonts w:hint="eastAsia" w:eastAsia="宋体"/>
        <w:b/>
        <w:bCs/>
        <w:sz w:val="21"/>
        <w:szCs w:val="21"/>
        <w:lang w:val="en-US" w:eastAsia="zh-CN"/>
      </w:rPr>
      <w:t>专注</w:t>
    </w:r>
    <w:r>
      <w:rPr>
        <w:rFonts w:hint="eastAsia" w:ascii="宋体" w:hAnsi="宋体" w:eastAsia="宋体" w:cs="宋体"/>
        <w:b/>
        <w:bCs/>
        <w:sz w:val="21"/>
        <w:szCs w:val="21"/>
        <w:lang w:val="en-US" w:eastAsia="zh-CN"/>
      </w:rPr>
      <w:t>·</w:t>
    </w:r>
    <w:r>
      <w:rPr>
        <w:rFonts w:hint="eastAsia" w:eastAsia="宋体"/>
        <w:b/>
        <w:bCs/>
        <w:sz w:val="21"/>
        <w:szCs w:val="21"/>
        <w:lang w:val="en-US" w:eastAsia="zh-CN"/>
      </w:rPr>
      <w:t>高效</w:t>
    </w:r>
    <w:r>
      <w:rPr>
        <w:rFonts w:hint="eastAsia" w:ascii="宋体" w:hAnsi="宋体" w:eastAsia="宋体" w:cs="宋体"/>
        <w:b/>
        <w:bCs/>
        <w:sz w:val="21"/>
        <w:szCs w:val="21"/>
        <w:lang w:val="en-US" w:eastAsia="zh-CN"/>
      </w:rPr>
      <w:t>·</w:t>
    </w:r>
    <w:r>
      <w:rPr>
        <w:rFonts w:hint="eastAsia" w:eastAsia="宋体"/>
        <w:b/>
        <w:bCs/>
        <w:sz w:val="21"/>
        <w:szCs w:val="21"/>
        <w:lang w:val="en-US" w:eastAsia="zh-CN"/>
      </w:rPr>
      <w:t>汇智</w:t>
    </w:r>
  </w:p>
  <w:p>
    <w:pPr>
      <w:pStyle w:val="9"/>
      <w:pBdr>
        <w:bottom w:val="none" w:color="auto" w:sz="0" w:space="0"/>
      </w:pBdr>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0"/>
      </w:pBdr>
      <w:jc w:val="center"/>
      <w:rPr>
        <w:rFonts w:hint="eastAsia"/>
        <w:lang w:eastAsia="zh-CN"/>
      </w:rPr>
    </w:pPr>
    <w:r>
      <w:rPr>
        <w:rFonts w:hint="eastAsia"/>
        <w:b/>
        <w:bCs/>
        <w:sz w:val="21"/>
        <w:szCs w:val="21"/>
        <w:lang w:val="en-US" w:eastAsia="zh-CN"/>
      </w:rPr>
      <w:t>成都长源工程咨询有限公司                                专业</w:t>
    </w:r>
    <w:r>
      <w:rPr>
        <w:rFonts w:hint="eastAsia" w:ascii="宋体" w:hAnsi="宋体" w:eastAsia="宋体" w:cs="宋体"/>
        <w:b/>
        <w:bCs/>
        <w:sz w:val="21"/>
        <w:szCs w:val="21"/>
        <w:lang w:val="en-US" w:eastAsia="zh-CN"/>
      </w:rPr>
      <w:t>·</w:t>
    </w:r>
    <w:r>
      <w:rPr>
        <w:rFonts w:hint="eastAsia" w:eastAsia="宋体"/>
        <w:b/>
        <w:bCs/>
        <w:sz w:val="21"/>
        <w:szCs w:val="21"/>
        <w:lang w:val="en-US" w:eastAsia="zh-CN"/>
      </w:rPr>
      <w:t>专注</w:t>
    </w:r>
    <w:r>
      <w:rPr>
        <w:rFonts w:hint="eastAsia" w:ascii="宋体" w:hAnsi="宋体" w:eastAsia="宋体" w:cs="宋体"/>
        <w:b/>
        <w:bCs/>
        <w:sz w:val="21"/>
        <w:szCs w:val="21"/>
        <w:lang w:val="en-US" w:eastAsia="zh-CN"/>
      </w:rPr>
      <w:t>·</w:t>
    </w:r>
    <w:r>
      <w:rPr>
        <w:rFonts w:hint="eastAsia" w:eastAsia="宋体"/>
        <w:b/>
        <w:bCs/>
        <w:sz w:val="21"/>
        <w:szCs w:val="21"/>
        <w:lang w:val="en-US" w:eastAsia="zh-CN"/>
      </w:rPr>
      <w:t>高效</w:t>
    </w:r>
    <w:r>
      <w:rPr>
        <w:rFonts w:hint="eastAsia" w:ascii="宋体" w:hAnsi="宋体" w:eastAsia="宋体" w:cs="宋体"/>
        <w:b/>
        <w:bCs/>
        <w:sz w:val="21"/>
        <w:szCs w:val="21"/>
        <w:lang w:val="en-US" w:eastAsia="zh-CN"/>
      </w:rPr>
      <w:t>·</w:t>
    </w:r>
    <w:r>
      <w:rPr>
        <w:rFonts w:hint="eastAsia" w:eastAsia="宋体"/>
        <w:b/>
        <w:bCs/>
        <w:sz w:val="21"/>
        <w:szCs w:val="21"/>
        <w:lang w:val="en-US" w:eastAsia="zh-CN"/>
      </w:rPr>
      <w:t>汇智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76E28"/>
    <w:multiLevelType w:val="singleLevel"/>
    <w:tmpl w:val="8CE76E28"/>
    <w:lvl w:ilvl="0" w:tentative="0">
      <w:start w:val="16"/>
      <w:numFmt w:val="decimal"/>
      <w:suff w:val="space"/>
      <w:lvlText w:val="%1."/>
      <w:lvlJc w:val="left"/>
    </w:lvl>
  </w:abstractNum>
  <w:abstractNum w:abstractNumId="1">
    <w:nsid w:val="BA9AA247"/>
    <w:multiLevelType w:val="singleLevel"/>
    <w:tmpl w:val="BA9AA247"/>
    <w:lvl w:ilvl="0" w:tentative="0">
      <w:start w:val="9"/>
      <w:numFmt w:val="chineseCounting"/>
      <w:suff w:val="space"/>
      <w:lvlText w:val="第%1章"/>
      <w:lvlJc w:val="left"/>
      <w:rPr>
        <w:rFonts w:hint="eastAsia"/>
      </w:rPr>
    </w:lvl>
  </w:abstractNum>
  <w:abstractNum w:abstractNumId="2">
    <w:nsid w:val="E4DCF9C8"/>
    <w:multiLevelType w:val="singleLevel"/>
    <w:tmpl w:val="E4DCF9C8"/>
    <w:lvl w:ilvl="0" w:tentative="0">
      <w:start w:val="2"/>
      <w:numFmt w:val="decimal"/>
      <w:suff w:val="nothing"/>
      <w:lvlText w:val="%1、"/>
      <w:lvlJc w:val="left"/>
    </w:lvl>
  </w:abstractNum>
  <w:abstractNum w:abstractNumId="3">
    <w:nsid w:val="00FE5D61"/>
    <w:multiLevelType w:val="singleLevel"/>
    <w:tmpl w:val="00FE5D61"/>
    <w:lvl w:ilvl="0" w:tentative="0">
      <w:start w:val="5"/>
      <w:numFmt w:val="decimal"/>
      <w:suff w:val="nothing"/>
      <w:lvlText w:val="%1、"/>
      <w:lvlJc w:val="left"/>
    </w:lvl>
  </w:abstractNum>
  <w:abstractNum w:abstractNumId="4">
    <w:nsid w:val="0A2A3031"/>
    <w:multiLevelType w:val="singleLevel"/>
    <w:tmpl w:val="0A2A3031"/>
    <w:lvl w:ilvl="0" w:tentative="0">
      <w:start w:val="1"/>
      <w:numFmt w:val="decimal"/>
      <w:suff w:val="nothing"/>
      <w:lvlText w:val="%1、"/>
      <w:lvlJc w:val="left"/>
    </w:lvl>
  </w:abstractNum>
  <w:abstractNum w:abstractNumId="5">
    <w:nsid w:val="211D2671"/>
    <w:multiLevelType w:val="singleLevel"/>
    <w:tmpl w:val="211D2671"/>
    <w:lvl w:ilvl="0" w:tentative="0">
      <w:start w:val="5"/>
      <w:numFmt w:val="chineseCounting"/>
      <w:suff w:val="nothing"/>
      <w:lvlText w:val="%1、"/>
      <w:lvlJc w:val="left"/>
      <w:rPr>
        <w:rFonts w:hint="eastAsia"/>
      </w:rPr>
    </w:lvl>
  </w:abstractNum>
  <w:abstractNum w:abstractNumId="6">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439B0F4D"/>
    <w:multiLevelType w:val="singleLevel"/>
    <w:tmpl w:val="439B0F4D"/>
    <w:lvl w:ilvl="0" w:tentative="0">
      <w:start w:val="9"/>
      <w:numFmt w:val="chineseCounting"/>
      <w:suff w:val="nothing"/>
      <w:lvlText w:val="%1、"/>
      <w:lvlJc w:val="left"/>
      <w:rPr>
        <w:rFonts w:hint="eastAsia"/>
      </w:rPr>
    </w:lvl>
  </w:abstractNum>
  <w:abstractNum w:abstractNumId="9">
    <w:nsid w:val="63EDD9A4"/>
    <w:multiLevelType w:val="singleLevel"/>
    <w:tmpl w:val="63EDD9A4"/>
    <w:lvl w:ilvl="0" w:tentative="0">
      <w:start w:val="1"/>
      <w:numFmt w:val="chineseCounting"/>
      <w:suff w:val="nothing"/>
      <w:lvlText w:val="（%1）"/>
      <w:lvlJc w:val="left"/>
      <w:rPr>
        <w:rFonts w:hint="eastAsia"/>
      </w:rPr>
    </w:lvl>
  </w:abstractNum>
  <w:abstractNum w:abstractNumId="10">
    <w:nsid w:val="73C65592"/>
    <w:multiLevelType w:val="singleLevel"/>
    <w:tmpl w:val="73C65592"/>
    <w:lvl w:ilvl="0" w:tentative="0">
      <w:start w:val="1"/>
      <w:numFmt w:val="decimal"/>
      <w:suff w:val="nothing"/>
      <w:lvlText w:val="%1、"/>
      <w:lvlJc w:val="left"/>
    </w:lvl>
  </w:abstractNum>
  <w:num w:numId="1">
    <w:abstractNumId w:val="7"/>
  </w:num>
  <w:num w:numId="2">
    <w:abstractNumId w:val="5"/>
  </w:num>
  <w:num w:numId="3">
    <w:abstractNumId w:val="10"/>
  </w:num>
  <w:num w:numId="4">
    <w:abstractNumId w:val="0"/>
  </w:num>
  <w:num w:numId="5">
    <w:abstractNumId w:val="2"/>
  </w:num>
  <w:num w:numId="6">
    <w:abstractNumId w:val="3"/>
  </w:num>
  <w:num w:numId="7">
    <w:abstractNumId w:val="9"/>
  </w:num>
  <w:num w:numId="8">
    <w:abstractNumId w:val="8"/>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21280"/>
    <w:rsid w:val="02952961"/>
    <w:rsid w:val="04DE2456"/>
    <w:rsid w:val="0571714B"/>
    <w:rsid w:val="05DC1DB0"/>
    <w:rsid w:val="061578F9"/>
    <w:rsid w:val="06AA47FC"/>
    <w:rsid w:val="075A4EFA"/>
    <w:rsid w:val="080C35D9"/>
    <w:rsid w:val="0A36079A"/>
    <w:rsid w:val="0B354965"/>
    <w:rsid w:val="0C1D0F37"/>
    <w:rsid w:val="0CA75FE4"/>
    <w:rsid w:val="0D814AC9"/>
    <w:rsid w:val="10227DA6"/>
    <w:rsid w:val="11B9798F"/>
    <w:rsid w:val="11D837F5"/>
    <w:rsid w:val="129151B0"/>
    <w:rsid w:val="12F07DA4"/>
    <w:rsid w:val="1376587F"/>
    <w:rsid w:val="13CF4FA8"/>
    <w:rsid w:val="14C35D19"/>
    <w:rsid w:val="15C02DE4"/>
    <w:rsid w:val="169A45DD"/>
    <w:rsid w:val="17264AED"/>
    <w:rsid w:val="18E70C79"/>
    <w:rsid w:val="1900260F"/>
    <w:rsid w:val="19947297"/>
    <w:rsid w:val="1A2F58D6"/>
    <w:rsid w:val="1A61413C"/>
    <w:rsid w:val="1B9F5790"/>
    <w:rsid w:val="1BD95690"/>
    <w:rsid w:val="1D806375"/>
    <w:rsid w:val="20B56B9D"/>
    <w:rsid w:val="20CF3833"/>
    <w:rsid w:val="21E65D58"/>
    <w:rsid w:val="21FD2749"/>
    <w:rsid w:val="23B2152E"/>
    <w:rsid w:val="259E19A4"/>
    <w:rsid w:val="25AA2A17"/>
    <w:rsid w:val="25EF3771"/>
    <w:rsid w:val="25F974A0"/>
    <w:rsid w:val="26B50493"/>
    <w:rsid w:val="26C91E94"/>
    <w:rsid w:val="2A566C41"/>
    <w:rsid w:val="2BCB73D1"/>
    <w:rsid w:val="2C5650A7"/>
    <w:rsid w:val="2D1C4D55"/>
    <w:rsid w:val="2F026F02"/>
    <w:rsid w:val="2F055D24"/>
    <w:rsid w:val="2F7E13D8"/>
    <w:rsid w:val="2FB91DBF"/>
    <w:rsid w:val="305408B7"/>
    <w:rsid w:val="32020CCF"/>
    <w:rsid w:val="32DD19EF"/>
    <w:rsid w:val="33771D5B"/>
    <w:rsid w:val="338D5A47"/>
    <w:rsid w:val="34FE1155"/>
    <w:rsid w:val="366372FD"/>
    <w:rsid w:val="370250F7"/>
    <w:rsid w:val="388456F0"/>
    <w:rsid w:val="389A3E69"/>
    <w:rsid w:val="3C845DC5"/>
    <w:rsid w:val="3CF65F2E"/>
    <w:rsid w:val="3D1E3E86"/>
    <w:rsid w:val="40521F41"/>
    <w:rsid w:val="40B95014"/>
    <w:rsid w:val="41173E04"/>
    <w:rsid w:val="431652F8"/>
    <w:rsid w:val="433E265D"/>
    <w:rsid w:val="443C0F6D"/>
    <w:rsid w:val="45D50C7C"/>
    <w:rsid w:val="4783016E"/>
    <w:rsid w:val="480E474B"/>
    <w:rsid w:val="4A9253E2"/>
    <w:rsid w:val="4B896BC2"/>
    <w:rsid w:val="4BB4302E"/>
    <w:rsid w:val="4BD83683"/>
    <w:rsid w:val="4D0157C8"/>
    <w:rsid w:val="4EE337AD"/>
    <w:rsid w:val="4F116129"/>
    <w:rsid w:val="4F6A51F0"/>
    <w:rsid w:val="4FF21280"/>
    <w:rsid w:val="50C34697"/>
    <w:rsid w:val="50D34060"/>
    <w:rsid w:val="50FC23B5"/>
    <w:rsid w:val="52F41F5A"/>
    <w:rsid w:val="533A4472"/>
    <w:rsid w:val="54F5665C"/>
    <w:rsid w:val="555502CC"/>
    <w:rsid w:val="55F637E6"/>
    <w:rsid w:val="56123133"/>
    <w:rsid w:val="566548A7"/>
    <w:rsid w:val="57FD520D"/>
    <w:rsid w:val="59155066"/>
    <w:rsid w:val="5AE03501"/>
    <w:rsid w:val="5B644A7A"/>
    <w:rsid w:val="5C4D2FCC"/>
    <w:rsid w:val="5D5166BF"/>
    <w:rsid w:val="5DC14F4B"/>
    <w:rsid w:val="5ED53A8E"/>
    <w:rsid w:val="5F8721AB"/>
    <w:rsid w:val="6240132D"/>
    <w:rsid w:val="64164FDA"/>
    <w:rsid w:val="64D83A83"/>
    <w:rsid w:val="66586813"/>
    <w:rsid w:val="66E51253"/>
    <w:rsid w:val="66FB2412"/>
    <w:rsid w:val="67B828CB"/>
    <w:rsid w:val="698D5766"/>
    <w:rsid w:val="6A2B572B"/>
    <w:rsid w:val="6BF213FF"/>
    <w:rsid w:val="6C4D2580"/>
    <w:rsid w:val="6C8017A9"/>
    <w:rsid w:val="6CA06CAC"/>
    <w:rsid w:val="6CCA4355"/>
    <w:rsid w:val="6DC10633"/>
    <w:rsid w:val="6E2376C1"/>
    <w:rsid w:val="6E603793"/>
    <w:rsid w:val="6F4C711E"/>
    <w:rsid w:val="6FB0725C"/>
    <w:rsid w:val="6FF170BD"/>
    <w:rsid w:val="70941648"/>
    <w:rsid w:val="713F7298"/>
    <w:rsid w:val="725747F0"/>
    <w:rsid w:val="74172882"/>
    <w:rsid w:val="75584542"/>
    <w:rsid w:val="76E55020"/>
    <w:rsid w:val="79193095"/>
    <w:rsid w:val="791964B5"/>
    <w:rsid w:val="79F06ED3"/>
    <w:rsid w:val="7AA073D7"/>
    <w:rsid w:val="7B575470"/>
    <w:rsid w:val="7B734B83"/>
    <w:rsid w:val="7BDE6EBA"/>
    <w:rsid w:val="7CBB416C"/>
    <w:rsid w:val="7D0C6111"/>
    <w:rsid w:val="7DA13065"/>
    <w:rsid w:val="7E5B4FF6"/>
    <w:rsid w:val="7E8E52B2"/>
    <w:rsid w:val="7EDE1DF0"/>
    <w:rsid w:val="7F2B7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keepNext/>
      <w:keepLines/>
      <w:spacing w:before="340" w:after="330" w:line="578" w:lineRule="auto"/>
      <w:jc w:val="center"/>
      <w:outlineLvl w:val="0"/>
    </w:pPr>
    <w:rPr>
      <w:rFonts w:ascii="Times New Roman" w:hAnsi="Times New Roman" w:eastAsia="宋体"/>
      <w:b/>
      <w:bCs/>
      <w:kern w:val="44"/>
      <w:sz w:val="36"/>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宋体"/>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5">
    <w:name w:val="Normal Indent"/>
    <w:basedOn w:val="1"/>
    <w:qFormat/>
    <w:uiPriority w:val="0"/>
    <w:pPr>
      <w:ind w:firstLine="420" w:firstLineChars="200"/>
    </w:pPr>
  </w:style>
  <w:style w:type="paragraph" w:styleId="6">
    <w:name w:val="Body Text"/>
    <w:basedOn w:val="1"/>
    <w:next w:val="1"/>
    <w:qFormat/>
    <w:uiPriority w:val="0"/>
  </w:style>
  <w:style w:type="paragraph" w:styleId="7">
    <w:name w:val="Body Text Indent"/>
    <w:basedOn w:val="1"/>
    <w:qFormat/>
    <w:uiPriority w:val="0"/>
    <w:pPr>
      <w:ind w:firstLine="630"/>
    </w:pPr>
    <w:rPr>
      <w:sz w:val="32"/>
      <w:szCs w:val="20"/>
    </w:rPr>
  </w:style>
  <w:style w:type="paragraph" w:styleId="8">
    <w:name w:val="footer"/>
    <w:basedOn w:val="1"/>
    <w:qFormat/>
    <w:uiPriority w:val="99"/>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0">
    <w:name w:val="toc 1"/>
    <w:basedOn w:val="1"/>
    <w:next w:val="1"/>
    <w:qFormat/>
    <w:uiPriority w:val="0"/>
  </w:style>
  <w:style w:type="paragraph" w:styleId="11">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3D3D3D"/>
      <w:u w:val="none"/>
    </w:rPr>
  </w:style>
  <w:style w:type="character" w:customStyle="1" w:styleId="16">
    <w:name w:val="标题 1 Char"/>
    <w:link w:val="3"/>
    <w:qFormat/>
    <w:uiPriority w:val="0"/>
    <w:rPr>
      <w:rFonts w:ascii="Times New Roman" w:hAnsi="Times New Roman" w:eastAsia="宋体"/>
      <w:b/>
      <w:bCs/>
      <w:kern w:val="44"/>
      <w:sz w:val="36"/>
      <w:szCs w:val="44"/>
    </w:rPr>
  </w:style>
  <w:style w:type="paragraph" w:customStyle="1" w:styleId="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
    <w:name w:val="正文首行缩进两字符"/>
    <w:basedOn w:val="1"/>
    <w:qFormat/>
    <w:uiPriority w:val="0"/>
    <w:pPr>
      <w:spacing w:line="360" w:lineRule="auto"/>
      <w:ind w:firstLine="200" w:firstLineChars="200"/>
    </w:pPr>
  </w:style>
  <w:style w:type="paragraph" w:customStyle="1" w:styleId="19">
    <w:name w:val="kerning2lochf13hichaf2db"/>
    <w:qFormat/>
    <w:uiPriority w:val="0"/>
    <w:pPr>
      <w:widowControl w:val="0"/>
      <w:autoSpaceDE w:val="0"/>
      <w:autoSpaceDN w:val="0"/>
      <w:adjustRightInd w:val="0"/>
      <w:jc w:val="both"/>
    </w:pPr>
    <w:rPr>
      <w:rFonts w:ascii="Calibri" w:hAnsi="Calibri" w:eastAsia="微软雅黑" w:cs="Times New Roman"/>
      <w:sz w:val="21"/>
      <w:szCs w:val="21"/>
      <w:lang w:val="en-US" w:eastAsia="zh-CN" w:bidi="ar-SA"/>
    </w:rPr>
  </w:style>
  <w:style w:type="paragraph" w:styleId="20">
    <w:name w:val="No Spacing"/>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2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2">
    <w:name w:val="标题 5（有编号）（绿盟科技）"/>
    <w:basedOn w:val="1"/>
    <w:next w:val="2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4">
    <w:name w:val="标题  2"/>
    <w:basedOn w:val="1"/>
    <w:next w:val="1"/>
    <w:qFormat/>
    <w:uiPriority w:val="0"/>
    <w:pPr>
      <w:tabs>
        <w:tab w:val="left" w:pos="3120"/>
      </w:tabs>
      <w:spacing w:beforeLines="50" w:afterLines="50" w:line="360" w:lineRule="auto"/>
      <w:jc w:val="center"/>
      <w:outlineLvl w:val="1"/>
    </w:pPr>
    <w:rPr>
      <w:rFonts w:ascii="华文中宋" w:hAnsi="华文中宋" w:eastAsia="宋体" w:cs="Times New Roman"/>
      <w:b/>
      <w:bCs/>
      <w:sz w:val="32"/>
      <w:szCs w:val="44"/>
    </w:rPr>
  </w:style>
  <w:style w:type="paragraph" w:customStyle="1" w:styleId="25">
    <w:name w:val="表文"/>
    <w:qFormat/>
    <w:uiPriority w:val="0"/>
    <w:pPr>
      <w:spacing w:line="276" w:lineRule="auto"/>
      <w:contextualSpacing/>
      <w:textAlignment w:val="center"/>
    </w:pPr>
    <w:rPr>
      <w:rFonts w:ascii="宋体" w:hAnsi="宋体" w:eastAsia="宋体" w:cs="Times New Roman"/>
      <w:kern w:val="2"/>
      <w:sz w:val="21"/>
      <w:szCs w:val="21"/>
      <w:lang w:val="en-US" w:eastAsia="zh-CN" w:bidi="ar-SA"/>
    </w:rPr>
  </w:style>
  <w:style w:type="paragraph" w:customStyle="1" w:styleId="26">
    <w:name w:val="表格"/>
    <w:basedOn w:val="1"/>
    <w:qFormat/>
    <w:uiPriority w:val="0"/>
    <w:pPr>
      <w:spacing w:line="400" w:lineRule="exact"/>
    </w:pPr>
    <w:rPr>
      <w:sz w:val="24"/>
    </w:rPr>
  </w:style>
  <w:style w:type="paragraph" w:customStyle="1" w:styleId="27">
    <w:name w:val="13、表格内居中正文"/>
    <w:basedOn w:val="1"/>
    <w:qFormat/>
    <w:uiPriority w:val="0"/>
    <w:pPr>
      <w:tabs>
        <w:tab w:val="left" w:pos="0"/>
      </w:tabs>
      <w:wordWrap w:val="0"/>
      <w:topLinePunct/>
      <w:spacing w:line="360" w:lineRule="exact"/>
      <w:jc w:val="center"/>
    </w:pPr>
    <w:rPr>
      <w:rFonts w:ascii="宋体" w:hAnsi="宋体" w:eastAsia="宋体"/>
      <w:sz w:val="21"/>
    </w:rPr>
  </w:style>
  <w:style w:type="paragraph" w:customStyle="1" w:styleId="28">
    <w:name w:val="样式 首行缩进:  2 字符"/>
    <w:basedOn w:val="1"/>
    <w:qFormat/>
    <w:uiPriority w:val="0"/>
    <w:pPr>
      <w:spacing w:line="400" w:lineRule="exact"/>
      <w:ind w:firstLine="200" w:firstLineChars="200"/>
    </w:pPr>
    <w:rPr>
      <w:rFonts w:ascii="Calibri" w:hAnsi="Calibri" w:eastAsia="宋体" w:cs="宋体"/>
      <w:sz w:val="24"/>
      <w:szCs w:val="24"/>
    </w:rPr>
  </w:style>
  <w:style w:type="paragraph" w:customStyle="1" w:styleId="29">
    <w:name w:val="List Paragraph1"/>
    <w:basedOn w:val="1"/>
    <w:qFormat/>
    <w:uiPriority w:val="99"/>
    <w:pPr>
      <w:ind w:firstLine="420" w:firstLineChars="200"/>
    </w:pPr>
    <w:rPr>
      <w:rFonts w:ascii="Calibri" w:hAnsi="Calibri" w:cs="Calibri"/>
      <w:kern w:val="0"/>
      <w:sz w:val="20"/>
      <w:lang w:val="zh-CN"/>
    </w:rPr>
  </w:style>
  <w:style w:type="paragraph" w:customStyle="1" w:styleId="30">
    <w:name w:val="01、普通正文"/>
    <w:basedOn w:val="1"/>
    <w:qFormat/>
    <w:uiPriority w:val="0"/>
    <w:pPr>
      <w:tabs>
        <w:tab w:val="left" w:pos="0"/>
      </w:tabs>
      <w:wordWrap w:val="0"/>
      <w:topLinePunct/>
      <w:ind w:firstLine="0" w:firstLineChars="0"/>
    </w:pPr>
    <w:rPr>
      <w:rFonts w:ascii="宋体" w:hAnsi="宋体" w:eastAsia="宋体"/>
      <w:snapToGrid w:val="0"/>
    </w:rPr>
  </w:style>
  <w:style w:type="character" w:customStyle="1" w:styleId="31">
    <w:name w:val="font11"/>
    <w:basedOn w:val="14"/>
    <w:qFormat/>
    <w:uiPriority w:val="0"/>
    <w:rPr>
      <w:rFonts w:hint="eastAsia" w:ascii="宋体" w:hAnsi="宋体" w:eastAsia="宋体" w:cs="宋体"/>
      <w:color w:val="000000"/>
      <w:sz w:val="20"/>
      <w:szCs w:val="20"/>
      <w:u w:val="none"/>
    </w:rPr>
  </w:style>
  <w:style w:type="character" w:customStyle="1" w:styleId="32">
    <w:name w:val="font2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2021-08-24T08:36:00Z</dcterms:created>
  <dc:creator>肖肖</dc:creator>
  <cp:lastModifiedBy>肖肖</cp:lastModifiedBy>
  <dcterms:modified xsi:type="dcterms:W3CDTF">2021-09-15T01:59:17Z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B37519CA4BAC439599A2AF32A6100593</vt:lpwstr>
  </property>
</Properties>
</file>