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ascii="宋体" w:hAnsi="宋体" w:cs="宋体"/>
          <w:b/>
          <w:bCs/>
          <w:sz w:val="44"/>
          <w:szCs w:val="44"/>
        </w:rPr>
      </w:pPr>
      <w:r>
        <w:rPr>
          <w:rFonts w:hint="eastAsia" w:ascii="宋体" w:hAnsi="宋体" w:cs="宋体"/>
          <w:b/>
          <w:sz w:val="36"/>
          <w:szCs w:val="36"/>
        </w:rPr>
        <w:t xml:space="preserve">采购编号：510188202100019 </w:t>
      </w:r>
    </w:p>
    <w:p>
      <w:pPr>
        <w:rPr>
          <w:rFonts w:ascii="宋体" w:hAnsi="宋体" w:cs="宋体"/>
          <w:b/>
          <w:sz w:val="44"/>
          <w:szCs w:val="44"/>
        </w:rPr>
      </w:pPr>
    </w:p>
    <w:p>
      <w:pPr>
        <w:pStyle w:val="2"/>
        <w:jc w:val="center"/>
        <w:rPr>
          <w:rFonts w:ascii="宋体" w:hAnsi="宋体" w:cs="宋体"/>
        </w:rPr>
      </w:pPr>
      <w:r>
        <w:rPr>
          <w:rFonts w:hint="eastAsia" w:ascii="宋体" w:hAnsi="宋体" w:cs="宋体"/>
          <w:b/>
          <w:sz w:val="48"/>
          <w:szCs w:val="48"/>
        </w:rPr>
        <w:t>成都高新区天润路毛家桥污水溢流临时应急处理（一级A标）服务项目</w:t>
      </w:r>
    </w:p>
    <w:p>
      <w:pPr>
        <w:pStyle w:val="2"/>
        <w:rPr>
          <w:rFonts w:ascii="宋体" w:hAnsi="宋体" w:cs="宋体"/>
        </w:rPr>
      </w:pPr>
    </w:p>
    <w:p>
      <w:pPr>
        <w:pStyle w:val="2"/>
        <w:rPr>
          <w:rFonts w:ascii="宋体" w:hAnsi="宋体" w:cs="宋体"/>
        </w:rPr>
      </w:pPr>
    </w:p>
    <w:p>
      <w:pPr>
        <w:spacing w:line="360" w:lineRule="auto"/>
        <w:jc w:val="center"/>
        <w:rPr>
          <w:rFonts w:ascii="宋体" w:hAnsi="宋体" w:cs="宋体"/>
          <w:b/>
          <w:sz w:val="84"/>
          <w:szCs w:val="84"/>
        </w:rPr>
      </w:pPr>
      <w:r>
        <w:rPr>
          <w:rFonts w:hint="eastAsia" w:ascii="宋体" w:hAnsi="宋体" w:cs="宋体"/>
          <w:b/>
          <w:sz w:val="84"/>
          <w:szCs w:val="84"/>
        </w:rPr>
        <w:t>招</w:t>
      </w:r>
    </w:p>
    <w:p>
      <w:pPr>
        <w:spacing w:line="360" w:lineRule="auto"/>
        <w:jc w:val="center"/>
        <w:rPr>
          <w:rFonts w:ascii="宋体" w:hAnsi="宋体" w:cs="宋体"/>
          <w:b/>
          <w:sz w:val="84"/>
          <w:szCs w:val="84"/>
        </w:rPr>
      </w:pPr>
      <w:r>
        <w:rPr>
          <w:rFonts w:hint="eastAsia" w:ascii="宋体" w:hAnsi="宋体" w:cs="宋体"/>
          <w:b/>
          <w:sz w:val="84"/>
          <w:szCs w:val="84"/>
        </w:rPr>
        <w:t>标</w:t>
      </w:r>
    </w:p>
    <w:p>
      <w:pPr>
        <w:spacing w:line="360" w:lineRule="auto"/>
        <w:jc w:val="center"/>
        <w:rPr>
          <w:rFonts w:ascii="宋体" w:hAnsi="宋体" w:cs="宋体"/>
          <w:b/>
          <w:sz w:val="84"/>
          <w:szCs w:val="84"/>
        </w:rPr>
      </w:pPr>
      <w:r>
        <w:rPr>
          <w:rFonts w:hint="eastAsia" w:ascii="宋体" w:hAnsi="宋体" w:cs="宋体"/>
          <w:b/>
          <w:sz w:val="84"/>
          <w:szCs w:val="84"/>
        </w:rPr>
        <w:t>文</w:t>
      </w:r>
    </w:p>
    <w:p>
      <w:pPr>
        <w:spacing w:line="360" w:lineRule="auto"/>
        <w:jc w:val="center"/>
        <w:rPr>
          <w:rFonts w:ascii="宋体" w:hAnsi="宋体" w:cs="宋体"/>
          <w:sz w:val="84"/>
          <w:szCs w:val="84"/>
        </w:rPr>
      </w:pPr>
      <w:r>
        <w:rPr>
          <w:rFonts w:hint="eastAsia" w:ascii="宋体" w:hAnsi="宋体" w:cs="宋体"/>
          <w:b/>
          <w:sz w:val="84"/>
          <w:szCs w:val="84"/>
        </w:rPr>
        <w:t>件</w:t>
      </w:r>
    </w:p>
    <w:p>
      <w:pPr>
        <w:spacing w:line="500" w:lineRule="exact"/>
        <w:rPr>
          <w:rFonts w:ascii="宋体" w:hAnsi="宋体" w:cs="宋体"/>
          <w:b/>
          <w:sz w:val="32"/>
          <w:szCs w:val="40"/>
        </w:rPr>
      </w:pPr>
    </w:p>
    <w:p>
      <w:pPr>
        <w:pStyle w:val="2"/>
        <w:rPr>
          <w:rFonts w:ascii="宋体" w:hAnsi="宋体" w:cs="宋体"/>
        </w:rPr>
      </w:pPr>
    </w:p>
    <w:p>
      <w:pPr>
        <w:spacing w:line="500" w:lineRule="exact"/>
        <w:jc w:val="center"/>
        <w:rPr>
          <w:rFonts w:ascii="宋体" w:hAnsi="宋体" w:cs="宋体"/>
          <w:b/>
          <w:sz w:val="32"/>
          <w:szCs w:val="40"/>
        </w:rPr>
      </w:pPr>
      <w:r>
        <w:rPr>
          <w:rFonts w:hint="eastAsia" w:ascii="宋体" w:hAnsi="宋体" w:cs="宋体"/>
          <w:b/>
          <w:sz w:val="32"/>
          <w:szCs w:val="40"/>
        </w:rPr>
        <w:t>中国·四川</w:t>
      </w:r>
    </w:p>
    <w:p>
      <w:pPr>
        <w:numPr>
          <w:ilvl w:val="3"/>
          <w:numId w:val="0"/>
        </w:numPr>
        <w:jc w:val="center"/>
        <w:rPr>
          <w:rFonts w:ascii="宋体" w:hAnsi="宋体" w:cs="宋体"/>
          <w:b/>
          <w:sz w:val="32"/>
          <w:szCs w:val="40"/>
        </w:rPr>
      </w:pPr>
      <w:r>
        <w:rPr>
          <w:rFonts w:hint="eastAsia" w:ascii="宋体" w:hAnsi="宋体" w:cs="宋体"/>
          <w:b/>
          <w:sz w:val="32"/>
          <w:szCs w:val="40"/>
        </w:rPr>
        <w:t>成都高新技术产业开发区生态环境和城市管理局</w:t>
      </w:r>
    </w:p>
    <w:p>
      <w:pPr>
        <w:numPr>
          <w:ilvl w:val="3"/>
          <w:numId w:val="0"/>
        </w:numPr>
        <w:jc w:val="center"/>
        <w:rPr>
          <w:rFonts w:ascii="宋体" w:hAnsi="宋体" w:cs="宋体"/>
        </w:rPr>
      </w:pPr>
      <w:r>
        <w:rPr>
          <w:rFonts w:hint="eastAsia" w:ascii="宋体" w:hAnsi="宋体" w:cs="宋体"/>
          <w:b/>
          <w:sz w:val="32"/>
          <w:szCs w:val="40"/>
        </w:rPr>
        <w:t>成都长源工程咨询有限公司</w:t>
      </w:r>
    </w:p>
    <w:p>
      <w:pPr>
        <w:spacing w:line="500" w:lineRule="exact"/>
        <w:jc w:val="center"/>
        <w:rPr>
          <w:rFonts w:ascii="宋体" w:hAnsi="宋体" w:cs="宋体"/>
          <w:b/>
          <w:sz w:val="32"/>
          <w:szCs w:val="40"/>
        </w:rPr>
      </w:pPr>
      <w:r>
        <w:rPr>
          <w:rFonts w:hint="eastAsia" w:ascii="宋体" w:hAnsi="宋体" w:cs="宋体"/>
          <w:b/>
          <w:sz w:val="32"/>
          <w:szCs w:val="40"/>
        </w:rPr>
        <w:t>共同编制</w:t>
      </w:r>
    </w:p>
    <w:p>
      <w:pPr>
        <w:spacing w:line="500" w:lineRule="exact"/>
        <w:jc w:val="center"/>
        <w:rPr>
          <w:rFonts w:ascii="宋体" w:hAnsi="宋体" w:cs="宋体"/>
          <w:b/>
          <w:sz w:val="32"/>
          <w:szCs w:val="40"/>
        </w:rPr>
      </w:pPr>
      <w:r>
        <w:rPr>
          <w:rFonts w:hint="eastAsia" w:ascii="宋体" w:hAnsi="宋体" w:cs="宋体"/>
          <w:b/>
          <w:sz w:val="32"/>
          <w:szCs w:val="40"/>
        </w:rPr>
        <w:t>二〇二一年四月</w:t>
      </w:r>
    </w:p>
    <w:p>
      <w:pPr>
        <w:pStyle w:val="2"/>
        <w:rPr>
          <w:rFonts w:ascii="宋体" w:hAnsi="宋体" w:cs="宋体"/>
        </w:rPr>
        <w:sectPr>
          <w:headerReference r:id="rId3" w:type="default"/>
          <w:pgSz w:w="11920" w:h="16840"/>
          <w:pgMar w:top="1440" w:right="1800" w:bottom="1440" w:left="1800" w:header="892" w:footer="435" w:gutter="0"/>
          <w:pgNumType w:start="1"/>
          <w:cols w:space="720" w:num="1"/>
        </w:sectPr>
      </w:pPr>
    </w:p>
    <w:p>
      <w:pPr>
        <w:spacing w:line="400" w:lineRule="exact"/>
        <w:rPr>
          <w:rFonts w:ascii="宋体" w:hAnsi="宋体" w:cs="宋体"/>
          <w:b/>
          <w:color w:val="FF0000"/>
          <w:sz w:val="40"/>
          <w:szCs w:val="40"/>
        </w:rPr>
      </w:pPr>
    </w:p>
    <w:p>
      <w:pPr>
        <w:spacing w:line="400" w:lineRule="exact"/>
        <w:jc w:val="center"/>
        <w:rPr>
          <w:rFonts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目   录</w:t>
      </w:r>
    </w:p>
    <w:p>
      <w:pPr>
        <w:pStyle w:val="2"/>
        <w:rPr>
          <w:rFonts w:ascii="宋体" w:hAnsi="宋体" w:cs="宋体"/>
          <w:b/>
          <w:color w:val="000000" w:themeColor="text1"/>
          <w14:textFill>
            <w14:solidFill>
              <w14:schemeClr w14:val="tx1"/>
            </w14:solidFill>
          </w14:textFill>
        </w:rPr>
      </w:pPr>
    </w:p>
    <w:p>
      <w:pPr>
        <w:pStyle w:val="15"/>
        <w:tabs>
          <w:tab w:val="right" w:leader="dot" w:pos="8320"/>
        </w:tabs>
        <w:spacing w:before="0" w:after="0" w:line="480" w:lineRule="auto"/>
        <w:rPr>
          <w:rFonts w:ascii="宋体" w:hAnsi="宋体" w:cs="宋体"/>
          <w:sz w:val="24"/>
          <w:szCs w:val="24"/>
        </w:rPr>
      </w:pPr>
      <w:bookmarkStart w:id="0" w:name="_Hlt101233737"/>
      <w:bookmarkEnd w:id="0"/>
      <w:bookmarkStart w:id="1" w:name="_Hlt101843627"/>
      <w:bookmarkEnd w:id="1"/>
      <w:r>
        <w:rPr>
          <w:rFonts w:hint="eastAsia" w:ascii="宋体" w:hAnsi="宋体" w:cs="宋体"/>
          <w:bCs w:val="0"/>
          <w:caps w:val="0"/>
          <w:color w:val="000000" w:themeColor="text1"/>
          <w:sz w:val="24"/>
          <w:szCs w:val="24"/>
          <w14:textFill>
            <w14:solidFill>
              <w14:schemeClr w14:val="tx1"/>
            </w14:solidFill>
          </w14:textFill>
        </w:rPr>
        <w:fldChar w:fldCharType="begin"/>
      </w:r>
      <w:r>
        <w:rPr>
          <w:rFonts w:hint="eastAsia" w:ascii="宋体" w:hAnsi="宋体" w:cs="宋体"/>
          <w:bCs w:val="0"/>
          <w:caps w:val="0"/>
          <w:color w:val="000000" w:themeColor="text1"/>
          <w:sz w:val="24"/>
          <w:szCs w:val="24"/>
          <w14:textFill>
            <w14:solidFill>
              <w14:schemeClr w14:val="tx1"/>
            </w14:solidFill>
          </w14:textFill>
        </w:rPr>
        <w:instrText xml:space="preserve"> TOC \o "1-3" \h \z \u </w:instrText>
      </w:r>
      <w:r>
        <w:rPr>
          <w:rFonts w:hint="eastAsia" w:ascii="宋体" w:hAnsi="宋体" w:cs="宋体"/>
          <w:bCs w:val="0"/>
          <w:caps w:val="0"/>
          <w:color w:val="000000" w:themeColor="text1"/>
          <w:sz w:val="24"/>
          <w:szCs w:val="24"/>
          <w14:textFill>
            <w14:solidFill>
              <w14:schemeClr w14:val="tx1"/>
            </w14:solidFill>
          </w14:textFill>
        </w:rPr>
        <w:fldChar w:fldCharType="separate"/>
      </w:r>
      <w:r>
        <w:fldChar w:fldCharType="begin"/>
      </w:r>
      <w:r>
        <w:instrText xml:space="preserve"> HYPERLINK \l "_Toc25938" </w:instrText>
      </w:r>
      <w:r>
        <w:fldChar w:fldCharType="separate"/>
      </w:r>
      <w:r>
        <w:rPr>
          <w:rFonts w:hint="eastAsia" w:ascii="宋体" w:hAnsi="宋体" w:cs="宋体"/>
          <w:sz w:val="24"/>
          <w:szCs w:val="24"/>
        </w:rPr>
        <w:t>第一章 投标邀请....................................................</w:t>
      </w:r>
      <w:r>
        <w:rPr>
          <w:rFonts w:hint="eastAsia" w:ascii="宋体" w:hAnsi="宋体" w:cs="宋体"/>
          <w:sz w:val="24"/>
          <w:szCs w:val="24"/>
        </w:rPr>
        <w:fldChar w:fldCharType="begin"/>
      </w:r>
      <w:r>
        <w:rPr>
          <w:rFonts w:hint="eastAsia" w:ascii="宋体" w:hAnsi="宋体" w:cs="宋体"/>
          <w:sz w:val="24"/>
          <w:szCs w:val="24"/>
        </w:rPr>
        <w:instrText xml:space="preserve"> PAGEREF _Toc25938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320"/>
        </w:tabs>
        <w:spacing w:before="0" w:after="0" w:line="480" w:lineRule="auto"/>
        <w:rPr>
          <w:rFonts w:ascii="宋体" w:hAnsi="宋体" w:cs="宋体"/>
          <w:sz w:val="24"/>
          <w:szCs w:val="24"/>
        </w:rPr>
      </w:pPr>
      <w:r>
        <w:fldChar w:fldCharType="begin"/>
      </w:r>
      <w:r>
        <w:instrText xml:space="preserve"> HYPERLINK \l "_Toc9319" </w:instrText>
      </w:r>
      <w:r>
        <w:fldChar w:fldCharType="separate"/>
      </w:r>
      <w:r>
        <w:rPr>
          <w:rFonts w:hint="eastAsia" w:ascii="宋体" w:hAnsi="宋体" w:cs="宋体"/>
          <w:sz w:val="24"/>
          <w:szCs w:val="24"/>
        </w:rPr>
        <w:t>第二章 供应商须知..................................................</w:t>
      </w:r>
      <w:r>
        <w:rPr>
          <w:rFonts w:hint="eastAsia" w:ascii="宋体" w:hAnsi="宋体" w:cs="宋体"/>
          <w:sz w:val="24"/>
          <w:szCs w:val="24"/>
        </w:rPr>
        <w:fldChar w:fldCharType="begin"/>
      </w:r>
      <w:r>
        <w:rPr>
          <w:rFonts w:hint="eastAsia" w:ascii="宋体" w:hAnsi="宋体" w:cs="宋体"/>
          <w:sz w:val="24"/>
          <w:szCs w:val="24"/>
        </w:rPr>
        <w:instrText xml:space="preserve"> PAGEREF _Toc9319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pos="3200"/>
          <w:tab w:val="right" w:leader="dot" w:pos="8320"/>
        </w:tabs>
        <w:spacing w:before="0" w:after="0" w:line="480" w:lineRule="auto"/>
        <w:rPr>
          <w:rFonts w:ascii="宋体" w:hAnsi="宋体" w:cs="宋体"/>
          <w:sz w:val="24"/>
          <w:szCs w:val="24"/>
        </w:rPr>
      </w:pPr>
      <w:r>
        <w:fldChar w:fldCharType="begin"/>
      </w:r>
      <w:r>
        <w:instrText xml:space="preserve"> HYPERLINK \l "_Toc26722" </w:instrText>
      </w:r>
      <w:r>
        <w:fldChar w:fldCharType="separate"/>
      </w:r>
      <w:r>
        <w:rPr>
          <w:rFonts w:hint="eastAsia" w:ascii="宋体" w:hAnsi="宋体" w:cs="宋体"/>
          <w:sz w:val="24"/>
          <w:szCs w:val="24"/>
        </w:rPr>
        <w:t>第三章 投标文件格式...............................................</w:t>
      </w:r>
      <w:r>
        <w:rPr>
          <w:rFonts w:hint="eastAsia" w:ascii="宋体" w:hAnsi="宋体" w:cs="宋体"/>
          <w:sz w:val="24"/>
          <w:szCs w:val="24"/>
        </w:rPr>
        <w:fldChar w:fldCharType="begin"/>
      </w:r>
      <w:r>
        <w:rPr>
          <w:rFonts w:hint="eastAsia" w:ascii="宋体" w:hAnsi="宋体" w:cs="宋体"/>
          <w:sz w:val="24"/>
          <w:szCs w:val="24"/>
        </w:rPr>
        <w:instrText xml:space="preserve"> PAGEREF _Toc26722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320"/>
        </w:tabs>
        <w:spacing w:before="0" w:after="0" w:line="480" w:lineRule="auto"/>
        <w:rPr>
          <w:rFonts w:ascii="宋体" w:hAnsi="宋体" w:cs="宋体"/>
          <w:sz w:val="24"/>
          <w:szCs w:val="24"/>
        </w:rPr>
      </w:pPr>
      <w:r>
        <w:fldChar w:fldCharType="begin"/>
      </w:r>
      <w:r>
        <w:instrText xml:space="preserve"> HYPERLINK \l "_Toc28383" </w:instrText>
      </w:r>
      <w:r>
        <w:fldChar w:fldCharType="separate"/>
      </w:r>
      <w:r>
        <w:rPr>
          <w:rFonts w:hint="eastAsia" w:ascii="宋体" w:hAnsi="宋体" w:cs="宋体"/>
          <w:sz w:val="24"/>
          <w:szCs w:val="24"/>
        </w:rPr>
        <w:t>第四章 供应商的资格、资质性及其他类似效力要求.....................</w:t>
      </w:r>
      <w:r>
        <w:rPr>
          <w:rFonts w:hint="eastAsia" w:ascii="宋体" w:hAnsi="宋体" w:cs="宋体"/>
          <w:sz w:val="24"/>
          <w:szCs w:val="24"/>
        </w:rPr>
        <w:fldChar w:fldCharType="begin"/>
      </w:r>
      <w:r>
        <w:rPr>
          <w:rFonts w:hint="eastAsia" w:ascii="宋体" w:hAnsi="宋体" w:cs="宋体"/>
          <w:sz w:val="24"/>
          <w:szCs w:val="24"/>
        </w:rPr>
        <w:instrText xml:space="preserve"> PAGEREF _Toc28383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320"/>
        </w:tabs>
        <w:spacing w:before="0" w:after="0" w:line="480" w:lineRule="auto"/>
        <w:rPr>
          <w:rFonts w:ascii="宋体" w:hAnsi="宋体" w:cs="宋体"/>
          <w:w w:val="99"/>
          <w:sz w:val="24"/>
          <w:szCs w:val="24"/>
        </w:rPr>
      </w:pPr>
      <w:r>
        <w:fldChar w:fldCharType="begin"/>
      </w:r>
      <w:r>
        <w:instrText xml:space="preserve"> HYPERLINK \l "_Toc25417" </w:instrText>
      </w:r>
      <w:r>
        <w:fldChar w:fldCharType="separate"/>
      </w:r>
      <w:r>
        <w:rPr>
          <w:rFonts w:hint="eastAsia" w:ascii="宋体" w:hAnsi="宋体" w:cs="宋体"/>
          <w:w w:val="90"/>
          <w:sz w:val="24"/>
          <w:szCs w:val="24"/>
        </w:rPr>
        <w:t>第五章  供应商应当提供的资格、资质性及其他类似效力要求的相关证明材料......</w:t>
      </w:r>
      <w:r>
        <w:rPr>
          <w:rFonts w:hint="eastAsia" w:ascii="宋体" w:hAnsi="宋体" w:cs="宋体"/>
          <w:w w:val="90"/>
          <w:sz w:val="24"/>
          <w:szCs w:val="24"/>
        </w:rPr>
        <w:fldChar w:fldCharType="begin"/>
      </w:r>
      <w:r>
        <w:rPr>
          <w:rFonts w:hint="eastAsia" w:ascii="宋体" w:hAnsi="宋体" w:cs="宋体"/>
          <w:w w:val="90"/>
          <w:sz w:val="24"/>
          <w:szCs w:val="24"/>
        </w:rPr>
        <w:instrText xml:space="preserve"> PAGEREF _Toc25417 \h </w:instrText>
      </w:r>
      <w:r>
        <w:rPr>
          <w:rFonts w:hint="eastAsia" w:ascii="宋体" w:hAnsi="宋体" w:cs="宋体"/>
          <w:w w:val="90"/>
          <w:sz w:val="24"/>
          <w:szCs w:val="24"/>
        </w:rPr>
        <w:fldChar w:fldCharType="separate"/>
      </w:r>
      <w:r>
        <w:rPr>
          <w:rFonts w:hint="eastAsia" w:ascii="宋体" w:hAnsi="宋体" w:cs="宋体"/>
          <w:w w:val="90"/>
          <w:sz w:val="24"/>
          <w:szCs w:val="24"/>
        </w:rPr>
        <w:t>49</w:t>
      </w:r>
      <w:r>
        <w:rPr>
          <w:rFonts w:hint="eastAsia" w:ascii="宋体" w:hAnsi="宋体" w:cs="宋体"/>
          <w:w w:val="90"/>
          <w:sz w:val="24"/>
          <w:szCs w:val="24"/>
        </w:rPr>
        <w:fldChar w:fldCharType="end"/>
      </w:r>
      <w:r>
        <w:rPr>
          <w:rFonts w:hint="eastAsia" w:ascii="宋体" w:hAnsi="宋体" w:cs="宋体"/>
          <w:w w:val="90"/>
          <w:sz w:val="24"/>
          <w:szCs w:val="24"/>
        </w:rPr>
        <w:fldChar w:fldCharType="end"/>
      </w:r>
    </w:p>
    <w:p>
      <w:pPr>
        <w:pStyle w:val="15"/>
        <w:tabs>
          <w:tab w:val="right" w:leader="dot" w:pos="8320"/>
        </w:tabs>
        <w:spacing w:before="0" w:after="0" w:line="480" w:lineRule="auto"/>
        <w:rPr>
          <w:rFonts w:ascii="宋体" w:hAnsi="宋体" w:cs="宋体"/>
          <w:sz w:val="24"/>
          <w:szCs w:val="24"/>
        </w:rPr>
      </w:pPr>
      <w:r>
        <w:fldChar w:fldCharType="begin"/>
      </w:r>
      <w:r>
        <w:instrText xml:space="preserve"> HYPERLINK \l "_Toc26655" </w:instrText>
      </w:r>
      <w:r>
        <w:fldChar w:fldCharType="separate"/>
      </w:r>
      <w:r>
        <w:rPr>
          <w:rFonts w:hint="eastAsia" w:ascii="宋体" w:hAnsi="宋体" w:cs="宋体"/>
          <w:sz w:val="24"/>
          <w:szCs w:val="24"/>
        </w:rPr>
        <w:t>第六章 采购项目技术、商务及其他要求...............................</w:t>
      </w:r>
      <w:r>
        <w:rPr>
          <w:rFonts w:hint="eastAsia" w:ascii="宋体" w:hAnsi="宋体" w:cs="宋体"/>
          <w:sz w:val="24"/>
          <w:szCs w:val="24"/>
        </w:rPr>
        <w:fldChar w:fldCharType="begin"/>
      </w:r>
      <w:r>
        <w:rPr>
          <w:rFonts w:hint="eastAsia" w:ascii="宋体" w:hAnsi="宋体" w:cs="宋体"/>
          <w:sz w:val="24"/>
          <w:szCs w:val="24"/>
        </w:rPr>
        <w:instrText xml:space="preserve"> PAGEREF _Toc26655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320"/>
        </w:tabs>
        <w:spacing w:before="0" w:after="0" w:line="480" w:lineRule="auto"/>
        <w:rPr>
          <w:rFonts w:ascii="宋体" w:hAnsi="宋体" w:cs="宋体"/>
          <w:sz w:val="24"/>
          <w:szCs w:val="24"/>
        </w:rPr>
      </w:pPr>
      <w:r>
        <w:fldChar w:fldCharType="begin"/>
      </w:r>
      <w:r>
        <w:instrText xml:space="preserve"> HYPERLINK \l "_Toc7336" </w:instrText>
      </w:r>
      <w:r>
        <w:fldChar w:fldCharType="separate"/>
      </w:r>
      <w:r>
        <w:rPr>
          <w:rFonts w:hint="eastAsia" w:ascii="宋体" w:hAnsi="宋体" w:cs="宋体"/>
          <w:sz w:val="24"/>
          <w:szCs w:val="24"/>
        </w:rPr>
        <w:t>第七章 评标方法...................................................</w:t>
      </w:r>
      <w:r>
        <w:rPr>
          <w:rFonts w:hint="eastAsia" w:ascii="宋体" w:hAnsi="宋体" w:cs="宋体"/>
          <w:sz w:val="24"/>
          <w:szCs w:val="24"/>
        </w:rPr>
        <w:fldChar w:fldCharType="begin"/>
      </w:r>
      <w:r>
        <w:rPr>
          <w:rFonts w:hint="eastAsia" w:ascii="宋体" w:hAnsi="宋体" w:cs="宋体"/>
          <w:sz w:val="24"/>
          <w:szCs w:val="24"/>
        </w:rPr>
        <w:instrText xml:space="preserve"> PAGEREF _Toc7336 \h </w:instrText>
      </w:r>
      <w:r>
        <w:rPr>
          <w:rFonts w:hint="eastAsia" w:ascii="宋体" w:hAnsi="宋体" w:cs="宋体"/>
          <w:sz w:val="24"/>
          <w:szCs w:val="24"/>
        </w:rPr>
        <w:fldChar w:fldCharType="separate"/>
      </w:r>
      <w:r>
        <w:rPr>
          <w:rFonts w:hint="eastAsia"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pos="3200"/>
          <w:tab w:val="right" w:leader="dot" w:pos="8320"/>
        </w:tabs>
        <w:spacing w:before="0" w:after="0" w:line="480" w:lineRule="auto"/>
        <w:rPr>
          <w:rFonts w:ascii="宋体" w:hAnsi="宋体" w:cs="宋体"/>
          <w:sz w:val="24"/>
          <w:szCs w:val="24"/>
        </w:rPr>
      </w:pPr>
      <w:r>
        <w:fldChar w:fldCharType="begin"/>
      </w:r>
      <w:r>
        <w:instrText xml:space="preserve"> HYPERLINK \l "_Toc27436" </w:instrText>
      </w:r>
      <w:r>
        <w:fldChar w:fldCharType="separate"/>
      </w:r>
      <w:r>
        <w:rPr>
          <w:rFonts w:hint="eastAsia" w:ascii="宋体" w:hAnsi="宋体" w:cs="宋体"/>
          <w:sz w:val="24"/>
          <w:szCs w:val="24"/>
        </w:rPr>
        <w:t>第八章 合同</w:t>
      </w:r>
      <w:r>
        <w:rPr>
          <w:rFonts w:hint="eastAsia" w:ascii="宋体" w:hAnsi="宋体" w:cs="宋体"/>
          <w:spacing w:val="5"/>
          <w:sz w:val="24"/>
          <w:szCs w:val="24"/>
        </w:rPr>
        <w:t>主</w:t>
      </w:r>
      <w:r>
        <w:rPr>
          <w:rFonts w:hint="eastAsia" w:ascii="宋体" w:hAnsi="宋体" w:cs="宋体"/>
          <w:sz w:val="24"/>
          <w:szCs w:val="24"/>
        </w:rPr>
        <w:t>要条款...............................................</w:t>
      </w:r>
      <w:r>
        <w:rPr>
          <w:rFonts w:hint="eastAsia" w:ascii="宋体" w:hAnsi="宋体" w:cs="宋体"/>
          <w:sz w:val="24"/>
          <w:szCs w:val="24"/>
        </w:rPr>
        <w:fldChar w:fldCharType="begin"/>
      </w:r>
      <w:r>
        <w:rPr>
          <w:rFonts w:hint="eastAsia" w:ascii="宋体" w:hAnsi="宋体" w:cs="宋体"/>
          <w:sz w:val="24"/>
          <w:szCs w:val="24"/>
        </w:rPr>
        <w:instrText xml:space="preserve"> PAGEREF _Toc27436 \h </w:instrText>
      </w:r>
      <w:r>
        <w:rPr>
          <w:rFonts w:hint="eastAsia" w:ascii="宋体" w:hAnsi="宋体" w:cs="宋体"/>
          <w:sz w:val="24"/>
          <w:szCs w:val="24"/>
        </w:rPr>
        <w:fldChar w:fldCharType="separate"/>
      </w:r>
      <w:r>
        <w:rPr>
          <w:rFonts w:hint="eastAsia" w:ascii="宋体" w:hAnsi="宋体" w:cs="宋体"/>
          <w:sz w:val="24"/>
          <w:szCs w:val="24"/>
        </w:rPr>
        <w:t>71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20"/>
        </w:tabs>
        <w:rPr>
          <w:rFonts w:ascii="宋体" w:hAnsi="宋体" w:cs="宋体"/>
        </w:rPr>
      </w:pPr>
    </w:p>
    <w:p>
      <w:pPr>
        <w:spacing w:line="480" w:lineRule="auto"/>
        <w:jc w:val="center"/>
        <w:rPr>
          <w:rFonts w:ascii="宋体" w:hAnsi="宋体" w:cs="宋体"/>
          <w:caps/>
        </w:rPr>
        <w:sectPr>
          <w:footerReference r:id="rId4" w:type="default"/>
          <w:pgSz w:w="11920" w:h="16840"/>
          <w:pgMar w:top="1440" w:right="1800" w:bottom="1440" w:left="1800" w:header="892" w:footer="435" w:gutter="0"/>
          <w:pgNumType w:start="1"/>
          <w:cols w:space="720" w:num="1"/>
        </w:sectPr>
      </w:pPr>
      <w:r>
        <w:rPr>
          <w:rFonts w:hint="eastAsia" w:ascii="宋体" w:hAnsi="宋体" w:cs="宋体"/>
          <w:caps/>
          <w:color w:val="000000" w:themeColor="text1"/>
          <w14:textFill>
            <w14:solidFill>
              <w14:schemeClr w14:val="tx1"/>
            </w14:solidFill>
          </w14:textFill>
        </w:rPr>
        <w:fldChar w:fldCharType="end"/>
      </w:r>
      <w:bookmarkStart w:id="2" w:name="_Toc25938"/>
    </w:p>
    <w:p>
      <w:pPr>
        <w:spacing w:before="240" w:beforeLines="100" w:after="240" w:afterLines="100" w:line="360" w:lineRule="auto"/>
        <w:jc w:val="center"/>
        <w:outlineLvl w:val="0"/>
        <w:rPr>
          <w:rFonts w:ascii="宋体" w:hAnsi="宋体" w:cs="宋体"/>
          <w:b/>
          <w:bCs/>
          <w:sz w:val="32"/>
          <w:szCs w:val="32"/>
        </w:rPr>
      </w:pPr>
      <w:r>
        <w:rPr>
          <w:rFonts w:hint="eastAsia" w:ascii="宋体" w:hAnsi="宋体" w:cs="宋体"/>
          <w:b/>
          <w:bCs/>
          <w:sz w:val="32"/>
          <w:szCs w:val="32"/>
        </w:rPr>
        <w:t>第一章 投标邀请</w:t>
      </w:r>
      <w:bookmarkEnd w:id="2"/>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ascii="宋体" w:hAnsi="宋体" w:cs="宋体"/>
          <w:bCs/>
          <w:sz w:val="24"/>
        </w:rPr>
      </w:pPr>
      <w:r>
        <w:rPr>
          <w:rFonts w:hint="eastAsia" w:ascii="宋体" w:hAnsi="宋体" w:cs="宋体"/>
          <w:b/>
          <w:sz w:val="24"/>
          <w:u w:val="single"/>
        </w:rPr>
        <w:t>成都长源工程咨询有限公司</w:t>
      </w:r>
      <w:r>
        <w:rPr>
          <w:rFonts w:hint="eastAsia" w:ascii="宋体" w:hAnsi="宋体" w:cs="宋体"/>
          <w:bCs/>
          <w:sz w:val="24"/>
        </w:rPr>
        <w:t>受</w:t>
      </w:r>
      <w:r>
        <w:rPr>
          <w:rFonts w:hint="eastAsia" w:ascii="宋体" w:hAnsi="宋体" w:cs="宋体"/>
          <w:b/>
          <w:sz w:val="24"/>
          <w:u w:val="single"/>
        </w:rPr>
        <w:t>成都高新技术产业开发区生态环境和城市管理局</w:t>
      </w:r>
      <w:r>
        <w:rPr>
          <w:rFonts w:hint="eastAsia" w:ascii="宋体" w:hAnsi="宋体" w:cs="宋体"/>
          <w:bCs/>
          <w:sz w:val="24"/>
        </w:rPr>
        <w:t>的委托，拟对</w:t>
      </w:r>
      <w:r>
        <w:rPr>
          <w:rFonts w:hint="eastAsia" w:ascii="宋体" w:hAnsi="宋体" w:cs="宋体"/>
          <w:b/>
          <w:sz w:val="24"/>
          <w:u w:val="single"/>
        </w:rPr>
        <w:t>成都高新区天润路毛家桥污水溢流临时应急处理（一级A标）服务项目</w:t>
      </w:r>
      <w:r>
        <w:rPr>
          <w:rFonts w:hint="eastAsia" w:ascii="宋体" w:hAnsi="宋体" w:cs="宋体"/>
          <w:bCs/>
          <w:sz w:val="24"/>
        </w:rPr>
        <w:t>进行国内公开招标，兹邀请符合招标要求的供应商参加投标。</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ascii="宋体" w:hAnsi="宋体" w:cs="宋体"/>
          <w:b/>
          <w:sz w:val="24"/>
        </w:rPr>
      </w:pPr>
      <w:bookmarkStart w:id="3" w:name="_Toc30435"/>
      <w:r>
        <w:rPr>
          <w:rFonts w:hint="eastAsia" w:ascii="宋体" w:hAnsi="宋体" w:cs="宋体"/>
          <w:b/>
          <w:sz w:val="24"/>
        </w:rPr>
        <w:t>一、采购编号：</w:t>
      </w:r>
      <w:bookmarkEnd w:id="3"/>
      <w:r>
        <w:rPr>
          <w:rFonts w:hint="eastAsia" w:ascii="宋体" w:hAnsi="宋体" w:cs="宋体"/>
          <w:b/>
          <w:sz w:val="24"/>
        </w:rPr>
        <w:t xml:space="preserve">510188202100019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ascii="宋体" w:hAnsi="宋体" w:cs="宋体"/>
          <w:bCs/>
          <w:sz w:val="24"/>
        </w:rPr>
      </w:pPr>
      <w:bookmarkStart w:id="4" w:name="_Toc15608"/>
      <w:r>
        <w:rPr>
          <w:rFonts w:hint="eastAsia" w:ascii="宋体" w:hAnsi="宋体" w:cs="宋体"/>
          <w:b/>
          <w:sz w:val="24"/>
        </w:rPr>
        <w:t>二、项目名称：</w:t>
      </w:r>
      <w:r>
        <w:rPr>
          <w:rFonts w:hint="eastAsia" w:ascii="宋体" w:hAnsi="宋体" w:cs="宋体"/>
          <w:bCs/>
          <w:sz w:val="24"/>
        </w:rPr>
        <w:t>成都高新区天润路毛家桥污水溢流临时应急处理（一级A标）服务项目</w:t>
      </w:r>
      <w:bookmarkEnd w:id="4"/>
      <w:r>
        <w:rPr>
          <w:rFonts w:hint="eastAsia" w:ascii="宋体" w:hAnsi="宋体" w:cs="宋体"/>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Cs/>
          <w:sz w:val="24"/>
          <w:lang w:eastAsia="zh-CN"/>
        </w:rPr>
      </w:pPr>
      <w:bookmarkStart w:id="5" w:name="_Toc2065"/>
      <w:r>
        <w:rPr>
          <w:rFonts w:hint="eastAsia" w:ascii="宋体" w:hAnsi="宋体" w:cs="宋体"/>
          <w:b/>
          <w:sz w:val="24"/>
        </w:rPr>
        <w:t>三、资金来源及预算金额：</w:t>
      </w:r>
      <w:bookmarkEnd w:id="5"/>
      <w:r>
        <w:rPr>
          <w:rFonts w:hint="eastAsia" w:ascii="宋体" w:hAnsi="宋体" w:cs="宋体"/>
          <w:bCs/>
          <w:sz w:val="24"/>
        </w:rPr>
        <w:t>财政资金，</w:t>
      </w:r>
      <w:r>
        <w:rPr>
          <w:rFonts w:hint="eastAsia" w:ascii="宋体" w:hAnsi="宋体" w:cs="宋体"/>
          <w:bCs/>
          <w:sz w:val="24"/>
          <w:lang w:val="en-US" w:eastAsia="zh-CN"/>
        </w:rPr>
        <w:t>采购预算为</w:t>
      </w:r>
      <w:r>
        <w:rPr>
          <w:rFonts w:hint="eastAsia" w:ascii="宋体" w:hAnsi="宋体" w:cs="宋体"/>
          <w:bCs/>
          <w:sz w:val="24"/>
        </w:rPr>
        <w:t>20532938.</w:t>
      </w:r>
      <w:r>
        <w:rPr>
          <w:rFonts w:hint="eastAsia" w:ascii="宋体" w:hAnsi="宋体" w:cs="宋体"/>
          <w:bCs/>
          <w:sz w:val="24"/>
          <w:lang w:val="en-US" w:eastAsia="zh-CN"/>
        </w:rPr>
        <w:t>00</w:t>
      </w:r>
      <w:r>
        <w:rPr>
          <w:rFonts w:hint="eastAsia" w:ascii="宋体" w:hAnsi="宋体" w:cs="宋体"/>
          <w:bCs/>
          <w:sz w:val="24"/>
        </w:rPr>
        <w:t>元/年，本项目一招管2年</w:t>
      </w:r>
      <w:r>
        <w:rPr>
          <w:rFonts w:hint="eastAsia" w:ascii="宋体" w:hAnsi="宋体" w:cs="宋体"/>
          <w:bCs/>
          <w:sz w:val="24"/>
          <w:lang w:eastAsia="zh-CN"/>
        </w:rPr>
        <w:t>，</w:t>
      </w:r>
      <w:r>
        <w:rPr>
          <w:rFonts w:hint="eastAsia" w:ascii="宋体" w:hAnsi="宋体" w:cs="宋体"/>
          <w:bCs/>
          <w:sz w:val="24"/>
          <w:lang w:val="en-US" w:eastAsia="zh-CN"/>
        </w:rPr>
        <w:t>合同一年一签</w:t>
      </w:r>
      <w:r>
        <w:rPr>
          <w:rFonts w:hint="eastAsia" w:ascii="宋体" w:hAnsi="宋体" w:cs="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ascii="宋体" w:hAnsi="宋体" w:cs="宋体"/>
          <w:b/>
          <w:sz w:val="24"/>
        </w:rPr>
      </w:pPr>
      <w:bookmarkStart w:id="6" w:name="_Toc26026"/>
      <w:r>
        <w:rPr>
          <w:rFonts w:hint="eastAsia" w:ascii="宋体" w:hAnsi="宋体" w:cs="宋体"/>
          <w:b/>
          <w:sz w:val="24"/>
        </w:rPr>
        <w:t>四、招标项目简介：</w:t>
      </w:r>
      <w:bookmarkEnd w:id="6"/>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color w:val="FF0000"/>
          <w:sz w:val="24"/>
        </w:rPr>
      </w:pPr>
      <w:r>
        <w:rPr>
          <w:rFonts w:hint="eastAsia" w:ascii="宋体" w:hAnsi="宋体" w:cs="宋体"/>
          <w:color w:val="000000" w:themeColor="text1"/>
          <w:sz w:val="24"/>
          <w14:textFill>
            <w14:solidFill>
              <w14:schemeClr w14:val="tx1"/>
            </w14:solidFill>
          </w14:textFill>
        </w:rPr>
        <w:t>本</w:t>
      </w:r>
      <w:r>
        <w:rPr>
          <w:rFonts w:hint="eastAsia" w:ascii="宋体" w:hAnsi="宋体" w:cs="宋体"/>
          <w:bCs/>
          <w:color w:val="000000" w:themeColor="text1"/>
          <w:sz w:val="24"/>
          <w14:textFill>
            <w14:solidFill>
              <w14:schemeClr w14:val="tx1"/>
            </w14:solidFill>
          </w14:textFill>
        </w:rPr>
        <w:t>次采购项目共1个包件，成都高新区天润路毛家桥污水溢流临时应急处理（一级A标）服务项目。详见招标文件第六章。</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ascii="宋体" w:hAnsi="宋体" w:cs="宋体"/>
          <w:b/>
          <w:sz w:val="24"/>
        </w:rPr>
      </w:pPr>
      <w:bookmarkStart w:id="7" w:name="_Toc2913"/>
      <w:r>
        <w:rPr>
          <w:rFonts w:hint="eastAsia" w:ascii="宋体" w:hAnsi="宋体" w:cs="宋体"/>
          <w:b/>
          <w:sz w:val="24"/>
        </w:rPr>
        <w:t>五、供应商参加本次政府采购活动应具备下列条件：</w:t>
      </w:r>
      <w:bookmarkEnd w:id="7"/>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（一）符合《中华人民共和国政府采购法》第二十二条规定的条件：</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1、具有独立承担民事责任的能力；</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2、具有良好的商业信誉和健全的财务会计制度；</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3、具有履行合同所必须的设备和专业技术能力；</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4、具有依法缴纳税收和社会保障资金的良好记录；</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jc w:val="left"/>
        <w:textAlignment w:val="auto"/>
        <w:rPr>
          <w:rFonts w:ascii="宋体" w:hAnsi="宋体" w:cs="宋体"/>
          <w:bCs/>
          <w:sz w:val="24"/>
        </w:rPr>
      </w:pPr>
      <w:r>
        <w:rPr>
          <w:rFonts w:hint="eastAsia" w:ascii="宋体" w:hAnsi="宋体" w:cs="宋体"/>
          <w:bCs/>
          <w:sz w:val="24"/>
        </w:rPr>
        <w:t>5、参加本次政府采购活动前三年内，在经营活动中没有重大违法记录；</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bCs/>
          <w:sz w:val="24"/>
        </w:rPr>
      </w:pPr>
      <w:r>
        <w:rPr>
          <w:rFonts w:hint="eastAsia" w:ascii="宋体" w:hAnsi="宋体" w:cs="宋体"/>
          <w:bCs/>
          <w:sz w:val="24"/>
        </w:rPr>
        <w:t>6、法律、行政法规规定的其他条件；</w:t>
      </w:r>
    </w:p>
    <w:p>
      <w:pPr>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bCs/>
          <w:sz w:val="24"/>
        </w:rPr>
      </w:pPr>
      <w:r>
        <w:rPr>
          <w:rFonts w:hint="eastAsia" w:ascii="宋体" w:hAnsi="宋体" w:cs="宋体"/>
          <w:bCs/>
          <w:sz w:val="24"/>
        </w:rPr>
        <w:t>（二）本项目规定的特定条件：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1、供应商没有被列入失信被执行人、重大税收违法案件当事人名单、政府采购严重违法失信行为记录；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rPr>
      </w:pPr>
      <w:r>
        <w:rPr>
          <w:rFonts w:hint="eastAsia" w:ascii="宋体" w:hAnsi="宋体" w:cs="宋体"/>
          <w:sz w:val="24"/>
        </w:rPr>
        <w:t>注：采购人或采购代理机构将于投标截止时间前一个工作日在“信用中国”网站（www.creditchina.gov.cn）、“中国政府采购网”网站（www.ccgp.gov.cn）等渠道对供应商进行信用记录查询，并将查询记录存档。凡被列入失信被执行人、重大税收违法案件当事人名单、政府采购严重违法失信行为记录名单的，视为存在不良信用记录，参与本项目的将被视为无效投标。</w:t>
      </w:r>
    </w:p>
    <w:p>
      <w:pPr>
        <w:spacing w:line="360" w:lineRule="auto"/>
        <w:ind w:firstLine="480" w:firstLineChars="200"/>
        <w:rPr>
          <w:rFonts w:ascii="宋体" w:hAnsi="宋体" w:cs="宋体"/>
          <w:sz w:val="24"/>
        </w:rPr>
      </w:pPr>
      <w:r>
        <w:rPr>
          <w:rFonts w:hint="eastAsia" w:ascii="宋体" w:hAnsi="宋体" w:cs="宋体"/>
          <w:sz w:val="24"/>
        </w:rPr>
        <w:t>2、本项目</w:t>
      </w:r>
      <w:r>
        <w:rPr>
          <w:rFonts w:hint="eastAsia" w:ascii="宋体" w:hAnsi="宋体" w:cs="宋体"/>
          <w:color w:val="000000" w:themeColor="text1"/>
          <w:sz w:val="24"/>
          <w:highlight w:val="none"/>
          <w14:textFill>
            <w14:solidFill>
              <w14:schemeClr w14:val="tx1"/>
            </w14:solidFill>
          </w14:textFill>
        </w:rPr>
        <w:t>不接受联</w:t>
      </w:r>
      <w:r>
        <w:rPr>
          <w:rFonts w:hint="eastAsia" w:ascii="宋体" w:hAnsi="宋体" w:cs="宋体"/>
          <w:sz w:val="24"/>
        </w:rPr>
        <w:t>合体投标。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3、供应商具备环保工程专业承包叁级及以上资质（在有效期内）；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4、具备有效的《安全生产许可证》；</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5、供应商具备环境工程（水污染防治工程）专项设计乙级及以上资质（在有效期内）。</w:t>
      </w:r>
    </w:p>
    <w:p>
      <w:pPr>
        <w:pStyle w:val="5"/>
        <w:spacing w:line="360" w:lineRule="auto"/>
        <w:ind w:firstLine="482"/>
        <w:outlineLvl w:val="1"/>
        <w:rPr>
          <w:rFonts w:ascii="宋体" w:hAnsi="宋体" w:cs="宋体"/>
          <w:b/>
          <w:bCs/>
          <w:sz w:val="24"/>
          <w:szCs w:val="32"/>
        </w:rPr>
      </w:pPr>
      <w:bookmarkStart w:id="8" w:name="_Toc11561"/>
      <w:r>
        <w:rPr>
          <w:rFonts w:hint="eastAsia" w:ascii="宋体" w:hAnsi="宋体" w:cs="宋体"/>
          <w:b/>
          <w:bCs/>
          <w:sz w:val="24"/>
          <w:szCs w:val="32"/>
        </w:rPr>
        <w:t>六、禁止参加本次采购活动的</w:t>
      </w:r>
      <w:bookmarkEnd w:id="8"/>
      <w:r>
        <w:rPr>
          <w:rFonts w:hint="eastAsia" w:ascii="宋体" w:hAnsi="宋体" w:cs="宋体"/>
          <w:b/>
          <w:bCs/>
          <w:sz w:val="24"/>
          <w:szCs w:val="32"/>
        </w:rPr>
        <w:t>供应商</w:t>
      </w:r>
    </w:p>
    <w:p>
      <w:pPr>
        <w:spacing w:line="336" w:lineRule="auto"/>
        <w:ind w:firstLine="480" w:firstLineChars="200"/>
        <w:rPr>
          <w:rFonts w:ascii="宋体" w:hAnsi="宋体" w:cs="宋体"/>
        </w:rPr>
      </w:pPr>
      <w:r>
        <w:rPr>
          <w:rFonts w:hint="eastAsia" w:ascii="宋体" w:hAnsi="宋体" w:cs="宋体"/>
          <w:kern w:val="0"/>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360" w:lineRule="auto"/>
        <w:ind w:left="482"/>
        <w:outlineLvl w:val="1"/>
        <w:rPr>
          <w:rFonts w:ascii="宋体" w:hAnsi="宋体" w:cs="宋体"/>
          <w:b/>
          <w:sz w:val="24"/>
        </w:rPr>
      </w:pPr>
      <w:bookmarkStart w:id="9" w:name="_Toc25529"/>
      <w:r>
        <w:rPr>
          <w:rFonts w:hint="eastAsia" w:ascii="宋体" w:hAnsi="宋体" w:cs="宋体"/>
          <w:b/>
          <w:sz w:val="24"/>
        </w:rPr>
        <w:t>七、招标文件发售时间及地点</w:t>
      </w:r>
      <w:bookmarkEnd w:id="9"/>
    </w:p>
    <w:p>
      <w:pPr>
        <w:pStyle w:val="41"/>
        <w:tabs>
          <w:tab w:val="left" w:pos="1094"/>
        </w:tabs>
        <w:spacing w:before="1" w:line="360" w:lineRule="auto"/>
        <w:ind w:left="0" w:firstLine="482" w:firstLineChars="200"/>
        <w:jc w:val="left"/>
        <w:rPr>
          <w:sz w:val="24"/>
        </w:rPr>
      </w:pPr>
      <w:r>
        <w:rPr>
          <w:rFonts w:hint="eastAsia"/>
          <w:b/>
          <w:sz w:val="24"/>
          <w:lang w:val="en-US"/>
        </w:rPr>
        <w:t>1.</w:t>
      </w:r>
      <w:r>
        <w:rPr>
          <w:rFonts w:hint="eastAsia"/>
          <w:b/>
          <w:sz w:val="24"/>
        </w:rPr>
        <w:t>获取招标文件的时间、地点及方式：</w:t>
      </w:r>
      <w:r>
        <w:rPr>
          <w:rFonts w:hint="eastAsia"/>
          <w:color w:val="000000" w:themeColor="text1"/>
          <w:sz w:val="24"/>
          <w14:textFill>
            <w14:solidFill>
              <w14:schemeClr w14:val="tx1"/>
            </w14:solidFill>
          </w14:textFill>
        </w:rPr>
        <w:t>202</w:t>
      </w:r>
      <w:r>
        <w:rPr>
          <w:rFonts w:hint="eastAsia"/>
          <w:color w:val="000000" w:themeColor="text1"/>
          <w:sz w:val="24"/>
          <w:lang w:val="en-US"/>
          <w14:textFill>
            <w14:solidFill>
              <w14:schemeClr w14:val="tx1"/>
            </w14:solidFill>
          </w14:textFill>
        </w:rPr>
        <w:t>1</w:t>
      </w:r>
      <w:r>
        <w:rPr>
          <w:rFonts w:hint="eastAsia"/>
          <w:color w:val="000000" w:themeColor="text1"/>
          <w:sz w:val="24"/>
          <w14:textFill>
            <w14:solidFill>
              <w14:schemeClr w14:val="tx1"/>
            </w14:solidFill>
          </w14:textFill>
        </w:rPr>
        <w:t>年</w:t>
      </w:r>
      <w:r>
        <w:rPr>
          <w:rFonts w:hint="eastAsia"/>
          <w:color w:val="000000" w:themeColor="text1"/>
          <w:sz w:val="24"/>
          <w:highlight w:val="none"/>
          <w:u w:val="none"/>
          <w:lang w:val="en-US" w:eastAsia="zh-CN"/>
          <w14:textFill>
            <w14:solidFill>
              <w14:schemeClr w14:val="tx1"/>
            </w14:solidFill>
          </w14:textFill>
        </w:rPr>
        <w:t>4</w:t>
      </w:r>
      <w:r>
        <w:rPr>
          <w:rFonts w:hint="eastAsia"/>
          <w:color w:val="000000" w:themeColor="text1"/>
          <w:sz w:val="24"/>
          <w:highlight w:val="none"/>
          <w:u w:val="none"/>
          <w14:textFill>
            <w14:solidFill>
              <w14:schemeClr w14:val="tx1"/>
            </w14:solidFill>
          </w14:textFill>
        </w:rPr>
        <w:t>月</w:t>
      </w:r>
      <w:r>
        <w:rPr>
          <w:rFonts w:hint="eastAsia"/>
          <w:color w:val="000000" w:themeColor="text1"/>
          <w:sz w:val="24"/>
          <w:highlight w:val="none"/>
          <w:u w:val="none"/>
          <w:lang w:val="en-US" w:eastAsia="zh-CN"/>
          <w14:textFill>
            <w14:solidFill>
              <w14:schemeClr w14:val="tx1"/>
            </w14:solidFill>
          </w14:textFill>
        </w:rPr>
        <w:t>29</w:t>
      </w:r>
      <w:r>
        <w:rPr>
          <w:rFonts w:hint="eastAsia"/>
          <w:color w:val="000000" w:themeColor="text1"/>
          <w:sz w:val="24"/>
          <w:highlight w:val="none"/>
          <w:u w:val="none"/>
          <w14:textFill>
            <w14:solidFill>
              <w14:schemeClr w14:val="tx1"/>
            </w14:solidFill>
          </w14:textFill>
        </w:rPr>
        <w:t>日至202</w:t>
      </w:r>
      <w:r>
        <w:rPr>
          <w:rFonts w:hint="eastAsia"/>
          <w:color w:val="000000" w:themeColor="text1"/>
          <w:sz w:val="24"/>
          <w:highlight w:val="none"/>
          <w:u w:val="none"/>
          <w:lang w:val="en-US"/>
          <w14:textFill>
            <w14:solidFill>
              <w14:schemeClr w14:val="tx1"/>
            </w14:solidFill>
          </w14:textFill>
        </w:rPr>
        <w:t>1</w:t>
      </w:r>
      <w:r>
        <w:rPr>
          <w:rFonts w:hint="eastAsia"/>
          <w:color w:val="000000" w:themeColor="text1"/>
          <w:sz w:val="24"/>
          <w:highlight w:val="none"/>
          <w:u w:val="none"/>
          <w14:textFill>
            <w14:solidFill>
              <w14:schemeClr w14:val="tx1"/>
            </w14:solidFill>
          </w14:textFill>
        </w:rPr>
        <w:t>年</w:t>
      </w:r>
      <w:r>
        <w:rPr>
          <w:rFonts w:hint="eastAsia"/>
          <w:color w:val="000000" w:themeColor="text1"/>
          <w:sz w:val="24"/>
          <w:highlight w:val="none"/>
          <w:u w:val="none"/>
          <w:lang w:val="en-US" w:eastAsia="zh-CN"/>
          <w14:textFill>
            <w14:solidFill>
              <w14:schemeClr w14:val="tx1"/>
            </w14:solidFill>
          </w14:textFill>
        </w:rPr>
        <w:t>5</w:t>
      </w:r>
      <w:r>
        <w:rPr>
          <w:rFonts w:hint="eastAsia"/>
          <w:color w:val="000000" w:themeColor="text1"/>
          <w:sz w:val="24"/>
          <w:highlight w:val="none"/>
          <w:u w:val="none"/>
          <w14:textFill>
            <w14:solidFill>
              <w14:schemeClr w14:val="tx1"/>
            </w14:solidFill>
          </w14:textFill>
        </w:rPr>
        <w:t>月</w:t>
      </w:r>
      <w:r>
        <w:rPr>
          <w:rFonts w:hint="eastAsia"/>
          <w:color w:val="000000" w:themeColor="text1"/>
          <w:sz w:val="24"/>
          <w:highlight w:val="none"/>
          <w:u w:val="none"/>
          <w:lang w:val="en-US" w:eastAsia="zh-CN"/>
          <w14:textFill>
            <w14:solidFill>
              <w14:schemeClr w14:val="tx1"/>
            </w14:solidFill>
          </w14:textFill>
        </w:rPr>
        <w:t>8</w:t>
      </w:r>
      <w:r>
        <w:rPr>
          <w:rFonts w:hint="eastAsia"/>
          <w:color w:val="000000" w:themeColor="text1"/>
          <w:sz w:val="24"/>
          <w:highlight w:val="none"/>
          <w:u w:val="none"/>
          <w14:textFill>
            <w14:solidFill>
              <w14:schemeClr w14:val="tx1"/>
            </w14:solidFill>
          </w14:textFill>
        </w:rPr>
        <w:t>日</w:t>
      </w:r>
      <w:r>
        <w:rPr>
          <w:rFonts w:hint="eastAsia"/>
          <w:color w:val="000000" w:themeColor="text1"/>
          <w:sz w:val="24"/>
          <w:lang w:val="en-US"/>
          <w14:textFill>
            <w14:solidFill>
              <w14:schemeClr w14:val="tx1"/>
            </w14:solidFill>
          </w14:textFill>
        </w:rPr>
        <w:t>9</w:t>
      </w:r>
      <w:r>
        <w:rPr>
          <w:rFonts w:hint="eastAsia"/>
          <w:color w:val="000000" w:themeColor="text1"/>
          <w:sz w:val="24"/>
          <w14:textFill>
            <w14:solidFill>
              <w14:schemeClr w14:val="tx1"/>
            </w14:solidFill>
          </w14:textFill>
        </w:rPr>
        <w:t>:00-</w:t>
      </w:r>
      <w:r>
        <w:rPr>
          <w:rFonts w:hint="eastAsia"/>
          <w:color w:val="000000" w:themeColor="text1"/>
          <w:sz w:val="24"/>
          <w:lang w:val="en-US"/>
          <w14:textFill>
            <w14:solidFill>
              <w14:schemeClr w14:val="tx1"/>
            </w14:solidFill>
          </w14:textFill>
        </w:rPr>
        <w:t>12</w:t>
      </w:r>
      <w:r>
        <w:rPr>
          <w:rFonts w:hint="eastAsia"/>
          <w:color w:val="000000" w:themeColor="text1"/>
          <w:sz w:val="24"/>
          <w14:textFill>
            <w14:solidFill>
              <w14:schemeClr w14:val="tx1"/>
            </w14:solidFill>
          </w14:textFill>
        </w:rPr>
        <w:t>:00，</w:t>
      </w:r>
      <w:r>
        <w:rPr>
          <w:rFonts w:hint="eastAsia"/>
          <w:color w:val="000000" w:themeColor="text1"/>
          <w:sz w:val="24"/>
          <w:lang w:val="en-US"/>
          <w14:textFill>
            <w14:solidFill>
              <w14:schemeClr w14:val="tx1"/>
            </w14:solidFill>
          </w14:textFill>
        </w:rPr>
        <w:t>14：00-17:00</w:t>
      </w:r>
      <w:r>
        <w:rPr>
          <w:rFonts w:hint="eastAsia"/>
          <w:sz w:val="24"/>
        </w:rPr>
        <w:t>（北京时间，法定节假日除外），在</w:t>
      </w:r>
      <w:r>
        <w:rPr>
          <w:rFonts w:hint="eastAsia"/>
          <w:sz w:val="24"/>
          <w:u w:val="single"/>
        </w:rPr>
        <w:t>成都长源工程咨询有限公司</w:t>
      </w:r>
      <w:r>
        <w:rPr>
          <w:rFonts w:hint="eastAsia"/>
          <w:sz w:val="24"/>
        </w:rPr>
        <w:t>（</w:t>
      </w:r>
      <w:r>
        <w:rPr>
          <w:rFonts w:hint="eastAsia"/>
          <w:b/>
          <w:bCs/>
          <w:sz w:val="24"/>
        </w:rPr>
        <w:t>地址：成都市武侯区环球中心E5区1502-1508号</w:t>
      </w:r>
      <w:r>
        <w:rPr>
          <w:rFonts w:hint="eastAsia"/>
          <w:b/>
          <w:sz w:val="24"/>
        </w:rPr>
        <w:t>）</w:t>
      </w:r>
      <w:r>
        <w:rPr>
          <w:rFonts w:hint="eastAsia"/>
          <w:sz w:val="24"/>
        </w:rPr>
        <w:t>购买</w:t>
      </w:r>
      <w:r>
        <w:rPr>
          <w:rFonts w:hint="eastAsia"/>
          <w:sz w:val="24"/>
          <w:lang w:val="en-US"/>
        </w:rPr>
        <w:t>招标</w:t>
      </w:r>
      <w:r>
        <w:rPr>
          <w:rFonts w:hint="eastAsia"/>
          <w:sz w:val="24"/>
        </w:rPr>
        <w:t>文件。</w:t>
      </w:r>
    </w:p>
    <w:p>
      <w:pPr>
        <w:spacing w:line="360" w:lineRule="auto"/>
        <w:ind w:firstLine="482" w:firstLineChars="200"/>
        <w:jc w:val="left"/>
        <w:rPr>
          <w:rFonts w:ascii="宋体" w:hAnsi="宋体" w:cs="宋体"/>
          <w:b/>
          <w:sz w:val="24"/>
        </w:rPr>
      </w:pPr>
      <w:r>
        <w:rPr>
          <w:rFonts w:hint="eastAsia" w:ascii="宋体" w:hAnsi="宋体" w:cs="宋体"/>
          <w:b/>
          <w:sz w:val="24"/>
        </w:rPr>
        <w:t xml:space="preserve">2.获取招标文件的方式及招标文件售价： </w:t>
      </w:r>
    </w:p>
    <w:p>
      <w:pPr>
        <w:autoSpaceDE w:val="0"/>
        <w:autoSpaceDN w:val="0"/>
        <w:spacing w:line="360" w:lineRule="auto"/>
        <w:ind w:firstLine="480" w:firstLineChars="200"/>
        <w:rPr>
          <w:rFonts w:ascii="宋体" w:hAnsi="宋体" w:cs="宋体"/>
          <w:sz w:val="24"/>
        </w:rPr>
      </w:pPr>
      <w:r>
        <w:rPr>
          <w:rFonts w:hint="eastAsia" w:ascii="宋体" w:hAnsi="宋体" w:cs="宋体"/>
          <w:sz w:val="24"/>
          <w:lang w:bidi="zh-CN"/>
        </w:rPr>
        <w:t>（1）</w:t>
      </w:r>
      <w:r>
        <w:rPr>
          <w:rFonts w:hint="eastAsia" w:ascii="宋体" w:hAnsi="宋体" w:cs="宋体"/>
          <w:sz w:val="24"/>
          <w:lang w:val="zh-CN" w:bidi="zh-CN"/>
        </w:rPr>
        <w:t>获取招标文件时</w:t>
      </w:r>
      <w:r>
        <w:rPr>
          <w:rFonts w:hint="eastAsia" w:ascii="宋体" w:hAnsi="宋体" w:cs="宋体"/>
          <w:sz w:val="24"/>
          <w:lang w:bidi="zh-CN"/>
        </w:rPr>
        <w:t>，供应商</w:t>
      </w:r>
      <w:r>
        <w:rPr>
          <w:rFonts w:hint="eastAsia" w:ascii="宋体" w:hAnsi="宋体" w:cs="宋体"/>
          <w:sz w:val="24"/>
          <w:lang w:val="zh-CN" w:bidi="zh-CN"/>
        </w:rPr>
        <w:t>为法人或者其他组织的</w:t>
      </w:r>
      <w:r>
        <w:rPr>
          <w:rFonts w:hint="eastAsia" w:ascii="宋体" w:hAnsi="宋体" w:cs="宋体"/>
          <w:sz w:val="24"/>
          <w:lang w:bidi="zh-CN"/>
        </w:rPr>
        <w:t>，</w:t>
      </w:r>
      <w:r>
        <w:rPr>
          <w:rFonts w:hint="eastAsia" w:ascii="宋体" w:hAnsi="宋体" w:cs="宋体"/>
          <w:sz w:val="24"/>
          <w:lang w:val="zh-CN" w:bidi="zh-CN"/>
        </w:rPr>
        <w:t>只需提供单位介绍信、经办人身份证明、</w:t>
      </w:r>
      <w:r>
        <w:rPr>
          <w:rFonts w:hint="eastAsia" w:ascii="宋体" w:hAnsi="宋体" w:cs="宋体"/>
          <w:sz w:val="24"/>
          <w:lang w:bidi="zh-CN"/>
        </w:rPr>
        <w:t>报名表；供应商</w:t>
      </w:r>
      <w:r>
        <w:rPr>
          <w:rFonts w:hint="eastAsia" w:ascii="宋体" w:hAnsi="宋体" w:cs="宋体"/>
          <w:sz w:val="24"/>
          <w:lang w:val="zh-CN" w:bidi="zh-CN"/>
        </w:rPr>
        <w:t>为自然人的</w:t>
      </w:r>
      <w:r>
        <w:rPr>
          <w:rFonts w:hint="eastAsia" w:ascii="宋体" w:hAnsi="宋体" w:cs="宋体"/>
          <w:sz w:val="24"/>
          <w:lang w:bidi="zh-CN"/>
        </w:rPr>
        <w:t>，</w:t>
      </w:r>
      <w:r>
        <w:rPr>
          <w:rFonts w:hint="eastAsia" w:ascii="宋体" w:hAnsi="宋体" w:cs="宋体"/>
          <w:sz w:val="24"/>
          <w:lang w:val="zh-CN" w:bidi="zh-CN"/>
        </w:rPr>
        <w:t>只需提供本人身份证明、</w:t>
      </w:r>
      <w:r>
        <w:rPr>
          <w:rFonts w:hint="eastAsia" w:ascii="宋体" w:hAnsi="宋体" w:cs="宋体"/>
          <w:sz w:val="24"/>
          <w:lang w:bidi="zh-CN"/>
        </w:rPr>
        <w:t>报名表；</w:t>
      </w:r>
      <w:r>
        <w:rPr>
          <w:rFonts w:hint="eastAsia" w:ascii="宋体" w:hAnsi="宋体" w:cs="宋体"/>
          <w:sz w:val="24"/>
          <w:lang w:val="zh-CN" w:bidi="zh-CN"/>
        </w:rPr>
        <w:t>并将相应材料给采购代理机构留存</w:t>
      </w:r>
      <w:r>
        <w:rPr>
          <w:rFonts w:hint="eastAsia" w:ascii="宋体" w:hAnsi="宋体" w:cs="宋体"/>
          <w:sz w:val="24"/>
          <w:lang w:bidi="zh-CN"/>
        </w:rPr>
        <w:t>（</w:t>
      </w:r>
      <w:r>
        <w:rPr>
          <w:rFonts w:hint="eastAsia" w:ascii="宋体" w:hAnsi="宋体" w:cs="宋体"/>
          <w:sz w:val="24"/>
          <w:lang w:val="zh-CN" w:bidi="zh-CN"/>
        </w:rPr>
        <w:t>疫情期间</w:t>
      </w:r>
      <w:r>
        <w:rPr>
          <w:rFonts w:hint="eastAsia" w:ascii="宋体" w:hAnsi="宋体" w:cs="宋体"/>
          <w:sz w:val="24"/>
          <w:lang w:bidi="zh-CN"/>
        </w:rPr>
        <w:t>供应商</w:t>
      </w:r>
      <w:r>
        <w:rPr>
          <w:rFonts w:hint="eastAsia" w:ascii="宋体" w:hAnsi="宋体" w:cs="宋体"/>
          <w:sz w:val="24"/>
          <w:lang w:val="zh-CN" w:bidi="zh-CN"/>
        </w:rPr>
        <w:t>可通过邮箱方式进行报名</w:t>
      </w:r>
      <w:r>
        <w:rPr>
          <w:rFonts w:hint="eastAsia" w:ascii="宋体" w:hAnsi="宋体" w:cs="宋体"/>
          <w:sz w:val="24"/>
          <w:lang w:bidi="zh-CN"/>
        </w:rPr>
        <w:t>，</w:t>
      </w:r>
      <w:r>
        <w:rPr>
          <w:rFonts w:hint="eastAsia" w:ascii="宋体" w:hAnsi="宋体" w:cs="宋体"/>
          <w:sz w:val="24"/>
          <w:lang w:val="zh-CN" w:bidi="zh-CN"/>
        </w:rPr>
        <w:t>邮箱号</w:t>
      </w:r>
      <w:r>
        <w:rPr>
          <w:rFonts w:hint="eastAsia" w:ascii="宋体" w:hAnsi="宋体" w:cs="宋体"/>
          <w:sz w:val="24"/>
          <w:lang w:bidi="zh-CN"/>
        </w:rPr>
        <w:t>:915957216@qq.com，进行邮箱报名的供应商由招标代理机构核查报名资料后以邮箱的形式发送招标文件），通过邮箱方式报名的报名资料原件需在开标当日与投标文件一并提交</w:t>
      </w:r>
      <w:r>
        <w:rPr>
          <w:rFonts w:hint="eastAsia" w:ascii="宋体" w:hAnsi="宋体" w:cs="宋体"/>
          <w:sz w:val="24"/>
          <w:lang w:val="zh-CN" w:bidi="zh-CN"/>
        </w:rPr>
        <w:t>。</w:t>
      </w:r>
    </w:p>
    <w:p>
      <w:pPr>
        <w:spacing w:line="360" w:lineRule="auto"/>
        <w:ind w:firstLine="480" w:firstLineChars="200"/>
        <w:jc w:val="left"/>
        <w:rPr>
          <w:rFonts w:ascii="宋体" w:hAnsi="宋体" w:cs="宋体"/>
          <w:sz w:val="24"/>
        </w:rPr>
      </w:pPr>
      <w:r>
        <w:rPr>
          <w:rFonts w:hint="eastAsia" w:ascii="宋体" w:hAnsi="宋体" w:cs="宋体"/>
          <w:sz w:val="24"/>
        </w:rPr>
        <w:t>（2）招标文件售价：</w:t>
      </w:r>
      <w:r>
        <w:rPr>
          <w:rFonts w:hint="eastAsia" w:ascii="宋体" w:hAnsi="宋体" w:cs="宋体"/>
          <w:sz w:val="24"/>
          <w:lang w:val="en-US" w:eastAsia="zh-CN"/>
        </w:rPr>
        <w:t>本项目不</w:t>
      </w:r>
      <w:bookmarkStart w:id="364" w:name="_GoBack"/>
      <w:bookmarkEnd w:id="364"/>
      <w:r>
        <w:rPr>
          <w:rFonts w:hint="eastAsia" w:ascii="宋体" w:hAnsi="宋体" w:cs="宋体"/>
          <w:sz w:val="24"/>
          <w:lang w:val="en-US" w:eastAsia="zh-CN"/>
        </w:rPr>
        <w:t>收取报名费</w:t>
      </w:r>
      <w:r>
        <w:rPr>
          <w:rFonts w:hint="eastAsia" w:ascii="宋体" w:hAnsi="宋体" w:cs="宋体"/>
          <w:sz w:val="24"/>
        </w:rPr>
        <w:t>。</w:t>
      </w:r>
    </w:p>
    <w:p>
      <w:pPr>
        <w:spacing w:line="360" w:lineRule="auto"/>
        <w:ind w:left="482"/>
        <w:outlineLvl w:val="1"/>
        <w:rPr>
          <w:rFonts w:ascii="宋体" w:hAnsi="宋体" w:cs="宋体"/>
          <w:b/>
          <w:sz w:val="24"/>
        </w:rPr>
      </w:pPr>
      <w:bookmarkStart w:id="10" w:name="_Toc11842"/>
      <w:r>
        <w:rPr>
          <w:rFonts w:hint="eastAsia" w:ascii="宋体" w:hAnsi="宋体" w:cs="宋体"/>
          <w:b/>
          <w:sz w:val="24"/>
        </w:rPr>
        <w:t>八、投标文件的递交</w:t>
      </w:r>
      <w:bookmarkEnd w:id="10"/>
    </w:p>
    <w:p>
      <w:pPr>
        <w:spacing w:line="360" w:lineRule="auto"/>
        <w:ind w:left="482"/>
        <w:rPr>
          <w:rFonts w:ascii="宋体" w:hAnsi="宋体" w:cs="宋体"/>
          <w:bCs/>
          <w:sz w:val="24"/>
          <w:highlight w:val="yellow"/>
        </w:rPr>
      </w:pPr>
      <w:r>
        <w:rPr>
          <w:rFonts w:hint="eastAsia" w:ascii="宋体" w:hAnsi="宋体" w:cs="宋体"/>
          <w:bCs/>
          <w:sz w:val="24"/>
        </w:rPr>
        <w:t xml:space="preserve">(一)投标文件递交起止时间: </w:t>
      </w:r>
      <w:r>
        <w:rPr>
          <w:rFonts w:hint="eastAsia" w:ascii="宋体" w:hAnsi="宋体" w:cs="宋体"/>
          <w:bCs/>
          <w:sz w:val="24"/>
          <w:highlight w:val="none"/>
        </w:rPr>
        <w:t>2021 年</w:t>
      </w:r>
      <w:r>
        <w:rPr>
          <w:rFonts w:hint="eastAsia" w:ascii="宋体" w:hAnsi="宋体" w:cs="宋体"/>
          <w:bCs/>
          <w:sz w:val="24"/>
          <w:highlight w:val="none"/>
          <w:lang w:val="en-US" w:eastAsia="zh-CN"/>
        </w:rPr>
        <w:t>5</w:t>
      </w:r>
      <w:r>
        <w:rPr>
          <w:rFonts w:hint="eastAsia" w:ascii="宋体" w:hAnsi="宋体" w:cs="宋体"/>
          <w:bCs/>
          <w:sz w:val="24"/>
          <w:highlight w:val="none"/>
        </w:rPr>
        <w:t>月</w:t>
      </w:r>
      <w:r>
        <w:rPr>
          <w:rFonts w:hint="eastAsia" w:ascii="宋体" w:hAnsi="宋体" w:cs="宋体"/>
          <w:bCs/>
          <w:sz w:val="24"/>
          <w:highlight w:val="none"/>
          <w:lang w:val="en-US" w:eastAsia="zh-CN"/>
        </w:rPr>
        <w:t>19</w:t>
      </w:r>
      <w:r>
        <w:rPr>
          <w:rFonts w:hint="eastAsia" w:ascii="宋体" w:hAnsi="宋体" w:cs="宋体"/>
          <w:bCs/>
          <w:sz w:val="24"/>
          <w:highlight w:val="none"/>
        </w:rPr>
        <w:t>日10时00分至10时30分。</w:t>
      </w:r>
    </w:p>
    <w:p>
      <w:pPr>
        <w:spacing w:line="360" w:lineRule="auto"/>
        <w:ind w:left="482"/>
        <w:rPr>
          <w:rFonts w:ascii="宋体" w:hAnsi="宋体" w:cs="宋体"/>
          <w:bCs/>
          <w:sz w:val="24"/>
        </w:rPr>
      </w:pPr>
      <w:r>
        <w:rPr>
          <w:rFonts w:hint="eastAsia" w:ascii="宋体" w:hAnsi="宋体" w:cs="宋体"/>
          <w:bCs/>
          <w:sz w:val="24"/>
        </w:rPr>
        <w:t>(二)投标文件递交地点:成都市武侯区环球中心E3区1509号。</w:t>
      </w:r>
    </w:p>
    <w:p>
      <w:pPr>
        <w:spacing w:line="360" w:lineRule="auto"/>
        <w:ind w:left="482"/>
        <w:rPr>
          <w:rFonts w:ascii="宋体" w:hAnsi="宋体" w:cs="宋体"/>
          <w:bCs/>
          <w:sz w:val="24"/>
        </w:rPr>
      </w:pPr>
      <w:r>
        <w:rPr>
          <w:rFonts w:hint="eastAsia" w:ascii="宋体" w:hAnsi="宋体" w:cs="宋体"/>
          <w:bCs/>
          <w:sz w:val="24"/>
        </w:rPr>
        <w:t>(三)投标文件必须在投标截止时间前送达开标地点，逾期送达的投标文件恕不接收,本次招标不接受邮寄的投标文件。</w:t>
      </w:r>
    </w:p>
    <w:p>
      <w:pPr>
        <w:spacing w:line="360" w:lineRule="auto"/>
        <w:ind w:left="482"/>
        <w:outlineLvl w:val="1"/>
        <w:rPr>
          <w:rFonts w:ascii="宋体" w:hAnsi="宋体" w:cs="宋体"/>
          <w:bCs/>
          <w:sz w:val="24"/>
        </w:rPr>
      </w:pPr>
      <w:bookmarkStart w:id="11" w:name="_Toc32299"/>
      <w:r>
        <w:rPr>
          <w:rFonts w:hint="eastAsia" w:ascii="宋体" w:hAnsi="宋体" w:cs="宋体"/>
          <w:b/>
          <w:sz w:val="24"/>
        </w:rPr>
        <w:t>九、投标截止时间和开标时间：</w:t>
      </w:r>
      <w:r>
        <w:rPr>
          <w:rFonts w:hint="eastAsia" w:ascii="宋体" w:hAnsi="宋体" w:cs="宋体"/>
          <w:bCs/>
          <w:color w:val="000000" w:themeColor="text1"/>
          <w:sz w:val="24"/>
          <w14:textFill>
            <w14:solidFill>
              <w14:schemeClr w14:val="tx1"/>
            </w14:solidFill>
          </w14:textFill>
        </w:rPr>
        <w:t>2021年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19</w:t>
      </w:r>
      <w:r>
        <w:rPr>
          <w:rFonts w:hint="eastAsia" w:ascii="宋体" w:hAnsi="宋体" w:cs="宋体"/>
          <w:bCs/>
          <w:color w:val="000000" w:themeColor="text1"/>
          <w:sz w:val="24"/>
          <w14:textFill>
            <w14:solidFill>
              <w14:schemeClr w14:val="tx1"/>
            </w14:solidFill>
          </w14:textFill>
        </w:rPr>
        <w:t>日10:30（北京时间）</w:t>
      </w:r>
      <w:r>
        <w:rPr>
          <w:rFonts w:hint="eastAsia" w:ascii="宋体" w:hAnsi="宋体" w:cs="宋体"/>
          <w:bCs/>
          <w:sz w:val="24"/>
        </w:rPr>
        <w:t>。</w:t>
      </w:r>
      <w:bookmarkEnd w:id="11"/>
    </w:p>
    <w:p>
      <w:pPr>
        <w:spacing w:line="360" w:lineRule="auto"/>
        <w:ind w:firstLine="480"/>
        <w:rPr>
          <w:rFonts w:ascii="宋体" w:hAnsi="宋体" w:cs="宋体"/>
          <w:bCs/>
          <w:sz w:val="24"/>
        </w:rPr>
      </w:pPr>
      <w:r>
        <w:rPr>
          <w:rFonts w:hint="eastAsia" w:ascii="宋体" w:hAnsi="宋体" w:cs="宋体"/>
          <w:bCs/>
          <w:sz w:val="24"/>
        </w:rPr>
        <w:t>投标文件应在开标当日投标截止时间前送达开标地点，本次招标不接受以电子邮件、传真及邮寄方式递交的投标文件。</w:t>
      </w:r>
    </w:p>
    <w:p>
      <w:pPr>
        <w:spacing w:line="360" w:lineRule="auto"/>
        <w:ind w:firstLine="480"/>
        <w:rPr>
          <w:rFonts w:ascii="宋体" w:hAnsi="宋体" w:cs="宋体"/>
          <w:bCs/>
          <w:sz w:val="24"/>
        </w:rPr>
      </w:pPr>
      <w:r>
        <w:rPr>
          <w:rFonts w:hint="eastAsia" w:ascii="宋体" w:hAnsi="宋体" w:cs="宋体"/>
          <w:bCs/>
          <w:sz w:val="24"/>
        </w:rPr>
        <w:t>请供应商按时参与本项目的开标，供应商未参加开标的，视同认可开标结果。</w:t>
      </w:r>
    </w:p>
    <w:p>
      <w:pPr>
        <w:spacing w:line="360" w:lineRule="auto"/>
        <w:ind w:firstLine="482" w:firstLineChars="200"/>
        <w:outlineLvl w:val="1"/>
        <w:rPr>
          <w:rFonts w:ascii="宋体" w:hAnsi="宋体" w:cs="宋体"/>
          <w:bCs/>
          <w:sz w:val="24"/>
        </w:rPr>
      </w:pPr>
      <w:bookmarkStart w:id="12" w:name="_Toc20816"/>
      <w:r>
        <w:rPr>
          <w:rFonts w:hint="eastAsia" w:ascii="宋体" w:hAnsi="宋体" w:cs="宋体"/>
          <w:b/>
          <w:sz w:val="24"/>
        </w:rPr>
        <w:t>十、投标文件递交地点及开标地点：</w:t>
      </w:r>
      <w:r>
        <w:rPr>
          <w:rFonts w:hint="eastAsia" w:ascii="宋体" w:hAnsi="宋体" w:cs="宋体"/>
          <w:bCs/>
          <w:sz w:val="24"/>
        </w:rPr>
        <w:t>成都市武侯区环球中心E3区1509号。</w:t>
      </w:r>
      <w:bookmarkEnd w:id="12"/>
    </w:p>
    <w:p>
      <w:pPr>
        <w:spacing w:line="360" w:lineRule="auto"/>
        <w:ind w:firstLine="482" w:firstLineChars="200"/>
        <w:outlineLvl w:val="1"/>
        <w:rPr>
          <w:rFonts w:ascii="宋体" w:hAnsi="宋体" w:cs="宋体"/>
          <w:bCs/>
          <w:sz w:val="24"/>
        </w:rPr>
      </w:pPr>
      <w:bookmarkStart w:id="13" w:name="_Toc23285"/>
      <w:r>
        <w:rPr>
          <w:rFonts w:hint="eastAsia" w:ascii="宋体" w:hAnsi="宋体" w:cs="宋体"/>
          <w:b/>
          <w:sz w:val="24"/>
        </w:rPr>
        <w:t>十一、本投标邀请在四川政府采购网（http://www.ccgp-sichuan.gov.cn）上以公告形式发布，公告期限为发布之日起5个工作日。</w:t>
      </w:r>
      <w:bookmarkEnd w:id="13"/>
    </w:p>
    <w:p>
      <w:pPr>
        <w:pStyle w:val="27"/>
        <w:ind w:firstLine="482"/>
        <w:outlineLvl w:val="1"/>
        <w:rPr>
          <w:rFonts w:ascii="宋体" w:hAnsi="宋体" w:cs="宋体"/>
          <w:b/>
          <w:sz w:val="24"/>
        </w:rPr>
      </w:pPr>
      <w:bookmarkStart w:id="14" w:name="_Toc7020"/>
      <w:r>
        <w:rPr>
          <w:rFonts w:hint="eastAsia" w:ascii="宋体" w:hAnsi="宋体" w:cs="宋体"/>
          <w:b/>
          <w:sz w:val="24"/>
        </w:rPr>
        <w:t>十二、供应商信用融资：</w:t>
      </w:r>
      <w:bookmarkEnd w:id="14"/>
    </w:p>
    <w:p>
      <w:pPr>
        <w:spacing w:line="360" w:lineRule="auto"/>
        <w:ind w:firstLine="480" w:firstLineChars="200"/>
        <w:rPr>
          <w:rFonts w:ascii="宋体" w:hAnsi="宋体" w:cs="宋体"/>
          <w:sz w:val="24"/>
        </w:rPr>
      </w:pPr>
      <w:r>
        <w:rPr>
          <w:rFonts w:hint="eastAsia" w:ascii="宋体" w:hAnsi="宋体" w:cs="宋体"/>
          <w:sz w:val="24"/>
        </w:rPr>
        <w:t>根据《四川省财政厅关于推进四川省政府采购供应商信用融资工作的通知》(川财采(2018) 123 号)文件要求，为助力解决政府采购中标、中标人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并按照相关规定要求和贷款流程申请信用融资贷款。</w:t>
      </w:r>
    </w:p>
    <w:p>
      <w:pPr>
        <w:spacing w:line="360" w:lineRule="auto"/>
        <w:ind w:left="482"/>
        <w:outlineLvl w:val="1"/>
        <w:rPr>
          <w:rFonts w:ascii="宋体" w:hAnsi="宋体" w:cs="宋体"/>
          <w:b/>
          <w:sz w:val="24"/>
        </w:rPr>
      </w:pPr>
      <w:bookmarkStart w:id="15" w:name="_Toc14523"/>
      <w:r>
        <w:rPr>
          <w:rFonts w:hint="eastAsia" w:ascii="宋体" w:hAnsi="宋体" w:cs="宋体"/>
          <w:b/>
          <w:sz w:val="24"/>
        </w:rPr>
        <w:t>十三、联系方式</w:t>
      </w:r>
      <w:bookmarkEnd w:id="15"/>
    </w:p>
    <w:p>
      <w:pPr>
        <w:pStyle w:val="27"/>
        <w:ind w:firstLine="482"/>
        <w:rPr>
          <w:rFonts w:ascii="宋体" w:hAnsi="宋体" w:cs="宋体"/>
          <w:bCs/>
          <w:sz w:val="24"/>
        </w:rPr>
      </w:pPr>
      <w:r>
        <w:rPr>
          <w:rFonts w:hint="eastAsia" w:ascii="宋体" w:hAnsi="宋体" w:cs="宋体"/>
          <w:b/>
          <w:sz w:val="24"/>
        </w:rPr>
        <w:t>采 购 人：</w:t>
      </w:r>
      <w:r>
        <w:rPr>
          <w:rFonts w:hint="eastAsia" w:ascii="宋体" w:hAnsi="宋体" w:cs="宋体"/>
          <w:bCs/>
          <w:sz w:val="24"/>
        </w:rPr>
        <w:t>成都高新技术产业开发区生态环境和城市管理局</w:t>
      </w:r>
    </w:p>
    <w:p>
      <w:pPr>
        <w:pStyle w:val="27"/>
        <w:ind w:firstLine="482"/>
        <w:rPr>
          <w:rFonts w:ascii="宋体" w:hAnsi="宋体" w:cs="宋体"/>
          <w:b/>
          <w:sz w:val="24"/>
        </w:rPr>
      </w:pPr>
      <w:r>
        <w:rPr>
          <w:rFonts w:hint="eastAsia" w:ascii="宋体" w:hAnsi="宋体" w:cs="宋体"/>
          <w:b/>
          <w:sz w:val="24"/>
        </w:rPr>
        <w:t>地   址：</w:t>
      </w:r>
      <w:r>
        <w:rPr>
          <w:rFonts w:hint="eastAsia" w:ascii="宋体" w:hAnsi="宋体" w:cs="宋体"/>
          <w:bCs/>
          <w:sz w:val="24"/>
        </w:rPr>
        <w:t>成都市天府大道北段18号高新国际广场A座6楼</w:t>
      </w:r>
    </w:p>
    <w:p>
      <w:pPr>
        <w:pStyle w:val="27"/>
        <w:ind w:firstLine="482"/>
        <w:rPr>
          <w:rFonts w:ascii="宋体" w:hAnsi="宋体" w:cs="宋体"/>
          <w:bCs/>
          <w:sz w:val="24"/>
        </w:rPr>
      </w:pPr>
      <w:r>
        <w:rPr>
          <w:rFonts w:hint="eastAsia" w:ascii="宋体" w:hAnsi="宋体" w:cs="宋体"/>
          <w:b/>
          <w:sz w:val="24"/>
        </w:rPr>
        <w:t>联 系 人：</w:t>
      </w:r>
      <w:r>
        <w:rPr>
          <w:rFonts w:hint="eastAsia" w:ascii="宋体" w:hAnsi="宋体" w:cs="宋体"/>
          <w:bCs/>
          <w:sz w:val="24"/>
        </w:rPr>
        <w:t xml:space="preserve">彭老师 </w:t>
      </w:r>
    </w:p>
    <w:p>
      <w:pPr>
        <w:pStyle w:val="27"/>
        <w:ind w:firstLine="482"/>
        <w:rPr>
          <w:rFonts w:ascii="宋体" w:hAnsi="宋体" w:cs="宋体"/>
          <w:b/>
          <w:sz w:val="24"/>
        </w:rPr>
      </w:pPr>
      <w:r>
        <w:rPr>
          <w:rFonts w:hint="eastAsia" w:ascii="宋体" w:hAnsi="宋体" w:cs="宋体"/>
          <w:b/>
          <w:sz w:val="24"/>
        </w:rPr>
        <w:t>联系电话：</w:t>
      </w:r>
      <w:r>
        <w:rPr>
          <w:rFonts w:ascii="宋体" w:hAnsi="宋体" w:cs="宋体"/>
          <w:bCs/>
          <w:sz w:val="24"/>
        </w:rPr>
        <w:t>028</w:t>
      </w:r>
      <w:r>
        <w:rPr>
          <w:rFonts w:hint="eastAsia" w:ascii="宋体" w:hAnsi="宋体" w:cs="宋体"/>
          <w:bCs/>
          <w:sz w:val="24"/>
        </w:rPr>
        <w:t>-</w:t>
      </w:r>
      <w:r>
        <w:rPr>
          <w:rFonts w:ascii="宋体" w:hAnsi="宋体" w:cs="宋体"/>
          <w:bCs/>
          <w:sz w:val="24"/>
        </w:rPr>
        <w:t>85286344</w:t>
      </w:r>
    </w:p>
    <w:p>
      <w:pPr>
        <w:snapToGrid w:val="0"/>
        <w:spacing w:line="360" w:lineRule="auto"/>
        <w:ind w:firstLine="480" w:firstLineChars="200"/>
        <w:rPr>
          <w:rFonts w:ascii="宋体" w:hAnsi="宋体" w:cs="宋体"/>
          <w:bCs/>
          <w:sz w:val="24"/>
        </w:rPr>
      </w:pPr>
    </w:p>
    <w:p>
      <w:pPr>
        <w:snapToGrid w:val="0"/>
        <w:spacing w:line="360" w:lineRule="auto"/>
        <w:ind w:firstLine="482" w:firstLineChars="200"/>
        <w:rPr>
          <w:rFonts w:ascii="宋体" w:hAnsi="宋体" w:cs="宋体"/>
          <w:bCs/>
          <w:sz w:val="24"/>
        </w:rPr>
      </w:pPr>
      <w:r>
        <w:rPr>
          <w:rFonts w:hint="eastAsia" w:ascii="宋体" w:hAnsi="宋体" w:cs="宋体"/>
          <w:b/>
          <w:sz w:val="24"/>
        </w:rPr>
        <w:t>采购代理机构：</w:t>
      </w:r>
      <w:r>
        <w:rPr>
          <w:rFonts w:hint="eastAsia" w:ascii="宋体" w:hAnsi="宋体" w:cs="宋体"/>
          <w:bCs/>
          <w:sz w:val="24"/>
        </w:rPr>
        <w:t>成都长源工程咨询有限公司</w:t>
      </w:r>
    </w:p>
    <w:p>
      <w:pPr>
        <w:snapToGrid w:val="0"/>
        <w:spacing w:line="360" w:lineRule="auto"/>
        <w:ind w:firstLine="482" w:firstLineChars="200"/>
        <w:rPr>
          <w:rFonts w:ascii="宋体" w:hAnsi="宋体" w:cs="宋体"/>
          <w:bCs/>
          <w:sz w:val="24"/>
        </w:rPr>
      </w:pPr>
      <w:r>
        <w:rPr>
          <w:rFonts w:hint="eastAsia" w:ascii="宋体" w:hAnsi="宋体" w:cs="宋体"/>
          <w:b/>
          <w:sz w:val="24"/>
        </w:rPr>
        <w:t>通讯地址：</w:t>
      </w:r>
      <w:r>
        <w:rPr>
          <w:rFonts w:hint="eastAsia" w:ascii="宋体" w:hAnsi="宋体" w:cs="宋体"/>
          <w:bCs/>
          <w:sz w:val="24"/>
        </w:rPr>
        <w:t>成都市武侯区环球中心E5区1502-1508号</w:t>
      </w:r>
    </w:p>
    <w:p>
      <w:pPr>
        <w:snapToGrid w:val="0"/>
        <w:spacing w:line="360" w:lineRule="auto"/>
        <w:ind w:firstLine="482" w:firstLineChars="200"/>
        <w:rPr>
          <w:rFonts w:ascii="宋体" w:hAnsi="宋体" w:cs="宋体"/>
          <w:bCs/>
          <w:sz w:val="24"/>
        </w:rPr>
      </w:pPr>
      <w:r>
        <w:rPr>
          <w:rFonts w:hint="eastAsia" w:ascii="宋体" w:hAnsi="宋体" w:cs="宋体"/>
          <w:b/>
          <w:sz w:val="24"/>
        </w:rPr>
        <w:t>联 系 人：</w:t>
      </w:r>
      <w:r>
        <w:rPr>
          <w:rFonts w:hint="eastAsia" w:ascii="宋体" w:hAnsi="宋体" w:cs="宋体"/>
          <w:bCs/>
          <w:sz w:val="24"/>
        </w:rPr>
        <w:t>张女士</w:t>
      </w:r>
    </w:p>
    <w:p>
      <w:pPr>
        <w:snapToGrid w:val="0"/>
        <w:spacing w:line="360" w:lineRule="auto"/>
        <w:ind w:firstLine="482" w:firstLineChars="200"/>
        <w:rPr>
          <w:rFonts w:hint="eastAsia" w:ascii="宋体" w:hAnsi="宋体" w:cs="宋体"/>
          <w:bCs/>
          <w:sz w:val="24"/>
        </w:rPr>
      </w:pPr>
      <w:r>
        <w:rPr>
          <w:rFonts w:hint="eastAsia" w:ascii="宋体" w:hAnsi="宋体" w:cs="宋体"/>
          <w:b/>
          <w:sz w:val="24"/>
        </w:rPr>
        <w:t>联系电话：</w:t>
      </w:r>
      <w:r>
        <w:rPr>
          <w:rFonts w:hint="eastAsia" w:ascii="宋体" w:hAnsi="宋体" w:cs="宋体"/>
          <w:bCs/>
          <w:sz w:val="24"/>
        </w:rPr>
        <w:t>028-86026626</w:t>
      </w: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Pr>
        <w:rPr>
          <w:rFonts w:hint="eastAsia" w:ascii="宋体" w:hAnsi="宋体" w:cs="宋体"/>
          <w:bCs/>
          <w:sz w:val="24"/>
        </w:rPr>
      </w:pPr>
    </w:p>
    <w:p>
      <w:pPr>
        <w:pStyle w:val="2"/>
        <w:rPr>
          <w:rFonts w:hint="eastAsia" w:ascii="宋体" w:hAnsi="宋体" w:cs="宋体"/>
          <w:bCs/>
          <w:sz w:val="24"/>
        </w:rPr>
      </w:pPr>
    </w:p>
    <w:p/>
    <w:p>
      <w:pPr>
        <w:pStyle w:val="27"/>
        <w:spacing w:before="240" w:beforeLines="100" w:after="240" w:afterLines="100"/>
        <w:ind w:firstLine="0" w:firstLineChars="0"/>
        <w:jc w:val="center"/>
        <w:rPr>
          <w:rFonts w:ascii="宋体" w:hAnsi="宋体" w:cs="宋体"/>
          <w:b/>
          <w:bCs/>
          <w:sz w:val="32"/>
          <w:szCs w:val="32"/>
        </w:rPr>
      </w:pPr>
      <w:bookmarkStart w:id="16" w:name="_Toc9319"/>
      <w:bookmarkStart w:id="17" w:name="_Toc213496267"/>
      <w:bookmarkStart w:id="18" w:name="_Toc213397009"/>
      <w:bookmarkStart w:id="19" w:name="_Toc213396759"/>
      <w:bookmarkStart w:id="20" w:name="_Toc213396945"/>
      <w:bookmarkStart w:id="21" w:name="_Toc217446031"/>
    </w:p>
    <w:p>
      <w:pPr>
        <w:pStyle w:val="27"/>
        <w:spacing w:before="240" w:beforeLines="100" w:after="240" w:afterLines="100"/>
        <w:ind w:firstLine="0" w:firstLineChars="0"/>
        <w:jc w:val="center"/>
        <w:outlineLvl w:val="0"/>
        <w:rPr>
          <w:rFonts w:ascii="宋体" w:hAnsi="宋体" w:cs="宋体"/>
          <w:b/>
          <w:bCs/>
          <w:sz w:val="32"/>
          <w:szCs w:val="32"/>
        </w:rPr>
      </w:pPr>
      <w:r>
        <w:rPr>
          <w:rFonts w:hint="eastAsia" w:ascii="宋体" w:hAnsi="宋体" w:cs="宋体"/>
          <w:b/>
          <w:bCs/>
          <w:sz w:val="32"/>
          <w:szCs w:val="32"/>
        </w:rPr>
        <w:t>第二章 供应商须知</w:t>
      </w:r>
      <w:bookmarkEnd w:id="16"/>
      <w:bookmarkEnd w:id="17"/>
      <w:bookmarkEnd w:id="18"/>
      <w:bookmarkEnd w:id="19"/>
      <w:bookmarkEnd w:id="20"/>
      <w:bookmarkEnd w:id="21"/>
    </w:p>
    <w:p>
      <w:pPr>
        <w:spacing w:line="360" w:lineRule="auto"/>
        <w:jc w:val="center"/>
        <w:outlineLvl w:val="1"/>
        <w:rPr>
          <w:rFonts w:ascii="宋体" w:hAnsi="宋体" w:cs="宋体"/>
          <w:b/>
          <w:bCs/>
          <w:sz w:val="28"/>
          <w:szCs w:val="36"/>
        </w:rPr>
      </w:pPr>
      <w:bookmarkStart w:id="22" w:name="_Toc213496268"/>
      <w:bookmarkStart w:id="23" w:name="_Toc213396946"/>
      <w:bookmarkStart w:id="24" w:name="_Toc189727030"/>
      <w:bookmarkStart w:id="25" w:name="_Toc3363"/>
      <w:bookmarkStart w:id="26" w:name="_Toc32393"/>
      <w:bookmarkStart w:id="27" w:name="_Toc29200"/>
      <w:bookmarkStart w:id="28" w:name="_Toc213396760"/>
      <w:bookmarkStart w:id="29" w:name="_Toc28062"/>
      <w:bookmarkStart w:id="30" w:name="_Toc213397010"/>
      <w:bookmarkStart w:id="31" w:name="_Toc10616"/>
      <w:bookmarkStart w:id="32" w:name="_Toc217446032"/>
      <w:bookmarkStart w:id="33" w:name="_Toc16870"/>
      <w:r>
        <w:rPr>
          <w:rFonts w:hint="eastAsia" w:ascii="宋体" w:hAnsi="宋体" w:cs="宋体"/>
          <w:b/>
          <w:bCs/>
          <w:sz w:val="28"/>
          <w:szCs w:val="36"/>
        </w:rPr>
        <w:t>一、供应商须知附表</w:t>
      </w:r>
      <w:bookmarkEnd w:id="22"/>
      <w:bookmarkEnd w:id="23"/>
      <w:bookmarkEnd w:id="24"/>
      <w:bookmarkEnd w:id="25"/>
      <w:bookmarkEnd w:id="26"/>
      <w:bookmarkEnd w:id="27"/>
      <w:bookmarkEnd w:id="28"/>
      <w:bookmarkEnd w:id="29"/>
      <w:bookmarkEnd w:id="30"/>
      <w:bookmarkEnd w:id="31"/>
      <w:bookmarkEnd w:id="32"/>
      <w:bookmarkEnd w:id="33"/>
    </w:p>
    <w:tbl>
      <w:tblPr>
        <w:tblStyle w:val="21"/>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07"/>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14" w:type="pct"/>
            <w:vAlign w:val="center"/>
          </w:tcPr>
          <w:p>
            <w:pPr>
              <w:pStyle w:val="40"/>
              <w:adjustRightInd w:val="0"/>
              <w:spacing w:line="360" w:lineRule="auto"/>
              <w:jc w:val="center"/>
              <w:textAlignment w:val="auto"/>
              <w:rPr>
                <w:b/>
                <w:bCs/>
                <w:szCs w:val="21"/>
                <w:lang w:val="en-US"/>
              </w:rPr>
            </w:pPr>
            <w:bookmarkStart w:id="34" w:name="_Toc2365"/>
            <w:bookmarkStart w:id="35" w:name="_Toc10375"/>
            <w:bookmarkStart w:id="36" w:name="_Toc18396"/>
            <w:r>
              <w:rPr>
                <w:rFonts w:hint="eastAsia"/>
                <w:b/>
                <w:bCs/>
                <w:szCs w:val="21"/>
                <w:lang w:val="en-US"/>
              </w:rPr>
              <w:t>序号</w:t>
            </w:r>
          </w:p>
        </w:tc>
        <w:tc>
          <w:tcPr>
            <w:tcW w:w="1083" w:type="pct"/>
            <w:vAlign w:val="center"/>
          </w:tcPr>
          <w:p>
            <w:pPr>
              <w:pStyle w:val="40"/>
              <w:adjustRightInd/>
              <w:spacing w:line="360" w:lineRule="auto"/>
              <w:jc w:val="center"/>
              <w:textAlignment w:val="auto"/>
              <w:rPr>
                <w:b/>
                <w:bCs/>
                <w:szCs w:val="21"/>
              </w:rPr>
            </w:pPr>
            <w:r>
              <w:rPr>
                <w:rFonts w:hint="eastAsia"/>
                <w:b/>
                <w:bCs/>
                <w:szCs w:val="21"/>
              </w:rPr>
              <w:t>条款名称</w:t>
            </w:r>
          </w:p>
        </w:tc>
        <w:tc>
          <w:tcPr>
            <w:tcW w:w="3502" w:type="pct"/>
            <w:vAlign w:val="center"/>
          </w:tcPr>
          <w:p>
            <w:pPr>
              <w:pStyle w:val="40"/>
              <w:adjustRightInd/>
              <w:spacing w:line="360" w:lineRule="auto"/>
              <w:jc w:val="center"/>
              <w:textAlignment w:val="auto"/>
              <w:rPr>
                <w:b/>
                <w:bCs/>
                <w:szCs w:val="21"/>
              </w:rPr>
            </w:pPr>
            <w:r>
              <w:rPr>
                <w:rFonts w:hint="eastAsia"/>
                <w:b/>
                <w:bCs/>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4" w:type="pct"/>
            <w:vAlign w:val="center"/>
          </w:tcPr>
          <w:p>
            <w:pPr>
              <w:pStyle w:val="40"/>
              <w:adjustRightInd w:val="0"/>
              <w:spacing w:line="360" w:lineRule="auto"/>
              <w:jc w:val="center"/>
              <w:textAlignment w:val="auto"/>
              <w:rPr>
                <w:szCs w:val="21"/>
              </w:rPr>
            </w:pPr>
          </w:p>
          <w:p>
            <w:pPr>
              <w:pStyle w:val="40"/>
              <w:adjustRightInd w:val="0"/>
              <w:spacing w:line="360" w:lineRule="auto"/>
              <w:jc w:val="center"/>
              <w:textAlignment w:val="auto"/>
              <w:rPr>
                <w:szCs w:val="21"/>
              </w:rPr>
            </w:pPr>
            <w:r>
              <w:rPr>
                <w:rFonts w:hint="eastAsia"/>
                <w:szCs w:val="21"/>
              </w:rPr>
              <w:t>1</w:t>
            </w:r>
          </w:p>
        </w:tc>
        <w:tc>
          <w:tcPr>
            <w:tcW w:w="1083" w:type="pct"/>
            <w:vAlign w:val="center"/>
          </w:tcPr>
          <w:p>
            <w:pPr>
              <w:pStyle w:val="40"/>
              <w:adjustRightInd/>
              <w:spacing w:line="360" w:lineRule="auto"/>
              <w:jc w:val="center"/>
              <w:textAlignment w:val="auto"/>
              <w:rPr>
                <w:b/>
                <w:szCs w:val="21"/>
              </w:rPr>
            </w:pPr>
            <w:r>
              <w:rPr>
                <w:rFonts w:hint="eastAsia"/>
                <w:b/>
                <w:szCs w:val="21"/>
              </w:rPr>
              <w:t>采购预算</w:t>
            </w:r>
          </w:p>
          <w:p>
            <w:pPr>
              <w:pStyle w:val="40"/>
              <w:adjustRightInd/>
              <w:spacing w:line="360" w:lineRule="auto"/>
              <w:jc w:val="center"/>
              <w:textAlignment w:val="auto"/>
              <w:rPr>
                <w:b/>
                <w:szCs w:val="21"/>
              </w:rPr>
            </w:pPr>
            <w:r>
              <w:rPr>
                <w:rFonts w:hint="eastAsia"/>
                <w:b/>
                <w:szCs w:val="21"/>
              </w:rPr>
              <w:t>（实质性要求）</w:t>
            </w:r>
          </w:p>
        </w:tc>
        <w:tc>
          <w:tcPr>
            <w:tcW w:w="3502" w:type="pct"/>
            <w:vAlign w:val="center"/>
          </w:tcPr>
          <w:p>
            <w:pPr>
              <w:pStyle w:val="40"/>
              <w:adjustRightInd/>
              <w:spacing w:line="360" w:lineRule="auto"/>
              <w:textAlignment w:val="auto"/>
              <w:rPr>
                <w:rFonts w:hint="eastAsia" w:eastAsia="宋体"/>
                <w:b/>
                <w:color w:val="000000" w:themeColor="text1"/>
                <w:szCs w:val="21"/>
                <w:highlight w:val="none"/>
                <w:lang w:eastAsia="zh-CN"/>
                <w14:textFill>
                  <w14:solidFill>
                    <w14:schemeClr w14:val="tx1"/>
                  </w14:solidFill>
                </w14:textFill>
              </w:rPr>
            </w:pPr>
            <w:r>
              <w:rPr>
                <w:rFonts w:hint="eastAsia"/>
                <w:b/>
                <w:color w:val="000000" w:themeColor="text1"/>
                <w:szCs w:val="21"/>
                <w:highlight w:val="none"/>
                <w14:textFill>
                  <w14:solidFill>
                    <w14:schemeClr w14:val="tx1"/>
                  </w14:solidFill>
                </w14:textFill>
              </w:rPr>
              <w:t>采购预算</w:t>
            </w:r>
            <w:r>
              <w:rPr>
                <w:rFonts w:hint="eastAsia" w:ascii="宋体" w:hAnsi="宋体" w:eastAsia="宋体"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采</w:t>
            </w:r>
            <w:r>
              <w:rPr>
                <w:rFonts w:hint="eastAsia" w:ascii="宋体" w:hAnsi="宋体" w:eastAsia="宋体" w:cs="宋体"/>
                <w:color w:val="000000" w:themeColor="text1"/>
                <w:szCs w:val="21"/>
                <w:highlight w:val="none"/>
                <w:lang w:val="en-US" w:eastAsia="zh-CN"/>
                <w14:textFill>
                  <w14:solidFill>
                    <w14:schemeClr w14:val="tx1"/>
                  </w14:solidFill>
                </w14:textFill>
              </w:rPr>
              <w:t>购预算</w:t>
            </w:r>
            <w:r>
              <w:rPr>
                <w:rFonts w:hint="eastAsia"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20532938.</w:t>
            </w:r>
            <w:r>
              <w:rPr>
                <w:rFonts w:hint="eastAsia" w:ascii="宋体" w:hAnsi="宋体" w:eastAsia="宋体" w:cs="宋体"/>
                <w:color w:val="000000" w:themeColor="text1"/>
                <w:szCs w:val="2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元/年，本项目一招管2年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合同一年一签</w:t>
            </w:r>
            <w:r>
              <w:rPr>
                <w:rFonts w:hint="eastAsia" w:ascii="宋体" w:hAnsi="宋体" w:eastAsia="宋体" w:cs="宋体"/>
                <w:color w:val="000000" w:themeColor="text1"/>
                <w:szCs w:val="21"/>
                <w:highlight w:val="none"/>
                <w14:textFill>
                  <w14:solidFill>
                    <w14:schemeClr w14:val="tx1"/>
                  </w14:solidFill>
                </w14:textFill>
              </w:rPr>
              <w:t>。</w:t>
            </w:r>
          </w:p>
          <w:p>
            <w:pPr>
              <w:pStyle w:val="40"/>
              <w:adjustRightInd/>
              <w:spacing w:line="360" w:lineRule="auto"/>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超过采购预算的投标为无效投标。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414" w:type="pct"/>
            <w:vAlign w:val="center"/>
          </w:tcPr>
          <w:p>
            <w:pPr>
              <w:pStyle w:val="40"/>
              <w:adjustRightInd w:val="0"/>
              <w:spacing w:line="360" w:lineRule="auto"/>
              <w:jc w:val="center"/>
              <w:textAlignment w:val="auto"/>
              <w:rPr>
                <w:szCs w:val="21"/>
              </w:rPr>
            </w:pPr>
            <w:r>
              <w:rPr>
                <w:rFonts w:hint="eastAsia"/>
                <w:szCs w:val="21"/>
                <w:lang w:val="en-US"/>
              </w:rPr>
              <w:t>2</w:t>
            </w:r>
          </w:p>
        </w:tc>
        <w:tc>
          <w:tcPr>
            <w:tcW w:w="1083" w:type="pct"/>
            <w:vAlign w:val="center"/>
          </w:tcPr>
          <w:p>
            <w:pPr>
              <w:pStyle w:val="28"/>
              <w:spacing w:line="360" w:lineRule="auto"/>
              <w:jc w:val="center"/>
              <w:textAlignment w:val="auto"/>
              <w:rPr>
                <w:b/>
                <w:kern w:val="2"/>
                <w:sz w:val="21"/>
                <w:szCs w:val="21"/>
              </w:rPr>
            </w:pPr>
            <w:r>
              <w:rPr>
                <w:rFonts w:hint="eastAsia"/>
                <w:b/>
                <w:kern w:val="2"/>
                <w:sz w:val="21"/>
                <w:szCs w:val="21"/>
              </w:rPr>
              <w:t>最高限价</w:t>
            </w:r>
          </w:p>
          <w:p>
            <w:pPr>
              <w:pStyle w:val="28"/>
              <w:spacing w:line="360" w:lineRule="auto"/>
              <w:jc w:val="center"/>
              <w:textAlignment w:val="auto"/>
              <w:rPr>
                <w:b/>
                <w:sz w:val="21"/>
                <w:szCs w:val="21"/>
              </w:rPr>
            </w:pPr>
            <w:r>
              <w:rPr>
                <w:rFonts w:hint="eastAsia"/>
                <w:b/>
                <w:sz w:val="21"/>
                <w:szCs w:val="21"/>
              </w:rPr>
              <w:t>（实质性要求）</w:t>
            </w:r>
          </w:p>
        </w:tc>
        <w:tc>
          <w:tcPr>
            <w:tcW w:w="3502" w:type="pct"/>
            <w:vAlign w:val="center"/>
          </w:tcPr>
          <w:p>
            <w:pPr>
              <w:pStyle w:val="40"/>
              <w:adjustRightInd/>
              <w:spacing w:line="360" w:lineRule="auto"/>
              <w:textAlignment w:val="auto"/>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b/>
                <w:color w:val="000000" w:themeColor="text1"/>
                <w:szCs w:val="21"/>
                <w:highlight w:val="none"/>
                <w:lang w:val="en-US"/>
                <w14:textFill>
                  <w14:solidFill>
                    <w14:schemeClr w14:val="tx1"/>
                  </w14:solidFill>
                </w14:textFill>
              </w:rPr>
              <w:t>最高限价</w:t>
            </w:r>
            <w:r>
              <w:rPr>
                <w:rFonts w:hint="eastAsia"/>
                <w:b/>
                <w:color w:val="000000" w:themeColor="text1"/>
                <w:szCs w:val="21"/>
                <w:highlight w:val="none"/>
                <w14:textFill>
                  <w14:solidFill>
                    <w14:schemeClr w14:val="tx1"/>
                  </w14:solidFill>
                </w14:textFill>
              </w:rPr>
              <w:t>：</w:t>
            </w:r>
            <w:r>
              <w:rPr>
                <w:rFonts w:hint="eastAsia"/>
                <w:b w:val="0"/>
                <w:bCs/>
                <w:color w:val="000000" w:themeColor="text1"/>
                <w:szCs w:val="21"/>
                <w:highlight w:val="none"/>
                <w:lang w:val="en-US"/>
                <w14:textFill>
                  <w14:solidFill>
                    <w14:schemeClr w14:val="tx1"/>
                  </w14:solidFill>
                </w14:textFill>
              </w:rPr>
              <w:t>最高限价</w:t>
            </w:r>
            <w:r>
              <w:rPr>
                <w:rFonts w:hint="eastAsia" w:ascii="宋体" w:hAnsi="宋体" w:cs="宋体"/>
                <w:bCs/>
                <w:sz w:val="21"/>
                <w:szCs w:val="21"/>
                <w:highlight w:val="none"/>
              </w:rPr>
              <w:t>为20532938.</w:t>
            </w:r>
            <w:r>
              <w:rPr>
                <w:rFonts w:hint="eastAsia" w:cs="宋体"/>
                <w:bCs/>
                <w:sz w:val="21"/>
                <w:szCs w:val="21"/>
                <w:highlight w:val="none"/>
                <w:lang w:val="en-US" w:eastAsia="zh-CN"/>
              </w:rPr>
              <w:t>00</w:t>
            </w:r>
            <w:r>
              <w:rPr>
                <w:rFonts w:hint="eastAsia" w:ascii="宋体" w:hAnsi="宋体" w:cs="宋体"/>
                <w:bCs/>
                <w:sz w:val="21"/>
                <w:szCs w:val="21"/>
                <w:highlight w:val="none"/>
              </w:rPr>
              <w:t>元/年，本项目一招管2年</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合同一年一签</w:t>
            </w:r>
            <w:r>
              <w:rPr>
                <w:rFonts w:hint="eastAsia" w:ascii="宋体" w:hAnsi="宋体" w:cs="宋体"/>
                <w:bCs/>
                <w:sz w:val="21"/>
                <w:szCs w:val="21"/>
                <w:highlight w:val="none"/>
              </w:rPr>
              <w:t>。</w:t>
            </w:r>
          </w:p>
          <w:p>
            <w:pPr>
              <w:pStyle w:val="28"/>
              <w:spacing w:line="360" w:lineRule="auto"/>
              <w:jc w:val="both"/>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投标总报价超过最高限价的投标文件作无效处理。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3</w:t>
            </w:r>
          </w:p>
        </w:tc>
        <w:tc>
          <w:tcPr>
            <w:tcW w:w="1083" w:type="pct"/>
            <w:vAlign w:val="center"/>
          </w:tcPr>
          <w:p>
            <w:pPr>
              <w:pStyle w:val="40"/>
              <w:adjustRightInd w:val="0"/>
              <w:spacing w:line="360" w:lineRule="auto"/>
              <w:jc w:val="center"/>
              <w:textAlignment w:val="baseline"/>
              <w:rPr>
                <w:b/>
                <w:szCs w:val="21"/>
                <w:lang w:val="en-US"/>
              </w:rPr>
            </w:pPr>
            <w:r>
              <w:rPr>
                <w:rFonts w:hint="eastAsia"/>
                <w:b/>
                <w:szCs w:val="21"/>
                <w:lang w:val="en-US"/>
              </w:rPr>
              <w:t>采购方式</w:t>
            </w:r>
          </w:p>
        </w:tc>
        <w:tc>
          <w:tcPr>
            <w:tcW w:w="3502" w:type="pct"/>
            <w:vAlign w:val="center"/>
          </w:tcPr>
          <w:p>
            <w:pPr>
              <w:pStyle w:val="40"/>
              <w:adjustRightInd w:val="0"/>
              <w:spacing w:line="360" w:lineRule="auto"/>
              <w:textAlignment w:val="baseline"/>
              <w:rPr>
                <w:szCs w:val="21"/>
                <w:lang w:val="en-US"/>
              </w:rPr>
            </w:pPr>
            <w:r>
              <w:rPr>
                <w:rFonts w:hint="eastAsia"/>
                <w:szCs w:val="21"/>
                <w:lang w:val="en-US"/>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4</w:t>
            </w:r>
          </w:p>
        </w:tc>
        <w:tc>
          <w:tcPr>
            <w:tcW w:w="1083" w:type="pct"/>
            <w:vAlign w:val="center"/>
          </w:tcPr>
          <w:p>
            <w:pPr>
              <w:pStyle w:val="40"/>
              <w:adjustRightInd w:val="0"/>
              <w:spacing w:line="360" w:lineRule="auto"/>
              <w:jc w:val="center"/>
              <w:textAlignment w:val="baseline"/>
              <w:rPr>
                <w:b/>
                <w:szCs w:val="21"/>
                <w:lang w:val="en-US"/>
              </w:rPr>
            </w:pPr>
            <w:r>
              <w:rPr>
                <w:rFonts w:hint="eastAsia"/>
                <w:b/>
                <w:szCs w:val="21"/>
                <w:lang w:val="en-US"/>
              </w:rPr>
              <w:t>评标办法</w:t>
            </w:r>
          </w:p>
        </w:tc>
        <w:tc>
          <w:tcPr>
            <w:tcW w:w="3502" w:type="pct"/>
            <w:vAlign w:val="center"/>
          </w:tcPr>
          <w:p>
            <w:pPr>
              <w:pStyle w:val="40"/>
              <w:adjustRightInd w:val="0"/>
              <w:spacing w:line="360" w:lineRule="auto"/>
              <w:textAlignment w:val="baseline"/>
              <w:rPr>
                <w:szCs w:val="21"/>
                <w:lang w:val="en-US"/>
              </w:rPr>
            </w:pPr>
            <w:r>
              <w:rPr>
                <w:rFonts w:hint="eastAsia"/>
                <w:szCs w:val="21"/>
                <w:lang w:val="en-US"/>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exac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5</w:t>
            </w:r>
          </w:p>
        </w:tc>
        <w:tc>
          <w:tcPr>
            <w:tcW w:w="1083" w:type="pct"/>
            <w:vAlign w:val="center"/>
          </w:tcPr>
          <w:p>
            <w:pPr>
              <w:pStyle w:val="40"/>
              <w:adjustRightInd w:val="0"/>
              <w:spacing w:line="360" w:lineRule="auto"/>
              <w:jc w:val="center"/>
              <w:textAlignment w:val="baseline"/>
              <w:rPr>
                <w:b/>
                <w:szCs w:val="21"/>
              </w:rPr>
            </w:pPr>
            <w:r>
              <w:rPr>
                <w:rFonts w:hint="eastAsia"/>
                <w:b/>
                <w:spacing w:val="-3"/>
                <w:szCs w:val="21"/>
              </w:rPr>
              <w:t>低于成本价不正当</w:t>
            </w:r>
            <w:r>
              <w:rPr>
                <w:rFonts w:hint="eastAsia"/>
                <w:b/>
                <w:szCs w:val="21"/>
              </w:rPr>
              <w:t>竞争预防措施</w:t>
            </w:r>
          </w:p>
          <w:p>
            <w:pPr>
              <w:pStyle w:val="40"/>
              <w:adjustRightInd w:val="0"/>
              <w:spacing w:line="360" w:lineRule="auto"/>
              <w:jc w:val="center"/>
              <w:textAlignment w:val="baseline"/>
              <w:rPr>
                <w:b/>
                <w:szCs w:val="21"/>
              </w:rPr>
            </w:pPr>
            <w:r>
              <w:rPr>
                <w:rFonts w:hint="eastAsia"/>
                <w:b/>
                <w:szCs w:val="21"/>
              </w:rPr>
              <w:t>（实质性要求）</w:t>
            </w:r>
          </w:p>
        </w:tc>
        <w:tc>
          <w:tcPr>
            <w:tcW w:w="3502" w:type="pct"/>
          </w:tcPr>
          <w:p>
            <w:pPr>
              <w:pStyle w:val="40"/>
              <w:adjustRightInd w:val="0"/>
              <w:spacing w:line="360" w:lineRule="auto"/>
              <w:textAlignment w:val="baseline"/>
              <w:rPr>
                <w:szCs w:val="21"/>
              </w:rPr>
            </w:pPr>
            <w:r>
              <w:rPr>
                <w:rFonts w:hint="eastAsia"/>
                <w:szCs w:val="21"/>
              </w:rPr>
              <w:t>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有可能影响产品质量或者不能诚信履约的，评标委员会应当要求其在评标现场合理的时间内提供成本构成书面说明，并提交相关证明材料。</w:t>
            </w:r>
            <w:r>
              <w:rPr>
                <w:rFonts w:hint="eastAsia"/>
                <w:szCs w:val="21"/>
                <w:lang w:val="en-US"/>
              </w:rPr>
              <w:t>供应商</w:t>
            </w:r>
            <w:r>
              <w:rPr>
                <w:rFonts w:hint="eastAsia"/>
                <w:szCs w:val="21"/>
              </w:rPr>
              <w:t>书面说明应当按照国家财务会计制度的规定要求，逐项就供应商提供的货物的主营业务成本（应根据供应商企业类型予以区别）、税金及附加、管理费用、财务费用等成本构成事项详细陈述。</w:t>
            </w:r>
          </w:p>
          <w:p>
            <w:pPr>
              <w:pStyle w:val="40"/>
              <w:adjustRightInd w:val="0"/>
              <w:spacing w:line="360" w:lineRule="auto"/>
              <w:textAlignment w:val="baseline"/>
              <w:rPr>
                <w:szCs w:val="21"/>
              </w:rPr>
            </w:pPr>
            <w:r>
              <w:rPr>
                <w:rFonts w:hint="eastAsia"/>
                <w:szCs w:val="21"/>
              </w:rPr>
              <w:t>供应商书面说明应当加盖公章或者由其法定代表人或者代理人签字确认，否则无效。</w:t>
            </w:r>
          </w:p>
          <w:p>
            <w:pPr>
              <w:pStyle w:val="40"/>
              <w:adjustRightInd w:val="0"/>
              <w:spacing w:line="360" w:lineRule="auto"/>
              <w:textAlignment w:val="baseline"/>
              <w:rPr>
                <w:szCs w:val="21"/>
              </w:rPr>
            </w:pPr>
            <w:r>
              <w:rPr>
                <w:rFonts w:hint="eastAsia"/>
                <w:szCs w:val="21"/>
              </w:rPr>
              <w:t>供应商提供书面说明后，评标委员会应当结合采购项目采购需求、专业实际情况、供应商财务状况报告、与其他供应商比较情况等就供应商书面说明进行审查评价。供应商逾期提供、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9" w:hRule="exac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6</w:t>
            </w:r>
          </w:p>
        </w:tc>
        <w:tc>
          <w:tcPr>
            <w:tcW w:w="1083" w:type="pct"/>
            <w:vAlign w:val="center"/>
          </w:tcPr>
          <w:p>
            <w:pPr>
              <w:pStyle w:val="40"/>
              <w:adjustRightInd w:val="0"/>
              <w:spacing w:line="360" w:lineRule="auto"/>
              <w:jc w:val="center"/>
              <w:textAlignment w:val="baseline"/>
              <w:rPr>
                <w:b/>
                <w:szCs w:val="21"/>
              </w:rPr>
            </w:pPr>
            <w:r>
              <w:rPr>
                <w:rFonts w:hint="eastAsia"/>
                <w:b/>
                <w:szCs w:val="21"/>
              </w:rPr>
              <w:t>小微企业（监狱企业、残疾人福利性单位视同小微企业）价格扣除和失信企业扣分</w:t>
            </w:r>
          </w:p>
          <w:p>
            <w:pPr>
              <w:pStyle w:val="40"/>
              <w:adjustRightInd w:val="0"/>
              <w:spacing w:line="360" w:lineRule="auto"/>
              <w:jc w:val="center"/>
              <w:textAlignment w:val="baseline"/>
              <w:rPr>
                <w:bCs/>
                <w:szCs w:val="21"/>
              </w:rPr>
            </w:pPr>
            <w:r>
              <w:rPr>
                <w:rFonts w:hint="eastAsia"/>
                <w:b/>
                <w:szCs w:val="21"/>
              </w:rPr>
              <w:t>（实质性要求）</w:t>
            </w:r>
            <w:r>
              <w:rPr>
                <w:rFonts w:hint="eastAsia"/>
                <w:bCs/>
                <w:w w:val="99"/>
                <w:szCs w:val="21"/>
              </w:rPr>
              <w:t xml:space="preserve"> </w:t>
            </w:r>
          </w:p>
        </w:tc>
        <w:tc>
          <w:tcPr>
            <w:tcW w:w="3502" w:type="pct"/>
            <w:vAlign w:val="center"/>
          </w:tcPr>
          <w:p>
            <w:pPr>
              <w:adjustRightInd/>
              <w:spacing w:line="360" w:lineRule="auto"/>
              <w:textAlignment w:val="auto"/>
              <w:rPr>
                <w:rFonts w:ascii="宋体" w:hAnsi="宋体" w:cs="宋体"/>
                <w:color w:val="000000"/>
                <w:szCs w:val="21"/>
              </w:rPr>
            </w:pPr>
            <w:r>
              <w:rPr>
                <w:rFonts w:hint="eastAsia" w:ascii="宋体" w:hAnsi="宋体" w:cs="宋体"/>
                <w:color w:val="000000"/>
                <w:szCs w:val="21"/>
              </w:rPr>
              <w:t>1、小微企业（监狱企业、残疾人福利性单位视同小微企业）价格扣除</w:t>
            </w:r>
            <w:r>
              <w:rPr>
                <w:rFonts w:hint="eastAsia" w:hAnsi="宋体" w:cs="宋体"/>
                <w:color w:val="000000"/>
                <w:szCs w:val="21"/>
              </w:rPr>
              <w:t>。</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1.1、根据《政府采购促进中小企业发展管理办法》（财库[2020]46号）的规定，对小型和微型企业产品的价格给予10%的价格扣除，用扣除后的价格参与评标。</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1.2参加政府采购活动的中小企业应当提供《中小企业声明函》原件,监狱企业应当提供《监狱企业证明》原件,残疾人福利性单位应当提供《残疾人福利性单位声明函》原件。</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1.3本项目不接受联合体投标。</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 xml:space="preserve"> 注：本项属于政府采购服务类项目，参与投标的供应商为小型或微型企业的，按要求提供承诺函后，可享受报价“给予10%的价格扣除参与价格评审”的政策性评审优惠。</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2、失信企业报价扣分</w:t>
            </w:r>
          </w:p>
          <w:p>
            <w:pPr>
              <w:adjustRightInd/>
              <w:spacing w:line="360" w:lineRule="auto"/>
              <w:textAlignment w:val="auto"/>
              <w:rPr>
                <w:rFonts w:ascii="宋体" w:hAnsi="宋体" w:cs="宋体"/>
                <w:color w:val="000000"/>
                <w:szCs w:val="21"/>
              </w:rPr>
            </w:pPr>
            <w:r>
              <w:rPr>
                <w:rFonts w:hint="eastAsia" w:ascii="宋体" w:hAnsi="宋体" w:cs="宋体"/>
                <w:color w:val="000000"/>
                <w:szCs w:val="21"/>
              </w:rPr>
              <w:t>2.1对</w:t>
            </w:r>
            <w:r>
              <w:rPr>
                <w:rFonts w:hint="eastAsia" w:hAnsi="宋体" w:cs="宋体"/>
                <w:color w:val="000000"/>
                <w:szCs w:val="21"/>
              </w:rPr>
              <w:t>参照</w:t>
            </w:r>
            <w:r>
              <w:rPr>
                <w:rFonts w:hint="eastAsia" w:ascii="宋体" w:hAnsi="宋体" w:cs="宋体"/>
                <w:color w:val="000000"/>
                <w:szCs w:val="21"/>
              </w:rPr>
              <w:t>《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无效处理。</w:t>
            </w:r>
          </w:p>
          <w:p>
            <w:pPr>
              <w:pStyle w:val="40"/>
              <w:adjustRightInd w:val="0"/>
              <w:spacing w:line="360" w:lineRule="auto"/>
              <w:textAlignment w:val="baseline"/>
              <w:rPr>
                <w:szCs w:val="21"/>
                <w:highlight w:val="yellow"/>
              </w:rPr>
            </w:pPr>
            <w:r>
              <w:rPr>
                <w:rFonts w:hint="eastAsia" w:ascii="宋体" w:hAnsi="宋体" w:cs="宋体"/>
                <w:color w:val="000000"/>
                <w:szCs w:val="21"/>
              </w:rPr>
              <w:t>2.2</w:t>
            </w:r>
            <w:r>
              <w:rPr>
                <w:rFonts w:hint="eastAsia"/>
                <w:color w:val="000000"/>
                <w:szCs w:val="21"/>
              </w:rPr>
              <w:t>供应商参加政府采购活动时，应当就自己的诚信情况在投标文件中进行承诺。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exact"/>
          <w:jc w:val="center"/>
        </w:trPr>
        <w:tc>
          <w:tcPr>
            <w:tcW w:w="414" w:type="pct"/>
            <w:vAlign w:val="center"/>
          </w:tcPr>
          <w:p>
            <w:pPr>
              <w:pStyle w:val="40"/>
              <w:adjustRightInd w:val="0"/>
              <w:spacing w:line="360" w:lineRule="auto"/>
              <w:jc w:val="center"/>
              <w:textAlignment w:val="baseline"/>
              <w:rPr>
                <w:szCs w:val="21"/>
                <w:lang w:val="en-US"/>
              </w:rPr>
            </w:pPr>
            <w:r>
              <w:rPr>
                <w:rFonts w:hint="eastAsia"/>
                <w:color w:val="000000" w:themeColor="text1"/>
                <w:szCs w:val="21"/>
                <w:lang w:val="en-US"/>
                <w14:textFill>
                  <w14:solidFill>
                    <w14:schemeClr w14:val="tx1"/>
                  </w14:solidFill>
                </w14:textFill>
              </w:rPr>
              <w:t>7</w:t>
            </w:r>
          </w:p>
        </w:tc>
        <w:tc>
          <w:tcPr>
            <w:tcW w:w="1083" w:type="pct"/>
            <w:vAlign w:val="center"/>
          </w:tcPr>
          <w:p>
            <w:pPr>
              <w:pStyle w:val="40"/>
              <w:adjustRightInd w:val="0"/>
              <w:spacing w:line="360" w:lineRule="auto"/>
              <w:jc w:val="center"/>
              <w:textAlignment w:val="baseline"/>
              <w:rPr>
                <w:b/>
                <w:szCs w:val="21"/>
              </w:rPr>
            </w:pPr>
            <w:r>
              <w:rPr>
                <w:rFonts w:hint="eastAsia"/>
                <w:color w:val="000000" w:themeColor="text1"/>
                <w:szCs w:val="21"/>
                <w14:textFill>
                  <w14:solidFill>
                    <w14:schemeClr w14:val="tx1"/>
                  </w14:solidFill>
                </w14:textFill>
              </w:rPr>
              <w:t>节能、环保及无线局域网产品政府采购政策（如若有）</w:t>
            </w:r>
          </w:p>
        </w:tc>
        <w:tc>
          <w:tcPr>
            <w:tcW w:w="3502" w:type="pct"/>
            <w:vAlign w:val="center"/>
          </w:tcPr>
          <w:p>
            <w:pPr>
              <w:adjustRightInd w:val="0"/>
              <w:spacing w:line="336" w:lineRule="auto"/>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一、节能、环保产品政府采购政策：</w:t>
            </w:r>
          </w:p>
          <w:p>
            <w:pPr>
              <w:adjustRightInd w:val="0"/>
              <w:spacing w:line="336" w:lineRule="auto"/>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adjustRightInd w:val="0"/>
              <w:spacing w:line="336" w:lineRule="auto"/>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采购的产品属于品目清单强制采购范围的，供应商应当在投标文件中提供国家确定的认证机构的认证结果信息发布平台公布的该产品认证信息截图或者打印资料并加盖供应商公章（鲜章），否则其投标文件按无效处理。</w:t>
            </w:r>
          </w:p>
          <w:p>
            <w:pPr>
              <w:adjustRightInd w:val="0"/>
              <w:spacing w:line="336" w:lineRule="auto"/>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本项目采购的产品属于品目清单优先采购范围的，按照第七章《综合评分明细表》的规则进行加分。</w:t>
            </w:r>
          </w:p>
          <w:p>
            <w:pPr>
              <w:pStyle w:val="2"/>
            </w:pPr>
          </w:p>
          <w:p>
            <w:pPr>
              <w:pStyle w:val="2"/>
            </w:pPr>
          </w:p>
          <w:p>
            <w:pPr>
              <w:pStyle w:val="40"/>
              <w:adjustRightInd w:val="0"/>
              <w:spacing w:line="360" w:lineRule="auto"/>
              <w:textAlignment w:val="baseline"/>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exact"/>
          <w:jc w:val="center"/>
        </w:trPr>
        <w:tc>
          <w:tcPr>
            <w:tcW w:w="414" w:type="pct"/>
            <w:vAlign w:val="center"/>
          </w:tcPr>
          <w:p>
            <w:pPr>
              <w:pStyle w:val="40"/>
              <w:adjustRightInd w:val="0"/>
              <w:spacing w:line="360" w:lineRule="auto"/>
              <w:jc w:val="center"/>
              <w:textAlignment w:val="baseline"/>
              <w:rPr>
                <w:szCs w:val="21"/>
                <w:highlight w:val="yellow"/>
                <w:lang w:val="en-US"/>
              </w:rPr>
            </w:pPr>
          </w:p>
        </w:tc>
        <w:tc>
          <w:tcPr>
            <w:tcW w:w="1083" w:type="pct"/>
            <w:vAlign w:val="center"/>
          </w:tcPr>
          <w:p>
            <w:pPr>
              <w:pStyle w:val="28"/>
              <w:spacing w:line="360" w:lineRule="auto"/>
              <w:jc w:val="center"/>
              <w:textAlignment w:val="baseline"/>
              <w:rPr>
                <w:b/>
                <w:sz w:val="21"/>
                <w:szCs w:val="21"/>
                <w:highlight w:val="yellow"/>
              </w:rPr>
            </w:pPr>
          </w:p>
        </w:tc>
        <w:tc>
          <w:tcPr>
            <w:tcW w:w="3502" w:type="pct"/>
            <w:vAlign w:val="center"/>
          </w:tcPr>
          <w:p>
            <w:pPr>
              <w:adjustRightInd w:val="0"/>
              <w:spacing w:line="336" w:lineRule="auto"/>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adjustRightInd w:val="0"/>
              <w:spacing w:line="336" w:lineRule="auto"/>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二、无线局域网产品政府采购政策：</w:t>
            </w:r>
          </w:p>
          <w:p>
            <w:pPr>
              <w:adjustRightInd w:val="0"/>
              <w:spacing w:line="336" w:lineRule="auto"/>
              <w:textAlignment w:val="baseline"/>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本项目采购的产品属于中国政府采购网公布的《无线局域网认证产品政府采购清单》且在有效期内的，按照第七章《综合评分明细表》的规则进行加分。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14" w:type="pct"/>
          </w:tcPr>
          <w:p>
            <w:pPr>
              <w:pStyle w:val="40"/>
              <w:adjustRightInd w:val="0"/>
              <w:spacing w:line="360" w:lineRule="auto"/>
              <w:textAlignment w:val="baseline"/>
              <w:rPr>
                <w:b/>
                <w:szCs w:val="21"/>
              </w:rPr>
            </w:pPr>
          </w:p>
          <w:p>
            <w:pPr>
              <w:pStyle w:val="40"/>
              <w:adjustRightInd w:val="0"/>
              <w:spacing w:line="360" w:lineRule="auto"/>
              <w:jc w:val="center"/>
              <w:textAlignment w:val="baseline"/>
              <w:rPr>
                <w:szCs w:val="21"/>
                <w:lang w:val="en-US"/>
              </w:rPr>
            </w:pPr>
            <w:r>
              <w:rPr>
                <w:rFonts w:hint="eastAsia"/>
                <w:szCs w:val="21"/>
                <w:lang w:val="en-US"/>
              </w:rPr>
              <w:t>8</w:t>
            </w:r>
          </w:p>
        </w:tc>
        <w:tc>
          <w:tcPr>
            <w:tcW w:w="1083" w:type="pct"/>
          </w:tcPr>
          <w:p>
            <w:pPr>
              <w:pStyle w:val="40"/>
              <w:adjustRightInd w:val="0"/>
              <w:spacing w:line="360" w:lineRule="auto"/>
              <w:textAlignment w:val="auto"/>
              <w:rPr>
                <w:szCs w:val="21"/>
              </w:rPr>
            </w:pPr>
          </w:p>
          <w:p>
            <w:pPr>
              <w:pStyle w:val="40"/>
              <w:adjustRightInd w:val="0"/>
              <w:spacing w:line="360" w:lineRule="auto"/>
              <w:jc w:val="center"/>
              <w:textAlignment w:val="auto"/>
              <w:rPr>
                <w:szCs w:val="21"/>
              </w:rPr>
            </w:pPr>
            <w:r>
              <w:rPr>
                <w:rFonts w:hint="eastAsia"/>
                <w:szCs w:val="21"/>
              </w:rPr>
              <w:t>标准和规范</w:t>
            </w:r>
          </w:p>
        </w:tc>
        <w:tc>
          <w:tcPr>
            <w:tcW w:w="3502" w:type="pct"/>
            <w:vAlign w:val="center"/>
          </w:tcPr>
          <w:p>
            <w:pPr>
              <w:pStyle w:val="40"/>
              <w:adjustRightInd w:val="0"/>
              <w:spacing w:line="360" w:lineRule="auto"/>
              <w:textAlignment w:val="auto"/>
              <w:rPr>
                <w:szCs w:val="21"/>
              </w:rPr>
            </w:pPr>
            <w:r>
              <w:rPr>
                <w:rFonts w:hint="eastAsia"/>
                <w:szCs w:val="21"/>
              </w:rPr>
              <w:t>在招标文件中有未提及到的细节或招标文件中任何条款的叙</w:t>
            </w:r>
            <w:r>
              <w:rPr>
                <w:rFonts w:hint="eastAsia"/>
                <w:spacing w:val="-6"/>
                <w:szCs w:val="21"/>
              </w:rPr>
              <w:t>述中没有明确的规定的，都视为是指国家</w:t>
            </w:r>
            <w:r>
              <w:rPr>
                <w:rFonts w:hint="eastAsia"/>
                <w:szCs w:val="21"/>
              </w:rPr>
              <w:t>（或部颁行业</w:t>
            </w:r>
            <w:r>
              <w:rPr>
                <w:rFonts w:hint="eastAsia"/>
                <w:spacing w:val="-34"/>
                <w:szCs w:val="21"/>
              </w:rPr>
              <w:t>）</w:t>
            </w:r>
            <w:r>
              <w:rPr>
                <w:rFonts w:hint="eastAsia"/>
                <w:spacing w:val="-6"/>
                <w:szCs w:val="21"/>
              </w:rPr>
              <w:t>的标</w:t>
            </w:r>
            <w:r>
              <w:rPr>
                <w:rFonts w:hint="eastAsia"/>
                <w:szCs w:val="21"/>
              </w:rPr>
              <w:t>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9</w:t>
            </w:r>
          </w:p>
        </w:tc>
        <w:tc>
          <w:tcPr>
            <w:tcW w:w="1083" w:type="pct"/>
          </w:tcPr>
          <w:p>
            <w:pPr>
              <w:pStyle w:val="40"/>
              <w:adjustRightInd w:val="0"/>
              <w:spacing w:line="360" w:lineRule="auto"/>
              <w:textAlignment w:val="baseline"/>
              <w:rPr>
                <w:b/>
                <w:szCs w:val="21"/>
              </w:rPr>
            </w:pPr>
          </w:p>
          <w:p>
            <w:pPr>
              <w:pStyle w:val="40"/>
              <w:adjustRightInd w:val="0"/>
              <w:spacing w:line="360" w:lineRule="auto"/>
              <w:jc w:val="center"/>
              <w:textAlignment w:val="baseline"/>
              <w:rPr>
                <w:szCs w:val="21"/>
              </w:rPr>
            </w:pPr>
            <w:r>
              <w:rPr>
                <w:rFonts w:hint="eastAsia"/>
                <w:szCs w:val="21"/>
              </w:rPr>
              <w:t>评标情况公告</w:t>
            </w:r>
          </w:p>
        </w:tc>
        <w:tc>
          <w:tcPr>
            <w:tcW w:w="3502" w:type="pct"/>
            <w:vAlign w:val="center"/>
          </w:tcPr>
          <w:p>
            <w:pPr>
              <w:pStyle w:val="40"/>
              <w:adjustRightInd w:val="0"/>
              <w:spacing w:line="360" w:lineRule="auto"/>
              <w:textAlignment w:val="baseline"/>
              <w:rPr>
                <w:szCs w:val="21"/>
              </w:rPr>
            </w:pPr>
            <w:r>
              <w:rPr>
                <w:rFonts w:hint="eastAsia"/>
                <w:szCs w:val="21"/>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10</w:t>
            </w:r>
          </w:p>
        </w:tc>
        <w:tc>
          <w:tcPr>
            <w:tcW w:w="1083" w:type="pct"/>
            <w:vAlign w:val="center"/>
          </w:tcPr>
          <w:p>
            <w:pPr>
              <w:pStyle w:val="40"/>
              <w:adjustRightInd w:val="0"/>
              <w:spacing w:line="360" w:lineRule="auto"/>
              <w:jc w:val="center"/>
              <w:textAlignment w:val="baseline"/>
              <w:rPr>
                <w:szCs w:val="21"/>
              </w:rPr>
            </w:pPr>
            <w:r>
              <w:rPr>
                <w:rFonts w:hint="eastAsia"/>
                <w:szCs w:val="21"/>
              </w:rPr>
              <w:t>是否专门面向中小企业或小型、微型企业采购</w:t>
            </w:r>
          </w:p>
        </w:tc>
        <w:tc>
          <w:tcPr>
            <w:tcW w:w="3502" w:type="pct"/>
            <w:vAlign w:val="center"/>
          </w:tcPr>
          <w:p>
            <w:pPr>
              <w:pStyle w:val="40"/>
              <w:adjustRightInd w:val="0"/>
              <w:spacing w:line="360" w:lineRule="auto"/>
              <w:textAlignment w:val="baseline"/>
              <w:rPr>
                <w:szCs w:val="21"/>
              </w:rPr>
            </w:pPr>
            <w:r>
              <w:rPr>
                <w:rFonts w:hint="eastAsia"/>
                <w:szCs w:val="21"/>
                <w:lang w:val="en-US"/>
              </w:rPr>
              <w:t>否</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11</w:t>
            </w:r>
          </w:p>
        </w:tc>
        <w:tc>
          <w:tcPr>
            <w:tcW w:w="1083" w:type="pct"/>
            <w:vAlign w:val="center"/>
          </w:tcPr>
          <w:p>
            <w:pPr>
              <w:pStyle w:val="40"/>
              <w:adjustRightInd w:val="0"/>
              <w:spacing w:line="360" w:lineRule="auto"/>
              <w:jc w:val="center"/>
              <w:textAlignment w:val="baseline"/>
              <w:rPr>
                <w:b/>
                <w:bCs/>
                <w:szCs w:val="21"/>
              </w:rPr>
            </w:pPr>
            <w:r>
              <w:rPr>
                <w:rFonts w:hint="eastAsia"/>
                <w:b/>
                <w:bCs/>
                <w:szCs w:val="21"/>
              </w:rPr>
              <w:t>是否允许联合体投标</w:t>
            </w:r>
          </w:p>
          <w:p>
            <w:pPr>
              <w:pStyle w:val="40"/>
              <w:adjustRightInd w:val="0"/>
              <w:spacing w:line="360" w:lineRule="auto"/>
              <w:jc w:val="center"/>
              <w:textAlignment w:val="baseline"/>
              <w:rPr>
                <w:szCs w:val="21"/>
              </w:rPr>
            </w:pPr>
            <w:r>
              <w:rPr>
                <w:rFonts w:hint="eastAsia"/>
                <w:b/>
                <w:bCs/>
                <w:szCs w:val="21"/>
              </w:rPr>
              <w:t>（实质性要求）</w:t>
            </w:r>
          </w:p>
        </w:tc>
        <w:tc>
          <w:tcPr>
            <w:tcW w:w="3502" w:type="pct"/>
            <w:vAlign w:val="center"/>
          </w:tcPr>
          <w:p>
            <w:pPr>
              <w:pStyle w:val="40"/>
              <w:adjustRightInd w:val="0"/>
              <w:spacing w:line="360" w:lineRule="auto"/>
              <w:textAlignment w:val="baseline"/>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12</w:t>
            </w:r>
          </w:p>
        </w:tc>
        <w:tc>
          <w:tcPr>
            <w:tcW w:w="1083" w:type="pct"/>
            <w:vAlign w:val="center"/>
          </w:tcPr>
          <w:p>
            <w:pPr>
              <w:pStyle w:val="40"/>
              <w:adjustRightInd w:val="0"/>
              <w:spacing w:line="360" w:lineRule="auto"/>
              <w:jc w:val="center"/>
              <w:textAlignment w:val="baseline"/>
              <w:rPr>
                <w:szCs w:val="21"/>
              </w:rPr>
            </w:pPr>
            <w:r>
              <w:rPr>
                <w:rFonts w:hint="eastAsia"/>
                <w:szCs w:val="21"/>
              </w:rPr>
              <w:t>是否允许合同分包</w:t>
            </w:r>
          </w:p>
        </w:tc>
        <w:tc>
          <w:tcPr>
            <w:tcW w:w="3502" w:type="pct"/>
            <w:vAlign w:val="center"/>
          </w:tcPr>
          <w:p>
            <w:pPr>
              <w:pStyle w:val="40"/>
              <w:adjustRightInd w:val="0"/>
              <w:spacing w:line="360" w:lineRule="auto"/>
              <w:textAlignment w:val="baseline"/>
              <w:rPr>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13</w:t>
            </w:r>
          </w:p>
        </w:tc>
        <w:tc>
          <w:tcPr>
            <w:tcW w:w="1083" w:type="pct"/>
            <w:vAlign w:val="center"/>
          </w:tcPr>
          <w:p>
            <w:pPr>
              <w:pStyle w:val="40"/>
              <w:adjustRightInd w:val="0"/>
              <w:spacing w:line="360" w:lineRule="auto"/>
              <w:jc w:val="center"/>
              <w:textAlignment w:val="auto"/>
              <w:rPr>
                <w:b/>
                <w:szCs w:val="21"/>
              </w:rPr>
            </w:pPr>
            <w:r>
              <w:rPr>
                <w:rFonts w:hint="eastAsia"/>
                <w:b/>
                <w:szCs w:val="21"/>
              </w:rPr>
              <w:t>投标保证金</w:t>
            </w:r>
          </w:p>
          <w:p>
            <w:pPr>
              <w:pStyle w:val="40"/>
              <w:adjustRightInd w:val="0"/>
              <w:spacing w:line="360" w:lineRule="auto"/>
              <w:jc w:val="center"/>
              <w:textAlignment w:val="auto"/>
              <w:rPr>
                <w:b/>
                <w:w w:val="95"/>
                <w:szCs w:val="21"/>
              </w:rPr>
            </w:pPr>
            <w:r>
              <w:rPr>
                <w:rFonts w:hint="eastAsia"/>
                <w:b/>
                <w:szCs w:val="21"/>
              </w:rPr>
              <w:t>（实质性要求）</w:t>
            </w:r>
          </w:p>
        </w:tc>
        <w:tc>
          <w:tcPr>
            <w:tcW w:w="3502" w:type="pct"/>
            <w:vAlign w:val="center"/>
          </w:tcPr>
          <w:p>
            <w:pPr>
              <w:pStyle w:val="40"/>
              <w:adjustRightInd w:val="0"/>
              <w:spacing w:line="360" w:lineRule="auto"/>
              <w:textAlignment w:val="auto"/>
              <w:rPr>
                <w:szCs w:val="21"/>
              </w:rPr>
            </w:pPr>
            <w:r>
              <w:rPr>
                <w:rFonts w:hint="eastAsia"/>
                <w:szCs w:val="21"/>
              </w:rPr>
              <w:t>本项目不涉及投标保证金。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14</w:t>
            </w:r>
          </w:p>
        </w:tc>
        <w:tc>
          <w:tcPr>
            <w:tcW w:w="1083" w:type="pct"/>
            <w:vAlign w:val="center"/>
          </w:tcPr>
          <w:p>
            <w:pPr>
              <w:pStyle w:val="40"/>
              <w:adjustRightInd w:val="0"/>
              <w:spacing w:line="360" w:lineRule="auto"/>
              <w:jc w:val="center"/>
              <w:textAlignment w:val="auto"/>
              <w:rPr>
                <w:b/>
                <w:szCs w:val="21"/>
              </w:rPr>
            </w:pPr>
            <w:r>
              <w:rPr>
                <w:rFonts w:hint="eastAsia"/>
                <w:b/>
                <w:szCs w:val="21"/>
              </w:rPr>
              <w:t>履约保证金</w:t>
            </w:r>
          </w:p>
          <w:p>
            <w:pPr>
              <w:pStyle w:val="40"/>
              <w:adjustRightInd w:val="0"/>
              <w:spacing w:line="360" w:lineRule="auto"/>
              <w:jc w:val="center"/>
              <w:textAlignment w:val="auto"/>
              <w:rPr>
                <w:b/>
                <w:w w:val="95"/>
                <w:szCs w:val="21"/>
              </w:rPr>
            </w:pPr>
            <w:r>
              <w:rPr>
                <w:rFonts w:hint="eastAsia"/>
                <w:b/>
                <w:szCs w:val="21"/>
              </w:rPr>
              <w:t>（实质性要求）</w:t>
            </w:r>
          </w:p>
        </w:tc>
        <w:tc>
          <w:tcPr>
            <w:tcW w:w="3502" w:type="pct"/>
            <w:vAlign w:val="center"/>
          </w:tcPr>
          <w:p>
            <w:pPr>
              <w:pStyle w:val="28"/>
              <w:keepNext w:val="0"/>
              <w:keepLines w:val="0"/>
              <w:pageBreakBefore w:val="0"/>
              <w:widowControl w:val="0"/>
              <w:kinsoku/>
              <w:wordWrap/>
              <w:overflowPunct/>
              <w:topLinePunct w:val="0"/>
              <w:autoSpaceDE w:val="0"/>
              <w:autoSpaceDN w:val="0"/>
              <w:bidi w:val="0"/>
              <w:adjustRightInd w:val="0"/>
              <w:snapToGrid/>
              <w:spacing w:line="360" w:lineRule="auto"/>
              <w:ind w:left="0" w:leftChars="0"/>
              <w:jc w:val="both"/>
              <w:textAlignment w:val="auto"/>
              <w:rPr>
                <w:sz w:val="21"/>
                <w:szCs w:val="21"/>
                <w:lang w:val="zh-CN"/>
              </w:rPr>
            </w:pPr>
            <w:r>
              <w:rPr>
                <w:rFonts w:hint="eastAsia"/>
                <w:sz w:val="21"/>
                <w:szCs w:val="21"/>
                <w:lang w:val="zh-CN"/>
              </w:rPr>
              <w:t>金额：采购合同总金额的</w:t>
            </w:r>
            <w:r>
              <w:rPr>
                <w:rFonts w:hint="eastAsia"/>
                <w:sz w:val="21"/>
                <w:szCs w:val="21"/>
              </w:rPr>
              <w:t>10</w:t>
            </w:r>
            <w:r>
              <w:rPr>
                <w:rFonts w:hint="eastAsia"/>
                <w:sz w:val="21"/>
                <w:szCs w:val="21"/>
                <w:lang w:val="zh-CN"/>
              </w:rPr>
              <w:t>%（不超过10%）。</w:t>
            </w:r>
          </w:p>
          <w:p>
            <w:pPr>
              <w:pStyle w:val="28"/>
              <w:keepNext w:val="0"/>
              <w:keepLines w:val="0"/>
              <w:pageBreakBefore w:val="0"/>
              <w:widowControl w:val="0"/>
              <w:kinsoku/>
              <w:wordWrap/>
              <w:overflowPunct/>
              <w:topLinePunct w:val="0"/>
              <w:autoSpaceDE w:val="0"/>
              <w:autoSpaceDN w:val="0"/>
              <w:bidi w:val="0"/>
              <w:adjustRightInd w:val="0"/>
              <w:snapToGrid/>
              <w:spacing w:line="360" w:lineRule="auto"/>
              <w:ind w:left="0" w:leftChars="0"/>
              <w:jc w:val="both"/>
              <w:textAlignment w:val="auto"/>
              <w:rPr>
                <w:sz w:val="21"/>
                <w:szCs w:val="21"/>
                <w:lang w:val="zh-CN"/>
              </w:rPr>
            </w:pPr>
            <w:r>
              <w:rPr>
                <w:rFonts w:hint="eastAsia"/>
                <w:sz w:val="21"/>
                <w:szCs w:val="21"/>
                <w:lang w:val="zh-CN"/>
              </w:rPr>
              <w:t>交款方式：履约保证金可以以支票、汇票、本票或者金融机构出具的保函等非现金形式提交（包括网银转账，电汇等方式）。</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收款单位：合同约定。（履约保证金由采购人收取，采购代理机构不得代收）</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开户行：合同约定。</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银行账号：合同约定。</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交款时间：</w:t>
            </w:r>
            <w:r>
              <w:rPr>
                <w:rFonts w:hint="eastAsia"/>
                <w:sz w:val="21"/>
                <w:szCs w:val="21"/>
              </w:rPr>
              <w:t>中标</w:t>
            </w:r>
            <w:r>
              <w:rPr>
                <w:rFonts w:hint="eastAsia"/>
                <w:sz w:val="21"/>
                <w:szCs w:val="21"/>
                <w:lang w:val="zh-CN"/>
              </w:rPr>
              <w:t>通知书发放后，采购合同签订前。</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注：提供保函的的担保机构必须是依法成立的具有相关资质和偿付能力的担保机构。保函是银行等金融机构出具的，保函必须要在中国人民银行征信系统能够进行查询，否则将取消</w:t>
            </w:r>
            <w:r>
              <w:rPr>
                <w:rFonts w:hint="eastAsia"/>
                <w:sz w:val="21"/>
                <w:szCs w:val="21"/>
              </w:rPr>
              <w:t>中标</w:t>
            </w:r>
            <w:r>
              <w:rPr>
                <w:rFonts w:hint="eastAsia"/>
                <w:sz w:val="21"/>
                <w:szCs w:val="21"/>
                <w:lang w:val="zh-CN"/>
              </w:rPr>
              <w:t>资格，采购人将重新确定</w:t>
            </w:r>
            <w:r>
              <w:rPr>
                <w:rFonts w:hint="eastAsia"/>
                <w:sz w:val="21"/>
                <w:szCs w:val="21"/>
              </w:rPr>
              <w:t>中标人</w:t>
            </w:r>
            <w:r>
              <w:rPr>
                <w:rFonts w:hint="eastAsia"/>
                <w:sz w:val="21"/>
                <w:szCs w:val="21"/>
                <w:lang w:val="zh-CN"/>
              </w:rPr>
              <w:t>，并依法追究法律责任。</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履约保证金退还方式：合同约定。</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履约保证金退还时间：合同约定。</w:t>
            </w:r>
          </w:p>
          <w:p>
            <w:pPr>
              <w:pStyle w:val="28"/>
              <w:keepNext w:val="0"/>
              <w:keepLines w:val="0"/>
              <w:pageBreakBefore w:val="0"/>
              <w:widowControl w:val="0"/>
              <w:kinsoku/>
              <w:wordWrap/>
              <w:overflowPunct/>
              <w:topLinePunct w:val="0"/>
              <w:bidi w:val="0"/>
              <w:adjustRightInd w:val="0"/>
              <w:snapToGrid/>
              <w:spacing w:line="360" w:lineRule="auto"/>
              <w:ind w:left="0" w:leftChars="0"/>
              <w:jc w:val="both"/>
              <w:textAlignment w:val="auto"/>
              <w:rPr>
                <w:sz w:val="21"/>
                <w:szCs w:val="21"/>
                <w:lang w:val="zh-CN"/>
              </w:rPr>
            </w:pPr>
            <w:r>
              <w:rPr>
                <w:rFonts w:hint="eastAsia"/>
                <w:sz w:val="21"/>
                <w:szCs w:val="21"/>
                <w:lang w:val="zh-CN"/>
              </w:rPr>
              <w:t>履约保证金不予退还情形：合同约定。</w:t>
            </w:r>
          </w:p>
          <w:p>
            <w:pPr>
              <w:pStyle w:val="40"/>
              <w:keepNext w:val="0"/>
              <w:keepLines w:val="0"/>
              <w:pageBreakBefore w:val="0"/>
              <w:widowControl w:val="0"/>
              <w:kinsoku/>
              <w:wordWrap/>
              <w:overflowPunct/>
              <w:topLinePunct w:val="0"/>
              <w:bidi w:val="0"/>
              <w:adjustRightInd w:val="0"/>
              <w:snapToGrid/>
              <w:spacing w:line="360" w:lineRule="auto"/>
              <w:ind w:left="0" w:leftChars="0"/>
              <w:textAlignment w:val="auto"/>
              <w:rPr>
                <w:sz w:val="24"/>
                <w:lang w:val="en-US"/>
              </w:rPr>
            </w:pPr>
            <w:r>
              <w:rPr>
                <w:rFonts w:hint="eastAsia"/>
                <w:sz w:val="21"/>
                <w:szCs w:val="21"/>
              </w:rPr>
              <w:t>履约保证金不予退还的，将按照有关规定上缴国库。逾期退还履约保证金的，将依法承担法律责任，并赔偿供应商损失</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15</w:t>
            </w:r>
          </w:p>
        </w:tc>
        <w:tc>
          <w:tcPr>
            <w:tcW w:w="1083" w:type="pct"/>
            <w:vAlign w:val="center"/>
          </w:tcPr>
          <w:p>
            <w:pPr>
              <w:pStyle w:val="40"/>
              <w:adjustRightInd w:val="0"/>
              <w:spacing w:line="360" w:lineRule="auto"/>
              <w:jc w:val="center"/>
              <w:textAlignment w:val="auto"/>
              <w:rPr>
                <w:bCs/>
                <w:w w:val="95"/>
                <w:szCs w:val="21"/>
              </w:rPr>
            </w:pPr>
            <w:r>
              <w:rPr>
                <w:rFonts w:hint="eastAsia"/>
                <w:szCs w:val="21"/>
              </w:rPr>
              <w:t>构成招标文件的其他文件</w:t>
            </w:r>
          </w:p>
        </w:tc>
        <w:tc>
          <w:tcPr>
            <w:tcW w:w="3502" w:type="pct"/>
            <w:vAlign w:val="center"/>
          </w:tcPr>
          <w:p>
            <w:pPr>
              <w:pStyle w:val="40"/>
              <w:adjustRightInd w:val="0"/>
              <w:spacing w:line="360" w:lineRule="auto"/>
              <w:textAlignment w:val="auto"/>
              <w:rPr>
                <w:szCs w:val="21"/>
              </w:rPr>
            </w:pPr>
            <w:r>
              <w:rPr>
                <w:rFonts w:hint="eastAsia"/>
                <w:spacing w:val="-11"/>
                <w:szCs w:val="21"/>
              </w:rPr>
              <w:t>招标文件的澄清、修改书及有关补充通知为招标文件的有效组</w:t>
            </w:r>
            <w:r>
              <w:rPr>
                <w:rFonts w:hint="eastAsia"/>
                <w:szCs w:val="21"/>
              </w:rPr>
              <w:t>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16</w:t>
            </w:r>
          </w:p>
        </w:tc>
        <w:tc>
          <w:tcPr>
            <w:tcW w:w="1083" w:type="pct"/>
            <w:vAlign w:val="center"/>
          </w:tcPr>
          <w:p>
            <w:pPr>
              <w:pStyle w:val="40"/>
              <w:adjustRightInd w:val="0"/>
              <w:spacing w:line="360" w:lineRule="auto"/>
              <w:jc w:val="center"/>
              <w:textAlignment w:val="auto"/>
              <w:rPr>
                <w:b/>
                <w:bCs/>
                <w:szCs w:val="21"/>
              </w:rPr>
            </w:pPr>
            <w:r>
              <w:rPr>
                <w:rFonts w:hint="eastAsia"/>
                <w:b/>
                <w:bCs/>
                <w:szCs w:val="21"/>
              </w:rPr>
              <w:t>投标有效期</w:t>
            </w:r>
          </w:p>
          <w:p>
            <w:pPr>
              <w:pStyle w:val="40"/>
              <w:adjustRightInd w:val="0"/>
              <w:spacing w:line="360" w:lineRule="auto"/>
              <w:jc w:val="center"/>
              <w:textAlignment w:val="auto"/>
              <w:rPr>
                <w:bCs/>
                <w:szCs w:val="21"/>
              </w:rPr>
            </w:pPr>
            <w:r>
              <w:rPr>
                <w:rFonts w:hint="eastAsia"/>
                <w:b/>
                <w:bCs/>
                <w:szCs w:val="21"/>
              </w:rPr>
              <w:t>（实质性要求）</w:t>
            </w:r>
          </w:p>
        </w:tc>
        <w:tc>
          <w:tcPr>
            <w:tcW w:w="3502" w:type="pct"/>
            <w:vAlign w:val="center"/>
          </w:tcPr>
          <w:p>
            <w:pPr>
              <w:pStyle w:val="40"/>
              <w:adjustRightInd w:val="0"/>
              <w:spacing w:line="360" w:lineRule="auto"/>
              <w:textAlignment w:val="auto"/>
              <w:rPr>
                <w:szCs w:val="21"/>
              </w:rPr>
            </w:pPr>
            <w:r>
              <w:rPr>
                <w:rFonts w:hint="eastAsia"/>
                <w:color w:val="000000" w:themeColor="text1"/>
                <w:szCs w:val="21"/>
                <w14:textFill>
                  <w14:solidFill>
                    <w14:schemeClr w14:val="tx1"/>
                  </w14:solidFill>
                </w14:textFill>
              </w:rPr>
              <w:t>投标截止之日起</w:t>
            </w:r>
            <w:r>
              <w:rPr>
                <w:rFonts w:hint="eastAsia"/>
                <w:color w:val="000000" w:themeColor="text1"/>
                <w:szCs w:val="21"/>
                <w:lang w:val="en-US"/>
                <w14:textFill>
                  <w14:solidFill>
                    <w14:schemeClr w14:val="tx1"/>
                  </w14:solidFill>
                </w14:textFill>
              </w:rPr>
              <w:t>90</w:t>
            </w:r>
            <w:r>
              <w:rPr>
                <w:rFonts w:hint="eastAsia"/>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17</w:t>
            </w:r>
          </w:p>
        </w:tc>
        <w:tc>
          <w:tcPr>
            <w:tcW w:w="1083" w:type="pct"/>
            <w:vAlign w:val="center"/>
          </w:tcPr>
          <w:p>
            <w:pPr>
              <w:pStyle w:val="40"/>
              <w:adjustRightInd w:val="0"/>
              <w:spacing w:line="360" w:lineRule="auto"/>
              <w:jc w:val="center"/>
              <w:textAlignment w:val="auto"/>
              <w:rPr>
                <w:szCs w:val="21"/>
              </w:rPr>
            </w:pPr>
            <w:r>
              <w:rPr>
                <w:rFonts w:hint="eastAsia"/>
                <w:szCs w:val="21"/>
              </w:rPr>
              <w:t>采购文件咨询</w:t>
            </w:r>
          </w:p>
        </w:tc>
        <w:tc>
          <w:tcPr>
            <w:tcW w:w="3502" w:type="pct"/>
            <w:vAlign w:val="center"/>
          </w:tcPr>
          <w:p>
            <w:pPr>
              <w:pStyle w:val="40"/>
              <w:adjustRightInd w:val="0"/>
              <w:spacing w:line="360" w:lineRule="auto"/>
              <w:textAlignment w:val="auto"/>
              <w:rPr>
                <w:szCs w:val="21"/>
              </w:rPr>
            </w:pPr>
            <w:r>
              <w:rPr>
                <w:rFonts w:hint="eastAsia"/>
                <w:szCs w:val="21"/>
              </w:rPr>
              <w:t>联系人：</w:t>
            </w:r>
            <w:r>
              <w:rPr>
                <w:rFonts w:hint="eastAsia"/>
                <w:szCs w:val="21"/>
                <w:lang w:val="en-US"/>
              </w:rPr>
              <w:t>张女士</w:t>
            </w:r>
            <w:r>
              <w:rPr>
                <w:rFonts w:hint="eastAsia"/>
                <w:szCs w:val="21"/>
              </w:rPr>
              <w:t xml:space="preserve">。 </w:t>
            </w:r>
          </w:p>
          <w:p>
            <w:pPr>
              <w:pStyle w:val="40"/>
              <w:adjustRightInd w:val="0"/>
              <w:spacing w:line="360" w:lineRule="auto"/>
              <w:textAlignment w:val="auto"/>
              <w:rPr>
                <w:szCs w:val="21"/>
              </w:rPr>
            </w:pPr>
            <w:r>
              <w:rPr>
                <w:rFonts w:hint="eastAsia"/>
                <w:szCs w:val="21"/>
              </w:rPr>
              <w:t>联系电话：</w:t>
            </w:r>
            <w:r>
              <w:rPr>
                <w:rFonts w:hint="eastAsia"/>
                <w:szCs w:val="21"/>
                <w:lang w:val="en-US"/>
              </w:rPr>
              <w:t>028-86026626</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18</w:t>
            </w:r>
          </w:p>
        </w:tc>
        <w:tc>
          <w:tcPr>
            <w:tcW w:w="1083" w:type="pct"/>
            <w:vAlign w:val="center"/>
          </w:tcPr>
          <w:p>
            <w:pPr>
              <w:pStyle w:val="40"/>
              <w:adjustRightInd w:val="0"/>
              <w:spacing w:line="360" w:lineRule="auto"/>
              <w:jc w:val="center"/>
              <w:textAlignment w:val="auto"/>
              <w:rPr>
                <w:szCs w:val="21"/>
              </w:rPr>
            </w:pPr>
            <w:r>
              <w:rPr>
                <w:rFonts w:hint="eastAsia"/>
                <w:szCs w:val="21"/>
              </w:rPr>
              <w:t>开标、评标工作咨询</w:t>
            </w:r>
          </w:p>
        </w:tc>
        <w:tc>
          <w:tcPr>
            <w:tcW w:w="3502" w:type="pct"/>
            <w:vAlign w:val="center"/>
          </w:tcPr>
          <w:p>
            <w:pPr>
              <w:pStyle w:val="40"/>
              <w:adjustRightInd w:val="0"/>
              <w:spacing w:line="360" w:lineRule="auto"/>
              <w:textAlignment w:val="auto"/>
              <w:rPr>
                <w:szCs w:val="21"/>
              </w:rPr>
            </w:pPr>
            <w:r>
              <w:rPr>
                <w:rFonts w:hint="eastAsia"/>
                <w:szCs w:val="21"/>
              </w:rPr>
              <w:t>联系人：</w:t>
            </w:r>
            <w:r>
              <w:rPr>
                <w:rFonts w:hint="eastAsia"/>
                <w:szCs w:val="21"/>
                <w:lang w:val="en-US"/>
              </w:rPr>
              <w:t>张女士</w:t>
            </w:r>
            <w:r>
              <w:rPr>
                <w:rFonts w:hint="eastAsia"/>
                <w:szCs w:val="21"/>
              </w:rPr>
              <w:t xml:space="preserve">。 </w:t>
            </w:r>
          </w:p>
          <w:p>
            <w:pPr>
              <w:pStyle w:val="40"/>
              <w:adjustRightInd w:val="0"/>
              <w:spacing w:line="360" w:lineRule="auto"/>
              <w:textAlignment w:val="auto"/>
              <w:rPr>
                <w:szCs w:val="21"/>
              </w:rPr>
            </w:pPr>
            <w:r>
              <w:rPr>
                <w:rFonts w:hint="eastAsia"/>
                <w:szCs w:val="21"/>
              </w:rPr>
              <w:t>联系电话：</w:t>
            </w:r>
            <w:r>
              <w:rPr>
                <w:rFonts w:hint="eastAsia"/>
                <w:szCs w:val="21"/>
                <w:lang w:val="en-US"/>
              </w:rPr>
              <w:t>028-86026626</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19</w:t>
            </w:r>
          </w:p>
        </w:tc>
        <w:tc>
          <w:tcPr>
            <w:tcW w:w="1083" w:type="pct"/>
            <w:vAlign w:val="center"/>
          </w:tcPr>
          <w:p>
            <w:pPr>
              <w:pStyle w:val="40"/>
              <w:adjustRightInd w:val="0"/>
              <w:spacing w:line="360" w:lineRule="auto"/>
              <w:jc w:val="center"/>
              <w:textAlignment w:val="auto"/>
              <w:rPr>
                <w:b/>
                <w:szCs w:val="21"/>
              </w:rPr>
            </w:pPr>
            <w:r>
              <w:rPr>
                <w:rFonts w:hint="eastAsia"/>
                <w:b/>
                <w:szCs w:val="21"/>
              </w:rPr>
              <w:t>投标文件份数（实质性要求）</w:t>
            </w:r>
          </w:p>
        </w:tc>
        <w:tc>
          <w:tcPr>
            <w:tcW w:w="3502" w:type="pct"/>
            <w:vAlign w:val="center"/>
          </w:tcPr>
          <w:p>
            <w:pPr>
              <w:pStyle w:val="40"/>
              <w:adjustRightInd w:val="0"/>
              <w:spacing w:line="360" w:lineRule="auto"/>
              <w:textAlignment w:val="auto"/>
              <w:rPr>
                <w:szCs w:val="21"/>
              </w:rPr>
            </w:pPr>
            <w:r>
              <w:rPr>
                <w:rFonts w:hint="eastAsia"/>
                <w:b/>
                <w:szCs w:val="21"/>
              </w:rPr>
              <w:t>资格性投标文件正本1份、副本</w:t>
            </w:r>
            <w:r>
              <w:rPr>
                <w:rFonts w:hint="eastAsia"/>
                <w:b/>
                <w:szCs w:val="21"/>
                <w:lang w:val="en-US"/>
              </w:rPr>
              <w:t>2</w:t>
            </w:r>
            <w:r>
              <w:rPr>
                <w:rFonts w:hint="eastAsia"/>
                <w:b/>
                <w:szCs w:val="21"/>
              </w:rPr>
              <w:t>份，</w:t>
            </w:r>
            <w:r>
              <w:rPr>
                <w:rFonts w:hint="eastAsia"/>
                <w:b/>
                <w:szCs w:val="21"/>
                <w:lang w:val="en-US"/>
              </w:rPr>
              <w:t>技术服</w:t>
            </w:r>
            <w:r>
              <w:rPr>
                <w:rFonts w:hint="eastAsia"/>
                <w:b/>
                <w:szCs w:val="21"/>
              </w:rPr>
              <w:t>务性投标文件正本1份、副本</w:t>
            </w:r>
            <w:r>
              <w:rPr>
                <w:rFonts w:hint="eastAsia"/>
                <w:b/>
                <w:szCs w:val="21"/>
                <w:lang w:val="en-US"/>
              </w:rPr>
              <w:t>2</w:t>
            </w:r>
            <w:r>
              <w:rPr>
                <w:rFonts w:hint="eastAsia"/>
                <w:b/>
                <w:szCs w:val="21"/>
              </w:rPr>
              <w:t>份，相应的电子文档壹份（U 盘）以及用于开标唱标单独提交的“开标一览表”（原件壹份）。</w:t>
            </w:r>
            <w:r>
              <w:rPr>
                <w:rFonts w:hint="eastAsia"/>
                <w:bCs/>
                <w:w w:val="99"/>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20</w:t>
            </w:r>
          </w:p>
        </w:tc>
        <w:tc>
          <w:tcPr>
            <w:tcW w:w="1083" w:type="pct"/>
            <w:vAlign w:val="center"/>
          </w:tcPr>
          <w:p>
            <w:pPr>
              <w:pStyle w:val="40"/>
              <w:adjustRightInd w:val="0"/>
              <w:spacing w:line="360" w:lineRule="auto"/>
              <w:jc w:val="center"/>
              <w:textAlignment w:val="auto"/>
              <w:rPr>
                <w:b/>
                <w:szCs w:val="21"/>
              </w:rPr>
            </w:pPr>
            <w:r>
              <w:rPr>
                <w:rFonts w:hint="eastAsia"/>
                <w:szCs w:val="21"/>
                <w:lang w:val="en-US"/>
              </w:rPr>
              <w:t>供应商</w:t>
            </w:r>
            <w:r>
              <w:rPr>
                <w:rFonts w:hint="eastAsia"/>
                <w:szCs w:val="21"/>
              </w:rPr>
              <w:t>询问</w:t>
            </w:r>
          </w:p>
        </w:tc>
        <w:tc>
          <w:tcPr>
            <w:tcW w:w="3502" w:type="pct"/>
            <w:vAlign w:val="center"/>
          </w:tcPr>
          <w:p>
            <w:pPr>
              <w:pStyle w:val="40"/>
              <w:adjustRightInd w:val="0"/>
              <w:spacing w:line="360" w:lineRule="auto"/>
              <w:textAlignment w:val="auto"/>
              <w:rPr>
                <w:b/>
                <w:szCs w:val="21"/>
              </w:rPr>
            </w:pPr>
            <w:r>
              <w:rPr>
                <w:rFonts w:hint="eastAsia"/>
                <w:spacing w:val="-9"/>
                <w:szCs w:val="21"/>
              </w:rPr>
              <w:t>根据委托代理协议约定，供应商询问由</w:t>
            </w:r>
            <w:r>
              <w:rPr>
                <w:rFonts w:hint="eastAsia"/>
                <w:spacing w:val="-5"/>
                <w:szCs w:val="21"/>
                <w:lang w:val="en-US"/>
              </w:rPr>
              <w:t>成都长源工程咨询有限公司</w:t>
            </w:r>
            <w:r>
              <w:rPr>
                <w:rFonts w:hint="eastAsia"/>
                <w:szCs w:val="21"/>
              </w:rPr>
              <w:t xml:space="preserve">负责答复。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414" w:type="pct"/>
            <w:vAlign w:val="center"/>
          </w:tcPr>
          <w:p>
            <w:pPr>
              <w:pStyle w:val="2"/>
              <w:adjustRightInd w:val="0"/>
              <w:spacing w:after="0" w:line="360" w:lineRule="auto"/>
              <w:jc w:val="center"/>
              <w:textAlignment w:val="auto"/>
              <w:rPr>
                <w:rFonts w:hint="eastAsia" w:ascii="宋体" w:hAnsi="宋体" w:cs="宋体"/>
                <w:szCs w:val="21"/>
              </w:rPr>
            </w:pPr>
            <w:r>
              <w:rPr>
                <w:rFonts w:hint="eastAsia" w:ascii="宋体" w:hAnsi="宋体" w:cs="宋体"/>
                <w:szCs w:val="21"/>
              </w:rPr>
              <w:t>21</w:t>
            </w:r>
          </w:p>
        </w:tc>
        <w:tc>
          <w:tcPr>
            <w:tcW w:w="1083" w:type="pct"/>
            <w:vAlign w:val="center"/>
          </w:tcPr>
          <w:p>
            <w:pPr>
              <w:pStyle w:val="40"/>
              <w:adjustRightInd w:val="0"/>
              <w:spacing w:line="360" w:lineRule="auto"/>
              <w:jc w:val="center"/>
              <w:textAlignment w:val="auto"/>
              <w:rPr>
                <w:rFonts w:hint="eastAsia"/>
                <w:szCs w:val="21"/>
              </w:rPr>
            </w:pPr>
            <w:r>
              <w:rPr>
                <w:rFonts w:hint="eastAsia"/>
                <w:szCs w:val="21"/>
              </w:rPr>
              <w:t>供应商质疑</w:t>
            </w:r>
          </w:p>
          <w:p>
            <w:pPr>
              <w:pStyle w:val="40"/>
              <w:adjustRightInd w:val="0"/>
              <w:spacing w:line="360" w:lineRule="auto"/>
              <w:jc w:val="center"/>
              <w:textAlignment w:val="auto"/>
              <w:rPr>
                <w:b/>
                <w:szCs w:val="21"/>
              </w:rPr>
            </w:pPr>
          </w:p>
        </w:tc>
        <w:tc>
          <w:tcPr>
            <w:tcW w:w="3502" w:type="pct"/>
            <w:tcBorders/>
            <w:vAlign w:val="center"/>
          </w:tcPr>
          <w:p>
            <w:pPr>
              <w:pStyle w:val="40"/>
              <w:adjustRightInd w:val="0"/>
              <w:spacing w:line="360" w:lineRule="auto"/>
              <w:textAlignment w:val="auto"/>
              <w:rPr>
                <w:szCs w:val="21"/>
              </w:rPr>
            </w:pPr>
            <w:r>
              <w:rPr>
                <w:rFonts w:hint="eastAsia"/>
                <w:szCs w:val="21"/>
              </w:rPr>
              <w:t>根据委托代理协议约定，对于采购文件的质疑由</w:t>
            </w:r>
            <w:r>
              <w:rPr>
                <w:rFonts w:hint="eastAsia"/>
                <w:spacing w:val="-5"/>
                <w:szCs w:val="21"/>
                <w:lang w:val="en-US"/>
              </w:rPr>
              <w:t>成都长源工程咨询有限公司</w:t>
            </w:r>
            <w:r>
              <w:rPr>
                <w:rFonts w:hint="eastAsia"/>
                <w:szCs w:val="21"/>
              </w:rPr>
              <w:t>负责答复；对于采购过程由</w:t>
            </w:r>
            <w:r>
              <w:rPr>
                <w:rFonts w:hint="eastAsia"/>
                <w:spacing w:val="-5"/>
                <w:szCs w:val="21"/>
                <w:lang w:val="en-US"/>
              </w:rPr>
              <w:t>成都长源工程咨询有限公司</w:t>
            </w:r>
            <w:r>
              <w:rPr>
                <w:rFonts w:hint="eastAsia"/>
                <w:spacing w:val="-10"/>
                <w:szCs w:val="21"/>
              </w:rPr>
              <w:t>负责答复；对于采购结果由</w:t>
            </w:r>
            <w:r>
              <w:rPr>
                <w:rFonts w:hint="eastAsia"/>
                <w:spacing w:val="-5"/>
                <w:szCs w:val="21"/>
                <w:lang w:val="en-US"/>
              </w:rPr>
              <w:t>成都长源工程咨询有限公司</w:t>
            </w:r>
            <w:r>
              <w:rPr>
                <w:rFonts w:hint="eastAsia"/>
                <w:spacing w:val="-10"/>
                <w:szCs w:val="21"/>
              </w:rPr>
              <w:t>负责答复。供应商</w:t>
            </w:r>
            <w:r>
              <w:rPr>
                <w:rFonts w:hint="eastAsia"/>
                <w:szCs w:val="21"/>
              </w:rPr>
              <w:t>应当在法定质疑期内一次性提出针对同一采购程序环节的质疑。</w:t>
            </w:r>
          </w:p>
          <w:p>
            <w:pPr>
              <w:pStyle w:val="40"/>
              <w:adjustRightInd w:val="0"/>
              <w:spacing w:line="360" w:lineRule="auto"/>
              <w:textAlignment w:val="auto"/>
              <w:rPr>
                <w:rFonts w:hint="eastAsia"/>
                <w:szCs w:val="21"/>
              </w:rPr>
            </w:pPr>
            <w:r>
              <w:rPr>
                <w:rFonts w:hint="eastAsia"/>
                <w:szCs w:val="21"/>
              </w:rPr>
              <w:t>联系人：</w:t>
            </w:r>
            <w:r>
              <w:rPr>
                <w:rFonts w:hint="eastAsia"/>
                <w:szCs w:val="21"/>
                <w:lang w:val="en-US"/>
              </w:rPr>
              <w:t>张女士</w:t>
            </w:r>
            <w:r>
              <w:rPr>
                <w:rFonts w:hint="eastAsia"/>
                <w:szCs w:val="21"/>
              </w:rPr>
              <w:t>。</w:t>
            </w:r>
          </w:p>
          <w:p>
            <w:pPr>
              <w:pStyle w:val="40"/>
              <w:adjustRightInd w:val="0"/>
              <w:spacing w:line="360" w:lineRule="auto"/>
              <w:textAlignment w:val="auto"/>
              <w:rPr>
                <w:szCs w:val="21"/>
              </w:rPr>
            </w:pPr>
            <w:r>
              <w:rPr>
                <w:rFonts w:hint="eastAsia"/>
                <w:szCs w:val="21"/>
              </w:rPr>
              <w:t>联系电话：</w:t>
            </w:r>
            <w:r>
              <w:rPr>
                <w:rFonts w:hint="eastAsia"/>
                <w:szCs w:val="21"/>
                <w:lang w:val="en-US"/>
              </w:rPr>
              <w:t>028-86026626</w:t>
            </w:r>
            <w:r>
              <w:rPr>
                <w:rFonts w:hint="eastAsia"/>
                <w:szCs w:val="21"/>
              </w:rPr>
              <w:t>。</w:t>
            </w:r>
          </w:p>
          <w:p>
            <w:pPr>
              <w:pStyle w:val="40"/>
              <w:adjustRightInd w:val="0"/>
              <w:spacing w:line="360" w:lineRule="auto"/>
              <w:textAlignment w:val="auto"/>
              <w:rPr>
                <w:szCs w:val="21"/>
              </w:rPr>
            </w:pPr>
            <w:r>
              <w:rPr>
                <w:rFonts w:hint="eastAsia"/>
                <w:spacing w:val="-6"/>
                <w:szCs w:val="21"/>
              </w:rPr>
              <w:t>地址：</w:t>
            </w:r>
            <w:r>
              <w:rPr>
                <w:rFonts w:hint="eastAsia"/>
                <w:spacing w:val="-9"/>
                <w:szCs w:val="21"/>
              </w:rPr>
              <w:t>成都市</w:t>
            </w:r>
            <w:r>
              <w:rPr>
                <w:rFonts w:hint="eastAsia"/>
                <w:spacing w:val="-9"/>
                <w:szCs w:val="21"/>
                <w:lang w:val="en-US"/>
              </w:rPr>
              <w:t>武侯区环球中心E5区1502-1508号</w:t>
            </w:r>
            <w:r>
              <w:rPr>
                <w:rFonts w:hint="eastAsia"/>
                <w:szCs w:val="21"/>
              </w:rPr>
              <w:t>。</w:t>
            </w:r>
          </w:p>
          <w:p>
            <w:pPr>
              <w:pStyle w:val="40"/>
              <w:adjustRightInd w:val="0"/>
              <w:spacing w:line="360" w:lineRule="auto"/>
              <w:textAlignment w:val="auto"/>
              <w:rPr>
                <w:b/>
                <w:szCs w:val="21"/>
              </w:rPr>
            </w:pPr>
            <w:r>
              <w:rPr>
                <w:rFonts w:hint="eastAsia"/>
                <w:szCs w:val="21"/>
              </w:rPr>
              <w:t>注：根据《中华人民共和国政府采购法》的规定，供应商质疑不得超出采购文件、采购过程、采购结果的范围。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414" w:type="pct"/>
            <w:vAlign w:val="center"/>
          </w:tcPr>
          <w:p>
            <w:pPr>
              <w:pStyle w:val="2"/>
              <w:adjustRightInd w:val="0"/>
              <w:spacing w:after="0" w:line="360" w:lineRule="auto"/>
              <w:jc w:val="center"/>
              <w:textAlignment w:val="auto"/>
              <w:rPr>
                <w:rFonts w:ascii="宋体" w:hAnsi="宋体" w:cs="宋体"/>
                <w:szCs w:val="21"/>
              </w:rPr>
            </w:pPr>
            <w:r>
              <w:rPr>
                <w:rFonts w:hint="eastAsia" w:ascii="宋体" w:hAnsi="宋体" w:cs="宋体"/>
                <w:szCs w:val="21"/>
              </w:rPr>
              <w:t>22</w:t>
            </w:r>
          </w:p>
        </w:tc>
        <w:tc>
          <w:tcPr>
            <w:tcW w:w="1083" w:type="pct"/>
            <w:vAlign w:val="center"/>
          </w:tcPr>
          <w:p>
            <w:pPr>
              <w:pStyle w:val="40"/>
              <w:adjustRightInd w:val="0"/>
              <w:spacing w:line="360" w:lineRule="auto"/>
              <w:jc w:val="center"/>
              <w:textAlignment w:val="auto"/>
              <w:rPr>
                <w:b/>
                <w:szCs w:val="21"/>
              </w:rPr>
            </w:pPr>
            <w:r>
              <w:rPr>
                <w:rFonts w:hint="eastAsia"/>
                <w:szCs w:val="21"/>
              </w:rPr>
              <w:t>供应商投诉</w:t>
            </w:r>
          </w:p>
        </w:tc>
        <w:tc>
          <w:tcPr>
            <w:tcW w:w="3502" w:type="pct"/>
            <w:vAlign w:val="center"/>
          </w:tcPr>
          <w:p>
            <w:pPr>
              <w:pStyle w:val="4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投诉受理单位：本采购项目同级财政部门，即高新区政府采购监督管理办公室。</w:t>
            </w:r>
          </w:p>
          <w:p>
            <w:pPr>
              <w:pStyle w:val="4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 xml:space="preserve">联系电话：028-82829642。 </w:t>
            </w:r>
          </w:p>
          <w:p>
            <w:pPr>
              <w:pStyle w:val="4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地址：成都市武侯区天府大道北段18号高新国际广场A座5层。</w:t>
            </w:r>
          </w:p>
          <w:p>
            <w:pPr>
              <w:pStyle w:val="4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邮编：61</w:t>
            </w:r>
            <w:r>
              <w:rPr>
                <w:rFonts w:hint="eastAsia" w:ascii="宋体" w:hAnsi="宋体" w:eastAsia="宋体" w:cs="宋体"/>
                <w:szCs w:val="21"/>
                <w:lang w:val="en-US"/>
              </w:rPr>
              <w:t>0</w:t>
            </w:r>
            <w:r>
              <w:rPr>
                <w:rFonts w:hint="eastAsia" w:ascii="宋体" w:hAnsi="宋体" w:eastAsia="宋体" w:cs="宋体"/>
                <w:szCs w:val="21"/>
              </w:rPr>
              <w:t xml:space="preserve">000。 </w:t>
            </w:r>
          </w:p>
          <w:p>
            <w:pPr>
              <w:pStyle w:val="40"/>
              <w:adjustRightInd w:val="0"/>
              <w:spacing w:line="360" w:lineRule="auto"/>
              <w:textAlignment w:val="baseline"/>
              <w:rPr>
                <w:rFonts w:hint="eastAsia" w:ascii="宋体" w:hAnsi="宋体" w:eastAsia="宋体" w:cs="宋体"/>
                <w:szCs w:val="21"/>
              </w:rPr>
            </w:pPr>
            <w:r>
              <w:rPr>
                <w:rFonts w:hint="eastAsia" w:ascii="宋体" w:hAnsi="宋体" w:eastAsia="宋体" w:cs="宋体"/>
                <w:szCs w:val="21"/>
              </w:rPr>
              <w:t xml:space="preserve">注：根据《中华人民共和国政府采购法实施条例》的规定，供应商投诉事项不得超出已质疑事项的范围。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23</w:t>
            </w:r>
          </w:p>
        </w:tc>
        <w:tc>
          <w:tcPr>
            <w:tcW w:w="1083" w:type="pct"/>
            <w:vAlign w:val="center"/>
          </w:tcPr>
          <w:p>
            <w:pPr>
              <w:pStyle w:val="40"/>
              <w:adjustRightInd w:val="0"/>
              <w:spacing w:line="360" w:lineRule="auto"/>
              <w:jc w:val="center"/>
              <w:textAlignment w:val="auto"/>
              <w:rPr>
                <w:szCs w:val="21"/>
              </w:rPr>
            </w:pPr>
            <w:r>
              <w:rPr>
                <w:rFonts w:hint="eastAsia"/>
                <w:szCs w:val="21"/>
              </w:rPr>
              <w:t>中标通知书领取</w:t>
            </w:r>
          </w:p>
        </w:tc>
        <w:tc>
          <w:tcPr>
            <w:tcW w:w="3502" w:type="pct"/>
          </w:tcPr>
          <w:p>
            <w:pPr>
              <w:pStyle w:val="40"/>
              <w:adjustRightInd w:val="0"/>
              <w:spacing w:line="360" w:lineRule="auto"/>
              <w:textAlignment w:val="auto"/>
              <w:rPr>
                <w:szCs w:val="21"/>
                <w:lang w:val="en-US"/>
              </w:rPr>
            </w:pPr>
            <w:r>
              <w:rPr>
                <w:rFonts w:hint="eastAsia"/>
                <w:spacing w:val="-7"/>
                <w:szCs w:val="21"/>
              </w:rPr>
              <w:t>中标公告在四川政府采购网上公告后，请中标</w:t>
            </w:r>
            <w:r>
              <w:rPr>
                <w:rFonts w:hint="eastAsia"/>
                <w:spacing w:val="-7"/>
                <w:szCs w:val="21"/>
                <w:lang w:val="en-US"/>
              </w:rPr>
              <w:t>人</w:t>
            </w:r>
            <w:r>
              <w:rPr>
                <w:rFonts w:hint="eastAsia"/>
                <w:spacing w:val="-7"/>
                <w:szCs w:val="21"/>
              </w:rPr>
              <w:t>凭有效身</w:t>
            </w:r>
            <w:r>
              <w:rPr>
                <w:rFonts w:hint="eastAsia"/>
                <w:szCs w:val="21"/>
              </w:rPr>
              <w:t>份证明证件领取中标通知书。</w:t>
            </w:r>
          </w:p>
          <w:p>
            <w:pPr>
              <w:pStyle w:val="40"/>
              <w:adjustRightInd w:val="0"/>
              <w:spacing w:line="360" w:lineRule="auto"/>
              <w:textAlignment w:val="auto"/>
              <w:rPr>
                <w:szCs w:val="21"/>
              </w:rPr>
            </w:pPr>
            <w:r>
              <w:rPr>
                <w:rFonts w:hint="eastAsia"/>
                <w:szCs w:val="21"/>
              </w:rPr>
              <w:t>联系人：</w:t>
            </w:r>
            <w:r>
              <w:rPr>
                <w:rFonts w:hint="eastAsia"/>
                <w:szCs w:val="21"/>
                <w:lang w:val="en-US"/>
              </w:rPr>
              <w:t>张女士</w:t>
            </w:r>
            <w:r>
              <w:rPr>
                <w:rFonts w:hint="eastAsia"/>
                <w:szCs w:val="21"/>
              </w:rPr>
              <w:t>。</w:t>
            </w:r>
          </w:p>
          <w:p>
            <w:pPr>
              <w:pStyle w:val="40"/>
              <w:adjustRightInd w:val="0"/>
              <w:spacing w:line="360" w:lineRule="auto"/>
              <w:textAlignment w:val="auto"/>
              <w:rPr>
                <w:szCs w:val="21"/>
              </w:rPr>
            </w:pPr>
            <w:r>
              <w:rPr>
                <w:rFonts w:hint="eastAsia"/>
                <w:szCs w:val="21"/>
              </w:rPr>
              <w:t>联系电话：</w:t>
            </w:r>
            <w:r>
              <w:rPr>
                <w:rFonts w:hint="eastAsia"/>
                <w:szCs w:val="21"/>
                <w:lang w:val="en-US"/>
              </w:rPr>
              <w:t>028-86026626</w:t>
            </w:r>
            <w:r>
              <w:rPr>
                <w:rFonts w:hint="eastAsia"/>
                <w:szCs w:val="21"/>
              </w:rPr>
              <w:t>。</w:t>
            </w:r>
          </w:p>
          <w:p>
            <w:pPr>
              <w:pStyle w:val="40"/>
              <w:adjustRightInd w:val="0"/>
              <w:spacing w:line="360" w:lineRule="auto"/>
              <w:textAlignment w:val="auto"/>
              <w:rPr>
                <w:szCs w:val="21"/>
              </w:rPr>
            </w:pPr>
            <w:r>
              <w:rPr>
                <w:rFonts w:hint="eastAsia"/>
                <w:color w:val="000000" w:themeColor="text1"/>
                <w:szCs w:val="21"/>
                <w14:textFill>
                  <w14:solidFill>
                    <w14:schemeClr w14:val="tx1"/>
                  </w14:solidFill>
                </w14:textFill>
              </w:rPr>
              <w:t>地址：成都市</w:t>
            </w:r>
            <w:r>
              <w:rPr>
                <w:rFonts w:hint="eastAsia"/>
                <w:color w:val="000000" w:themeColor="text1"/>
                <w:szCs w:val="21"/>
                <w:lang w:val="en-US"/>
                <w14:textFill>
                  <w14:solidFill>
                    <w14:schemeClr w14:val="tx1"/>
                  </w14:solidFill>
                </w14:textFill>
              </w:rPr>
              <w:t>武侯区环球中心E5区1502-1508号</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14" w:type="pct"/>
            <w:vAlign w:val="center"/>
          </w:tcPr>
          <w:p>
            <w:pPr>
              <w:pStyle w:val="40"/>
              <w:adjustRightInd w:val="0"/>
              <w:spacing w:line="360" w:lineRule="auto"/>
              <w:jc w:val="center"/>
              <w:textAlignment w:val="baseline"/>
              <w:rPr>
                <w:szCs w:val="21"/>
                <w:lang w:val="en-US"/>
              </w:rPr>
            </w:pPr>
            <w:r>
              <w:rPr>
                <w:rFonts w:hint="eastAsia"/>
                <w:szCs w:val="21"/>
                <w:lang w:val="en-US"/>
              </w:rPr>
              <w:t>24</w:t>
            </w:r>
          </w:p>
        </w:tc>
        <w:tc>
          <w:tcPr>
            <w:tcW w:w="1083" w:type="pct"/>
            <w:vAlign w:val="center"/>
          </w:tcPr>
          <w:p>
            <w:pPr>
              <w:pStyle w:val="40"/>
              <w:adjustRightInd w:val="0"/>
              <w:spacing w:line="360" w:lineRule="auto"/>
              <w:jc w:val="center"/>
              <w:textAlignment w:val="baseline"/>
              <w:rPr>
                <w:b/>
                <w:szCs w:val="21"/>
              </w:rPr>
            </w:pPr>
            <w:r>
              <w:rPr>
                <w:rFonts w:hint="eastAsia"/>
                <w:szCs w:val="21"/>
              </w:rPr>
              <w:t>招标代理服务费</w:t>
            </w:r>
          </w:p>
        </w:tc>
        <w:tc>
          <w:tcPr>
            <w:tcW w:w="3502" w:type="pct"/>
          </w:tcPr>
          <w:p>
            <w:pPr>
              <w:pStyle w:val="40"/>
              <w:adjustRightInd w:val="0"/>
              <w:spacing w:line="360" w:lineRule="auto"/>
              <w:textAlignment w:val="baseline"/>
              <w:rPr>
                <w:b/>
                <w:szCs w:val="21"/>
              </w:rPr>
            </w:pPr>
            <w:r>
              <w:rPr>
                <w:rFonts w:hint="eastAsia"/>
                <w:szCs w:val="21"/>
              </w:rPr>
              <w:t>按“发改办价格[2003]857号”、“发改价格[2011]534号”、“发改价格[2015]299号”及国家计委《招标代理服务收费管理暂行办法》〔2002〕1980号文件相应标准及规定下浮</w:t>
            </w:r>
            <w:r>
              <w:rPr>
                <w:rFonts w:hint="eastAsia"/>
                <w:szCs w:val="21"/>
                <w:lang w:val="en-US"/>
              </w:rPr>
              <w:t>20</w:t>
            </w:r>
            <w:r>
              <w:rPr>
                <w:rFonts w:hint="eastAsia"/>
                <w:szCs w:val="21"/>
              </w:rPr>
              <w:t>%计取，在发出中标通知书后10个工作日内由采购方一次性支付。</w:t>
            </w:r>
          </w:p>
        </w:tc>
      </w:tr>
    </w:tbl>
    <w:p>
      <w:pPr>
        <w:spacing w:before="240" w:beforeLines="100" w:after="240" w:afterLines="100" w:line="360" w:lineRule="auto"/>
        <w:rPr>
          <w:rFonts w:ascii="宋体" w:hAnsi="宋体" w:cs="宋体"/>
          <w:b/>
          <w:bCs/>
          <w:sz w:val="28"/>
          <w:szCs w:val="36"/>
        </w:rPr>
      </w:pPr>
      <w:bookmarkStart w:id="37" w:name="_Toc28292"/>
      <w:bookmarkStart w:id="38" w:name="_Toc18965"/>
      <w:bookmarkStart w:id="39" w:name="_Toc8422"/>
    </w:p>
    <w:p>
      <w:pPr>
        <w:spacing w:before="240" w:beforeLines="100" w:after="240" w:afterLines="100" w:line="360" w:lineRule="auto"/>
        <w:jc w:val="center"/>
        <w:outlineLvl w:val="1"/>
        <w:rPr>
          <w:rFonts w:ascii="宋体" w:hAnsi="宋体" w:cs="宋体"/>
          <w:b/>
          <w:bCs/>
          <w:sz w:val="28"/>
          <w:szCs w:val="36"/>
        </w:rPr>
      </w:pPr>
      <w:r>
        <w:rPr>
          <w:rFonts w:hint="eastAsia" w:ascii="宋体" w:hAnsi="宋体" w:cs="宋体"/>
          <w:b/>
          <w:bCs/>
          <w:sz w:val="28"/>
          <w:szCs w:val="36"/>
        </w:rPr>
        <w:t>二、总  则</w:t>
      </w:r>
      <w:bookmarkEnd w:id="34"/>
      <w:bookmarkEnd w:id="35"/>
      <w:bookmarkEnd w:id="36"/>
      <w:bookmarkEnd w:id="37"/>
      <w:bookmarkEnd w:id="38"/>
      <w:bookmarkEnd w:id="39"/>
    </w:p>
    <w:p>
      <w:pPr>
        <w:spacing w:line="360" w:lineRule="auto"/>
        <w:outlineLvl w:val="2"/>
        <w:rPr>
          <w:rFonts w:ascii="宋体" w:hAnsi="宋体" w:cs="宋体"/>
          <w:b/>
          <w:bCs/>
          <w:sz w:val="24"/>
        </w:rPr>
      </w:pPr>
      <w:bookmarkStart w:id="40" w:name="_Toc20211"/>
      <w:r>
        <w:rPr>
          <w:rFonts w:hint="eastAsia" w:ascii="宋体" w:hAnsi="宋体" w:cs="宋体"/>
          <w:b/>
          <w:bCs/>
          <w:w w:val="95"/>
          <w:sz w:val="24"/>
        </w:rPr>
        <w:t>1、适用范围</w:t>
      </w:r>
      <w:bookmarkEnd w:id="40"/>
    </w:p>
    <w:p>
      <w:pPr>
        <w:spacing w:line="360" w:lineRule="auto"/>
        <w:ind w:firstLine="476" w:firstLineChars="200"/>
        <w:rPr>
          <w:rFonts w:ascii="宋体" w:hAnsi="宋体" w:cs="宋体"/>
          <w:spacing w:val="-1"/>
          <w:sz w:val="24"/>
        </w:rPr>
      </w:pPr>
      <w:r>
        <w:rPr>
          <w:rFonts w:hint="eastAsia" w:ascii="宋体" w:hAnsi="宋体" w:cs="宋体"/>
          <w:spacing w:val="-1"/>
          <w:sz w:val="24"/>
        </w:rPr>
        <w:t>本招标文件仅适用于本次公开招标采购项目。</w:t>
      </w:r>
    </w:p>
    <w:p>
      <w:pPr>
        <w:spacing w:line="360" w:lineRule="auto"/>
        <w:outlineLvl w:val="2"/>
        <w:rPr>
          <w:rFonts w:ascii="宋体" w:hAnsi="宋体" w:cs="宋体"/>
          <w:spacing w:val="-1"/>
          <w:sz w:val="24"/>
        </w:rPr>
      </w:pPr>
      <w:bookmarkStart w:id="41" w:name="_Toc20232"/>
      <w:r>
        <w:rPr>
          <w:rFonts w:hint="eastAsia" w:ascii="宋体" w:hAnsi="宋体" w:cs="宋体"/>
          <w:b/>
          <w:sz w:val="24"/>
        </w:rPr>
        <w:t>2、有关定义</w:t>
      </w:r>
      <w:bookmarkEnd w:id="41"/>
    </w:p>
    <w:p>
      <w:pPr>
        <w:tabs>
          <w:tab w:val="left" w:pos="7665"/>
        </w:tabs>
        <w:spacing w:line="360" w:lineRule="auto"/>
        <w:ind w:firstLine="448" w:firstLineChars="200"/>
        <w:rPr>
          <w:rFonts w:ascii="宋体" w:hAnsi="宋体" w:cs="宋体"/>
          <w:sz w:val="24"/>
        </w:rPr>
      </w:pPr>
      <w:r>
        <w:rPr>
          <w:rFonts w:hint="eastAsia" w:ascii="宋体" w:hAnsi="宋体" w:cs="宋体"/>
          <w:spacing w:val="-8"/>
          <w:sz w:val="24"/>
        </w:rPr>
        <w:t>2.1“采购人”系指依法进行政府采购的国家机关、事业单位、团体组织。本次招标的采</w:t>
      </w:r>
      <w:r>
        <w:rPr>
          <w:rFonts w:hint="eastAsia" w:ascii="宋体" w:hAnsi="宋体" w:cs="宋体"/>
          <w:sz w:val="24"/>
        </w:rPr>
        <w:t>购人是</w:t>
      </w:r>
      <w:r>
        <w:rPr>
          <w:rFonts w:hint="eastAsia" w:ascii="宋体" w:hAnsi="宋体" w:cs="宋体"/>
          <w:b/>
          <w:sz w:val="24"/>
          <w:u w:val="single"/>
        </w:rPr>
        <w:t>成都高新技术产业开发区生态环境和城市管理局</w:t>
      </w:r>
      <w:r>
        <w:rPr>
          <w:rFonts w:hint="eastAsia" w:ascii="宋体" w:hAnsi="宋体" w:cs="宋体"/>
          <w:sz w:val="24"/>
        </w:rPr>
        <w:t>。</w:t>
      </w:r>
    </w:p>
    <w:p>
      <w:pPr>
        <w:tabs>
          <w:tab w:val="left" w:pos="1268"/>
          <w:tab w:val="left" w:pos="1269"/>
        </w:tabs>
        <w:spacing w:line="360" w:lineRule="auto"/>
        <w:ind w:firstLine="448" w:firstLineChars="200"/>
        <w:rPr>
          <w:rFonts w:ascii="宋体" w:hAnsi="宋体" w:cs="宋体"/>
          <w:sz w:val="24"/>
        </w:rPr>
      </w:pPr>
      <w:bookmarkStart w:id="42" w:name="_Toc25967"/>
      <w:bookmarkStart w:id="43" w:name="_Toc24945"/>
      <w:bookmarkStart w:id="44" w:name="_Toc89075875"/>
      <w:bookmarkStart w:id="45" w:name="_Toc12200"/>
      <w:bookmarkStart w:id="46" w:name="_Toc16631"/>
      <w:bookmarkStart w:id="47" w:name="_Toc217446038"/>
      <w:bookmarkStart w:id="48" w:name="_Toc183582209"/>
      <w:bookmarkStart w:id="49" w:name="_Toc77400779"/>
      <w:bookmarkStart w:id="50" w:name="_Toc23980"/>
      <w:bookmarkStart w:id="51" w:name="_Toc183682346"/>
      <w:r>
        <w:rPr>
          <w:rFonts w:hint="eastAsia" w:ascii="宋体" w:hAnsi="宋体" w:cs="宋体"/>
          <w:spacing w:val="-8"/>
          <w:sz w:val="24"/>
        </w:rPr>
        <w:t>2.2</w:t>
      </w:r>
      <w:r>
        <w:rPr>
          <w:rFonts w:hint="eastAsia" w:ascii="宋体" w:hAnsi="宋体" w:cs="宋体"/>
          <w:sz w:val="24"/>
        </w:rPr>
        <w:t>“采购代理机构” 系指根据采购人的委托依法办理招标事宜的采购机构。本次招标的采购代理机构是</w:t>
      </w:r>
      <w:r>
        <w:rPr>
          <w:rFonts w:hint="eastAsia" w:ascii="宋体" w:hAnsi="宋体" w:cs="宋体"/>
          <w:b/>
          <w:bCs/>
          <w:sz w:val="24"/>
          <w:u w:val="single"/>
        </w:rPr>
        <w:t>成都长源工程咨询有限公司</w:t>
      </w:r>
      <w:r>
        <w:rPr>
          <w:rFonts w:hint="eastAsia" w:ascii="宋体" w:hAnsi="宋体" w:cs="宋体"/>
          <w:sz w:val="24"/>
        </w:rPr>
        <w:t>。</w:t>
      </w:r>
    </w:p>
    <w:p>
      <w:pPr>
        <w:tabs>
          <w:tab w:val="left" w:pos="0"/>
        </w:tabs>
        <w:spacing w:line="360" w:lineRule="auto"/>
        <w:ind w:firstLine="480" w:firstLineChars="200"/>
        <w:rPr>
          <w:rFonts w:ascii="宋体" w:hAnsi="宋体" w:cs="宋体"/>
          <w:bCs/>
          <w:sz w:val="24"/>
        </w:rPr>
      </w:pPr>
      <w:r>
        <w:rPr>
          <w:rFonts w:hint="eastAsia" w:ascii="宋体" w:hAnsi="宋体" w:cs="宋体"/>
          <w:bCs/>
          <w:sz w:val="24"/>
        </w:rPr>
        <w:t>2.3“招标采购单位”系指“采购人”和“采购代理机构”的统称。</w:t>
      </w:r>
    </w:p>
    <w:p>
      <w:pPr>
        <w:tabs>
          <w:tab w:val="left" w:pos="0"/>
        </w:tabs>
        <w:spacing w:line="360" w:lineRule="auto"/>
        <w:ind w:firstLine="480" w:firstLineChars="200"/>
        <w:rPr>
          <w:rFonts w:ascii="宋体" w:hAnsi="宋体" w:cs="宋体"/>
          <w:bCs/>
          <w:sz w:val="24"/>
        </w:rPr>
      </w:pPr>
      <w:r>
        <w:rPr>
          <w:rFonts w:hint="eastAsia" w:ascii="宋体" w:hAnsi="宋体" w:cs="宋体"/>
          <w:bCs/>
          <w:sz w:val="24"/>
        </w:rPr>
        <w:t>2.4“供应商”系指购买了招标文件拟参加投标和向采购人提供相应服务的供应商。</w:t>
      </w:r>
    </w:p>
    <w:p>
      <w:pPr>
        <w:numPr>
          <w:ilvl w:val="0"/>
          <w:numId w:val="2"/>
        </w:numPr>
        <w:tabs>
          <w:tab w:val="left" w:pos="0"/>
        </w:tabs>
        <w:spacing w:line="360" w:lineRule="auto"/>
        <w:outlineLvl w:val="2"/>
        <w:rPr>
          <w:rFonts w:ascii="宋体" w:hAnsi="宋体" w:cs="宋体"/>
          <w:b/>
          <w:sz w:val="24"/>
        </w:rPr>
      </w:pPr>
      <w:bookmarkStart w:id="52" w:name="_Toc4870"/>
      <w:r>
        <w:rPr>
          <w:rFonts w:hint="eastAsia" w:ascii="宋体" w:hAnsi="宋体" w:cs="宋体"/>
          <w:b/>
          <w:sz w:val="24"/>
        </w:rPr>
        <w:t>合格的</w:t>
      </w:r>
      <w:bookmarkEnd w:id="52"/>
      <w:r>
        <w:rPr>
          <w:rFonts w:hint="eastAsia" w:ascii="宋体" w:hAnsi="宋体" w:cs="宋体"/>
          <w:b/>
          <w:sz w:val="24"/>
        </w:rPr>
        <w:t>供应商</w:t>
      </w:r>
    </w:p>
    <w:p>
      <w:pPr>
        <w:tabs>
          <w:tab w:val="left" w:pos="7665"/>
        </w:tabs>
        <w:spacing w:line="360" w:lineRule="auto"/>
        <w:ind w:firstLine="480" w:firstLineChars="200"/>
        <w:rPr>
          <w:rFonts w:ascii="宋体" w:hAnsi="宋体" w:cs="宋体"/>
        </w:rPr>
      </w:pPr>
      <w:r>
        <w:rPr>
          <w:rFonts w:hint="eastAsia" w:ascii="宋体" w:hAnsi="宋体" w:cs="宋体"/>
          <w:sz w:val="24"/>
        </w:rPr>
        <w:t>合格的供应商应具备以下条件：</w:t>
      </w:r>
    </w:p>
    <w:p>
      <w:pPr>
        <w:pStyle w:val="41"/>
        <w:tabs>
          <w:tab w:val="left" w:pos="0"/>
        </w:tabs>
        <w:spacing w:line="360" w:lineRule="auto"/>
        <w:ind w:left="0" w:firstLineChars="200"/>
        <w:rPr>
          <w:sz w:val="24"/>
        </w:rPr>
      </w:pPr>
      <w:r>
        <w:rPr>
          <w:rFonts w:hint="eastAsia"/>
          <w:sz w:val="24"/>
        </w:rPr>
        <w:t>（</w:t>
      </w:r>
      <w:r>
        <w:rPr>
          <w:rFonts w:hint="eastAsia"/>
          <w:sz w:val="24"/>
          <w:lang w:val="en-US"/>
        </w:rPr>
        <w:t>1</w:t>
      </w:r>
      <w:r>
        <w:rPr>
          <w:rFonts w:hint="eastAsia"/>
          <w:sz w:val="24"/>
        </w:rPr>
        <w:t>）具备法律法规和本招标文件规定的资格条件；</w:t>
      </w:r>
    </w:p>
    <w:p>
      <w:pPr>
        <w:pStyle w:val="41"/>
        <w:tabs>
          <w:tab w:val="left" w:pos="0"/>
        </w:tabs>
        <w:spacing w:line="360" w:lineRule="auto"/>
        <w:ind w:left="0" w:firstLineChars="200"/>
        <w:rPr>
          <w:sz w:val="24"/>
        </w:rPr>
      </w:pPr>
      <w:r>
        <w:rPr>
          <w:rFonts w:hint="eastAsia"/>
          <w:sz w:val="24"/>
        </w:rPr>
        <w:t>（</w:t>
      </w:r>
      <w:r>
        <w:rPr>
          <w:rFonts w:hint="eastAsia"/>
          <w:sz w:val="24"/>
          <w:lang w:val="en-US"/>
        </w:rPr>
        <w:t>2</w:t>
      </w:r>
      <w:r>
        <w:rPr>
          <w:rFonts w:hint="eastAsia"/>
          <w:sz w:val="24"/>
        </w:rPr>
        <w:t>）不属于禁止参加本项目采购活动的</w:t>
      </w:r>
      <w:r>
        <w:rPr>
          <w:rFonts w:hint="eastAsia"/>
          <w:sz w:val="24"/>
          <w:lang w:val="en-US"/>
        </w:rPr>
        <w:t>供应商</w:t>
      </w:r>
      <w:r>
        <w:rPr>
          <w:rFonts w:hint="eastAsia"/>
          <w:sz w:val="24"/>
        </w:rPr>
        <w:t>；</w:t>
      </w:r>
    </w:p>
    <w:p>
      <w:pPr>
        <w:pStyle w:val="41"/>
        <w:tabs>
          <w:tab w:val="left" w:pos="0"/>
        </w:tabs>
        <w:spacing w:line="360" w:lineRule="auto"/>
        <w:ind w:left="0" w:firstLineChars="200"/>
        <w:rPr>
          <w:sz w:val="24"/>
        </w:rPr>
      </w:pPr>
      <w:r>
        <w:rPr>
          <w:rFonts w:hint="eastAsia"/>
          <w:sz w:val="24"/>
        </w:rPr>
        <w:t>（</w:t>
      </w:r>
      <w:r>
        <w:rPr>
          <w:rFonts w:hint="eastAsia"/>
          <w:sz w:val="24"/>
          <w:lang w:val="en-US"/>
        </w:rPr>
        <w:t>3</w:t>
      </w:r>
      <w:r>
        <w:rPr>
          <w:rFonts w:hint="eastAsia"/>
          <w:sz w:val="24"/>
        </w:rPr>
        <w:t>）按照规定获取了招标文件，属于实质性参加本次政府采购活动的</w:t>
      </w:r>
      <w:r>
        <w:rPr>
          <w:rFonts w:hint="eastAsia"/>
          <w:sz w:val="24"/>
          <w:lang w:val="en-US"/>
        </w:rPr>
        <w:t>供应商</w:t>
      </w:r>
      <w:r>
        <w:rPr>
          <w:rFonts w:hint="eastAsia"/>
          <w:sz w:val="24"/>
        </w:rPr>
        <w:t>；</w:t>
      </w:r>
    </w:p>
    <w:p>
      <w:pPr>
        <w:pStyle w:val="41"/>
        <w:tabs>
          <w:tab w:val="left" w:pos="0"/>
        </w:tabs>
        <w:spacing w:line="360" w:lineRule="auto"/>
        <w:ind w:left="0" w:firstLine="472" w:firstLineChars="200"/>
        <w:rPr>
          <w:sz w:val="24"/>
        </w:rPr>
      </w:pPr>
      <w:r>
        <w:rPr>
          <w:rFonts w:hint="eastAsia"/>
          <w:spacing w:val="-2"/>
          <w:sz w:val="24"/>
        </w:rPr>
        <w:t>（</w:t>
      </w:r>
      <w:r>
        <w:rPr>
          <w:rFonts w:hint="eastAsia"/>
          <w:spacing w:val="-2"/>
          <w:sz w:val="24"/>
          <w:lang w:val="en-US"/>
        </w:rPr>
        <w:t>4</w:t>
      </w:r>
      <w:r>
        <w:rPr>
          <w:rFonts w:hint="eastAsia"/>
          <w:spacing w:val="-2"/>
          <w:sz w:val="24"/>
        </w:rPr>
        <w:t>）满足招标文件规定的实质性要求。</w:t>
      </w:r>
    </w:p>
    <w:p>
      <w:pPr>
        <w:pStyle w:val="41"/>
        <w:tabs>
          <w:tab w:val="left" w:pos="1301"/>
          <w:tab w:val="left" w:pos="8222"/>
        </w:tabs>
        <w:spacing w:line="360" w:lineRule="auto"/>
        <w:ind w:left="0" w:firstLine="0"/>
        <w:outlineLvl w:val="2"/>
        <w:rPr>
          <w:b/>
          <w:sz w:val="24"/>
        </w:rPr>
      </w:pPr>
      <w:bookmarkStart w:id="53" w:name="_Toc4490"/>
      <w:r>
        <w:rPr>
          <w:rFonts w:hint="eastAsia"/>
          <w:b/>
          <w:sz w:val="24"/>
        </w:rPr>
        <w:t>4、相关费用</w:t>
      </w:r>
      <w:bookmarkEnd w:id="53"/>
    </w:p>
    <w:p>
      <w:pPr>
        <w:spacing w:line="360" w:lineRule="auto"/>
        <w:ind w:firstLine="480" w:firstLineChars="200"/>
        <w:rPr>
          <w:rFonts w:ascii="宋体" w:hAnsi="宋体" w:cs="宋体"/>
          <w:sz w:val="24"/>
        </w:rPr>
      </w:pPr>
      <w:r>
        <w:rPr>
          <w:rFonts w:hint="eastAsia" w:ascii="宋体" w:hAnsi="宋体" w:cs="宋体"/>
          <w:sz w:val="24"/>
        </w:rPr>
        <w:t>供应商参加投标的有关费用由供应商自行承担。</w:t>
      </w:r>
    </w:p>
    <w:p>
      <w:pPr>
        <w:spacing w:line="360" w:lineRule="auto"/>
        <w:outlineLvl w:val="2"/>
        <w:rPr>
          <w:rFonts w:ascii="宋体" w:hAnsi="宋体" w:cs="宋体"/>
          <w:b/>
          <w:sz w:val="24"/>
        </w:rPr>
      </w:pPr>
      <w:bookmarkStart w:id="54" w:name="_Toc12538"/>
      <w:r>
        <w:rPr>
          <w:rFonts w:hint="eastAsia" w:ascii="宋体" w:hAnsi="宋体" w:cs="宋体"/>
          <w:b/>
          <w:sz w:val="24"/>
        </w:rPr>
        <w:t>5、充分、公平竞争保障措施（实质性要求）</w:t>
      </w:r>
      <w:bookmarkEnd w:id="54"/>
    </w:p>
    <w:p>
      <w:pPr>
        <w:pStyle w:val="41"/>
        <w:tabs>
          <w:tab w:val="left" w:pos="1123"/>
        </w:tabs>
        <w:spacing w:line="360" w:lineRule="auto"/>
        <w:ind w:left="0" w:firstLine="470" w:firstLineChars="200"/>
        <w:rPr>
          <w:sz w:val="24"/>
        </w:rPr>
      </w:pPr>
      <w:r>
        <w:rPr>
          <w:rFonts w:hint="eastAsia"/>
          <w:b/>
          <w:spacing w:val="-3"/>
          <w:sz w:val="24"/>
          <w:lang w:val="en-US"/>
        </w:rPr>
        <w:t>5.1</w:t>
      </w:r>
      <w:r>
        <w:rPr>
          <w:rFonts w:hint="eastAsia"/>
          <w:b/>
          <w:spacing w:val="-3"/>
          <w:sz w:val="24"/>
        </w:rPr>
        <w:t>利害关系供应商处理。</w:t>
      </w:r>
      <w:r>
        <w:rPr>
          <w:rFonts w:hint="eastAsia"/>
          <w:spacing w:val="-3"/>
          <w:sz w:val="24"/>
        </w:rPr>
        <w:t>单位负责人为同一人或者存在直接控股、管理关系的不同</w:t>
      </w:r>
      <w:r>
        <w:rPr>
          <w:rFonts w:hint="eastAsia"/>
          <w:sz w:val="24"/>
          <w:lang w:val="en-US"/>
        </w:rPr>
        <w:t>供应商</w:t>
      </w:r>
      <w:r>
        <w:rPr>
          <w:rFonts w:hint="eastAsia"/>
          <w:spacing w:val="-5"/>
          <w:sz w:val="24"/>
        </w:rPr>
        <w:t>不得参加同一合同项下的政府采购活动。采购项目实行资格预审的，单位负责人为同一人或</w:t>
      </w:r>
      <w:r>
        <w:rPr>
          <w:rFonts w:hint="eastAsia"/>
          <w:spacing w:val="-11"/>
          <w:sz w:val="24"/>
        </w:rPr>
        <w:t>者存在直接控股、管理关系的不同</w:t>
      </w:r>
      <w:r>
        <w:rPr>
          <w:rFonts w:hint="eastAsia"/>
          <w:sz w:val="24"/>
          <w:lang w:val="en-US"/>
        </w:rPr>
        <w:t>供应商</w:t>
      </w:r>
      <w:r>
        <w:rPr>
          <w:rFonts w:hint="eastAsia"/>
          <w:spacing w:val="-11"/>
          <w:sz w:val="24"/>
        </w:rPr>
        <w:t>可以参加资格预审，但只能由</w:t>
      </w:r>
      <w:r>
        <w:rPr>
          <w:rFonts w:hint="eastAsia"/>
          <w:sz w:val="24"/>
          <w:lang w:val="en-US"/>
        </w:rPr>
        <w:t>供应商</w:t>
      </w:r>
      <w:r>
        <w:rPr>
          <w:rFonts w:hint="eastAsia"/>
          <w:spacing w:val="-11"/>
          <w:sz w:val="24"/>
        </w:rPr>
        <w:t>确定其中一家符合条件的</w:t>
      </w:r>
      <w:r>
        <w:rPr>
          <w:rFonts w:hint="eastAsia"/>
          <w:sz w:val="24"/>
          <w:lang w:val="en-US"/>
        </w:rPr>
        <w:t>供应商</w:t>
      </w:r>
      <w:r>
        <w:rPr>
          <w:rFonts w:hint="eastAsia"/>
          <w:spacing w:val="-11"/>
          <w:sz w:val="24"/>
        </w:rPr>
        <w:t>参加后续的政府采购活动，否则，其投标文件作为无效处理。</w:t>
      </w:r>
    </w:p>
    <w:p>
      <w:pPr>
        <w:pStyle w:val="41"/>
        <w:tabs>
          <w:tab w:val="left" w:pos="1123"/>
        </w:tabs>
        <w:spacing w:line="360" w:lineRule="auto"/>
        <w:ind w:left="0" w:firstLine="474" w:firstLineChars="200"/>
        <w:rPr>
          <w:sz w:val="24"/>
        </w:rPr>
      </w:pPr>
      <w:r>
        <w:rPr>
          <w:rFonts w:hint="eastAsia"/>
          <w:b/>
          <w:spacing w:val="-2"/>
          <w:sz w:val="24"/>
          <w:lang w:val="en-US"/>
        </w:rPr>
        <w:t>5.2</w:t>
      </w:r>
      <w:r>
        <w:rPr>
          <w:rFonts w:hint="eastAsia"/>
          <w:b/>
          <w:spacing w:val="-2"/>
          <w:sz w:val="24"/>
        </w:rPr>
        <w:t>前期参与供应商处理。</w:t>
      </w:r>
      <w:r>
        <w:rPr>
          <w:rFonts w:hint="eastAsia"/>
          <w:spacing w:val="-4"/>
          <w:sz w:val="24"/>
        </w:rPr>
        <w:t>为采购项目提供整体设计、规范编制或者项目管理、监理、检</w:t>
      </w:r>
      <w:r>
        <w:rPr>
          <w:rFonts w:hint="eastAsia"/>
          <w:spacing w:val="-7"/>
          <w:sz w:val="24"/>
        </w:rPr>
        <w:t>测等服务的</w:t>
      </w:r>
      <w:r>
        <w:rPr>
          <w:rFonts w:hint="eastAsia"/>
          <w:sz w:val="24"/>
          <w:lang w:val="en-US"/>
        </w:rPr>
        <w:t>供应商</w:t>
      </w:r>
      <w:r>
        <w:rPr>
          <w:rFonts w:hint="eastAsia"/>
          <w:spacing w:val="-7"/>
          <w:sz w:val="24"/>
        </w:rPr>
        <w:t>，不得再参加该采购项目的其他采购活动。</w:t>
      </w:r>
      <w:r>
        <w:rPr>
          <w:rFonts w:hint="eastAsia"/>
          <w:sz w:val="24"/>
          <w:lang w:val="en-US"/>
        </w:rPr>
        <w:t>供应商</w:t>
      </w:r>
      <w:r>
        <w:rPr>
          <w:rFonts w:hint="eastAsia"/>
          <w:spacing w:val="-7"/>
          <w:sz w:val="24"/>
        </w:rPr>
        <w:t>为采购人、采购代理机构</w:t>
      </w:r>
      <w:r>
        <w:rPr>
          <w:rFonts w:hint="eastAsia"/>
          <w:spacing w:val="-12"/>
          <w:sz w:val="24"/>
        </w:rPr>
        <w:t>在确定采购需求、编制采购文件过程中提供咨询论证，其提供的咨询论证意见成为采购文件中</w:t>
      </w:r>
      <w:r>
        <w:rPr>
          <w:rFonts w:hint="eastAsia"/>
          <w:spacing w:val="-14"/>
          <w:sz w:val="24"/>
        </w:rPr>
        <w:t>规定的</w:t>
      </w:r>
      <w:r>
        <w:rPr>
          <w:rFonts w:hint="eastAsia"/>
          <w:sz w:val="24"/>
          <w:lang w:val="en-US"/>
        </w:rPr>
        <w:t>供应商</w:t>
      </w:r>
      <w:r>
        <w:rPr>
          <w:rFonts w:hint="eastAsia"/>
          <w:spacing w:val="-14"/>
          <w:sz w:val="24"/>
        </w:rPr>
        <w:t>资格条件、技术服务商务要求、评标因素和标准、政府采购合同等实质性内容条款的，视同为采购项目提供规范编制。</w:t>
      </w:r>
    </w:p>
    <w:p>
      <w:pPr>
        <w:pStyle w:val="41"/>
        <w:tabs>
          <w:tab w:val="left" w:pos="1123"/>
        </w:tabs>
        <w:spacing w:line="360" w:lineRule="auto"/>
        <w:ind w:left="0" w:firstLine="482" w:firstLineChars="200"/>
        <w:rPr>
          <w:sz w:val="24"/>
        </w:rPr>
      </w:pPr>
      <w:r>
        <w:rPr>
          <w:rFonts w:hint="eastAsia"/>
          <w:b/>
          <w:sz w:val="24"/>
          <w:lang w:val="en-US"/>
        </w:rPr>
        <w:t>5.3</w:t>
      </w:r>
      <w:r>
        <w:rPr>
          <w:rFonts w:hint="eastAsia"/>
          <w:b/>
          <w:sz w:val="24"/>
        </w:rPr>
        <w:t>利害关系代理人处理。</w:t>
      </w:r>
      <w:r>
        <w:rPr>
          <w:rFonts w:hint="eastAsia"/>
          <w:sz w:val="24"/>
        </w:rPr>
        <w:t>2</w:t>
      </w:r>
      <w:r>
        <w:rPr>
          <w:rFonts w:hint="eastAsia"/>
          <w:spacing w:val="-9"/>
          <w:sz w:val="24"/>
        </w:rPr>
        <w:t xml:space="preserve"> 家以上的</w:t>
      </w:r>
      <w:r>
        <w:rPr>
          <w:rFonts w:hint="eastAsia"/>
          <w:sz w:val="24"/>
          <w:lang w:val="en-US"/>
        </w:rPr>
        <w:t>供应商</w:t>
      </w:r>
      <w:r>
        <w:rPr>
          <w:rFonts w:hint="eastAsia"/>
          <w:spacing w:val="-9"/>
          <w:sz w:val="24"/>
        </w:rPr>
        <w:t>不得在同一合同项下的采购项目中，同时委</w:t>
      </w:r>
      <w:r>
        <w:rPr>
          <w:rFonts w:hint="eastAsia"/>
          <w:spacing w:val="-8"/>
          <w:sz w:val="24"/>
        </w:rPr>
        <w:t>托同一个自然人、同一家庭的人员、同一单位的人员作为其代理人，否则，其投标文件作为无</w:t>
      </w:r>
      <w:r>
        <w:rPr>
          <w:rFonts w:hint="eastAsia"/>
          <w:sz w:val="24"/>
        </w:rPr>
        <w:t>效处理。</w:t>
      </w:r>
    </w:p>
    <w:p>
      <w:pPr>
        <w:spacing w:line="360" w:lineRule="auto"/>
        <w:ind w:firstLine="480" w:firstLineChars="200"/>
        <w:rPr>
          <w:rFonts w:ascii="宋体" w:hAnsi="宋体" w:cs="宋体"/>
          <w:sz w:val="24"/>
        </w:rPr>
      </w:pPr>
      <w:r>
        <w:rPr>
          <w:rFonts w:hint="eastAsia" w:ascii="宋体"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5.5同一母公司的两家以上的子公司，不得以不同供应商身份同时参加本项目同一合同项下的采购活动。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5.6供应商与采购代理机构存在关联关系，或者是采购代理机构的母公司或子公司，不得参加本项目政府采购活动。</w:t>
      </w:r>
    </w:p>
    <w:p>
      <w:pPr>
        <w:spacing w:line="360" w:lineRule="auto"/>
        <w:ind w:firstLine="482" w:firstLineChars="200"/>
        <w:rPr>
          <w:rFonts w:ascii="宋体" w:hAnsi="宋体" w:cs="宋体"/>
          <w:sz w:val="24"/>
        </w:rPr>
      </w:pPr>
      <w:r>
        <w:rPr>
          <w:rFonts w:hint="eastAsia" w:ascii="宋体" w:hAnsi="宋体" w:cs="宋体"/>
          <w:b/>
          <w:bCs/>
          <w:sz w:val="24"/>
        </w:rPr>
        <w:t>5.7回避。</w:t>
      </w:r>
      <w:r>
        <w:rPr>
          <w:rFonts w:hint="eastAsia" w:ascii="宋体" w:hAnsi="宋体" w:cs="宋体"/>
          <w:sz w:val="24"/>
        </w:rPr>
        <w:t>政府采购活动中，采购人员及相关人员与供应商有下列利害关系之一的，应当回避：</w:t>
      </w:r>
    </w:p>
    <w:p>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pPr>
        <w:spacing w:line="360" w:lineRule="auto"/>
        <w:ind w:firstLine="480" w:firstLineChars="200"/>
        <w:rPr>
          <w:rFonts w:ascii="宋体" w:hAnsi="宋体" w:cs="宋体"/>
          <w:sz w:val="24"/>
        </w:rPr>
      </w:pPr>
      <w:r>
        <w:rPr>
          <w:rFonts w:hint="eastAsia" w:ascii="宋体"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bookmarkEnd w:id="42"/>
    <w:bookmarkEnd w:id="43"/>
    <w:bookmarkEnd w:id="44"/>
    <w:bookmarkEnd w:id="45"/>
    <w:bookmarkEnd w:id="46"/>
    <w:bookmarkEnd w:id="47"/>
    <w:bookmarkEnd w:id="48"/>
    <w:bookmarkEnd w:id="49"/>
    <w:bookmarkEnd w:id="50"/>
    <w:bookmarkEnd w:id="51"/>
    <w:p>
      <w:pPr>
        <w:pStyle w:val="4"/>
        <w:spacing w:before="240" w:beforeLines="100" w:after="240" w:afterLines="100" w:line="360" w:lineRule="auto"/>
        <w:jc w:val="center"/>
        <w:rPr>
          <w:rFonts w:ascii="宋体" w:hAnsi="宋体" w:eastAsia="宋体" w:cs="宋体"/>
          <w:sz w:val="28"/>
          <w:szCs w:val="28"/>
        </w:rPr>
      </w:pPr>
      <w:bookmarkStart w:id="55" w:name="_Toc21091"/>
      <w:bookmarkStart w:id="56" w:name="_Toc24280"/>
      <w:bookmarkStart w:id="57" w:name="_Toc217446043"/>
      <w:bookmarkStart w:id="58" w:name="_Toc24504"/>
      <w:bookmarkStart w:id="59" w:name="_Toc9399"/>
      <w:bookmarkStart w:id="60" w:name="_Toc183682352"/>
      <w:bookmarkStart w:id="61" w:name="_Toc18193"/>
      <w:bookmarkStart w:id="62" w:name="_Toc15484"/>
      <w:bookmarkStart w:id="63" w:name="_Toc183582215"/>
      <w:r>
        <w:rPr>
          <w:rFonts w:hint="eastAsia" w:ascii="宋体" w:hAnsi="宋体" w:eastAsia="宋体" w:cs="宋体"/>
          <w:sz w:val="28"/>
          <w:szCs w:val="28"/>
        </w:rPr>
        <w:t>三、招标文件</w:t>
      </w:r>
      <w:bookmarkEnd w:id="55"/>
    </w:p>
    <w:p>
      <w:pPr>
        <w:pStyle w:val="6"/>
        <w:spacing w:before="0" w:after="0" w:line="360" w:lineRule="auto"/>
        <w:rPr>
          <w:rFonts w:ascii="宋体" w:hAnsi="宋体" w:cs="宋体"/>
          <w:sz w:val="24"/>
          <w:szCs w:val="24"/>
        </w:rPr>
      </w:pPr>
      <w:bookmarkStart w:id="64" w:name="_Toc15594"/>
      <w:r>
        <w:rPr>
          <w:rFonts w:hint="eastAsia" w:ascii="宋体" w:hAnsi="宋体" w:cs="宋体"/>
          <w:sz w:val="24"/>
          <w:szCs w:val="24"/>
        </w:rPr>
        <w:t>6、招标文件的构成</w:t>
      </w:r>
      <w:bookmarkEnd w:id="64"/>
    </w:p>
    <w:p>
      <w:pPr>
        <w:tabs>
          <w:tab w:val="left" w:pos="1180"/>
        </w:tabs>
        <w:spacing w:line="360" w:lineRule="auto"/>
        <w:ind w:firstLine="456" w:firstLineChars="200"/>
        <w:rPr>
          <w:rFonts w:ascii="宋体" w:hAnsi="宋体" w:cs="宋体"/>
          <w:sz w:val="24"/>
        </w:rPr>
      </w:pPr>
      <w:r>
        <w:rPr>
          <w:rFonts w:hint="eastAsia" w:ascii="宋体" w:hAnsi="宋体" w:cs="宋体"/>
          <w:spacing w:val="-6"/>
          <w:sz w:val="24"/>
        </w:rPr>
        <w:t>6.1招标文件是</w:t>
      </w:r>
      <w:r>
        <w:rPr>
          <w:rFonts w:hint="eastAsia" w:ascii="宋体" w:hAnsi="宋体" w:cs="宋体"/>
          <w:sz w:val="24"/>
        </w:rPr>
        <w:t>供应商</w:t>
      </w:r>
      <w:r>
        <w:rPr>
          <w:rFonts w:hint="eastAsia" w:ascii="宋体" w:hAnsi="宋体" w:cs="宋体"/>
          <w:spacing w:val="-6"/>
          <w:sz w:val="24"/>
        </w:rPr>
        <w:t>准备投标文件和参加投标的依据，同时也是评标的重要依据，具有</w:t>
      </w:r>
      <w:r>
        <w:rPr>
          <w:rFonts w:hint="eastAsia" w:ascii="宋体" w:hAnsi="宋体" w:cs="宋体"/>
          <w:spacing w:val="-7"/>
          <w:sz w:val="24"/>
        </w:rPr>
        <w:t>准法律文件性质。招标文件用以阐明招标项目所需的资质、技术、服务及报价等要求、招标投</w:t>
      </w:r>
      <w:r>
        <w:rPr>
          <w:rFonts w:hint="eastAsia" w:ascii="宋体" w:hAnsi="宋体" w:cs="宋体"/>
          <w:sz w:val="24"/>
        </w:rPr>
        <w:t>标程序、有关规定和注意事项以及合同主要条款等。本招标文件包括以下内容：</w:t>
      </w:r>
    </w:p>
    <w:p>
      <w:pPr>
        <w:pStyle w:val="2"/>
        <w:spacing w:after="0" w:line="360" w:lineRule="auto"/>
        <w:ind w:firstLine="480" w:firstLineChars="200"/>
        <w:rPr>
          <w:rFonts w:ascii="宋体" w:hAnsi="宋体" w:cs="宋体"/>
          <w:sz w:val="24"/>
        </w:rPr>
      </w:pPr>
      <w:r>
        <w:rPr>
          <w:rFonts w:hint="eastAsia" w:ascii="宋体" w:hAnsi="宋体" w:cs="宋体"/>
          <w:sz w:val="24"/>
        </w:rPr>
        <w:t>（一）投标邀请；</w:t>
      </w:r>
    </w:p>
    <w:p>
      <w:pPr>
        <w:pStyle w:val="2"/>
        <w:spacing w:after="0" w:line="360" w:lineRule="auto"/>
        <w:ind w:firstLine="480" w:firstLineChars="200"/>
        <w:rPr>
          <w:rFonts w:ascii="宋体" w:hAnsi="宋体" w:cs="宋体"/>
          <w:sz w:val="24"/>
        </w:rPr>
      </w:pPr>
      <w:r>
        <w:rPr>
          <w:rFonts w:hint="eastAsia" w:ascii="宋体" w:hAnsi="宋体" w:cs="宋体"/>
          <w:sz w:val="24"/>
        </w:rPr>
        <w:t>（二）供应商须知；</w:t>
      </w:r>
    </w:p>
    <w:p>
      <w:pPr>
        <w:pStyle w:val="2"/>
        <w:spacing w:after="0" w:line="360" w:lineRule="auto"/>
        <w:ind w:firstLine="480" w:firstLineChars="200"/>
        <w:rPr>
          <w:rFonts w:ascii="宋体" w:hAnsi="宋体" w:cs="宋体"/>
          <w:sz w:val="24"/>
        </w:rPr>
      </w:pPr>
      <w:r>
        <w:rPr>
          <w:rFonts w:hint="eastAsia" w:ascii="宋体" w:hAnsi="宋体" w:cs="宋体"/>
          <w:sz w:val="24"/>
        </w:rPr>
        <w:t>（三）投标文件格式；</w:t>
      </w:r>
    </w:p>
    <w:p>
      <w:pPr>
        <w:pStyle w:val="2"/>
        <w:spacing w:after="0" w:line="360" w:lineRule="auto"/>
        <w:ind w:firstLine="480" w:firstLineChars="200"/>
        <w:rPr>
          <w:rFonts w:ascii="宋体" w:hAnsi="宋体" w:cs="宋体"/>
          <w:sz w:val="24"/>
        </w:rPr>
      </w:pPr>
      <w:r>
        <w:rPr>
          <w:rFonts w:hint="eastAsia" w:ascii="宋体" w:hAnsi="宋体" w:cs="宋体"/>
          <w:sz w:val="24"/>
        </w:rPr>
        <w:t>（四）供应商的资格、资质性及其他类似效力要求；</w:t>
      </w:r>
    </w:p>
    <w:p>
      <w:pPr>
        <w:pStyle w:val="2"/>
        <w:spacing w:after="0" w:line="360" w:lineRule="auto"/>
        <w:ind w:firstLine="480" w:firstLineChars="200"/>
        <w:rPr>
          <w:rFonts w:ascii="宋体" w:hAnsi="宋体" w:cs="宋体"/>
          <w:sz w:val="24"/>
        </w:rPr>
      </w:pPr>
      <w:r>
        <w:rPr>
          <w:rFonts w:hint="eastAsia" w:ascii="宋体" w:hAnsi="宋体" w:cs="宋体"/>
          <w:sz w:val="24"/>
        </w:rPr>
        <w:t>（五）供应商应当提供的资格、资质性及其他类似效力要求的相关证明材料；</w:t>
      </w:r>
    </w:p>
    <w:p>
      <w:pPr>
        <w:pStyle w:val="2"/>
        <w:spacing w:after="0" w:line="360" w:lineRule="auto"/>
        <w:ind w:firstLine="480" w:firstLineChars="200"/>
        <w:rPr>
          <w:rFonts w:ascii="宋体" w:hAnsi="宋体" w:cs="宋体"/>
          <w:sz w:val="24"/>
        </w:rPr>
      </w:pPr>
      <w:r>
        <w:rPr>
          <w:rFonts w:hint="eastAsia" w:ascii="宋体" w:hAnsi="宋体" w:cs="宋体"/>
          <w:sz w:val="24"/>
        </w:rPr>
        <w:t>（六）招标项目技术、商务及其他要求；</w:t>
      </w:r>
    </w:p>
    <w:p>
      <w:pPr>
        <w:pStyle w:val="2"/>
        <w:spacing w:after="0" w:line="360" w:lineRule="auto"/>
        <w:ind w:firstLine="480" w:firstLineChars="200"/>
        <w:rPr>
          <w:rFonts w:ascii="宋体" w:hAnsi="宋体" w:cs="宋体"/>
          <w:sz w:val="24"/>
        </w:rPr>
      </w:pPr>
      <w:r>
        <w:rPr>
          <w:rFonts w:hint="eastAsia" w:ascii="宋体" w:hAnsi="宋体" w:cs="宋体"/>
          <w:sz w:val="24"/>
        </w:rPr>
        <w:t>（七）评标办法；</w:t>
      </w:r>
    </w:p>
    <w:p>
      <w:pPr>
        <w:pStyle w:val="2"/>
        <w:spacing w:after="0" w:line="360" w:lineRule="auto"/>
        <w:ind w:firstLine="480" w:firstLineChars="200"/>
        <w:rPr>
          <w:rFonts w:ascii="宋体" w:hAnsi="宋体" w:cs="宋体"/>
          <w:sz w:val="24"/>
        </w:rPr>
      </w:pPr>
      <w:r>
        <w:rPr>
          <w:rFonts w:hint="eastAsia" w:ascii="宋体" w:hAnsi="宋体" w:cs="宋体"/>
          <w:sz w:val="24"/>
        </w:rPr>
        <w:t>（八）合同主要条款。</w:t>
      </w:r>
    </w:p>
    <w:p>
      <w:pPr>
        <w:pStyle w:val="2"/>
        <w:spacing w:after="0" w:line="360" w:lineRule="auto"/>
        <w:ind w:firstLine="460" w:firstLineChars="200"/>
        <w:rPr>
          <w:rFonts w:ascii="宋体" w:hAnsi="宋体" w:cs="宋体"/>
          <w:sz w:val="24"/>
        </w:rPr>
      </w:pPr>
      <w:r>
        <w:rPr>
          <w:rFonts w:hint="eastAsia" w:ascii="宋体" w:hAnsi="宋体" w:cs="宋体"/>
          <w:spacing w:val="-5"/>
          <w:sz w:val="24"/>
        </w:rPr>
        <w:t>6.2供应商应认真阅读和充分理解招标文件中所有的事项、格式条款和规范要求。供应商没有对招标文件全面做出实质性响应是供应商的风险。没有按照招标文件要求作出实质性响应</w:t>
      </w:r>
      <w:r>
        <w:rPr>
          <w:rFonts w:hint="eastAsia" w:ascii="宋体" w:hAnsi="宋体" w:cs="宋体"/>
          <w:sz w:val="24"/>
        </w:rPr>
        <w:t>的投标文件为无效投标。</w:t>
      </w:r>
    </w:p>
    <w:p>
      <w:pPr>
        <w:tabs>
          <w:tab w:val="left" w:pos="1180"/>
        </w:tabs>
        <w:spacing w:line="360" w:lineRule="auto"/>
        <w:outlineLvl w:val="2"/>
        <w:rPr>
          <w:rFonts w:ascii="宋体" w:hAnsi="宋体" w:cs="宋体"/>
          <w:sz w:val="24"/>
        </w:rPr>
      </w:pPr>
      <w:bookmarkStart w:id="65" w:name="_Toc26437"/>
      <w:r>
        <w:rPr>
          <w:rFonts w:hint="eastAsia" w:ascii="宋体" w:hAnsi="宋体" w:cs="宋体"/>
          <w:b/>
          <w:bCs/>
          <w:sz w:val="24"/>
        </w:rPr>
        <w:t>7、招标文件的澄清和修改</w:t>
      </w:r>
      <w:bookmarkEnd w:id="65"/>
    </w:p>
    <w:p>
      <w:pPr>
        <w:tabs>
          <w:tab w:val="left" w:pos="1180"/>
        </w:tabs>
        <w:spacing w:line="360" w:lineRule="auto"/>
        <w:ind w:firstLine="480" w:firstLineChars="200"/>
        <w:rPr>
          <w:rFonts w:ascii="宋体" w:hAnsi="宋体" w:cs="宋体"/>
          <w:sz w:val="24"/>
        </w:rPr>
      </w:pPr>
      <w:r>
        <w:rPr>
          <w:rFonts w:hint="eastAsia" w:ascii="宋体" w:hAnsi="宋体" w:cs="宋体"/>
          <w:sz w:val="24"/>
        </w:rPr>
        <w:t>7.1在投标截止时间前，招标采购单位可以对招标文件进行澄清或者修改。</w:t>
      </w:r>
    </w:p>
    <w:p>
      <w:pPr>
        <w:pStyle w:val="41"/>
        <w:tabs>
          <w:tab w:val="left" w:pos="0"/>
        </w:tabs>
        <w:spacing w:line="360" w:lineRule="auto"/>
        <w:ind w:left="0" w:firstLineChars="200"/>
        <w:rPr>
          <w:spacing w:val="-5"/>
          <w:sz w:val="24"/>
        </w:rPr>
      </w:pPr>
      <w:r>
        <w:rPr>
          <w:rFonts w:hint="eastAsia"/>
          <w:sz w:val="24"/>
          <w:lang w:val="en-US"/>
        </w:rPr>
        <w:t>7.2</w:t>
      </w:r>
      <w:r>
        <w:rPr>
          <w:rFonts w:hint="eastAsia"/>
          <w:spacing w:val="-5"/>
          <w:sz w:val="24"/>
        </w:rPr>
        <w:t>招标采购单位对已发出的招标文件进行澄清或者修改，但不得改变采购标的和资格条件。澄清或者修改将在招标文件要求的提交投标文件截止时间 15 日前进行，并以书面形式将澄清或者修改的内容通知所有购买了招标文件的供应商，同时在四川政府采购网上发布更正公告。该澄清或者修改的内容为招标文件的组成部分。</w:t>
      </w:r>
    </w:p>
    <w:p>
      <w:pPr>
        <w:pStyle w:val="41"/>
        <w:tabs>
          <w:tab w:val="left" w:pos="0"/>
        </w:tabs>
        <w:spacing w:line="360" w:lineRule="auto"/>
        <w:ind w:left="0" w:firstLineChars="200"/>
        <w:rPr>
          <w:sz w:val="24"/>
        </w:rPr>
      </w:pPr>
      <w:r>
        <w:rPr>
          <w:rFonts w:hint="eastAsia"/>
          <w:sz w:val="24"/>
          <w:lang w:val="en-US"/>
        </w:rPr>
        <w:t>7.3</w:t>
      </w:r>
      <w:r>
        <w:rPr>
          <w:rFonts w:hint="eastAsia"/>
          <w:spacing w:val="-4"/>
          <w:sz w:val="24"/>
        </w:rPr>
        <w:t>供应商认为采购人或采购代理机构需要对招标文件进行澄清或者修改的，可以在提交</w:t>
      </w:r>
      <w:r>
        <w:rPr>
          <w:rFonts w:hint="eastAsia"/>
          <w:spacing w:val="-6"/>
          <w:sz w:val="24"/>
        </w:rPr>
        <w:t xml:space="preserve">投标文件截止之日起 </w:t>
      </w:r>
      <w:r>
        <w:rPr>
          <w:rFonts w:hint="eastAsia"/>
          <w:sz w:val="24"/>
        </w:rPr>
        <w:t>3</w:t>
      </w:r>
      <w:r>
        <w:rPr>
          <w:rFonts w:hint="eastAsia"/>
          <w:spacing w:val="-13"/>
          <w:sz w:val="24"/>
        </w:rPr>
        <w:t xml:space="preserve"> 个工作日前以书面形式向招标采购单位提出申请，但招标采购单位可以</w:t>
      </w:r>
      <w:r>
        <w:rPr>
          <w:rFonts w:hint="eastAsia"/>
          <w:sz w:val="24"/>
        </w:rPr>
        <w:t>决定是否采纳供应商的申请事项。</w:t>
      </w:r>
    </w:p>
    <w:p>
      <w:pPr>
        <w:pStyle w:val="41"/>
        <w:tabs>
          <w:tab w:val="left" w:pos="0"/>
        </w:tabs>
        <w:spacing w:line="360" w:lineRule="auto"/>
        <w:ind w:left="0" w:firstLineChars="200"/>
        <w:rPr>
          <w:sz w:val="24"/>
        </w:rPr>
      </w:pPr>
      <w:r>
        <w:rPr>
          <w:rFonts w:hint="eastAsia"/>
          <w:sz w:val="24"/>
          <w:lang w:val="en-US"/>
        </w:rPr>
        <w:t>7.4</w:t>
      </w:r>
      <w:r>
        <w:rPr>
          <w:rFonts w:hint="eastAsia"/>
          <w:spacing w:val="-5"/>
          <w:sz w:val="24"/>
        </w:rPr>
        <w:t>在投标截止时间前，招标采购单位可以视采购具体情况，延长投标截止</w:t>
      </w:r>
      <w:r>
        <w:rPr>
          <w:rFonts w:hint="eastAsia"/>
          <w:sz w:val="24"/>
        </w:rPr>
        <w:t>（开标</w:t>
      </w:r>
      <w:r>
        <w:rPr>
          <w:rFonts w:hint="eastAsia"/>
          <w:spacing w:val="-24"/>
          <w:sz w:val="24"/>
        </w:rPr>
        <w:t>）</w:t>
      </w:r>
      <w:r>
        <w:rPr>
          <w:rFonts w:hint="eastAsia"/>
          <w:spacing w:val="-9"/>
          <w:sz w:val="24"/>
        </w:rPr>
        <w:t>时间</w:t>
      </w:r>
      <w:r>
        <w:rPr>
          <w:rFonts w:hint="eastAsia"/>
          <w:spacing w:val="-7"/>
          <w:sz w:val="24"/>
        </w:rPr>
        <w:t>或提交资格预审申请文件截止时间，并在招标文件要求提交投标文件或提交资格预审申请文件</w:t>
      </w:r>
      <w:r>
        <w:rPr>
          <w:rFonts w:hint="eastAsia"/>
          <w:spacing w:val="-10"/>
          <w:sz w:val="24"/>
        </w:rPr>
        <w:t>的截止时间</w:t>
      </w:r>
      <w:r>
        <w:rPr>
          <w:rFonts w:hint="eastAsia"/>
          <w:sz w:val="24"/>
        </w:rPr>
        <w:t>3</w:t>
      </w:r>
      <w:r>
        <w:rPr>
          <w:rFonts w:hint="eastAsia"/>
          <w:spacing w:val="-15"/>
          <w:sz w:val="24"/>
        </w:rPr>
        <w:t>日前，将变更时间以四川政府采购网上发布变更公告形式通知所有购买了招标文</w:t>
      </w:r>
      <w:r>
        <w:rPr>
          <w:rFonts w:hint="eastAsia"/>
          <w:sz w:val="24"/>
        </w:rPr>
        <w:t>件的</w:t>
      </w:r>
      <w:r>
        <w:rPr>
          <w:rFonts w:hint="eastAsia"/>
          <w:sz w:val="24"/>
          <w:lang w:val="en-US"/>
        </w:rPr>
        <w:t>供应商</w:t>
      </w:r>
      <w:r>
        <w:rPr>
          <w:rFonts w:hint="eastAsia"/>
          <w:sz w:val="24"/>
        </w:rPr>
        <w:t>。</w:t>
      </w:r>
    </w:p>
    <w:p>
      <w:pPr>
        <w:pStyle w:val="41"/>
        <w:tabs>
          <w:tab w:val="left" w:pos="0"/>
        </w:tabs>
        <w:spacing w:line="360" w:lineRule="auto"/>
        <w:ind w:left="0" w:firstLineChars="200"/>
        <w:rPr>
          <w:sz w:val="24"/>
        </w:rPr>
      </w:pPr>
      <w:r>
        <w:rPr>
          <w:rFonts w:hint="eastAsia"/>
          <w:sz w:val="24"/>
          <w:lang w:val="en-US"/>
        </w:rPr>
        <w:t>7.5</w:t>
      </w:r>
      <w:r>
        <w:rPr>
          <w:rFonts w:hint="eastAsia"/>
          <w:spacing w:val="-3"/>
          <w:sz w:val="24"/>
        </w:rPr>
        <w:t>招标文件中编制的内容前后有矛盾或不一致的，有时间先后顺序的，以时间在后的修</w:t>
      </w:r>
      <w:r>
        <w:rPr>
          <w:rFonts w:hint="eastAsia"/>
          <w:sz w:val="24"/>
        </w:rPr>
        <w:t>改、澄清或补正文件为准；没有时间先后顺序的，按有利于供应商的原则进行处理。</w:t>
      </w:r>
    </w:p>
    <w:p>
      <w:pPr>
        <w:pStyle w:val="6"/>
        <w:spacing w:line="360" w:lineRule="auto"/>
        <w:rPr>
          <w:rFonts w:ascii="宋体" w:hAnsi="宋体" w:cs="宋体"/>
          <w:sz w:val="24"/>
          <w:szCs w:val="20"/>
        </w:rPr>
      </w:pPr>
      <w:bookmarkStart w:id="66" w:name="_Toc26578"/>
      <w:r>
        <w:rPr>
          <w:rFonts w:hint="eastAsia" w:ascii="宋体" w:hAnsi="宋体" w:cs="宋体"/>
          <w:sz w:val="24"/>
          <w:szCs w:val="20"/>
        </w:rPr>
        <w:t>8、答疑会和现场考察</w:t>
      </w:r>
      <w:bookmarkEnd w:id="66"/>
    </w:p>
    <w:p>
      <w:pPr>
        <w:pStyle w:val="41"/>
        <w:tabs>
          <w:tab w:val="left" w:pos="1125"/>
        </w:tabs>
        <w:spacing w:before="1" w:line="360" w:lineRule="auto"/>
        <w:ind w:left="0" w:right="257" w:firstLine="492" w:firstLineChars="200"/>
        <w:rPr>
          <w:sz w:val="24"/>
        </w:rPr>
      </w:pPr>
      <w:r>
        <w:rPr>
          <w:rFonts w:hint="eastAsia"/>
          <w:spacing w:val="3"/>
          <w:sz w:val="24"/>
          <w:lang w:val="en-US"/>
        </w:rPr>
        <w:t>8.1</w:t>
      </w:r>
      <w:r>
        <w:rPr>
          <w:rFonts w:hint="eastAsia"/>
          <w:spacing w:val="3"/>
          <w:sz w:val="24"/>
        </w:rPr>
        <w:t>根据采购项目和具体情况，本项目不组织潜在供应商现场考察或者召开开标前答疑会。</w:t>
      </w:r>
    </w:p>
    <w:p>
      <w:pPr>
        <w:pStyle w:val="41"/>
        <w:tabs>
          <w:tab w:val="left" w:pos="1125"/>
        </w:tabs>
        <w:spacing w:before="1" w:line="360" w:lineRule="auto"/>
        <w:ind w:left="0" w:right="257" w:firstLineChars="200"/>
        <w:rPr>
          <w:sz w:val="24"/>
        </w:rPr>
      </w:pPr>
      <w:r>
        <w:rPr>
          <w:rFonts w:hint="eastAsia"/>
          <w:sz w:val="24"/>
          <w:lang w:val="en-US"/>
        </w:rPr>
        <w:t>8.2供应商</w:t>
      </w:r>
      <w:r>
        <w:rPr>
          <w:rFonts w:hint="eastAsia"/>
          <w:sz w:val="24"/>
        </w:rPr>
        <w:t>自行考察现场所发生的一切费用由</w:t>
      </w:r>
      <w:r>
        <w:rPr>
          <w:rFonts w:hint="eastAsia"/>
          <w:sz w:val="24"/>
          <w:lang w:val="en-US"/>
        </w:rPr>
        <w:t>供应商</w:t>
      </w:r>
      <w:r>
        <w:rPr>
          <w:rFonts w:hint="eastAsia"/>
          <w:sz w:val="24"/>
        </w:rPr>
        <w:t>自己承担。</w:t>
      </w:r>
    </w:p>
    <w:p>
      <w:pPr>
        <w:pStyle w:val="4"/>
        <w:spacing w:before="240" w:beforeLines="100" w:after="240" w:afterLines="100" w:line="360" w:lineRule="auto"/>
        <w:jc w:val="center"/>
        <w:rPr>
          <w:rFonts w:ascii="宋体" w:hAnsi="宋体" w:eastAsia="宋体" w:cs="宋体"/>
          <w:sz w:val="28"/>
          <w:szCs w:val="28"/>
        </w:rPr>
      </w:pPr>
      <w:bookmarkStart w:id="67" w:name="_Toc28417"/>
      <w:r>
        <w:rPr>
          <w:rFonts w:hint="eastAsia" w:ascii="宋体" w:hAnsi="宋体" w:eastAsia="宋体" w:cs="宋体"/>
          <w:sz w:val="28"/>
          <w:szCs w:val="28"/>
        </w:rPr>
        <w:t>四、投标文件</w:t>
      </w:r>
      <w:bookmarkEnd w:id="67"/>
    </w:p>
    <w:bookmarkEnd w:id="56"/>
    <w:bookmarkEnd w:id="57"/>
    <w:bookmarkEnd w:id="58"/>
    <w:bookmarkEnd w:id="59"/>
    <w:bookmarkEnd w:id="60"/>
    <w:bookmarkEnd w:id="61"/>
    <w:bookmarkEnd w:id="62"/>
    <w:bookmarkEnd w:id="63"/>
    <w:p>
      <w:pPr>
        <w:pStyle w:val="6"/>
        <w:spacing w:before="0" w:after="0" w:line="360" w:lineRule="auto"/>
        <w:rPr>
          <w:rFonts w:ascii="宋体" w:hAnsi="宋体" w:cs="宋体"/>
          <w:sz w:val="24"/>
          <w:szCs w:val="20"/>
        </w:rPr>
      </w:pPr>
      <w:bookmarkStart w:id="68" w:name="_Toc26596"/>
      <w:bookmarkStart w:id="69" w:name="_Toc15025"/>
      <w:bookmarkStart w:id="70" w:name="_Toc468331086"/>
      <w:bookmarkStart w:id="71" w:name="_Toc468641501"/>
      <w:bookmarkStart w:id="72" w:name="_Toc15034"/>
      <w:bookmarkStart w:id="73" w:name="_Toc468346377"/>
      <w:bookmarkStart w:id="74" w:name="_Toc183582232"/>
      <w:bookmarkStart w:id="75" w:name="_Toc468640285"/>
      <w:bookmarkStart w:id="76" w:name="_Toc183682369"/>
      <w:bookmarkStart w:id="77" w:name="_Toc217446057"/>
      <w:bookmarkStart w:id="78" w:name="_Toc468320454"/>
      <w:bookmarkStart w:id="79" w:name="_Toc11771"/>
      <w:bookmarkStart w:id="80" w:name="_Toc468654142"/>
      <w:bookmarkStart w:id="81" w:name="_Toc468640380"/>
      <w:bookmarkStart w:id="82" w:name="_Toc11078"/>
      <w:bookmarkStart w:id="83" w:name="_Toc395625042"/>
      <w:r>
        <w:rPr>
          <w:rFonts w:hint="eastAsia" w:ascii="宋体" w:hAnsi="宋体" w:cs="宋体"/>
          <w:sz w:val="24"/>
          <w:szCs w:val="20"/>
        </w:rPr>
        <w:t>9、投标文件的语言（实质性要求）</w:t>
      </w:r>
      <w:bookmarkEnd w:id="68"/>
    </w:p>
    <w:p>
      <w:pPr>
        <w:tabs>
          <w:tab w:val="left" w:pos="1180"/>
        </w:tabs>
        <w:spacing w:line="360" w:lineRule="auto"/>
        <w:ind w:firstLine="480" w:firstLineChars="200"/>
        <w:rPr>
          <w:rFonts w:ascii="宋体" w:hAnsi="宋体" w:cs="宋体"/>
          <w:sz w:val="24"/>
        </w:rPr>
      </w:pPr>
      <w:r>
        <w:rPr>
          <w:rFonts w:hint="eastAsia" w:ascii="宋体" w:hAnsi="宋体" w:cs="宋体"/>
          <w:sz w:val="24"/>
        </w:rPr>
        <w:t>9.1供应商提交的投标文件以及供应商与招标采购单位就有关投标的所有来往书面文件</w:t>
      </w:r>
      <w:r>
        <w:rPr>
          <w:rFonts w:hint="eastAsia" w:ascii="宋体" w:hAnsi="宋体" w:cs="宋体"/>
          <w:spacing w:val="-11"/>
          <w:sz w:val="24"/>
        </w:rPr>
        <w:t>均须使用中文。投标文件中如附有外文资料，必须逐一对应翻译成中文并加盖供应商公章后附</w:t>
      </w:r>
      <w:r>
        <w:rPr>
          <w:rFonts w:hint="eastAsia" w:ascii="宋体" w:hAnsi="宋体" w:cs="宋体"/>
          <w:spacing w:val="-6"/>
          <w:sz w:val="24"/>
        </w:rPr>
        <w:t>在相关外文资料后面，否则，所提供的外文资料将可能被视为无效材料。</w:t>
      </w:r>
      <w:r>
        <w:rPr>
          <w:rFonts w:hint="eastAsia" w:ascii="宋体" w:hAnsi="宋体" w:cs="宋体"/>
          <w:sz w:val="24"/>
        </w:rPr>
        <w:t>（</w:t>
      </w:r>
      <w:r>
        <w:rPr>
          <w:rFonts w:hint="eastAsia" w:ascii="宋体" w:hAnsi="宋体" w:cs="宋体"/>
          <w:spacing w:val="-7"/>
          <w:sz w:val="24"/>
        </w:rPr>
        <w:t>说明：供应商的法</w:t>
      </w:r>
      <w:r>
        <w:rPr>
          <w:rFonts w:hint="eastAsia" w:ascii="宋体" w:hAnsi="宋体" w:cs="宋体"/>
          <w:sz w:val="24"/>
        </w:rPr>
        <w:t>定代表人为外籍人士的，法定代表人的签字和护照除外。）</w:t>
      </w:r>
    </w:p>
    <w:p>
      <w:pPr>
        <w:tabs>
          <w:tab w:val="left" w:pos="1180"/>
        </w:tabs>
        <w:spacing w:line="360" w:lineRule="auto"/>
        <w:ind w:firstLine="456" w:firstLineChars="200"/>
        <w:rPr>
          <w:rFonts w:ascii="宋体" w:hAnsi="宋体" w:cs="宋体"/>
          <w:sz w:val="24"/>
        </w:rPr>
      </w:pPr>
      <w:r>
        <w:rPr>
          <w:rFonts w:hint="eastAsia" w:ascii="宋体" w:hAnsi="宋体" w:cs="宋体"/>
          <w:spacing w:val="-6"/>
          <w:sz w:val="24"/>
        </w:rPr>
        <w:t>9.2翻译的中文资料与外文资料如果出现差异和矛盾时，以中文为准。实质性翻译错误的</w:t>
      </w:r>
      <w:r>
        <w:rPr>
          <w:rFonts w:hint="eastAsia" w:ascii="宋体" w:hAnsi="宋体" w:cs="宋体"/>
          <w:sz w:val="24"/>
        </w:rPr>
        <w:t>外文资料将可能被视为无效材料。涉嫌虚假响应的按照相关法律法规处理。</w:t>
      </w:r>
    </w:p>
    <w:p>
      <w:pPr>
        <w:tabs>
          <w:tab w:val="left" w:pos="1180"/>
        </w:tabs>
        <w:spacing w:line="360" w:lineRule="auto"/>
        <w:ind w:firstLine="480" w:firstLineChars="200"/>
        <w:rPr>
          <w:rFonts w:ascii="宋体" w:hAnsi="宋体" w:cs="宋体"/>
          <w:sz w:val="24"/>
        </w:rPr>
      </w:pPr>
      <w:r>
        <w:rPr>
          <w:rFonts w:hint="eastAsia" w:ascii="宋体" w:hAnsi="宋体" w:cs="宋体"/>
          <w:sz w:val="24"/>
        </w:rPr>
        <w:t>9.3 如因未翻译而造成的废标，其责任由供应商承担。</w:t>
      </w:r>
    </w:p>
    <w:p>
      <w:pPr>
        <w:tabs>
          <w:tab w:val="left" w:pos="1180"/>
        </w:tabs>
        <w:spacing w:line="360" w:lineRule="auto"/>
        <w:outlineLvl w:val="2"/>
        <w:rPr>
          <w:rFonts w:ascii="宋体" w:hAnsi="宋体" w:cs="宋体"/>
          <w:b/>
          <w:bCs/>
          <w:sz w:val="24"/>
        </w:rPr>
      </w:pPr>
      <w:bookmarkStart w:id="84" w:name="_Toc5916"/>
      <w:r>
        <w:rPr>
          <w:rFonts w:hint="eastAsia" w:ascii="宋体" w:hAnsi="宋体" w:cs="宋体"/>
          <w:b/>
          <w:bCs/>
          <w:sz w:val="24"/>
        </w:rPr>
        <w:t>10、计量单位</w:t>
      </w:r>
      <w:bookmarkEnd w:id="84"/>
    </w:p>
    <w:p>
      <w:pPr>
        <w:pStyle w:val="2"/>
        <w:spacing w:after="0" w:line="360" w:lineRule="auto"/>
        <w:ind w:firstLine="480" w:firstLineChars="200"/>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6"/>
        <w:spacing w:before="0" w:after="0" w:line="360" w:lineRule="auto"/>
        <w:rPr>
          <w:rFonts w:ascii="宋体" w:hAnsi="宋体" w:cs="宋体"/>
          <w:sz w:val="24"/>
          <w:szCs w:val="24"/>
        </w:rPr>
      </w:pPr>
      <w:bookmarkStart w:id="85" w:name="_Toc11326"/>
      <w:r>
        <w:rPr>
          <w:rFonts w:hint="eastAsia" w:ascii="宋体" w:hAnsi="宋体" w:cs="宋体"/>
          <w:sz w:val="24"/>
          <w:szCs w:val="24"/>
        </w:rPr>
        <w:t>11、投标货币（实质性要求）</w:t>
      </w:r>
      <w:bookmarkEnd w:id="85"/>
    </w:p>
    <w:p>
      <w:pPr>
        <w:spacing w:line="360" w:lineRule="auto"/>
        <w:ind w:firstLine="480" w:firstLineChars="200"/>
        <w:rPr>
          <w:rFonts w:ascii="宋体" w:hAnsi="宋体" w:cs="宋体"/>
          <w:sz w:val="24"/>
        </w:rPr>
      </w:pPr>
      <w:r>
        <w:rPr>
          <w:rFonts w:hint="eastAsia" w:ascii="宋体" w:hAnsi="宋体" w:cs="宋体"/>
          <w:sz w:val="24"/>
        </w:rPr>
        <w:t>本次采购项目的投标均以人民币报价。</w:t>
      </w:r>
    </w:p>
    <w:p>
      <w:pPr>
        <w:spacing w:line="360" w:lineRule="auto"/>
        <w:outlineLvl w:val="2"/>
        <w:rPr>
          <w:rFonts w:ascii="宋体" w:hAnsi="宋体" w:cs="宋体"/>
          <w:b/>
          <w:sz w:val="24"/>
        </w:rPr>
      </w:pPr>
      <w:bookmarkStart w:id="86" w:name="_Toc29476"/>
      <w:r>
        <w:rPr>
          <w:rFonts w:hint="eastAsia" w:ascii="宋体" w:hAnsi="宋体" w:cs="宋体"/>
          <w:b/>
          <w:sz w:val="24"/>
        </w:rPr>
        <w:t>12、联合体投标（实质性要求）</w:t>
      </w:r>
      <w:bookmarkEnd w:id="86"/>
    </w:p>
    <w:p>
      <w:pPr>
        <w:tabs>
          <w:tab w:val="left" w:pos="1300"/>
        </w:tabs>
        <w:spacing w:line="360" w:lineRule="auto"/>
        <w:ind w:firstLine="480" w:firstLineChars="200"/>
        <w:rPr>
          <w:rFonts w:ascii="宋体" w:hAnsi="宋体" w:cs="宋体"/>
          <w:sz w:val="24"/>
        </w:rPr>
      </w:pPr>
      <w:r>
        <w:rPr>
          <w:rFonts w:hint="eastAsia" w:ascii="宋体" w:hAnsi="宋体" w:cs="宋体"/>
          <w:sz w:val="24"/>
        </w:rPr>
        <w:t>本次政府采购项目不接受联合体投标。</w:t>
      </w:r>
    </w:p>
    <w:p>
      <w:pPr>
        <w:pStyle w:val="6"/>
        <w:tabs>
          <w:tab w:val="left" w:pos="1300"/>
        </w:tabs>
        <w:spacing w:before="0" w:after="0" w:line="360" w:lineRule="auto"/>
        <w:rPr>
          <w:rFonts w:ascii="宋体" w:hAnsi="宋体" w:cs="宋体"/>
          <w:sz w:val="24"/>
          <w:szCs w:val="24"/>
        </w:rPr>
      </w:pPr>
      <w:bookmarkStart w:id="87" w:name="_Toc32639"/>
      <w:r>
        <w:rPr>
          <w:rFonts w:hint="eastAsia" w:ascii="宋体" w:hAnsi="宋体" w:cs="宋体"/>
          <w:sz w:val="24"/>
          <w:szCs w:val="24"/>
        </w:rPr>
        <w:t>13、知识产权（如有）</w:t>
      </w:r>
      <w:bookmarkEnd w:id="87"/>
    </w:p>
    <w:p>
      <w:pPr>
        <w:pStyle w:val="41"/>
        <w:tabs>
          <w:tab w:val="left" w:pos="1300"/>
        </w:tabs>
        <w:spacing w:line="360" w:lineRule="auto"/>
        <w:ind w:left="0" w:firstLineChars="200"/>
        <w:rPr>
          <w:sz w:val="24"/>
        </w:rPr>
      </w:pPr>
      <w:r>
        <w:rPr>
          <w:rFonts w:hint="eastAsia"/>
          <w:sz w:val="24"/>
          <w:lang w:val="en-US"/>
        </w:rPr>
        <w:t>13.1</w:t>
      </w:r>
      <w:r>
        <w:rPr>
          <w:rFonts w:hint="eastAsia"/>
          <w:sz w:val="24"/>
        </w:rPr>
        <w:t>供应商应保证在本项目使用的任何产品和服务（包括部分使用）时，不会产生因第</w:t>
      </w:r>
      <w:r>
        <w:rPr>
          <w:rFonts w:hint="eastAsia"/>
          <w:spacing w:val="-6"/>
          <w:sz w:val="24"/>
        </w:rPr>
        <w:t>三方提出侵犯其专利权、商标权或其它知识产权而引起的法律和经济纠纷，如因专利权、商标</w:t>
      </w:r>
      <w:r>
        <w:rPr>
          <w:rFonts w:hint="eastAsia"/>
          <w:sz w:val="24"/>
        </w:rPr>
        <w:t>权或其它知识产权而引起法律和经济纠纷，由供应商承担所有相关责任。</w:t>
      </w:r>
    </w:p>
    <w:p>
      <w:pPr>
        <w:pStyle w:val="41"/>
        <w:tabs>
          <w:tab w:val="left" w:pos="1300"/>
        </w:tabs>
        <w:spacing w:line="360" w:lineRule="auto"/>
        <w:ind w:left="0" w:firstLineChars="200"/>
        <w:rPr>
          <w:sz w:val="24"/>
        </w:rPr>
      </w:pPr>
      <w:r>
        <w:rPr>
          <w:rFonts w:hint="eastAsia"/>
          <w:sz w:val="24"/>
          <w:lang w:val="en-US"/>
        </w:rPr>
        <w:t>13.2</w:t>
      </w:r>
      <w:r>
        <w:rPr>
          <w:rFonts w:hint="eastAsia"/>
          <w:sz w:val="24"/>
        </w:rPr>
        <w:t>采购人享有本项目实施过程中产生的知识成果及知识产权。</w:t>
      </w:r>
    </w:p>
    <w:p>
      <w:pPr>
        <w:tabs>
          <w:tab w:val="left" w:pos="1281"/>
        </w:tabs>
        <w:spacing w:line="360" w:lineRule="auto"/>
        <w:ind w:firstLine="480" w:firstLineChars="200"/>
        <w:rPr>
          <w:rFonts w:ascii="宋体" w:hAnsi="宋体" w:cs="宋体"/>
          <w:sz w:val="24"/>
        </w:rPr>
      </w:pPr>
      <w:r>
        <w:rPr>
          <w:rFonts w:hint="eastAsia" w:ascii="宋体" w:hAnsi="宋体" w:cs="宋体"/>
          <w:sz w:val="24"/>
        </w:rPr>
        <w:t>13.3供应商如欲在项目实施过程中采用自有知识成果，需在投标文件中声明，并提供相</w:t>
      </w:r>
      <w:r>
        <w:rPr>
          <w:rFonts w:hint="eastAsia" w:ascii="宋体" w:hAnsi="宋体" w:cs="宋体"/>
          <w:spacing w:val="-8"/>
          <w:sz w:val="24"/>
        </w:rPr>
        <w:t>关知识产权证明文件。使用该知识成果后，供应商需提供开发接口和开发手册等技术文档，并</w:t>
      </w:r>
      <w:r>
        <w:rPr>
          <w:rFonts w:hint="eastAsia" w:ascii="宋体" w:hAnsi="宋体" w:cs="宋体"/>
          <w:spacing w:val="-6"/>
          <w:sz w:val="24"/>
        </w:rPr>
        <w:t>承诺提供无限期技术支持，采购人享有永久使用权</w:t>
      </w:r>
      <w:r>
        <w:rPr>
          <w:rFonts w:hint="eastAsia" w:ascii="宋体" w:hAnsi="宋体" w:cs="宋体"/>
          <w:sz w:val="24"/>
        </w:rPr>
        <w:t>（</w:t>
      </w:r>
      <w:r>
        <w:rPr>
          <w:rFonts w:hint="eastAsia" w:ascii="宋体" w:hAnsi="宋体" w:cs="宋体"/>
          <w:spacing w:val="-1"/>
          <w:sz w:val="24"/>
        </w:rPr>
        <w:t>含采购人委托第三方在该项目后续开发的</w:t>
      </w:r>
      <w:r>
        <w:rPr>
          <w:rFonts w:hint="eastAsia" w:ascii="宋体" w:hAnsi="宋体" w:cs="宋体"/>
          <w:sz w:val="24"/>
        </w:rPr>
        <w:t>使用权）。</w:t>
      </w:r>
    </w:p>
    <w:p>
      <w:pPr>
        <w:tabs>
          <w:tab w:val="left" w:pos="1281"/>
        </w:tabs>
        <w:spacing w:line="360" w:lineRule="auto"/>
        <w:ind w:firstLine="480" w:firstLineChars="200"/>
        <w:rPr>
          <w:rFonts w:ascii="宋体" w:hAnsi="宋体" w:cs="宋体"/>
          <w:sz w:val="24"/>
        </w:rPr>
      </w:pPr>
      <w:r>
        <w:rPr>
          <w:rFonts w:hint="eastAsia" w:ascii="宋体" w:hAnsi="宋体" w:cs="宋体"/>
          <w:sz w:val="24"/>
        </w:rPr>
        <w:t>13.4</w:t>
      </w:r>
      <w:r>
        <w:rPr>
          <w:rFonts w:hint="eastAsia" w:ascii="宋体" w:hAnsi="宋体" w:cs="宋体"/>
          <w:spacing w:val="-1"/>
          <w:sz w:val="24"/>
        </w:rPr>
        <w:t>如采用供应商所不拥有的知识产权，则在投标报价中必须包括合法获取该知识产权</w:t>
      </w:r>
      <w:r>
        <w:rPr>
          <w:rFonts w:hint="eastAsia" w:ascii="宋体" w:hAnsi="宋体" w:cs="宋体"/>
          <w:sz w:val="24"/>
        </w:rPr>
        <w:t>的相关费用。</w:t>
      </w:r>
    </w:p>
    <w:p>
      <w:pPr>
        <w:pStyle w:val="6"/>
        <w:spacing w:before="0" w:after="0" w:line="360" w:lineRule="auto"/>
        <w:rPr>
          <w:rFonts w:ascii="宋体" w:hAnsi="宋体" w:cs="宋体"/>
          <w:sz w:val="24"/>
          <w:szCs w:val="24"/>
        </w:rPr>
      </w:pPr>
      <w:bookmarkStart w:id="88" w:name="_Toc7035"/>
      <w:r>
        <w:rPr>
          <w:rFonts w:hint="eastAsia" w:ascii="宋体" w:hAnsi="宋体" w:cs="宋体"/>
          <w:sz w:val="24"/>
          <w:szCs w:val="24"/>
        </w:rPr>
        <w:t>14、投标文件的组成</w:t>
      </w:r>
      <w:bookmarkEnd w:id="88"/>
    </w:p>
    <w:p>
      <w:pPr>
        <w:spacing w:line="360" w:lineRule="auto"/>
        <w:ind w:firstLine="480" w:firstLineChars="200"/>
        <w:rPr>
          <w:rFonts w:ascii="宋体" w:hAnsi="宋体" w:cs="宋体"/>
          <w:sz w:val="24"/>
        </w:rPr>
      </w:pPr>
      <w:r>
        <w:rPr>
          <w:rFonts w:hint="eastAsia" w:ascii="宋体" w:hAnsi="宋体" w:cs="宋体"/>
          <w:sz w:val="24"/>
        </w:rPr>
        <w:t>供应商应当按照招标文件的规定和要求编制投标文件。</w:t>
      </w:r>
      <w:r>
        <w:rPr>
          <w:rFonts w:hint="eastAsia" w:ascii="宋体" w:hAnsi="宋体" w:cs="宋体"/>
          <w:b/>
          <w:spacing w:val="3"/>
          <w:sz w:val="24"/>
          <w:u w:val="single"/>
        </w:rPr>
        <w:t>投标文件分资格性投标文件和技术服</w:t>
      </w:r>
      <w:r>
        <w:rPr>
          <w:rFonts w:hint="eastAsia" w:ascii="宋体" w:hAnsi="宋体" w:cs="宋体"/>
          <w:b/>
          <w:sz w:val="24"/>
          <w:u w:val="single"/>
        </w:rPr>
        <w:t>务性投标文件两部分，分册装订（未按要求分册装订的投标文件无效</w:t>
      </w:r>
      <w:r>
        <w:rPr>
          <w:rFonts w:hint="eastAsia" w:ascii="宋体" w:hAnsi="宋体" w:cs="宋体"/>
          <w:b/>
          <w:spacing w:val="-118"/>
          <w:sz w:val="24"/>
          <w:u w:val="single"/>
        </w:rPr>
        <w:t>）</w:t>
      </w:r>
      <w:r>
        <w:rPr>
          <w:rFonts w:hint="eastAsia" w:ascii="宋体" w:hAnsi="宋体" w:cs="宋体"/>
          <w:b/>
          <w:sz w:val="24"/>
        </w:rPr>
        <w:t>。</w:t>
      </w:r>
      <w:r>
        <w:rPr>
          <w:rFonts w:hint="eastAsia" w:ascii="宋体" w:hAnsi="宋体" w:cs="宋体"/>
          <w:sz w:val="24"/>
        </w:rPr>
        <w:t>资格性投标文件用</w:t>
      </w:r>
      <w:r>
        <w:rPr>
          <w:rFonts w:hint="eastAsia" w:ascii="宋体" w:hAnsi="宋体" w:cs="宋体"/>
          <w:spacing w:val="-9"/>
          <w:sz w:val="24"/>
        </w:rPr>
        <w:t>于采购人、采购代理机构资格审查，技术、服务性投标文件用于评标委员会评审。供应商拟在</w:t>
      </w:r>
      <w:r>
        <w:rPr>
          <w:rFonts w:hint="eastAsia" w:ascii="宋体" w:hAnsi="宋体" w:cs="宋体"/>
          <w:spacing w:val="-19"/>
          <w:sz w:val="24"/>
        </w:rPr>
        <w:t>中标后将中标项目的非主体、非关键性工作交由他人分包完成的，应当在投标文件中载明。供应商对其提交的投标文件的真实性、合法性承担法律责任。</w:t>
      </w:r>
    </w:p>
    <w:p>
      <w:pPr>
        <w:tabs>
          <w:tab w:val="left" w:pos="1003"/>
        </w:tabs>
        <w:spacing w:line="360" w:lineRule="auto"/>
        <w:ind w:firstLine="482" w:firstLineChars="200"/>
        <w:jc w:val="left"/>
        <w:rPr>
          <w:rFonts w:ascii="宋体" w:hAnsi="宋体" w:cs="宋体"/>
          <w:b/>
          <w:bCs/>
          <w:sz w:val="24"/>
        </w:rPr>
      </w:pPr>
      <w:r>
        <w:rPr>
          <w:rFonts w:hint="eastAsia" w:ascii="宋体" w:hAnsi="宋体" w:cs="宋体"/>
          <w:b/>
          <w:bCs/>
          <w:sz w:val="24"/>
        </w:rPr>
        <w:t>14.1资格性投标文件（实质性要求）：</w:t>
      </w:r>
    </w:p>
    <w:p>
      <w:pPr>
        <w:spacing w:line="360" w:lineRule="auto"/>
        <w:ind w:firstLine="482" w:firstLineChars="200"/>
        <w:rPr>
          <w:rFonts w:ascii="宋体" w:hAnsi="宋体" w:cs="宋体"/>
          <w:b/>
          <w:bCs/>
          <w:sz w:val="24"/>
        </w:rPr>
      </w:pPr>
      <w:r>
        <w:rPr>
          <w:rFonts w:hint="eastAsia" w:ascii="宋体" w:hAnsi="宋体" w:cs="宋体"/>
          <w:b/>
          <w:bCs/>
          <w:sz w:val="24"/>
        </w:rPr>
        <w:t>资格性投标文件应提交的资格证明材料及其他材料详见“第五章 供应商应当提供的资格、资质性及其他类似效力要求的相关证明材料”。</w:t>
      </w:r>
    </w:p>
    <w:p>
      <w:pPr>
        <w:tabs>
          <w:tab w:val="left" w:pos="1243"/>
        </w:tabs>
        <w:spacing w:line="360" w:lineRule="auto"/>
        <w:ind w:firstLine="478" w:firstLineChars="200"/>
        <w:jc w:val="left"/>
        <w:rPr>
          <w:rFonts w:ascii="宋体" w:hAnsi="宋体" w:cs="宋体"/>
          <w:sz w:val="24"/>
        </w:rPr>
      </w:pPr>
      <w:r>
        <w:rPr>
          <w:rFonts w:hint="eastAsia" w:ascii="宋体" w:hAnsi="宋体" w:cs="宋体"/>
          <w:b/>
          <w:bCs/>
          <w:spacing w:val="-1"/>
          <w:sz w:val="24"/>
        </w:rPr>
        <w:t>14.2技术、服务性投标文件包括以下内容：</w:t>
      </w:r>
    </w:p>
    <w:p>
      <w:pPr>
        <w:pStyle w:val="41"/>
        <w:tabs>
          <w:tab w:val="left" w:pos="1476"/>
        </w:tabs>
        <w:spacing w:line="360" w:lineRule="auto"/>
        <w:ind w:left="0" w:firstLine="454" w:firstLineChars="200"/>
        <w:rPr>
          <w:sz w:val="24"/>
        </w:rPr>
      </w:pPr>
      <w:r>
        <w:rPr>
          <w:rFonts w:hint="eastAsia"/>
          <w:b/>
          <w:spacing w:val="-7"/>
          <w:sz w:val="24"/>
          <w:lang w:val="en-US"/>
        </w:rPr>
        <w:t>14.2.1</w:t>
      </w:r>
      <w:r>
        <w:rPr>
          <w:rFonts w:hint="eastAsia"/>
          <w:b/>
          <w:spacing w:val="-7"/>
          <w:sz w:val="24"/>
        </w:rPr>
        <w:t>报价部分</w:t>
      </w:r>
      <w:r>
        <w:rPr>
          <w:rFonts w:hint="eastAsia"/>
          <w:b/>
          <w:sz w:val="24"/>
        </w:rPr>
        <w:t>（实质性要求</w:t>
      </w:r>
      <w:r>
        <w:rPr>
          <w:rFonts w:hint="eastAsia"/>
          <w:b/>
          <w:spacing w:val="-24"/>
          <w:sz w:val="24"/>
        </w:rPr>
        <w:t>）</w:t>
      </w:r>
      <w:r>
        <w:rPr>
          <w:rFonts w:hint="eastAsia"/>
          <w:b/>
          <w:spacing w:val="-27"/>
          <w:sz w:val="24"/>
        </w:rPr>
        <w:t>。</w:t>
      </w:r>
      <w:r>
        <w:rPr>
          <w:rFonts w:hint="eastAsia"/>
          <w:spacing w:val="-6"/>
          <w:sz w:val="24"/>
        </w:rPr>
        <w:t>供应商按照招标文件要求填写的“开标一览表”及“分</w:t>
      </w:r>
      <w:r>
        <w:rPr>
          <w:rFonts w:hint="eastAsia"/>
          <w:sz w:val="24"/>
        </w:rPr>
        <w:t>项报价明细表（如有）”。 本次报价要求：</w:t>
      </w:r>
    </w:p>
    <w:p>
      <w:pPr>
        <w:pStyle w:val="41"/>
        <w:tabs>
          <w:tab w:val="left" w:pos="1174"/>
        </w:tabs>
        <w:spacing w:line="360" w:lineRule="auto"/>
        <w:ind w:left="0" w:firstLine="472" w:firstLineChars="200"/>
        <w:rPr>
          <w:sz w:val="24"/>
        </w:rPr>
      </w:pPr>
      <w:r>
        <w:rPr>
          <w:rFonts w:hint="eastAsia"/>
          <w:spacing w:val="-2"/>
          <w:sz w:val="24"/>
        </w:rPr>
        <w:t>（</w:t>
      </w:r>
      <w:r>
        <w:rPr>
          <w:rFonts w:hint="eastAsia"/>
          <w:spacing w:val="-2"/>
          <w:sz w:val="24"/>
          <w:lang w:val="en-US"/>
        </w:rPr>
        <w:t>1</w:t>
      </w:r>
      <w:r>
        <w:rPr>
          <w:rFonts w:hint="eastAsia"/>
          <w:spacing w:val="-2"/>
          <w:sz w:val="24"/>
        </w:rPr>
        <w:t>）供应商的报价是供应商响应招标项目要求的全部工作内容的价格体现，包括供应商</w:t>
      </w:r>
      <w:r>
        <w:rPr>
          <w:rFonts w:hint="eastAsia"/>
          <w:spacing w:val="-4"/>
          <w:sz w:val="24"/>
        </w:rPr>
        <w:t>完成本项目所需的一切费用。</w:t>
      </w:r>
    </w:p>
    <w:p>
      <w:pPr>
        <w:pStyle w:val="41"/>
        <w:tabs>
          <w:tab w:val="left" w:pos="1174"/>
        </w:tabs>
        <w:spacing w:line="360" w:lineRule="auto"/>
        <w:ind w:left="0" w:firstLine="468" w:firstLineChars="200"/>
        <w:rPr>
          <w:sz w:val="24"/>
        </w:rPr>
      </w:pPr>
      <w:r>
        <w:rPr>
          <w:rFonts w:hint="eastAsia"/>
          <w:spacing w:val="-3"/>
          <w:sz w:val="24"/>
        </w:rPr>
        <w:t>（</w:t>
      </w:r>
      <w:r>
        <w:rPr>
          <w:rFonts w:hint="eastAsia"/>
          <w:spacing w:val="-3"/>
          <w:sz w:val="24"/>
          <w:lang w:val="en-US"/>
        </w:rPr>
        <w:t>2</w:t>
      </w:r>
      <w:r>
        <w:rPr>
          <w:rFonts w:hint="eastAsia"/>
          <w:spacing w:val="-3"/>
          <w:sz w:val="24"/>
        </w:rPr>
        <w:t>）供应商每种服务项目只允许有一个报价，并且在合同履行过程中是固定不变的，任</w:t>
      </w:r>
      <w:r>
        <w:rPr>
          <w:rFonts w:hint="eastAsia"/>
          <w:spacing w:val="-4"/>
          <w:sz w:val="24"/>
        </w:rPr>
        <w:t>何有选择或可调整的报价将不予接受，并按无效投标处理。</w:t>
      </w:r>
    </w:p>
    <w:p>
      <w:pPr>
        <w:spacing w:line="360" w:lineRule="auto"/>
        <w:ind w:firstLine="434" w:firstLineChars="200"/>
        <w:rPr>
          <w:rFonts w:ascii="宋体" w:hAnsi="宋体" w:cs="宋体"/>
          <w:sz w:val="24"/>
        </w:rPr>
      </w:pPr>
      <w:r>
        <w:rPr>
          <w:rFonts w:hint="eastAsia" w:ascii="宋体" w:hAnsi="宋体" w:cs="宋体"/>
          <w:b/>
          <w:spacing w:val="-12"/>
          <w:sz w:val="24"/>
        </w:rPr>
        <w:t>14.2.2 技术部分</w:t>
      </w:r>
      <w:r>
        <w:rPr>
          <w:rFonts w:hint="eastAsia" w:ascii="宋体" w:hAnsi="宋体" w:cs="宋体"/>
          <w:b/>
          <w:sz w:val="24"/>
        </w:rPr>
        <w:t>（实质性要求</w:t>
      </w:r>
      <w:r>
        <w:rPr>
          <w:rFonts w:hint="eastAsia" w:ascii="宋体" w:hAnsi="宋体" w:cs="宋体"/>
          <w:b/>
          <w:spacing w:val="4"/>
          <w:sz w:val="24"/>
        </w:rPr>
        <w:t>）</w:t>
      </w:r>
      <w:r>
        <w:rPr>
          <w:rFonts w:hint="eastAsia" w:ascii="宋体" w:hAnsi="宋体" w:cs="宋体"/>
          <w:b/>
          <w:sz w:val="24"/>
        </w:rPr>
        <w:t>。</w:t>
      </w:r>
      <w:r>
        <w:rPr>
          <w:rFonts w:hint="eastAsia" w:ascii="宋体" w:hAnsi="宋体" w:cs="宋体"/>
          <w:spacing w:val="-1"/>
          <w:sz w:val="24"/>
        </w:rPr>
        <w:t>供应商按照招标文件要求做出的技术应答，主要是针</w:t>
      </w:r>
      <w:r>
        <w:rPr>
          <w:rFonts w:hint="eastAsia" w:ascii="宋体" w:hAnsi="宋体" w:cs="宋体"/>
          <w:sz w:val="24"/>
        </w:rPr>
        <w:t>对招标项目的技术指标、参数和技术要求做出的实质性响应和满足。</w:t>
      </w:r>
    </w:p>
    <w:p>
      <w:pPr>
        <w:pStyle w:val="41"/>
        <w:tabs>
          <w:tab w:val="left" w:pos="1485"/>
        </w:tabs>
        <w:spacing w:line="360" w:lineRule="auto"/>
        <w:ind w:left="0" w:firstLine="466" w:firstLineChars="200"/>
        <w:rPr>
          <w:sz w:val="24"/>
        </w:rPr>
      </w:pPr>
      <w:r>
        <w:rPr>
          <w:rFonts w:hint="eastAsia"/>
          <w:b/>
          <w:spacing w:val="-4"/>
          <w:sz w:val="24"/>
        </w:rPr>
        <w:t>14.2.3售后服务</w:t>
      </w:r>
      <w:r>
        <w:rPr>
          <w:rFonts w:hint="eastAsia"/>
          <w:b/>
          <w:sz w:val="24"/>
        </w:rPr>
        <w:t>（如有</w:t>
      </w:r>
      <w:r>
        <w:rPr>
          <w:rFonts w:hint="eastAsia"/>
          <w:b/>
          <w:spacing w:val="-15"/>
          <w:sz w:val="24"/>
        </w:rPr>
        <w:t>）</w:t>
      </w:r>
      <w:r>
        <w:rPr>
          <w:rFonts w:hint="eastAsia"/>
          <w:b/>
          <w:spacing w:val="-17"/>
          <w:sz w:val="24"/>
        </w:rPr>
        <w:t>。</w:t>
      </w:r>
      <w:r>
        <w:rPr>
          <w:rFonts w:hint="eastAsia"/>
          <w:sz w:val="24"/>
        </w:rPr>
        <w:t>供应商按照招标文件中售后服务要求作出的积极响应和承诺。</w:t>
      </w:r>
    </w:p>
    <w:p>
      <w:pPr>
        <w:pStyle w:val="41"/>
        <w:tabs>
          <w:tab w:val="left" w:pos="1485"/>
        </w:tabs>
        <w:spacing w:line="360" w:lineRule="auto"/>
        <w:ind w:left="0" w:firstLine="482" w:firstLineChars="200"/>
        <w:rPr>
          <w:sz w:val="24"/>
        </w:rPr>
      </w:pPr>
      <w:r>
        <w:rPr>
          <w:rFonts w:hint="eastAsia"/>
          <w:b/>
          <w:sz w:val="24"/>
          <w:lang w:val="en-US"/>
        </w:rPr>
        <w:t>14.2.4</w:t>
      </w:r>
      <w:r>
        <w:rPr>
          <w:rFonts w:hint="eastAsia"/>
          <w:b/>
          <w:sz w:val="24"/>
        </w:rPr>
        <w:t>其他部分。</w:t>
      </w:r>
      <w:r>
        <w:rPr>
          <w:rFonts w:hint="eastAsia"/>
          <w:sz w:val="24"/>
        </w:rPr>
        <w:t>供应商按照招标文件要求作出的其他应答和承诺。</w:t>
      </w:r>
    </w:p>
    <w:p>
      <w:pPr>
        <w:pStyle w:val="6"/>
        <w:spacing w:before="0" w:after="0" w:line="360" w:lineRule="auto"/>
        <w:rPr>
          <w:rFonts w:ascii="宋体" w:hAnsi="宋体" w:cs="宋体"/>
          <w:sz w:val="24"/>
          <w:szCs w:val="20"/>
        </w:rPr>
      </w:pPr>
      <w:bookmarkStart w:id="89" w:name="_Toc6093"/>
      <w:r>
        <w:rPr>
          <w:rFonts w:hint="eastAsia" w:ascii="宋体" w:hAnsi="宋体" w:cs="宋体"/>
          <w:sz w:val="24"/>
          <w:szCs w:val="20"/>
        </w:rPr>
        <w:t>15、投标文件格式</w:t>
      </w:r>
      <w:bookmarkEnd w:id="89"/>
    </w:p>
    <w:p>
      <w:pPr>
        <w:pStyle w:val="41"/>
        <w:tabs>
          <w:tab w:val="left" w:pos="1291"/>
        </w:tabs>
        <w:spacing w:line="360" w:lineRule="auto"/>
        <w:ind w:left="0" w:firstLine="476" w:firstLineChars="200"/>
        <w:rPr>
          <w:sz w:val="24"/>
        </w:rPr>
      </w:pPr>
      <w:r>
        <w:rPr>
          <w:rFonts w:hint="eastAsia"/>
          <w:spacing w:val="-1"/>
          <w:sz w:val="24"/>
          <w:lang w:val="en-US"/>
        </w:rPr>
        <w:t>15.1</w:t>
      </w:r>
      <w:r>
        <w:rPr>
          <w:rFonts w:hint="eastAsia"/>
          <w:spacing w:val="-1"/>
          <w:sz w:val="24"/>
        </w:rPr>
        <w:t>供应商应执行招标文件第三章的规定要求。供应商投标文件相关资料和该章所制格</w:t>
      </w:r>
      <w:r>
        <w:rPr>
          <w:rFonts w:hint="eastAsia"/>
          <w:sz w:val="24"/>
        </w:rPr>
        <w:t>式不一致的，评标委员会将在评分时以投标文件不规范予以扣分处理。</w:t>
      </w:r>
    </w:p>
    <w:p>
      <w:pPr>
        <w:pStyle w:val="41"/>
        <w:tabs>
          <w:tab w:val="left" w:pos="1231"/>
        </w:tabs>
        <w:spacing w:line="360" w:lineRule="auto"/>
        <w:ind w:left="0" w:firstLine="476" w:firstLineChars="200"/>
        <w:rPr>
          <w:sz w:val="24"/>
        </w:rPr>
      </w:pPr>
      <w:r>
        <w:rPr>
          <w:rFonts w:hint="eastAsia"/>
          <w:spacing w:val="-1"/>
          <w:sz w:val="24"/>
          <w:lang w:val="en-US"/>
        </w:rPr>
        <w:t>15.2</w:t>
      </w:r>
      <w:r>
        <w:rPr>
          <w:rFonts w:hint="eastAsia"/>
          <w:sz w:val="24"/>
        </w:rPr>
        <w:t>该章所制投标文件格式有关表格中的备注栏，由供应商根据自身投标情况作解释性说明，不作为必填项。</w:t>
      </w:r>
    </w:p>
    <w:p>
      <w:pPr>
        <w:pStyle w:val="41"/>
        <w:tabs>
          <w:tab w:val="left" w:pos="1231"/>
        </w:tabs>
        <w:spacing w:line="360" w:lineRule="auto"/>
        <w:ind w:left="0" w:firstLineChars="200"/>
        <w:rPr>
          <w:sz w:val="24"/>
        </w:rPr>
      </w:pPr>
      <w:r>
        <w:rPr>
          <w:rFonts w:hint="eastAsia"/>
          <w:sz w:val="24"/>
          <w:lang w:val="en-US"/>
        </w:rPr>
        <w:t>15.3</w:t>
      </w:r>
      <w:r>
        <w:rPr>
          <w:rFonts w:hint="eastAsia"/>
          <w:sz w:val="24"/>
        </w:rPr>
        <w:t>该章所制投标文件格式中需要填写的相关内容事项，可能会与本采购项目无关，在</w:t>
      </w:r>
      <w:r>
        <w:rPr>
          <w:rFonts w:hint="eastAsia"/>
          <w:spacing w:val="-1"/>
          <w:sz w:val="24"/>
        </w:rPr>
        <w:t>不改变投标文件原义、不影响本项目采购需求的情况下，供应商可以不予填写，但应当注明。</w:t>
      </w:r>
    </w:p>
    <w:p>
      <w:pPr>
        <w:pStyle w:val="41"/>
        <w:tabs>
          <w:tab w:val="left" w:pos="1228"/>
        </w:tabs>
        <w:spacing w:line="360" w:lineRule="auto"/>
        <w:ind w:left="0" w:firstLine="476" w:firstLineChars="200"/>
        <w:rPr>
          <w:b/>
          <w:sz w:val="24"/>
        </w:rPr>
      </w:pPr>
      <w:r>
        <w:rPr>
          <w:rFonts w:hint="eastAsia"/>
          <w:spacing w:val="-1"/>
          <w:sz w:val="24"/>
          <w:lang w:val="en-US"/>
        </w:rPr>
        <w:t>15.4</w:t>
      </w:r>
      <w:r>
        <w:rPr>
          <w:rFonts w:hint="eastAsia"/>
          <w:spacing w:val="-1"/>
          <w:sz w:val="24"/>
        </w:rPr>
        <w:t>对于没有格式要求的投标文件由供应商自行编写。</w:t>
      </w:r>
    </w:p>
    <w:p>
      <w:pPr>
        <w:pStyle w:val="41"/>
        <w:tabs>
          <w:tab w:val="left" w:pos="1228"/>
        </w:tabs>
        <w:spacing w:line="360" w:lineRule="auto"/>
        <w:ind w:left="0" w:firstLine="0"/>
        <w:outlineLvl w:val="2"/>
        <w:rPr>
          <w:b/>
          <w:sz w:val="24"/>
        </w:rPr>
      </w:pPr>
      <w:bookmarkStart w:id="90" w:name="_Toc14264"/>
      <w:r>
        <w:rPr>
          <w:rFonts w:hint="eastAsia"/>
          <w:b/>
          <w:sz w:val="24"/>
        </w:rPr>
        <w:t>16、投标保证金</w:t>
      </w:r>
      <w:r>
        <w:rPr>
          <w:rFonts w:hint="eastAsia"/>
          <w:b/>
          <w:bCs/>
          <w:sz w:val="24"/>
        </w:rPr>
        <w:t>（实质性要求）</w:t>
      </w:r>
      <w:bookmarkEnd w:id="90"/>
    </w:p>
    <w:p>
      <w:pPr>
        <w:pStyle w:val="2"/>
        <w:spacing w:after="0" w:line="360" w:lineRule="auto"/>
        <w:ind w:firstLine="480" w:firstLineChars="200"/>
        <w:rPr>
          <w:rFonts w:ascii="宋体" w:hAnsi="宋体" w:cs="宋体"/>
          <w:sz w:val="24"/>
        </w:rPr>
      </w:pPr>
      <w:r>
        <w:rPr>
          <w:rFonts w:hint="eastAsia" w:ascii="宋体" w:hAnsi="宋体" w:cs="宋体"/>
          <w:sz w:val="24"/>
        </w:rPr>
        <w:t>本项目不涉及投标保证金。</w:t>
      </w:r>
    </w:p>
    <w:p>
      <w:pPr>
        <w:pStyle w:val="6"/>
        <w:spacing w:before="0" w:after="0" w:line="360" w:lineRule="auto"/>
        <w:rPr>
          <w:rFonts w:ascii="宋体" w:hAnsi="宋体" w:cs="宋体"/>
          <w:sz w:val="24"/>
          <w:szCs w:val="24"/>
        </w:rPr>
      </w:pPr>
      <w:bookmarkStart w:id="91" w:name="_Toc18506"/>
      <w:r>
        <w:rPr>
          <w:rFonts w:hint="eastAsia" w:ascii="宋体" w:hAnsi="宋体" w:cs="宋体"/>
          <w:sz w:val="24"/>
          <w:szCs w:val="24"/>
        </w:rPr>
        <w:t>17、投标有效期（实质性要求）</w:t>
      </w:r>
      <w:bookmarkEnd w:id="91"/>
    </w:p>
    <w:p>
      <w:pPr>
        <w:tabs>
          <w:tab w:val="left" w:pos="1312"/>
        </w:tabs>
        <w:spacing w:line="360" w:lineRule="auto"/>
        <w:ind w:firstLine="464" w:firstLineChars="200"/>
        <w:rPr>
          <w:rFonts w:ascii="宋体" w:hAnsi="宋体" w:cs="宋体"/>
          <w:sz w:val="24"/>
        </w:rPr>
      </w:pPr>
      <w:r>
        <w:rPr>
          <w:rFonts w:hint="eastAsia" w:ascii="宋体" w:hAnsi="宋体" w:cs="宋体"/>
          <w:spacing w:val="-4"/>
          <w:sz w:val="24"/>
        </w:rPr>
        <w:t>17.1本项目投标有效期为投标截止时间届满后</w:t>
      </w:r>
      <w:r>
        <w:rPr>
          <w:rFonts w:hint="eastAsia" w:ascii="宋体" w:hAnsi="宋体" w:cs="宋体"/>
          <w:b/>
          <w:bCs/>
          <w:sz w:val="24"/>
          <w:u w:val="single"/>
        </w:rPr>
        <w:t>90</w:t>
      </w:r>
      <w:r>
        <w:rPr>
          <w:rFonts w:hint="eastAsia" w:ascii="宋体" w:hAnsi="宋体" w:cs="宋体"/>
          <w:spacing w:val="-15"/>
          <w:sz w:val="24"/>
        </w:rPr>
        <w:t>天。供应商投标文件中必须载明投标有</w:t>
      </w:r>
      <w:r>
        <w:rPr>
          <w:rFonts w:hint="eastAsia" w:ascii="宋体" w:hAnsi="宋体" w:cs="宋体"/>
          <w:spacing w:val="-11"/>
          <w:sz w:val="24"/>
        </w:rPr>
        <w:t>效期，投标文件中载明的投标有效期可以长于招标文件规定的期限，但不得短于招标文件规定</w:t>
      </w:r>
      <w:r>
        <w:rPr>
          <w:rFonts w:hint="eastAsia" w:ascii="宋体" w:hAnsi="宋体" w:cs="宋体"/>
          <w:sz w:val="24"/>
        </w:rPr>
        <w:t>的期限。否则，其投标文件将作为无效投标处理。</w:t>
      </w:r>
    </w:p>
    <w:p>
      <w:pPr>
        <w:tabs>
          <w:tab w:val="left" w:pos="1312"/>
        </w:tabs>
        <w:spacing w:line="360" w:lineRule="auto"/>
        <w:ind w:firstLine="476" w:firstLineChars="200"/>
        <w:rPr>
          <w:rFonts w:ascii="宋体" w:hAnsi="宋体" w:cs="宋体"/>
          <w:sz w:val="24"/>
        </w:rPr>
      </w:pPr>
      <w:r>
        <w:rPr>
          <w:rFonts w:hint="eastAsia" w:ascii="宋体" w:hAnsi="宋体" w:cs="宋体"/>
          <w:spacing w:val="-1"/>
          <w:sz w:val="24"/>
        </w:rPr>
        <w:t>17.2因不可抗力事件，采购人可于投标有效期届满之前与供应商协商延长投标有效期。</w:t>
      </w:r>
      <w:r>
        <w:rPr>
          <w:rFonts w:hint="eastAsia" w:ascii="宋体" w:hAnsi="宋体" w:cs="宋体"/>
          <w:spacing w:val="-15"/>
          <w:sz w:val="24"/>
        </w:rPr>
        <w:t xml:space="preserve">供应商拒绝延长投标有效期的，不得再参与该项目后续采购活动，但由此给供应商造成的损失， </w:t>
      </w:r>
      <w:r>
        <w:rPr>
          <w:rFonts w:hint="eastAsia" w:ascii="宋体" w:hAnsi="宋体" w:cs="宋体"/>
          <w:spacing w:val="-5"/>
          <w:sz w:val="24"/>
        </w:rPr>
        <w:t>采购人可以自主决定是否可以给予适当补偿。供应商同意延长投标有效期的，不能修改投标文件。</w:t>
      </w:r>
    </w:p>
    <w:p>
      <w:pPr>
        <w:tabs>
          <w:tab w:val="left" w:pos="1312"/>
        </w:tabs>
        <w:spacing w:line="360" w:lineRule="auto"/>
        <w:ind w:firstLine="444" w:firstLineChars="200"/>
        <w:rPr>
          <w:rFonts w:ascii="宋体" w:hAnsi="宋体" w:cs="宋体"/>
          <w:sz w:val="24"/>
        </w:rPr>
      </w:pPr>
      <w:r>
        <w:rPr>
          <w:rFonts w:hint="eastAsia" w:ascii="宋体" w:hAnsi="宋体" w:cs="宋体"/>
          <w:spacing w:val="-9"/>
          <w:sz w:val="24"/>
        </w:rPr>
        <w:t>17.3因采购人采购需求作出必要调整，采购人可于投标有效期届满之前与供应商协商延</w:t>
      </w:r>
      <w:r>
        <w:rPr>
          <w:rFonts w:hint="eastAsia" w:ascii="宋体" w:hAnsi="宋体" w:cs="宋体"/>
          <w:spacing w:val="-10"/>
          <w:sz w:val="24"/>
        </w:rPr>
        <w:t>长投标有效期。供应商拒绝延长投标有效期的，不得再参与该项目后续采购活动，但由此给供应商</w:t>
      </w:r>
      <w:r>
        <w:rPr>
          <w:rFonts w:hint="eastAsia" w:ascii="宋体" w:hAnsi="宋体" w:cs="宋体"/>
          <w:spacing w:val="-9"/>
          <w:sz w:val="24"/>
        </w:rPr>
        <w:t>造成的损失，采购人应当予以赔偿或者合理补偿。供应商同意延长投标有效期的，不能修</w:t>
      </w:r>
      <w:r>
        <w:rPr>
          <w:rFonts w:hint="eastAsia" w:ascii="宋体" w:hAnsi="宋体" w:cs="宋体"/>
          <w:sz w:val="24"/>
        </w:rPr>
        <w:t>改投标文件。</w:t>
      </w:r>
    </w:p>
    <w:p>
      <w:pPr>
        <w:pStyle w:val="6"/>
        <w:spacing w:before="0" w:after="0" w:line="360" w:lineRule="auto"/>
        <w:rPr>
          <w:rFonts w:ascii="宋体" w:hAnsi="宋体" w:cs="宋体"/>
          <w:sz w:val="24"/>
          <w:szCs w:val="24"/>
        </w:rPr>
      </w:pPr>
      <w:bookmarkStart w:id="92" w:name="_Toc30922"/>
      <w:r>
        <w:rPr>
          <w:rFonts w:hint="eastAsia" w:ascii="宋体" w:hAnsi="宋体" w:cs="宋体"/>
          <w:sz w:val="24"/>
          <w:szCs w:val="24"/>
        </w:rPr>
        <w:t>18、投标文件的印制和签署</w:t>
      </w:r>
      <w:bookmarkEnd w:id="92"/>
    </w:p>
    <w:p>
      <w:pPr>
        <w:pStyle w:val="41"/>
        <w:tabs>
          <w:tab w:val="left" w:pos="1221"/>
        </w:tabs>
        <w:spacing w:line="360" w:lineRule="auto"/>
        <w:ind w:left="0" w:firstLineChars="200"/>
        <w:jc w:val="left"/>
        <w:rPr>
          <w:sz w:val="24"/>
        </w:rPr>
      </w:pPr>
      <w:r>
        <w:rPr>
          <w:rFonts w:hint="eastAsia"/>
          <w:sz w:val="24"/>
          <w:lang w:val="en-US"/>
        </w:rPr>
        <w:t>18.1</w:t>
      </w:r>
      <w:r>
        <w:rPr>
          <w:rFonts w:hint="eastAsia"/>
          <w:sz w:val="24"/>
        </w:rPr>
        <w:t>投标文件分为“资格性投标文件”和“技术、服务性投标文件”两部分，两部分投标文件应分册装订。</w:t>
      </w:r>
    </w:p>
    <w:p>
      <w:pPr>
        <w:pStyle w:val="41"/>
        <w:tabs>
          <w:tab w:val="left" w:pos="1221"/>
        </w:tabs>
        <w:spacing w:line="360" w:lineRule="auto"/>
        <w:ind w:left="0" w:firstLineChars="200"/>
        <w:jc w:val="left"/>
        <w:rPr>
          <w:sz w:val="24"/>
        </w:rPr>
      </w:pPr>
      <w:r>
        <w:rPr>
          <w:rFonts w:hint="eastAsia"/>
          <w:sz w:val="24"/>
          <w:lang w:val="en-US"/>
        </w:rPr>
        <w:t>18.2</w:t>
      </w:r>
      <w:r>
        <w:rPr>
          <w:rFonts w:hint="eastAsia"/>
          <w:spacing w:val="-11"/>
          <w:sz w:val="24"/>
        </w:rPr>
        <w:t xml:space="preserve">供应商应按 </w:t>
      </w:r>
      <w:r>
        <w:rPr>
          <w:rFonts w:hint="eastAsia"/>
          <w:sz w:val="24"/>
        </w:rPr>
        <w:t>18.1</w:t>
      </w:r>
      <w:r>
        <w:rPr>
          <w:rFonts w:hint="eastAsia"/>
          <w:spacing w:val="-11"/>
          <w:sz w:val="24"/>
        </w:rPr>
        <w:t xml:space="preserve"> 准备两部分投标文件，每部分含正本</w:t>
      </w:r>
      <w:r>
        <w:rPr>
          <w:rFonts w:hint="eastAsia"/>
          <w:b/>
          <w:spacing w:val="-18"/>
          <w:sz w:val="24"/>
          <w:lang w:val="en-US"/>
        </w:rPr>
        <w:t>壹</w:t>
      </w:r>
      <w:r>
        <w:rPr>
          <w:rFonts w:hint="eastAsia"/>
          <w:b/>
          <w:spacing w:val="-18"/>
          <w:sz w:val="24"/>
        </w:rPr>
        <w:t>份、副本贰</w:t>
      </w:r>
      <w:r>
        <w:rPr>
          <w:rFonts w:hint="eastAsia"/>
          <w:b/>
          <w:spacing w:val="-30"/>
          <w:sz w:val="24"/>
        </w:rPr>
        <w:t>份</w:t>
      </w:r>
      <w:r>
        <w:rPr>
          <w:rFonts w:hint="eastAsia"/>
          <w:sz w:val="24"/>
        </w:rPr>
        <w:t>和相应的</w:t>
      </w:r>
      <w:r>
        <w:rPr>
          <w:rFonts w:hint="eastAsia"/>
          <w:b/>
          <w:sz w:val="24"/>
        </w:rPr>
        <w:t>电子</w:t>
      </w:r>
      <w:r>
        <w:rPr>
          <w:rFonts w:hint="eastAsia"/>
          <w:b/>
          <w:spacing w:val="-3"/>
          <w:sz w:val="24"/>
        </w:rPr>
        <w:t>文档壹份</w:t>
      </w:r>
      <w:r>
        <w:rPr>
          <w:rFonts w:hint="eastAsia"/>
          <w:b/>
          <w:sz w:val="24"/>
        </w:rPr>
        <w:t>（U</w:t>
      </w:r>
      <w:r>
        <w:rPr>
          <w:rFonts w:hint="eastAsia"/>
          <w:b/>
          <w:spacing w:val="-30"/>
          <w:sz w:val="24"/>
        </w:rPr>
        <w:t xml:space="preserve"> 盘</w:t>
      </w:r>
      <w:r>
        <w:rPr>
          <w:rFonts w:hint="eastAsia"/>
          <w:b/>
          <w:spacing w:val="-8"/>
          <w:sz w:val="24"/>
        </w:rPr>
        <w:t>）</w:t>
      </w:r>
      <w:r>
        <w:rPr>
          <w:rFonts w:hint="eastAsia"/>
          <w:spacing w:val="-4"/>
          <w:sz w:val="24"/>
        </w:rPr>
        <w:t>，以及用于开标唱标单独密封提交的</w:t>
      </w:r>
      <w:r>
        <w:rPr>
          <w:rFonts w:hint="eastAsia"/>
          <w:b/>
          <w:spacing w:val="-2"/>
          <w:sz w:val="24"/>
        </w:rPr>
        <w:t>“开标一览表”壹份</w:t>
      </w:r>
      <w:r>
        <w:rPr>
          <w:rFonts w:hint="eastAsia"/>
          <w:spacing w:val="-3"/>
          <w:sz w:val="24"/>
        </w:rPr>
        <w:t>。投标文件的正本</w:t>
      </w:r>
      <w:r>
        <w:rPr>
          <w:rFonts w:hint="eastAsia"/>
          <w:spacing w:val="-14"/>
          <w:sz w:val="24"/>
        </w:rPr>
        <w:t xml:space="preserve">和副本应在其封面右上角清楚地标明“正本”或“副本”字样。若正本和副本有不一致的内容， </w:t>
      </w:r>
      <w:r>
        <w:rPr>
          <w:rFonts w:hint="eastAsia"/>
          <w:sz w:val="24"/>
        </w:rPr>
        <w:t>以正本书面投标文件为准。</w:t>
      </w:r>
    </w:p>
    <w:p>
      <w:pPr>
        <w:pStyle w:val="41"/>
        <w:tabs>
          <w:tab w:val="left" w:pos="1281"/>
        </w:tabs>
        <w:spacing w:line="360" w:lineRule="auto"/>
        <w:ind w:left="0" w:firstLineChars="200"/>
        <w:rPr>
          <w:sz w:val="24"/>
        </w:rPr>
      </w:pPr>
      <w:r>
        <w:rPr>
          <w:rFonts w:hint="eastAsia"/>
          <w:sz w:val="24"/>
          <w:lang w:val="en-US"/>
        </w:rPr>
        <w:t>18.3</w:t>
      </w:r>
      <w:r>
        <w:rPr>
          <w:rFonts w:hint="eastAsia"/>
          <w:sz w:val="24"/>
        </w:rPr>
        <w:t>投标文件的正本和副本均需打印或用不褪色、不变质的墨水书写，并由供应商的法</w:t>
      </w:r>
      <w:r>
        <w:rPr>
          <w:rFonts w:hint="eastAsia"/>
          <w:spacing w:val="-1"/>
          <w:sz w:val="24"/>
        </w:rPr>
        <w:t>定代表人</w:t>
      </w:r>
      <w:r>
        <w:rPr>
          <w:rFonts w:hint="eastAsia"/>
          <w:sz w:val="24"/>
        </w:rPr>
        <w:t>/</w:t>
      </w:r>
      <w:r>
        <w:rPr>
          <w:rFonts w:hint="eastAsia"/>
          <w:spacing w:val="-1"/>
          <w:sz w:val="24"/>
        </w:rPr>
        <w:t>单位负责人或其授权代表在规定签章处签字或盖章。投标文件副本可采用正本的复</w:t>
      </w:r>
      <w:r>
        <w:rPr>
          <w:rFonts w:hint="eastAsia"/>
          <w:spacing w:val="-6"/>
          <w:sz w:val="24"/>
        </w:rPr>
        <w:t xml:space="preserve">印件，电子文档采用 </w:t>
      </w:r>
      <w:r>
        <w:rPr>
          <w:rFonts w:hint="eastAsia"/>
          <w:sz w:val="24"/>
        </w:rPr>
        <w:t>U</w:t>
      </w:r>
      <w:r>
        <w:rPr>
          <w:rFonts w:hint="eastAsia"/>
          <w:spacing w:val="-8"/>
          <w:sz w:val="24"/>
        </w:rPr>
        <w:t xml:space="preserve"> 盘制作。用于开标唱标单独提交的“开标一览表”应为原件。</w:t>
      </w:r>
    </w:p>
    <w:p>
      <w:pPr>
        <w:pStyle w:val="41"/>
        <w:tabs>
          <w:tab w:val="left" w:pos="1221"/>
        </w:tabs>
        <w:spacing w:line="360" w:lineRule="auto"/>
        <w:ind w:left="0" w:firstLineChars="200"/>
        <w:rPr>
          <w:sz w:val="24"/>
        </w:rPr>
      </w:pPr>
      <w:r>
        <w:rPr>
          <w:rFonts w:hint="eastAsia"/>
          <w:sz w:val="24"/>
          <w:lang w:val="en-US"/>
        </w:rPr>
        <w:t>18.4</w:t>
      </w:r>
      <w:r>
        <w:rPr>
          <w:rFonts w:hint="eastAsia"/>
          <w:sz w:val="24"/>
        </w:rPr>
        <w:t>投标文件的打印和书写应清楚工整，任何行间插字、涂改或增删，必须由供应商的法定代表人/单位负责人或其授权代表签字或盖个人印鉴。</w:t>
      </w:r>
    </w:p>
    <w:p>
      <w:pPr>
        <w:pStyle w:val="41"/>
        <w:tabs>
          <w:tab w:val="left" w:pos="1221"/>
        </w:tabs>
        <w:spacing w:line="360" w:lineRule="auto"/>
        <w:ind w:left="0" w:firstLineChars="200"/>
        <w:rPr>
          <w:sz w:val="24"/>
        </w:rPr>
      </w:pPr>
      <w:r>
        <w:rPr>
          <w:rFonts w:hint="eastAsia"/>
          <w:sz w:val="24"/>
          <w:lang w:val="en-US"/>
        </w:rPr>
        <w:t>18.5</w:t>
      </w:r>
      <w:r>
        <w:rPr>
          <w:rFonts w:hint="eastAsia"/>
          <w:sz w:val="24"/>
        </w:rPr>
        <w:t>投标文件正本和副本应当采取胶装方式装订成册，不得散装或者活页装订（</w:t>
      </w:r>
      <w:r>
        <w:rPr>
          <w:rFonts w:hint="eastAsia"/>
          <w:spacing w:val="1"/>
          <w:sz w:val="24"/>
        </w:rPr>
        <w:t>实质性要求）。</w:t>
      </w:r>
    </w:p>
    <w:p>
      <w:pPr>
        <w:pStyle w:val="41"/>
        <w:tabs>
          <w:tab w:val="left" w:pos="1221"/>
        </w:tabs>
        <w:spacing w:line="360" w:lineRule="auto"/>
        <w:ind w:left="0" w:firstLineChars="200"/>
        <w:rPr>
          <w:sz w:val="24"/>
        </w:rPr>
      </w:pPr>
      <w:r>
        <w:rPr>
          <w:rFonts w:hint="eastAsia"/>
          <w:sz w:val="24"/>
          <w:lang w:val="en-US"/>
        </w:rPr>
        <w:t>18.6</w:t>
      </w:r>
      <w:r>
        <w:rPr>
          <w:rFonts w:hint="eastAsia"/>
          <w:spacing w:val="-8"/>
          <w:sz w:val="24"/>
        </w:rPr>
        <w:t xml:space="preserve">投标文件统一用 </w:t>
      </w:r>
      <w:r>
        <w:rPr>
          <w:rFonts w:hint="eastAsia"/>
          <w:sz w:val="24"/>
        </w:rPr>
        <w:t>A4</w:t>
      </w:r>
      <w:r>
        <w:rPr>
          <w:rFonts w:hint="eastAsia"/>
          <w:spacing w:val="-8"/>
          <w:sz w:val="24"/>
        </w:rPr>
        <w:t xml:space="preserve"> 幅面纸印制，逐页编码。</w:t>
      </w:r>
    </w:p>
    <w:p>
      <w:pPr>
        <w:pStyle w:val="41"/>
        <w:tabs>
          <w:tab w:val="left" w:pos="1221"/>
        </w:tabs>
        <w:spacing w:line="360" w:lineRule="auto"/>
        <w:ind w:left="0" w:firstLineChars="200"/>
        <w:rPr>
          <w:sz w:val="24"/>
        </w:rPr>
      </w:pPr>
      <w:r>
        <w:rPr>
          <w:rFonts w:hint="eastAsia"/>
          <w:sz w:val="24"/>
          <w:lang w:val="en-US"/>
        </w:rPr>
        <w:t>18.7</w:t>
      </w:r>
      <w:r>
        <w:rPr>
          <w:rFonts w:hint="eastAsia"/>
          <w:sz w:val="24"/>
        </w:rPr>
        <w:t>本次招标要求的复印件是指对图文进行复制后的文件，包括扫描、复印、影印等方式复制的材料。</w:t>
      </w:r>
    </w:p>
    <w:p>
      <w:pPr>
        <w:pStyle w:val="41"/>
        <w:tabs>
          <w:tab w:val="left" w:pos="1432"/>
        </w:tabs>
        <w:spacing w:line="360" w:lineRule="auto"/>
        <w:ind w:left="0" w:firstLineChars="200"/>
        <w:rPr>
          <w:sz w:val="24"/>
        </w:rPr>
      </w:pPr>
      <w:r>
        <w:rPr>
          <w:rFonts w:hint="eastAsia"/>
          <w:sz w:val="24"/>
          <w:lang w:val="en-US"/>
        </w:rPr>
        <w:t>18.8</w:t>
      </w:r>
      <w:r>
        <w:rPr>
          <w:rFonts w:hint="eastAsia"/>
          <w:spacing w:val="-6"/>
          <w:sz w:val="24"/>
        </w:rPr>
        <w:t>投标文件应根据招标文件的要求制作，签署、盖章和内容应完整，如有遗漏，将被</w:t>
      </w:r>
      <w:r>
        <w:rPr>
          <w:rFonts w:hint="eastAsia"/>
          <w:spacing w:val="-7"/>
          <w:sz w:val="24"/>
        </w:rPr>
        <w:t>视为无效投标。有下列情形的除外，由评标委员会在投标文件规范性方面根据情况进行扣分：</w:t>
      </w:r>
    </w:p>
    <w:p>
      <w:pPr>
        <w:pStyle w:val="41"/>
        <w:tabs>
          <w:tab w:val="left" w:pos="1193"/>
        </w:tabs>
        <w:spacing w:line="360" w:lineRule="auto"/>
        <w:ind w:left="0" w:firstLine="444" w:firstLineChars="200"/>
        <w:rPr>
          <w:sz w:val="24"/>
        </w:rPr>
      </w:pPr>
      <w:r>
        <w:rPr>
          <w:rFonts w:hint="eastAsia"/>
          <w:spacing w:val="-9"/>
          <w:sz w:val="24"/>
        </w:rPr>
        <w:t>（</w:t>
      </w:r>
      <w:r>
        <w:rPr>
          <w:rFonts w:hint="eastAsia"/>
          <w:spacing w:val="-9"/>
          <w:sz w:val="24"/>
          <w:lang w:val="en-US"/>
        </w:rPr>
        <w:t>1</w:t>
      </w:r>
      <w:r>
        <w:rPr>
          <w:rFonts w:hint="eastAsia"/>
          <w:spacing w:val="-9"/>
          <w:sz w:val="24"/>
        </w:rPr>
        <w:t>）投标文件</w:t>
      </w:r>
      <w:r>
        <w:rPr>
          <w:rFonts w:hint="eastAsia"/>
          <w:sz w:val="24"/>
        </w:rPr>
        <w:t>（包括单独递交的开标一览表</w:t>
      </w:r>
      <w:r>
        <w:rPr>
          <w:rFonts w:hint="eastAsia"/>
          <w:spacing w:val="-36"/>
          <w:sz w:val="24"/>
        </w:rPr>
        <w:t>）</w:t>
      </w:r>
      <w:r>
        <w:rPr>
          <w:rFonts w:hint="eastAsia"/>
          <w:sz w:val="24"/>
        </w:rPr>
        <w:t>除招标文件明确要求加盖供应商(法人)公</w:t>
      </w:r>
      <w:r>
        <w:rPr>
          <w:rFonts w:hint="eastAsia"/>
          <w:spacing w:val="-5"/>
          <w:sz w:val="24"/>
        </w:rPr>
        <w:t>章的地方以外，其他地方以相关专用章加盖的；</w:t>
      </w:r>
    </w:p>
    <w:p>
      <w:pPr>
        <w:pStyle w:val="41"/>
        <w:tabs>
          <w:tab w:val="left" w:pos="1193"/>
        </w:tabs>
        <w:spacing w:line="360" w:lineRule="auto"/>
        <w:ind w:left="0" w:firstLine="472" w:firstLineChars="200"/>
        <w:rPr>
          <w:sz w:val="24"/>
        </w:rPr>
      </w:pPr>
      <w:r>
        <w:rPr>
          <w:rFonts w:hint="eastAsia"/>
          <w:spacing w:val="-2"/>
          <w:sz w:val="24"/>
        </w:rPr>
        <w:t>（</w:t>
      </w:r>
      <w:r>
        <w:rPr>
          <w:rFonts w:hint="eastAsia"/>
          <w:spacing w:val="-2"/>
          <w:sz w:val="24"/>
          <w:lang w:val="en-US"/>
        </w:rPr>
        <w:t>2</w:t>
      </w:r>
      <w:r>
        <w:rPr>
          <w:rFonts w:hint="eastAsia"/>
          <w:spacing w:val="-2"/>
          <w:sz w:val="24"/>
        </w:rPr>
        <w:t>）以骑缝章的形式代替在投标文件内逐页盖章的</w:t>
      </w:r>
      <w:r>
        <w:rPr>
          <w:rFonts w:hint="eastAsia"/>
          <w:sz w:val="24"/>
        </w:rPr>
        <w:t>（</w:t>
      </w:r>
      <w:r>
        <w:rPr>
          <w:rFonts w:hint="eastAsia"/>
          <w:spacing w:val="-4"/>
          <w:sz w:val="24"/>
        </w:rPr>
        <w:t>但是骑缝章模糊不清，印章名称无</w:t>
      </w:r>
      <w:r>
        <w:rPr>
          <w:rFonts w:hint="eastAsia"/>
          <w:spacing w:val="-5"/>
          <w:sz w:val="24"/>
        </w:rPr>
        <w:t>法辨认的除外</w:t>
      </w:r>
      <w:r>
        <w:rPr>
          <w:rFonts w:hint="eastAsia"/>
          <w:sz w:val="24"/>
        </w:rPr>
        <w:t>）。</w:t>
      </w:r>
    </w:p>
    <w:p>
      <w:pPr>
        <w:pStyle w:val="6"/>
        <w:spacing w:before="0" w:after="0" w:line="360" w:lineRule="auto"/>
        <w:rPr>
          <w:rFonts w:ascii="宋体" w:hAnsi="宋体" w:cs="宋体"/>
          <w:sz w:val="24"/>
          <w:szCs w:val="20"/>
        </w:rPr>
      </w:pPr>
      <w:bookmarkStart w:id="93" w:name="_Toc26387"/>
      <w:r>
        <w:rPr>
          <w:rFonts w:hint="eastAsia" w:ascii="宋体" w:hAnsi="宋体" w:cs="宋体"/>
          <w:sz w:val="24"/>
          <w:szCs w:val="20"/>
        </w:rPr>
        <w:t>19、投标文件的标注和密封</w:t>
      </w:r>
      <w:bookmarkEnd w:id="93"/>
    </w:p>
    <w:p>
      <w:pPr>
        <w:tabs>
          <w:tab w:val="left" w:pos="1300"/>
        </w:tabs>
        <w:spacing w:line="360" w:lineRule="auto"/>
        <w:ind w:firstLine="452" w:firstLineChars="200"/>
        <w:rPr>
          <w:rFonts w:ascii="宋体" w:hAnsi="宋体" w:cs="宋体"/>
          <w:sz w:val="24"/>
        </w:rPr>
      </w:pPr>
      <w:r>
        <w:rPr>
          <w:rFonts w:hint="eastAsia" w:ascii="宋体" w:hAnsi="宋体" w:cs="宋体"/>
          <w:spacing w:val="-7"/>
          <w:sz w:val="24"/>
        </w:rPr>
        <w:t>供应商应在所有资格性投标文件和技术、服务性投标文件的封面上注明</w:t>
      </w:r>
      <w:r>
        <w:rPr>
          <w:rFonts w:hint="eastAsia" w:ascii="宋体" w:hAnsi="宋体" w:cs="宋体"/>
          <w:sz w:val="24"/>
        </w:rPr>
        <w:t>采购项目名称、</w:t>
      </w:r>
      <w:r>
        <w:rPr>
          <w:rFonts w:hint="eastAsia" w:ascii="宋体" w:hAnsi="宋体" w:cs="宋体"/>
          <w:spacing w:val="-7"/>
          <w:sz w:val="24"/>
        </w:rPr>
        <w:t>供应商名称、</w:t>
      </w:r>
      <w:r>
        <w:rPr>
          <w:rFonts w:hint="eastAsia" w:ascii="宋体" w:hAnsi="宋体" w:cs="宋体"/>
          <w:sz w:val="24"/>
        </w:rPr>
        <w:t>采购项目编号、包好（若有）、投标时间。</w:t>
      </w:r>
    </w:p>
    <w:p>
      <w:pPr>
        <w:tabs>
          <w:tab w:val="left" w:pos="1305"/>
        </w:tabs>
        <w:spacing w:line="360" w:lineRule="auto"/>
        <w:ind w:firstLine="482" w:firstLineChars="200"/>
        <w:rPr>
          <w:rFonts w:ascii="宋体" w:hAnsi="宋体" w:cs="宋体"/>
          <w:b/>
          <w:bCs/>
          <w:spacing w:val="-17"/>
          <w:sz w:val="24"/>
        </w:rPr>
      </w:pPr>
      <w:r>
        <w:rPr>
          <w:rFonts w:hint="eastAsia" w:ascii="宋体" w:hAnsi="宋体" w:cs="宋体"/>
          <w:b/>
          <w:bCs/>
          <w:sz w:val="24"/>
        </w:rPr>
        <w:t>资格性投标文件（</w:t>
      </w:r>
      <w:r>
        <w:rPr>
          <w:rFonts w:hint="eastAsia" w:ascii="宋体" w:hAnsi="宋体" w:cs="宋体"/>
          <w:b/>
          <w:bCs/>
          <w:spacing w:val="-21"/>
          <w:sz w:val="24"/>
        </w:rPr>
        <w:t>正本壹</w:t>
      </w:r>
      <w:r>
        <w:rPr>
          <w:rFonts w:hint="eastAsia" w:ascii="宋体" w:hAnsi="宋体" w:cs="宋体"/>
          <w:b/>
          <w:bCs/>
          <w:spacing w:val="-20"/>
          <w:sz w:val="24"/>
        </w:rPr>
        <w:t>份、副本贰</w:t>
      </w:r>
      <w:r>
        <w:rPr>
          <w:rFonts w:hint="eastAsia" w:ascii="宋体" w:hAnsi="宋体" w:cs="宋体"/>
          <w:b/>
          <w:bCs/>
          <w:spacing w:val="-30"/>
          <w:sz w:val="24"/>
        </w:rPr>
        <w:t>份</w:t>
      </w:r>
      <w:r>
        <w:rPr>
          <w:rFonts w:hint="eastAsia" w:ascii="宋体" w:hAnsi="宋体" w:cs="宋体"/>
          <w:b/>
          <w:bCs/>
          <w:sz w:val="24"/>
        </w:rPr>
        <w:t>），技术、服务性投标文件（</w:t>
      </w:r>
      <w:r>
        <w:rPr>
          <w:rFonts w:hint="eastAsia" w:ascii="宋体" w:hAnsi="宋体" w:cs="宋体"/>
          <w:b/>
          <w:bCs/>
          <w:spacing w:val="-21"/>
          <w:sz w:val="24"/>
        </w:rPr>
        <w:t>正本壹</w:t>
      </w:r>
      <w:r>
        <w:rPr>
          <w:rFonts w:hint="eastAsia" w:ascii="宋体" w:hAnsi="宋体" w:cs="宋体"/>
          <w:b/>
          <w:bCs/>
          <w:spacing w:val="-20"/>
          <w:sz w:val="24"/>
        </w:rPr>
        <w:t>份、副本贰</w:t>
      </w:r>
      <w:r>
        <w:rPr>
          <w:rFonts w:hint="eastAsia" w:ascii="宋体" w:hAnsi="宋体" w:cs="宋体"/>
          <w:b/>
          <w:bCs/>
          <w:spacing w:val="-30"/>
          <w:sz w:val="24"/>
        </w:rPr>
        <w:t>份</w:t>
      </w:r>
      <w:r>
        <w:rPr>
          <w:rFonts w:hint="eastAsia" w:ascii="宋体" w:hAnsi="宋体" w:cs="宋体"/>
          <w:b/>
          <w:bCs/>
          <w:spacing w:val="-19"/>
          <w:sz w:val="24"/>
        </w:rPr>
        <w:t>）</w:t>
      </w:r>
      <w:r>
        <w:rPr>
          <w:rFonts w:hint="eastAsia" w:ascii="宋体" w:hAnsi="宋体" w:cs="宋体"/>
          <w:b/>
          <w:bCs/>
          <w:spacing w:val="-11"/>
          <w:sz w:val="24"/>
        </w:rPr>
        <w:t>，相应的电子文档</w:t>
      </w:r>
      <w:r>
        <w:rPr>
          <w:rFonts w:hint="eastAsia" w:ascii="宋体" w:hAnsi="宋体" w:cs="宋体"/>
          <w:b/>
          <w:bCs/>
          <w:spacing w:val="-21"/>
          <w:sz w:val="24"/>
        </w:rPr>
        <w:t>壹</w:t>
      </w:r>
      <w:r>
        <w:rPr>
          <w:rFonts w:hint="eastAsia" w:ascii="宋体" w:hAnsi="宋体" w:cs="宋体"/>
          <w:b/>
          <w:bCs/>
          <w:spacing w:val="-38"/>
          <w:sz w:val="24"/>
        </w:rPr>
        <w:t>份</w:t>
      </w:r>
      <w:r>
        <w:rPr>
          <w:rFonts w:hint="eastAsia" w:ascii="宋体" w:hAnsi="宋体" w:cs="宋体"/>
          <w:b/>
          <w:bCs/>
          <w:sz w:val="24"/>
        </w:rPr>
        <w:t>（U</w:t>
      </w:r>
      <w:r>
        <w:rPr>
          <w:rFonts w:hint="eastAsia" w:ascii="宋体" w:hAnsi="宋体" w:cs="宋体"/>
          <w:b/>
          <w:bCs/>
          <w:spacing w:val="-30"/>
          <w:sz w:val="24"/>
        </w:rPr>
        <w:t xml:space="preserve"> 盘</w:t>
      </w:r>
      <w:r>
        <w:rPr>
          <w:rFonts w:hint="eastAsia" w:ascii="宋体" w:hAnsi="宋体" w:cs="宋体"/>
          <w:b/>
          <w:bCs/>
          <w:spacing w:val="-18"/>
          <w:sz w:val="24"/>
        </w:rPr>
        <w:t>）</w:t>
      </w:r>
      <w:r>
        <w:rPr>
          <w:rFonts w:hint="eastAsia" w:ascii="宋体" w:hAnsi="宋体" w:cs="宋体"/>
          <w:b/>
          <w:bCs/>
          <w:spacing w:val="-7"/>
          <w:sz w:val="24"/>
        </w:rPr>
        <w:t>，“开标一览表”</w:t>
      </w:r>
      <w:r>
        <w:rPr>
          <w:rFonts w:hint="eastAsia" w:ascii="宋体" w:hAnsi="宋体" w:cs="宋体"/>
          <w:b/>
          <w:bCs/>
          <w:spacing w:val="-21"/>
          <w:sz w:val="24"/>
        </w:rPr>
        <w:t>壹</w:t>
      </w:r>
      <w:r>
        <w:rPr>
          <w:rFonts w:hint="eastAsia" w:ascii="宋体" w:hAnsi="宋体" w:cs="宋体"/>
          <w:b/>
          <w:bCs/>
          <w:spacing w:val="-7"/>
          <w:sz w:val="24"/>
        </w:rPr>
        <w:t xml:space="preserve">份应分别封装于不同的密封袋内， </w:t>
      </w:r>
      <w:r>
        <w:rPr>
          <w:rFonts w:hint="eastAsia" w:ascii="宋体" w:hAnsi="宋体" w:cs="宋体"/>
          <w:b/>
          <w:bCs/>
          <w:spacing w:val="-17"/>
          <w:sz w:val="24"/>
        </w:rPr>
        <w:t>密封袋上应分别标上“资格性投标文件”、“技术、服务性投标文件”、“电子文档” 、“开标一览表”字样，并注明采购项目名称、供应商名称、采购项目编号、包好（若有）、投标时间。</w:t>
      </w:r>
    </w:p>
    <w:p>
      <w:pPr>
        <w:tabs>
          <w:tab w:val="left" w:pos="1300"/>
        </w:tabs>
        <w:spacing w:line="360" w:lineRule="auto"/>
        <w:ind w:firstLine="480" w:firstLineChars="200"/>
        <w:rPr>
          <w:rFonts w:ascii="宋体" w:hAnsi="宋体" w:cs="宋体"/>
          <w:sz w:val="24"/>
        </w:rPr>
      </w:pPr>
      <w:r>
        <w:rPr>
          <w:rFonts w:hint="eastAsia" w:ascii="宋体" w:hAnsi="宋体" w:cs="宋体"/>
          <w:sz w:val="24"/>
        </w:rPr>
        <w:t>所有外层密封袋的封口处应密封完好，并加盖密封章（</w:t>
      </w:r>
      <w:r>
        <w:rPr>
          <w:rFonts w:hint="eastAsia" w:ascii="宋体" w:hAnsi="宋体" w:cs="宋体"/>
          <w:spacing w:val="-2"/>
          <w:sz w:val="24"/>
        </w:rPr>
        <w:t>供应商单位公章、投标专用</w:t>
      </w:r>
      <w:r>
        <w:rPr>
          <w:rFonts w:hint="eastAsia" w:ascii="宋体" w:hAnsi="宋体" w:cs="宋体"/>
          <w:sz w:val="24"/>
        </w:rPr>
        <w:t>章、投标专用密封章均可）。</w:t>
      </w:r>
    </w:p>
    <w:p>
      <w:pPr>
        <w:tabs>
          <w:tab w:val="left" w:pos="1221"/>
        </w:tabs>
        <w:spacing w:line="360" w:lineRule="auto"/>
        <w:ind w:firstLine="480" w:firstLineChars="200"/>
        <w:rPr>
          <w:rFonts w:ascii="宋体" w:hAnsi="宋体" w:cs="宋体"/>
          <w:sz w:val="24"/>
        </w:rPr>
      </w:pPr>
      <w:r>
        <w:rPr>
          <w:rFonts w:hint="eastAsia" w:ascii="宋体" w:hAnsi="宋体" w:cs="宋体"/>
          <w:sz w:val="24"/>
        </w:rPr>
        <w:t>未按上述要求标注和密封的，将被视为无效投标。</w:t>
      </w:r>
    </w:p>
    <w:p>
      <w:pPr>
        <w:pStyle w:val="6"/>
        <w:spacing w:before="0" w:after="0" w:line="360" w:lineRule="auto"/>
        <w:rPr>
          <w:rFonts w:ascii="宋体" w:hAnsi="宋体" w:cs="宋体"/>
          <w:sz w:val="24"/>
          <w:szCs w:val="20"/>
        </w:rPr>
      </w:pPr>
      <w:bookmarkStart w:id="94" w:name="_Toc27014"/>
      <w:r>
        <w:rPr>
          <w:rFonts w:hint="eastAsia" w:ascii="宋体" w:hAnsi="宋体" w:cs="宋体"/>
          <w:sz w:val="24"/>
          <w:szCs w:val="20"/>
        </w:rPr>
        <w:t>20、投标文件的递交（实质性要求）</w:t>
      </w:r>
      <w:bookmarkEnd w:id="94"/>
    </w:p>
    <w:p>
      <w:pPr>
        <w:pStyle w:val="41"/>
        <w:tabs>
          <w:tab w:val="left" w:pos="1281"/>
        </w:tabs>
        <w:spacing w:line="360" w:lineRule="auto"/>
        <w:ind w:left="0" w:firstLine="476" w:firstLineChars="200"/>
        <w:rPr>
          <w:sz w:val="24"/>
        </w:rPr>
      </w:pPr>
      <w:r>
        <w:rPr>
          <w:rFonts w:hint="eastAsia"/>
          <w:spacing w:val="-1"/>
          <w:sz w:val="24"/>
          <w:lang w:val="en-US"/>
        </w:rPr>
        <w:t>20.1</w:t>
      </w:r>
      <w:r>
        <w:rPr>
          <w:rFonts w:hint="eastAsia"/>
          <w:spacing w:val="-1"/>
          <w:sz w:val="24"/>
        </w:rPr>
        <w:t>供应商应在招标文件规定的投标截止时间前，将投标文件按招标文件的规定密封后</w:t>
      </w:r>
      <w:r>
        <w:rPr>
          <w:rFonts w:hint="eastAsia"/>
          <w:sz w:val="24"/>
        </w:rPr>
        <w:t>送达开标地点。投标截止时间以后送达的投标文件将被拒收。</w:t>
      </w:r>
    </w:p>
    <w:p>
      <w:pPr>
        <w:pStyle w:val="41"/>
        <w:tabs>
          <w:tab w:val="left" w:pos="1221"/>
        </w:tabs>
        <w:spacing w:line="360" w:lineRule="auto"/>
        <w:ind w:left="0" w:firstLine="476" w:firstLineChars="200"/>
        <w:rPr>
          <w:sz w:val="24"/>
        </w:rPr>
      </w:pPr>
      <w:r>
        <w:rPr>
          <w:rFonts w:hint="eastAsia"/>
          <w:spacing w:val="-1"/>
          <w:sz w:val="24"/>
          <w:lang w:val="en-US"/>
        </w:rPr>
        <w:t>20.2</w:t>
      </w:r>
      <w:r>
        <w:rPr>
          <w:rFonts w:hint="eastAsia"/>
          <w:sz w:val="24"/>
        </w:rPr>
        <w:t>递交投标文件时，报名</w:t>
      </w:r>
      <w:r>
        <w:rPr>
          <w:rFonts w:hint="eastAsia"/>
          <w:sz w:val="24"/>
          <w:lang w:val="en-US"/>
        </w:rPr>
        <w:t>供应商</w:t>
      </w:r>
      <w:r>
        <w:rPr>
          <w:rFonts w:hint="eastAsia"/>
          <w:sz w:val="24"/>
        </w:rPr>
        <w:t>名称和招标文件的采购项目编号、分包号（如有</w:t>
      </w:r>
      <w:r>
        <w:rPr>
          <w:rFonts w:hint="eastAsia"/>
          <w:spacing w:val="4"/>
          <w:sz w:val="24"/>
        </w:rPr>
        <w:t>）</w:t>
      </w:r>
      <w:r>
        <w:rPr>
          <w:rFonts w:hint="eastAsia"/>
          <w:sz w:val="24"/>
        </w:rPr>
        <w:t>应</w:t>
      </w:r>
      <w:r>
        <w:rPr>
          <w:rFonts w:hint="eastAsia"/>
          <w:spacing w:val="-2"/>
          <w:sz w:val="24"/>
        </w:rPr>
        <w:t>当与供应商名称和招标文件的采购项目编号、分包号</w:t>
      </w:r>
      <w:r>
        <w:rPr>
          <w:rFonts w:hint="eastAsia"/>
          <w:sz w:val="24"/>
        </w:rPr>
        <w:t>（如有</w:t>
      </w:r>
      <w:r>
        <w:rPr>
          <w:rFonts w:hint="eastAsia"/>
          <w:spacing w:val="-20"/>
          <w:sz w:val="24"/>
        </w:rPr>
        <w:t>）</w:t>
      </w:r>
      <w:r>
        <w:rPr>
          <w:rFonts w:hint="eastAsia"/>
          <w:spacing w:val="-7"/>
          <w:sz w:val="24"/>
        </w:rPr>
        <w:t>一致。但是，投标文件实质</w:t>
      </w:r>
      <w:r>
        <w:rPr>
          <w:rFonts w:hint="eastAsia"/>
          <w:spacing w:val="-12"/>
          <w:sz w:val="24"/>
        </w:rPr>
        <w:t>内容报名</w:t>
      </w:r>
      <w:r>
        <w:rPr>
          <w:rFonts w:hint="eastAsia"/>
          <w:sz w:val="24"/>
          <w:lang w:val="en-US"/>
        </w:rPr>
        <w:t>供应商</w:t>
      </w:r>
      <w:r>
        <w:rPr>
          <w:rFonts w:hint="eastAsia"/>
          <w:spacing w:val="-12"/>
          <w:sz w:val="24"/>
        </w:rPr>
        <w:t>名称和招标文件的采购项目编号、分包号</w:t>
      </w:r>
      <w:r>
        <w:rPr>
          <w:rFonts w:hint="eastAsia"/>
          <w:sz w:val="24"/>
        </w:rPr>
        <w:t>（如有</w:t>
      </w:r>
      <w:r>
        <w:rPr>
          <w:rFonts w:hint="eastAsia"/>
          <w:spacing w:val="-53"/>
          <w:sz w:val="24"/>
        </w:rPr>
        <w:t>）</w:t>
      </w:r>
      <w:r>
        <w:rPr>
          <w:rFonts w:hint="eastAsia"/>
          <w:spacing w:val="-9"/>
          <w:sz w:val="24"/>
        </w:rPr>
        <w:t xml:space="preserve">一致，只是封面文字错误的， </w:t>
      </w:r>
      <w:r>
        <w:rPr>
          <w:rFonts w:hint="eastAsia"/>
          <w:sz w:val="24"/>
        </w:rPr>
        <w:t>可以在评标过程中当面予以澄清，以有效的澄清材料作为认定投标文件是否有效的依据。</w:t>
      </w:r>
    </w:p>
    <w:p>
      <w:pPr>
        <w:pStyle w:val="41"/>
        <w:tabs>
          <w:tab w:val="left" w:pos="1240"/>
        </w:tabs>
        <w:spacing w:line="360" w:lineRule="auto"/>
        <w:ind w:left="0" w:firstLine="476" w:firstLineChars="200"/>
        <w:rPr>
          <w:b/>
          <w:sz w:val="24"/>
        </w:rPr>
      </w:pPr>
      <w:r>
        <w:rPr>
          <w:rFonts w:hint="eastAsia"/>
          <w:spacing w:val="-1"/>
          <w:sz w:val="24"/>
          <w:lang w:val="en-US"/>
        </w:rPr>
        <w:t>20.3</w:t>
      </w:r>
      <w:r>
        <w:rPr>
          <w:rFonts w:hint="eastAsia"/>
          <w:spacing w:val="-2"/>
          <w:sz w:val="24"/>
        </w:rPr>
        <w:t>本次招标不接受邮寄的投标文件。</w:t>
      </w:r>
    </w:p>
    <w:p>
      <w:pPr>
        <w:pStyle w:val="41"/>
        <w:tabs>
          <w:tab w:val="left" w:pos="1240"/>
        </w:tabs>
        <w:spacing w:line="360" w:lineRule="auto"/>
        <w:ind w:left="0" w:firstLine="0"/>
        <w:outlineLvl w:val="2"/>
        <w:rPr>
          <w:b/>
          <w:sz w:val="24"/>
        </w:rPr>
      </w:pPr>
      <w:bookmarkStart w:id="95" w:name="_Toc21558"/>
      <w:r>
        <w:rPr>
          <w:rFonts w:hint="eastAsia"/>
          <w:b/>
          <w:sz w:val="24"/>
        </w:rPr>
        <w:t>21、投标文件的修改和撤回</w:t>
      </w:r>
      <w:bookmarkEnd w:id="95"/>
    </w:p>
    <w:p>
      <w:pPr>
        <w:pStyle w:val="41"/>
        <w:tabs>
          <w:tab w:val="left" w:pos="1291"/>
        </w:tabs>
        <w:spacing w:line="360" w:lineRule="auto"/>
        <w:ind w:left="0" w:firstLine="476" w:firstLineChars="200"/>
        <w:rPr>
          <w:sz w:val="24"/>
        </w:rPr>
      </w:pPr>
      <w:r>
        <w:rPr>
          <w:rFonts w:hint="eastAsia"/>
          <w:spacing w:val="-1"/>
          <w:sz w:val="24"/>
          <w:lang w:val="en-US"/>
        </w:rPr>
        <w:t>21.1</w:t>
      </w:r>
      <w:r>
        <w:rPr>
          <w:rFonts w:hint="eastAsia"/>
          <w:spacing w:val="-1"/>
          <w:sz w:val="24"/>
        </w:rPr>
        <w:t>供应商在递交了投标文件后，可以修改或撤回其投标文件，但必须在规定的投标截</w:t>
      </w:r>
      <w:r>
        <w:rPr>
          <w:rFonts w:hint="eastAsia"/>
          <w:sz w:val="24"/>
        </w:rPr>
        <w:t>止时间前，以书面形式通知采购代理机构。</w:t>
      </w:r>
    </w:p>
    <w:p>
      <w:pPr>
        <w:pStyle w:val="41"/>
        <w:tabs>
          <w:tab w:val="left" w:pos="1288"/>
        </w:tabs>
        <w:spacing w:line="360" w:lineRule="auto"/>
        <w:ind w:left="0" w:firstLine="476" w:firstLineChars="200"/>
        <w:rPr>
          <w:sz w:val="24"/>
        </w:rPr>
      </w:pPr>
      <w:r>
        <w:rPr>
          <w:rFonts w:hint="eastAsia"/>
          <w:spacing w:val="-1"/>
          <w:sz w:val="24"/>
          <w:lang w:val="en-US"/>
        </w:rPr>
        <w:t>21.2</w:t>
      </w:r>
      <w:r>
        <w:rPr>
          <w:rFonts w:hint="eastAsia"/>
          <w:spacing w:val="-6"/>
          <w:sz w:val="24"/>
        </w:rPr>
        <w:t>供应商的修改书或撤回通知书，应由其法定代表人</w:t>
      </w:r>
      <w:r>
        <w:rPr>
          <w:rFonts w:hint="eastAsia"/>
          <w:sz w:val="24"/>
        </w:rPr>
        <w:t>/</w:t>
      </w:r>
      <w:r>
        <w:rPr>
          <w:rFonts w:hint="eastAsia"/>
          <w:spacing w:val="-2"/>
          <w:sz w:val="24"/>
        </w:rPr>
        <w:t>单位负责人或授权代表签署并盖</w:t>
      </w:r>
      <w:r>
        <w:rPr>
          <w:rFonts w:hint="eastAsia"/>
          <w:spacing w:val="-5"/>
          <w:sz w:val="24"/>
        </w:rPr>
        <w:t xml:space="preserve">单位印章。修改书应按投标须知第 </w:t>
      </w:r>
      <w:r>
        <w:rPr>
          <w:rFonts w:hint="eastAsia"/>
          <w:sz w:val="24"/>
        </w:rPr>
        <w:t>19</w:t>
      </w:r>
      <w:r>
        <w:rPr>
          <w:rFonts w:hint="eastAsia"/>
          <w:spacing w:val="-9"/>
          <w:sz w:val="24"/>
        </w:rPr>
        <w:t xml:space="preserve"> 条规定进行标注和密封，并在密封袋上标注“修改”字</w:t>
      </w:r>
      <w:r>
        <w:rPr>
          <w:rFonts w:hint="eastAsia"/>
          <w:sz w:val="24"/>
        </w:rPr>
        <w:t>样。</w:t>
      </w:r>
    </w:p>
    <w:p>
      <w:pPr>
        <w:pStyle w:val="41"/>
        <w:tabs>
          <w:tab w:val="left" w:pos="1300"/>
        </w:tabs>
        <w:spacing w:line="360" w:lineRule="auto"/>
        <w:ind w:left="0" w:firstLine="476" w:firstLineChars="200"/>
        <w:rPr>
          <w:sz w:val="24"/>
        </w:rPr>
      </w:pPr>
      <w:r>
        <w:rPr>
          <w:rFonts w:hint="eastAsia"/>
          <w:spacing w:val="-1"/>
          <w:sz w:val="24"/>
          <w:lang w:val="en-US"/>
        </w:rPr>
        <w:t>21.3</w:t>
      </w:r>
      <w:r>
        <w:rPr>
          <w:rFonts w:hint="eastAsia"/>
          <w:sz w:val="24"/>
        </w:rPr>
        <w:t>在投标截止时间之后，供应商不得对其递交的投标文件做任何修改或撤回投标。</w:t>
      </w:r>
    </w:p>
    <w:p>
      <w:pPr>
        <w:pStyle w:val="41"/>
        <w:tabs>
          <w:tab w:val="left" w:pos="1300"/>
        </w:tabs>
        <w:spacing w:line="360" w:lineRule="auto"/>
        <w:ind w:left="0" w:firstLine="476" w:firstLineChars="200"/>
        <w:rPr>
          <w:sz w:val="24"/>
        </w:rPr>
      </w:pPr>
      <w:r>
        <w:rPr>
          <w:rFonts w:hint="eastAsia"/>
          <w:spacing w:val="-1"/>
          <w:sz w:val="24"/>
          <w:lang w:val="en-US"/>
        </w:rPr>
        <w:t>21.4</w:t>
      </w:r>
      <w:r>
        <w:rPr>
          <w:rFonts w:hint="eastAsia"/>
          <w:spacing w:val="-1"/>
          <w:sz w:val="24"/>
        </w:rPr>
        <w:t>在递交投标截止时间之后，供应商不得对其投标文件进行任何修改,已经递交的投</w:t>
      </w:r>
      <w:r>
        <w:rPr>
          <w:rFonts w:hint="eastAsia"/>
          <w:sz w:val="24"/>
        </w:rPr>
        <w:t>标文件采购人、采购代理机构可以不予退还。</w:t>
      </w:r>
    </w:p>
    <w:p>
      <w:pPr>
        <w:pStyle w:val="41"/>
        <w:tabs>
          <w:tab w:val="left" w:pos="1300"/>
        </w:tabs>
        <w:spacing w:line="360" w:lineRule="auto"/>
        <w:ind w:left="0" w:firstLine="476" w:firstLineChars="200"/>
        <w:rPr>
          <w:sz w:val="24"/>
        </w:rPr>
      </w:pPr>
      <w:r>
        <w:rPr>
          <w:rFonts w:hint="eastAsia"/>
          <w:spacing w:val="-1"/>
          <w:sz w:val="24"/>
          <w:lang w:val="en-US"/>
        </w:rPr>
        <w:t>21.5</w:t>
      </w:r>
      <w:r>
        <w:rPr>
          <w:rFonts w:hint="eastAsia"/>
          <w:spacing w:val="-1"/>
          <w:sz w:val="24"/>
        </w:rPr>
        <w:t>供应商不得在递交截止时间起至投标文件有效期期满前撤销其投标文件。否则其</w:t>
      </w:r>
      <w:r>
        <w:rPr>
          <w:rFonts w:hint="eastAsia"/>
          <w:sz w:val="24"/>
        </w:rPr>
        <w:t>投标保证金将按相关规定不予退还。</w:t>
      </w:r>
    </w:p>
    <w:p>
      <w:pPr>
        <w:pStyle w:val="4"/>
        <w:spacing w:before="240" w:beforeLines="100" w:after="240" w:afterLines="100" w:line="360" w:lineRule="auto"/>
        <w:jc w:val="center"/>
        <w:rPr>
          <w:rFonts w:ascii="宋体" w:hAnsi="宋体" w:eastAsia="宋体" w:cs="宋体"/>
          <w:sz w:val="28"/>
          <w:szCs w:val="28"/>
        </w:rPr>
      </w:pPr>
      <w:bookmarkStart w:id="96" w:name="_Toc28738"/>
      <w:r>
        <w:rPr>
          <w:rFonts w:hint="eastAsia" w:ascii="宋体" w:hAnsi="宋体" w:eastAsia="宋体" w:cs="宋体"/>
          <w:sz w:val="28"/>
          <w:szCs w:val="28"/>
        </w:rPr>
        <w:t>五、开标和中标</w:t>
      </w:r>
      <w:bookmarkEnd w:id="96"/>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pStyle w:val="6"/>
        <w:spacing w:before="0" w:after="0" w:line="360" w:lineRule="auto"/>
        <w:rPr>
          <w:rFonts w:ascii="宋体" w:hAnsi="宋体" w:cs="宋体"/>
          <w:sz w:val="24"/>
          <w:szCs w:val="24"/>
        </w:rPr>
      </w:pPr>
      <w:bookmarkStart w:id="97" w:name="_Toc12602"/>
      <w:bookmarkStart w:id="98" w:name="_Toc23841"/>
      <w:bookmarkStart w:id="99" w:name="_Toc468640384"/>
      <w:bookmarkStart w:id="100" w:name="_Toc183582240"/>
      <w:bookmarkStart w:id="101" w:name="_Toc468320458"/>
      <w:bookmarkStart w:id="102" w:name="_Toc217446065"/>
      <w:bookmarkStart w:id="103" w:name="_Toc26486"/>
      <w:bookmarkStart w:id="104" w:name="_Toc468641505"/>
      <w:bookmarkStart w:id="105" w:name="_Toc468654146"/>
      <w:bookmarkStart w:id="106" w:name="_Toc183682377"/>
      <w:bookmarkStart w:id="107" w:name="_Toc468331090"/>
      <w:bookmarkStart w:id="108" w:name="_Toc468346381"/>
      <w:bookmarkStart w:id="109" w:name="_Toc468640289"/>
      <w:bookmarkStart w:id="110" w:name="_Toc395625046"/>
      <w:bookmarkStart w:id="111" w:name="_Toc11008"/>
      <w:bookmarkStart w:id="112" w:name="_Toc30909"/>
      <w:r>
        <w:rPr>
          <w:rFonts w:hint="eastAsia" w:ascii="宋体" w:hAnsi="宋体" w:cs="宋体"/>
          <w:sz w:val="24"/>
          <w:szCs w:val="24"/>
        </w:rPr>
        <w:t>22、开标</w:t>
      </w:r>
      <w:bookmarkEnd w:id="97"/>
    </w:p>
    <w:p>
      <w:pPr>
        <w:pStyle w:val="41"/>
        <w:tabs>
          <w:tab w:val="left" w:pos="1300"/>
        </w:tabs>
        <w:spacing w:line="360" w:lineRule="auto"/>
        <w:ind w:left="0" w:firstLineChars="200"/>
        <w:rPr>
          <w:sz w:val="24"/>
        </w:rPr>
      </w:pPr>
      <w:r>
        <w:rPr>
          <w:rFonts w:hint="eastAsia"/>
          <w:sz w:val="24"/>
          <w:lang w:val="en-US"/>
        </w:rPr>
        <w:t>22.1</w:t>
      </w:r>
      <w:r>
        <w:rPr>
          <w:rFonts w:hint="eastAsia"/>
          <w:sz w:val="24"/>
        </w:rPr>
        <w:t>开标在招标文件规定的时间和地点公开进行，采购人、供应商须派代表（法定代表人或授权代理人</w:t>
      </w:r>
      <w:r>
        <w:rPr>
          <w:rFonts w:hint="eastAsia"/>
          <w:spacing w:val="-24"/>
          <w:sz w:val="24"/>
        </w:rPr>
        <w:t>）</w:t>
      </w:r>
      <w:r>
        <w:rPr>
          <w:rFonts w:hint="eastAsia"/>
          <w:spacing w:val="-5"/>
          <w:sz w:val="24"/>
        </w:rPr>
        <w:t>参加并签到以证明其出席。开标由采购代理机构主持，采购人、供应商代表</w:t>
      </w:r>
      <w:r>
        <w:rPr>
          <w:rFonts w:hint="eastAsia"/>
          <w:sz w:val="24"/>
        </w:rPr>
        <w:t>参加。评标委员会成员不得参加开标活动。</w:t>
      </w:r>
    </w:p>
    <w:p>
      <w:pPr>
        <w:pStyle w:val="41"/>
        <w:tabs>
          <w:tab w:val="left" w:pos="1300"/>
        </w:tabs>
        <w:spacing w:line="360" w:lineRule="auto"/>
        <w:ind w:left="0" w:firstLineChars="200"/>
        <w:rPr>
          <w:sz w:val="24"/>
        </w:rPr>
      </w:pPr>
      <w:r>
        <w:rPr>
          <w:rFonts w:hint="eastAsia"/>
          <w:sz w:val="24"/>
          <w:lang w:val="en-US"/>
        </w:rPr>
        <w:t>22.2</w:t>
      </w:r>
      <w:r>
        <w:rPr>
          <w:rFonts w:hint="eastAsia"/>
          <w:spacing w:val="-1"/>
          <w:sz w:val="24"/>
        </w:rPr>
        <w:t>开标时，招标采购单位可能根据具体情况邀请有关监督管理部门对开标活动进行现</w:t>
      </w:r>
      <w:r>
        <w:rPr>
          <w:rFonts w:hint="eastAsia"/>
          <w:sz w:val="24"/>
        </w:rPr>
        <w:t>场监督。</w:t>
      </w:r>
    </w:p>
    <w:p>
      <w:pPr>
        <w:pStyle w:val="41"/>
        <w:tabs>
          <w:tab w:val="left" w:pos="1300"/>
        </w:tabs>
        <w:spacing w:line="360" w:lineRule="auto"/>
        <w:ind w:left="0" w:firstLineChars="200"/>
        <w:rPr>
          <w:sz w:val="24"/>
        </w:rPr>
      </w:pPr>
      <w:r>
        <w:rPr>
          <w:rFonts w:hint="eastAsia"/>
          <w:sz w:val="24"/>
          <w:lang w:val="en-US"/>
        </w:rPr>
        <w:t>22.3</w:t>
      </w:r>
      <w:r>
        <w:rPr>
          <w:rFonts w:hint="eastAsia"/>
          <w:spacing w:val="-1"/>
          <w:sz w:val="24"/>
        </w:rPr>
        <w:t>开标时，由供应商或者其推选的代表先检查投标文件的密封情况</w:t>
      </w:r>
      <w:r>
        <w:rPr>
          <w:rFonts w:hint="eastAsia"/>
          <w:sz w:val="24"/>
        </w:rPr>
        <w:t>（供应商代表确认</w:t>
      </w:r>
      <w:r>
        <w:rPr>
          <w:rFonts w:hint="eastAsia"/>
          <w:spacing w:val="-10"/>
          <w:sz w:val="24"/>
        </w:rPr>
        <w:t>投标文件情况，仅限于确认其自己递交的投标文件的密封情况，不代表对其他供应商的投标文</w:t>
      </w:r>
      <w:r>
        <w:rPr>
          <w:rFonts w:hint="eastAsia"/>
          <w:spacing w:val="-9"/>
          <w:sz w:val="24"/>
        </w:rPr>
        <w:t>件的密封情况确认。供应商代表对其他供应商的投标文件密封情况有异议的，可以当场反映开</w:t>
      </w:r>
      <w:r>
        <w:rPr>
          <w:rFonts w:hint="eastAsia"/>
          <w:spacing w:val="-7"/>
          <w:sz w:val="24"/>
        </w:rPr>
        <w:t>标主持人或者现场监督人员，要求开标现场记录人员予以记录，并在评标时予以认定处理，但</w:t>
      </w:r>
      <w:r>
        <w:rPr>
          <w:rFonts w:hint="eastAsia"/>
          <w:spacing w:val="-5"/>
          <w:sz w:val="24"/>
        </w:rPr>
        <w:t>不得干扰、阻挠开标工作的正常进行</w:t>
      </w:r>
      <w:r>
        <w:rPr>
          <w:rFonts w:hint="eastAsia"/>
          <w:spacing w:val="-20"/>
          <w:sz w:val="24"/>
        </w:rPr>
        <w:t>）。</w:t>
      </w:r>
      <w:r>
        <w:rPr>
          <w:rFonts w:hint="eastAsia"/>
          <w:spacing w:val="-8"/>
          <w:sz w:val="24"/>
        </w:rPr>
        <w:t>经确认无误后，由</w:t>
      </w:r>
      <w:r>
        <w:rPr>
          <w:rFonts w:hint="eastAsia"/>
          <w:spacing w:val="-8"/>
          <w:sz w:val="24"/>
          <w:lang w:val="en-US"/>
        </w:rPr>
        <w:t>采购</w:t>
      </w:r>
      <w:r>
        <w:rPr>
          <w:rFonts w:hint="eastAsia"/>
          <w:spacing w:val="-8"/>
          <w:sz w:val="24"/>
        </w:rPr>
        <w:t>代理机构工作人员将供应商单独</w:t>
      </w:r>
      <w:r>
        <w:rPr>
          <w:rFonts w:hint="eastAsia"/>
          <w:spacing w:val="-11"/>
          <w:sz w:val="24"/>
        </w:rPr>
        <w:t>递交的“开标一览表”当众拆封，并由唱标人员宣读供应商名称、投标价格和招标文件规定的</w:t>
      </w:r>
      <w:r>
        <w:rPr>
          <w:rFonts w:hint="eastAsia"/>
          <w:sz w:val="24"/>
        </w:rPr>
        <w:t>需要宣布的其他内容。</w:t>
      </w:r>
    </w:p>
    <w:p>
      <w:pPr>
        <w:pStyle w:val="41"/>
        <w:tabs>
          <w:tab w:val="left" w:pos="1300"/>
        </w:tabs>
        <w:spacing w:line="360" w:lineRule="auto"/>
        <w:ind w:left="0" w:firstLineChars="200"/>
        <w:rPr>
          <w:spacing w:val="-7"/>
          <w:sz w:val="24"/>
        </w:rPr>
      </w:pPr>
      <w:r>
        <w:rPr>
          <w:rFonts w:hint="eastAsia"/>
          <w:sz w:val="24"/>
          <w:lang w:val="en-US"/>
        </w:rPr>
        <w:t>22.4</w:t>
      </w:r>
      <w:r>
        <w:rPr>
          <w:rFonts w:hint="eastAsia"/>
          <w:sz w:val="24"/>
        </w:rPr>
        <w:t>开标时，“开标一览表”中的大写金额与小写金额不一致的，以大写金额为准，但</w:t>
      </w:r>
      <w:r>
        <w:rPr>
          <w:rFonts w:hint="eastAsia"/>
          <w:spacing w:val="-7"/>
          <w:sz w:val="24"/>
        </w:rPr>
        <w:t>大写金额出现文字错误，导致金额无法判断的除外；总价金额与按单价计算的汇总金额不一致</w:t>
      </w:r>
      <w:r>
        <w:rPr>
          <w:rFonts w:hint="eastAsia"/>
          <w:spacing w:val="-10"/>
          <w:sz w:val="24"/>
        </w:rPr>
        <w:t>的，以单价计算的汇总金额为准，但是单价金额出现计算错误、明显人为工作失误的除外</w:t>
      </w:r>
      <w:r>
        <w:rPr>
          <w:rFonts w:hint="eastAsia"/>
          <w:sz w:val="24"/>
        </w:rPr>
        <w:t>（单</w:t>
      </w:r>
      <w:r>
        <w:rPr>
          <w:rFonts w:hint="eastAsia"/>
          <w:spacing w:val="-6"/>
          <w:sz w:val="24"/>
        </w:rPr>
        <w:t>价汇总金额比总价金额高，且超过政府采购预算或者本项目最高限价的，供应商投标文件应作</w:t>
      </w:r>
      <w:r>
        <w:rPr>
          <w:rFonts w:hint="eastAsia"/>
          <w:spacing w:val="-18"/>
          <w:sz w:val="24"/>
        </w:rPr>
        <w:t xml:space="preserve">为无效投标处理；单价汇总金额比总价金额高，但未超过政府采购预算或者本项目最高限价的， </w:t>
      </w:r>
      <w:r>
        <w:rPr>
          <w:rFonts w:hint="eastAsia"/>
          <w:spacing w:val="-2"/>
          <w:sz w:val="24"/>
        </w:rPr>
        <w:t>应以单价汇总金额作为价格评分依据</w:t>
      </w:r>
      <w:r>
        <w:rPr>
          <w:rFonts w:hint="eastAsia"/>
          <w:spacing w:val="-20"/>
          <w:sz w:val="24"/>
        </w:rPr>
        <w:t>）</w:t>
      </w:r>
      <w:r>
        <w:rPr>
          <w:rFonts w:hint="eastAsia"/>
          <w:spacing w:val="-7"/>
          <w:sz w:val="24"/>
        </w:rPr>
        <w:t>；单价金额小数点有明显错误的，应以总价为准，并修改单价。</w:t>
      </w:r>
    </w:p>
    <w:p>
      <w:pPr>
        <w:pStyle w:val="41"/>
        <w:tabs>
          <w:tab w:val="left" w:pos="1300"/>
        </w:tabs>
        <w:spacing w:line="360" w:lineRule="auto"/>
        <w:ind w:left="0" w:firstLineChars="200"/>
        <w:rPr>
          <w:sz w:val="24"/>
        </w:rPr>
      </w:pPr>
      <w:r>
        <w:rPr>
          <w:rFonts w:hint="eastAsia"/>
          <w:sz w:val="24"/>
          <w:lang w:val="en-US"/>
        </w:rPr>
        <w:t>22.5</w:t>
      </w:r>
      <w:r>
        <w:rPr>
          <w:rFonts w:hint="eastAsia"/>
          <w:spacing w:val="-3"/>
          <w:sz w:val="24"/>
        </w:rPr>
        <w:t>投标文件中相关内容与“开标一览表”不一致的，以“开标一览表”为准。对不同</w:t>
      </w:r>
      <w:r>
        <w:rPr>
          <w:rFonts w:hint="eastAsia"/>
          <w:sz w:val="24"/>
        </w:rPr>
        <w:t>文字文本投标文件的解释发生异议的，以中文文本为准。</w:t>
      </w:r>
    </w:p>
    <w:p>
      <w:pPr>
        <w:pStyle w:val="41"/>
        <w:tabs>
          <w:tab w:val="left" w:pos="1300"/>
        </w:tabs>
        <w:spacing w:line="360" w:lineRule="auto"/>
        <w:ind w:left="0" w:firstLineChars="200"/>
        <w:rPr>
          <w:sz w:val="24"/>
        </w:rPr>
      </w:pPr>
      <w:r>
        <w:rPr>
          <w:rFonts w:hint="eastAsia"/>
          <w:sz w:val="24"/>
          <w:lang w:val="en-US"/>
        </w:rPr>
        <w:t>22.6</w:t>
      </w:r>
      <w:r>
        <w:rPr>
          <w:rFonts w:hint="eastAsia"/>
          <w:spacing w:val="-1"/>
          <w:sz w:val="24"/>
        </w:rPr>
        <w:t>所有投标唱标完毕，如供应商代表对宣读的“开标一览表”上的内容有异议的，应</w:t>
      </w:r>
      <w:r>
        <w:rPr>
          <w:rFonts w:hint="eastAsia"/>
          <w:spacing w:val="-6"/>
          <w:sz w:val="24"/>
        </w:rPr>
        <w:t>在获得开标会主持人同意后当场提出。如确实属于唱标人员宣读错了的，经现场监督人员核实</w:t>
      </w:r>
      <w:r>
        <w:rPr>
          <w:rFonts w:hint="eastAsia"/>
          <w:sz w:val="24"/>
        </w:rPr>
        <w:t>后，当场予以更正。</w:t>
      </w:r>
    </w:p>
    <w:p>
      <w:pPr>
        <w:pStyle w:val="41"/>
        <w:tabs>
          <w:tab w:val="left" w:pos="1300"/>
        </w:tabs>
        <w:spacing w:line="360" w:lineRule="auto"/>
        <w:ind w:left="0" w:firstLineChars="200"/>
        <w:rPr>
          <w:sz w:val="24"/>
        </w:rPr>
      </w:pPr>
      <w:r>
        <w:rPr>
          <w:rFonts w:hint="eastAsia"/>
          <w:sz w:val="24"/>
          <w:lang w:val="en-US"/>
        </w:rPr>
        <w:t>22.7</w:t>
      </w:r>
      <w:r>
        <w:rPr>
          <w:rFonts w:hint="eastAsia"/>
          <w:sz w:val="24"/>
        </w:rPr>
        <w:t>供应商未参加开标的，视同认可开标结果。</w:t>
      </w:r>
    </w:p>
    <w:p>
      <w:pPr>
        <w:pStyle w:val="41"/>
        <w:tabs>
          <w:tab w:val="left" w:pos="1300"/>
        </w:tabs>
        <w:spacing w:line="360" w:lineRule="auto"/>
        <w:ind w:left="0" w:firstLineChars="200"/>
        <w:rPr>
          <w:b/>
          <w:sz w:val="24"/>
        </w:rPr>
      </w:pPr>
      <w:r>
        <w:rPr>
          <w:rFonts w:hint="eastAsia"/>
          <w:sz w:val="24"/>
          <w:lang w:val="en-US"/>
        </w:rPr>
        <w:t>22.8</w:t>
      </w:r>
      <w:r>
        <w:rPr>
          <w:rFonts w:hint="eastAsia"/>
          <w:sz w:val="24"/>
        </w:rPr>
        <w:t>有以下情形之一的，投标文件不予受理</w:t>
      </w:r>
      <w:r>
        <w:rPr>
          <w:rFonts w:hint="eastAsia"/>
          <w:b/>
          <w:sz w:val="24"/>
        </w:rPr>
        <w:t>：</w:t>
      </w:r>
    </w:p>
    <w:p>
      <w:pPr>
        <w:pStyle w:val="41"/>
        <w:tabs>
          <w:tab w:val="left" w:pos="1282"/>
        </w:tabs>
        <w:spacing w:line="360" w:lineRule="auto"/>
        <w:ind w:left="0" w:firstLineChars="200"/>
        <w:rPr>
          <w:sz w:val="24"/>
        </w:rPr>
      </w:pPr>
      <w:r>
        <w:rPr>
          <w:rFonts w:hint="eastAsia"/>
          <w:sz w:val="24"/>
        </w:rPr>
        <w:t>（</w:t>
      </w:r>
      <w:r>
        <w:rPr>
          <w:rFonts w:hint="eastAsia"/>
          <w:sz w:val="24"/>
          <w:lang w:val="en-US"/>
        </w:rPr>
        <w:t>1</w:t>
      </w:r>
      <w:r>
        <w:rPr>
          <w:rFonts w:hint="eastAsia"/>
          <w:sz w:val="24"/>
        </w:rPr>
        <w:t>）未通过合法途径获取招标文件；</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）投标截止时间以后送达的投标文件或邮寄的投标文件；</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）未按招标文件规定缴纳方式和金额交纳投标保证金的；</w:t>
      </w:r>
    </w:p>
    <w:p>
      <w:pPr>
        <w:pStyle w:val="41"/>
        <w:tabs>
          <w:tab w:val="left" w:pos="1282"/>
        </w:tabs>
        <w:spacing w:line="360" w:lineRule="auto"/>
        <w:ind w:left="0" w:firstLineChars="200"/>
        <w:rPr>
          <w:sz w:val="24"/>
        </w:rPr>
      </w:pPr>
      <w:r>
        <w:rPr>
          <w:rFonts w:hint="eastAsia"/>
          <w:sz w:val="24"/>
        </w:rPr>
        <w:t>（</w:t>
      </w:r>
      <w:r>
        <w:rPr>
          <w:rFonts w:hint="eastAsia"/>
          <w:sz w:val="24"/>
          <w:lang w:val="en-US"/>
        </w:rPr>
        <w:t>4</w:t>
      </w:r>
      <w:r>
        <w:rPr>
          <w:rFonts w:hint="eastAsia"/>
          <w:sz w:val="24"/>
        </w:rPr>
        <w:t>）未在投标截止时间前履行签到手续的；</w:t>
      </w:r>
    </w:p>
    <w:p>
      <w:pPr>
        <w:pStyle w:val="41"/>
        <w:tabs>
          <w:tab w:val="left" w:pos="1282"/>
        </w:tabs>
        <w:spacing w:line="360" w:lineRule="auto"/>
        <w:ind w:left="0" w:firstLineChars="200"/>
        <w:rPr>
          <w:sz w:val="24"/>
        </w:rPr>
      </w:pPr>
      <w:r>
        <w:rPr>
          <w:rFonts w:hint="eastAsia"/>
          <w:sz w:val="24"/>
        </w:rPr>
        <w:t>（</w:t>
      </w:r>
      <w:r>
        <w:rPr>
          <w:rFonts w:hint="eastAsia"/>
          <w:sz w:val="24"/>
          <w:lang w:val="en-US"/>
        </w:rPr>
        <w:t>5</w:t>
      </w:r>
      <w:r>
        <w:rPr>
          <w:rFonts w:hint="eastAsia"/>
          <w:sz w:val="24"/>
        </w:rPr>
        <w:t>）用于唱标的《开标一览表》未单独封装的；</w:t>
      </w:r>
    </w:p>
    <w:p>
      <w:pPr>
        <w:pStyle w:val="41"/>
        <w:tabs>
          <w:tab w:val="left" w:pos="1282"/>
        </w:tabs>
        <w:spacing w:line="360" w:lineRule="auto"/>
        <w:ind w:left="0" w:firstLineChars="200"/>
        <w:rPr>
          <w:sz w:val="24"/>
        </w:rPr>
      </w:pPr>
      <w:r>
        <w:rPr>
          <w:rFonts w:hint="eastAsia"/>
          <w:sz w:val="24"/>
        </w:rPr>
        <w:t>（</w:t>
      </w:r>
      <w:r>
        <w:rPr>
          <w:rFonts w:hint="eastAsia"/>
          <w:sz w:val="24"/>
          <w:lang w:val="en-US"/>
        </w:rPr>
        <w:t>6</w:t>
      </w:r>
      <w:r>
        <w:rPr>
          <w:rFonts w:hint="eastAsia"/>
          <w:sz w:val="24"/>
        </w:rPr>
        <w:t>）在开标会现场有故意损毁其他供应商投标文件等扰乱开标秩序行为的；</w:t>
      </w:r>
    </w:p>
    <w:p>
      <w:pPr>
        <w:pStyle w:val="41"/>
        <w:tabs>
          <w:tab w:val="left" w:pos="1282"/>
        </w:tabs>
        <w:spacing w:line="360" w:lineRule="auto"/>
        <w:ind w:left="0" w:firstLine="476" w:firstLineChars="200"/>
        <w:rPr>
          <w:sz w:val="24"/>
        </w:rPr>
      </w:pPr>
      <w:r>
        <w:rPr>
          <w:rFonts w:hint="eastAsia"/>
          <w:spacing w:val="-1"/>
          <w:sz w:val="24"/>
        </w:rPr>
        <w:t>（</w:t>
      </w:r>
      <w:r>
        <w:rPr>
          <w:rFonts w:hint="eastAsia"/>
          <w:spacing w:val="-1"/>
          <w:sz w:val="24"/>
          <w:lang w:val="en-US"/>
        </w:rPr>
        <w:t>7</w:t>
      </w:r>
      <w:r>
        <w:rPr>
          <w:rFonts w:hint="eastAsia"/>
          <w:spacing w:val="-1"/>
          <w:sz w:val="24"/>
        </w:rPr>
        <w:t>）招标文件规定的其他投标文件将被拒收的情形。</w:t>
      </w:r>
    </w:p>
    <w:p>
      <w:pPr>
        <w:tabs>
          <w:tab w:val="left" w:pos="1282"/>
        </w:tabs>
        <w:spacing w:line="360" w:lineRule="auto"/>
        <w:outlineLvl w:val="2"/>
        <w:rPr>
          <w:rFonts w:ascii="宋体" w:hAnsi="宋体" w:cs="宋体"/>
          <w:sz w:val="24"/>
        </w:rPr>
      </w:pPr>
      <w:bookmarkStart w:id="113" w:name="_Toc29355"/>
      <w:r>
        <w:rPr>
          <w:rFonts w:hint="eastAsia" w:ascii="宋体" w:hAnsi="宋体" w:cs="宋体"/>
          <w:b/>
          <w:sz w:val="24"/>
        </w:rPr>
        <w:t>23、开标程序</w:t>
      </w:r>
      <w:bookmarkEnd w:id="113"/>
    </w:p>
    <w:p>
      <w:pPr>
        <w:pStyle w:val="2"/>
        <w:spacing w:after="0" w:line="360" w:lineRule="auto"/>
        <w:ind w:firstLine="480" w:firstLineChars="200"/>
        <w:rPr>
          <w:rFonts w:ascii="宋体" w:hAnsi="宋体" w:cs="宋体"/>
          <w:sz w:val="24"/>
        </w:rPr>
      </w:pPr>
      <w:r>
        <w:rPr>
          <w:rFonts w:hint="eastAsia" w:ascii="宋体" w:hAnsi="宋体" w:cs="宋体"/>
          <w:sz w:val="24"/>
        </w:rPr>
        <w:t>23.1 开标会主持人按照招标文件规定的开标时间宣布开标，按照规定要求主持开标会。开标将按以下程序进行：</w:t>
      </w:r>
    </w:p>
    <w:p>
      <w:pPr>
        <w:pStyle w:val="2"/>
        <w:spacing w:after="0" w:line="360" w:lineRule="auto"/>
        <w:ind w:firstLine="476" w:firstLineChars="200"/>
        <w:rPr>
          <w:rFonts w:ascii="宋体" w:hAnsi="宋体" w:cs="宋体"/>
          <w:sz w:val="24"/>
        </w:rPr>
      </w:pPr>
      <w:r>
        <w:rPr>
          <w:rFonts w:hint="eastAsia" w:ascii="宋体" w:hAnsi="宋体" w:cs="宋体"/>
          <w:spacing w:val="-1"/>
          <w:sz w:val="24"/>
        </w:rPr>
        <w:t>（1）宣布开标会开始。当众宣布参加开标会主持人、唱标人、会议记录人以及根据情况</w:t>
      </w:r>
      <w:r>
        <w:rPr>
          <w:rFonts w:hint="eastAsia" w:ascii="宋体" w:hAnsi="宋体" w:cs="宋体"/>
          <w:sz w:val="24"/>
        </w:rPr>
        <w:t>邀请的现场监督人等工作人员，根据“供应商签到表”宣布参加投标的供应商名单。</w:t>
      </w:r>
    </w:p>
    <w:p>
      <w:pPr>
        <w:pStyle w:val="2"/>
        <w:spacing w:after="0" w:line="360" w:lineRule="auto"/>
        <w:ind w:firstLine="480" w:firstLineChars="200"/>
        <w:rPr>
          <w:rFonts w:ascii="宋体" w:hAnsi="宋体" w:cs="宋体"/>
          <w:sz w:val="24"/>
        </w:rPr>
      </w:pPr>
      <w:r>
        <w:rPr>
          <w:rFonts w:hint="eastAsia" w:ascii="宋体" w:hAnsi="宋体" w:cs="宋体"/>
          <w:sz w:val="24"/>
        </w:rPr>
        <w:t>（2）根据供应商代表对投标文件密封的检查结果，当众宣布投标文件的密封情况。</w:t>
      </w:r>
    </w:p>
    <w:p>
      <w:pPr>
        <w:pStyle w:val="2"/>
        <w:spacing w:after="0" w:line="360" w:lineRule="auto"/>
        <w:ind w:firstLine="480" w:firstLineChars="200"/>
        <w:rPr>
          <w:rFonts w:ascii="宋体" w:hAnsi="宋体" w:cs="宋体"/>
          <w:spacing w:val="-12"/>
          <w:sz w:val="24"/>
        </w:rPr>
      </w:pPr>
      <w:r>
        <w:rPr>
          <w:rFonts w:hint="eastAsia" w:ascii="宋体" w:hAnsi="宋体" w:cs="宋体"/>
          <w:sz w:val="24"/>
        </w:rPr>
        <w:t>（3）开标唱标。主持人宣布开标后，由现场工作人员按任意顺序对供应商的“开标一览</w:t>
      </w:r>
      <w:r>
        <w:rPr>
          <w:rFonts w:hint="eastAsia" w:ascii="宋体" w:hAnsi="宋体" w:cs="宋体"/>
          <w:spacing w:val="-8"/>
          <w:sz w:val="24"/>
        </w:rPr>
        <w:t>表”当众进行拆封，由唱标人员宣读供应商名称、投标价格</w:t>
      </w:r>
      <w:r>
        <w:rPr>
          <w:rFonts w:hint="eastAsia" w:ascii="宋体" w:hAnsi="宋体" w:cs="宋体"/>
          <w:sz w:val="24"/>
        </w:rPr>
        <w:t>（价格折扣</w:t>
      </w:r>
      <w:r>
        <w:rPr>
          <w:rFonts w:hint="eastAsia" w:ascii="宋体" w:hAnsi="宋体" w:cs="宋体"/>
          <w:spacing w:val="-17"/>
          <w:sz w:val="24"/>
        </w:rPr>
        <w:t>）</w:t>
      </w:r>
      <w:r>
        <w:rPr>
          <w:rFonts w:hint="eastAsia" w:ascii="宋体" w:hAnsi="宋体" w:cs="宋体"/>
          <w:spacing w:val="-4"/>
          <w:sz w:val="24"/>
        </w:rPr>
        <w:t>、或招标文件允许提</w:t>
      </w:r>
      <w:r>
        <w:rPr>
          <w:rFonts w:hint="eastAsia" w:ascii="宋体" w:hAnsi="宋体" w:cs="宋体"/>
          <w:spacing w:val="-7"/>
          <w:sz w:val="24"/>
        </w:rPr>
        <w:t>供的备选投标方案和投标文件的其他主要内容。未宣读的投标价格</w:t>
      </w:r>
      <w:r>
        <w:rPr>
          <w:rFonts w:hint="eastAsia" w:ascii="宋体" w:hAnsi="宋体" w:cs="宋体"/>
          <w:sz w:val="24"/>
        </w:rPr>
        <w:t>（价格折扣</w:t>
      </w:r>
      <w:r>
        <w:rPr>
          <w:rFonts w:hint="eastAsia" w:ascii="宋体" w:hAnsi="宋体" w:cs="宋体"/>
          <w:spacing w:val="-32"/>
          <w:sz w:val="24"/>
        </w:rPr>
        <w:t>）</w:t>
      </w:r>
      <w:r>
        <w:rPr>
          <w:rFonts w:hint="eastAsia" w:ascii="宋体" w:hAnsi="宋体" w:cs="宋体"/>
          <w:sz w:val="24"/>
        </w:rPr>
        <w:t>或招标文件允</w:t>
      </w:r>
      <w:r>
        <w:rPr>
          <w:rFonts w:hint="eastAsia" w:ascii="宋体" w:hAnsi="宋体" w:cs="宋体"/>
          <w:spacing w:val="-5"/>
          <w:sz w:val="24"/>
        </w:rPr>
        <w:t>许提供的备选投标方案等实质内容，评标时不予承认。同时，做好开标记录。唱标人员在唱标</w:t>
      </w:r>
      <w:r>
        <w:rPr>
          <w:rFonts w:hint="eastAsia" w:ascii="宋体" w:hAnsi="宋体" w:cs="宋体"/>
          <w:spacing w:val="-9"/>
          <w:sz w:val="24"/>
        </w:rPr>
        <w:t xml:space="preserve">过程中，如遇有字迹不清楚或有明显错误的，应即刻报告主持人，经现场核实后，主持人立即请供应商代表现场进行澄清或确认。唱标完毕后供应商代表需现场对开标记录进行签字确认， 供应商代表对唱标内容有异议的，可以当场提出，并要求会议记录人在开标记录中予以记录， </w:t>
      </w:r>
      <w:r>
        <w:rPr>
          <w:rFonts w:hint="eastAsia" w:ascii="宋体" w:hAnsi="宋体" w:cs="宋体"/>
          <w:spacing w:val="-18"/>
          <w:sz w:val="24"/>
        </w:rPr>
        <w:t>或者另行提供书面异议资料，不签字又不提出异议的，视同认可唱标内容和结果，且不得干扰、</w:t>
      </w:r>
      <w:r>
        <w:rPr>
          <w:rFonts w:hint="eastAsia" w:ascii="宋体" w:hAnsi="宋体" w:cs="宋体"/>
          <w:spacing w:val="-6"/>
          <w:sz w:val="24"/>
        </w:rPr>
        <w:t>阻挠开</w:t>
      </w:r>
      <w:r>
        <w:rPr>
          <w:rFonts w:hint="eastAsia" w:ascii="宋体" w:hAnsi="宋体" w:cs="宋体"/>
          <w:sz w:val="24"/>
        </w:rPr>
        <w:t>（唱</w:t>
      </w:r>
      <w:r>
        <w:rPr>
          <w:rFonts w:hint="eastAsia" w:ascii="宋体" w:hAnsi="宋体" w:cs="宋体"/>
          <w:spacing w:val="-17"/>
          <w:sz w:val="24"/>
        </w:rPr>
        <w:t>）</w:t>
      </w:r>
      <w:r>
        <w:rPr>
          <w:rFonts w:hint="eastAsia" w:ascii="宋体" w:hAnsi="宋体" w:cs="宋体"/>
          <w:spacing w:val="-8"/>
          <w:sz w:val="24"/>
        </w:rPr>
        <w:t>标、评标工作。供应商代表对开标过程和开标记录有疑义，以及认为采购人、采</w:t>
      </w:r>
      <w:r>
        <w:rPr>
          <w:rFonts w:hint="eastAsia" w:ascii="宋体" w:hAnsi="宋体" w:cs="宋体"/>
          <w:spacing w:val="-12"/>
          <w:sz w:val="24"/>
        </w:rPr>
        <w:t>购代理机构相关工作人员有需要回避的情形的，应当场提出询问或者回避申请。采购人、采购代理机构对供应商代表提出的询问或者回避申请应当及时处理。</w:t>
      </w:r>
    </w:p>
    <w:p>
      <w:pPr>
        <w:pStyle w:val="2"/>
        <w:spacing w:after="0" w:line="360" w:lineRule="auto"/>
        <w:ind w:firstLine="432" w:firstLineChars="200"/>
        <w:rPr>
          <w:rFonts w:ascii="宋体" w:hAnsi="宋体" w:cs="宋体"/>
          <w:sz w:val="24"/>
        </w:rPr>
      </w:pPr>
      <w:r>
        <w:rPr>
          <w:rFonts w:hint="eastAsia" w:ascii="宋体" w:hAnsi="宋体" w:cs="宋体"/>
          <w:spacing w:val="-12"/>
          <w:sz w:val="24"/>
        </w:rPr>
        <w:t>（4）</w:t>
      </w:r>
      <w:r>
        <w:rPr>
          <w:rFonts w:hint="eastAsia" w:ascii="宋体" w:hAnsi="宋体" w:cs="宋体"/>
          <w:sz w:val="24"/>
        </w:rPr>
        <w:t>宣布开标会结束。主持人宣布开标会结束。所有供应商代表应立即退场（招标文件</w:t>
      </w:r>
      <w:r>
        <w:rPr>
          <w:rFonts w:hint="eastAsia" w:ascii="宋体" w:hAnsi="宋体" w:cs="宋体"/>
          <w:spacing w:val="-4"/>
          <w:sz w:val="24"/>
        </w:rPr>
        <w:t>要求有演示、介绍等的除外</w:t>
      </w:r>
      <w:r>
        <w:rPr>
          <w:rFonts w:hint="eastAsia" w:ascii="宋体" w:hAnsi="宋体" w:cs="宋体"/>
          <w:spacing w:val="-24"/>
          <w:sz w:val="24"/>
        </w:rPr>
        <w:t>）</w:t>
      </w:r>
      <w:r>
        <w:rPr>
          <w:rFonts w:hint="eastAsia" w:ascii="宋体" w:hAnsi="宋体" w:cs="宋体"/>
          <w:spacing w:val="-6"/>
          <w:sz w:val="24"/>
        </w:rPr>
        <w:t>。同时所有供应商代表应保持通讯设备的畅通，以方便在评标过</w:t>
      </w:r>
      <w:r>
        <w:rPr>
          <w:rFonts w:hint="eastAsia" w:ascii="宋体" w:hAnsi="宋体" w:cs="宋体"/>
          <w:spacing w:val="-10"/>
          <w:sz w:val="24"/>
        </w:rPr>
        <w:t>程中评标委员会要求供应商对投标文件的必要澄清、说明和纠正。评标过程因需要涉及通知供应商</w:t>
      </w:r>
      <w:r>
        <w:rPr>
          <w:rFonts w:hint="eastAsia" w:ascii="宋体" w:hAnsi="宋体" w:cs="宋体"/>
          <w:spacing w:val="-13"/>
          <w:sz w:val="24"/>
        </w:rPr>
        <w:t>代表的，均由招标采购单位以电话通知的形式通知相关供应商代表，供应商代表需在接到</w:t>
      </w:r>
      <w:r>
        <w:rPr>
          <w:rFonts w:hint="eastAsia" w:ascii="宋体" w:hAnsi="宋体" w:cs="宋体"/>
          <w:spacing w:val="-21"/>
          <w:sz w:val="24"/>
        </w:rPr>
        <w:t xml:space="preserve">电话通知后 </w:t>
      </w:r>
      <w:r>
        <w:rPr>
          <w:rFonts w:hint="eastAsia" w:ascii="宋体" w:hAnsi="宋体" w:cs="宋体"/>
          <w:sz w:val="24"/>
        </w:rPr>
        <w:t>20</w:t>
      </w:r>
      <w:r>
        <w:rPr>
          <w:rFonts w:hint="eastAsia" w:ascii="宋体" w:hAnsi="宋体" w:cs="宋体"/>
          <w:spacing w:val="-8"/>
          <w:sz w:val="24"/>
        </w:rPr>
        <w:t xml:space="preserve"> 分钟内赶到开标现场，供应商代表逾期未赶到开标现场或因供应商代表通讯设备无法接通（经监督人员证实）</w:t>
      </w:r>
      <w:r>
        <w:rPr>
          <w:rFonts w:hint="eastAsia" w:ascii="宋体" w:hAnsi="宋体" w:cs="宋体"/>
          <w:spacing w:val="-9"/>
          <w:sz w:val="24"/>
        </w:rPr>
        <w:t xml:space="preserve">的，招标采购单位及评标委员会有权认定该供应商不予配合， </w:t>
      </w:r>
      <w:r>
        <w:rPr>
          <w:rFonts w:hint="eastAsia" w:ascii="宋体" w:hAnsi="宋体" w:cs="宋体"/>
          <w:spacing w:val="-7"/>
          <w:sz w:val="24"/>
        </w:rPr>
        <w:t>主动放弃该权利的使用，其可能引发的后果由供应商自行承担。本项目评标结果由供应商在四川政府采购网上自行查询。</w:t>
      </w:r>
    </w:p>
    <w:p>
      <w:pPr>
        <w:spacing w:line="360" w:lineRule="auto"/>
        <w:outlineLvl w:val="2"/>
        <w:rPr>
          <w:rFonts w:ascii="宋体" w:hAnsi="宋体" w:cs="宋体"/>
          <w:b/>
          <w:sz w:val="24"/>
        </w:rPr>
      </w:pPr>
      <w:bookmarkStart w:id="114" w:name="_Toc5695"/>
      <w:r>
        <w:rPr>
          <w:rFonts w:hint="eastAsia" w:ascii="宋体" w:hAnsi="宋体" w:cs="宋体"/>
          <w:b/>
          <w:sz w:val="24"/>
        </w:rPr>
        <w:t>24、开评标过程存档</w:t>
      </w:r>
      <w:bookmarkEnd w:id="114"/>
    </w:p>
    <w:p>
      <w:pPr>
        <w:spacing w:line="360" w:lineRule="auto"/>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spacing w:line="360" w:lineRule="auto"/>
        <w:outlineLvl w:val="2"/>
        <w:rPr>
          <w:rFonts w:ascii="宋体" w:hAnsi="宋体" w:cs="宋体"/>
          <w:b/>
          <w:sz w:val="24"/>
        </w:rPr>
      </w:pPr>
      <w:bookmarkStart w:id="115" w:name="_Toc21759"/>
      <w:r>
        <w:rPr>
          <w:rFonts w:hint="eastAsia" w:ascii="宋体" w:hAnsi="宋体" w:cs="宋体"/>
          <w:b/>
          <w:sz w:val="24"/>
        </w:rPr>
        <w:t>25、评标情况公告</w:t>
      </w:r>
      <w:bookmarkEnd w:id="115"/>
    </w:p>
    <w:p>
      <w:pPr>
        <w:pStyle w:val="2"/>
        <w:snapToGrid w:val="0"/>
        <w:spacing w:after="0" w:line="360" w:lineRule="auto"/>
        <w:ind w:firstLine="468" w:firstLineChars="200"/>
        <w:rPr>
          <w:rFonts w:ascii="宋体" w:hAnsi="宋体" w:cs="宋体"/>
          <w:sz w:val="24"/>
          <w:szCs w:val="32"/>
        </w:rPr>
      </w:pPr>
      <w:r>
        <w:rPr>
          <w:rFonts w:hint="eastAsia" w:ascii="宋体" w:hAnsi="宋体" w:cs="宋体"/>
          <w:spacing w:val="-3"/>
          <w:sz w:val="24"/>
          <w:szCs w:val="32"/>
        </w:rPr>
        <w:t>采购代理机构将在采购人对评审结果进行书面确认之日起</w:t>
      </w:r>
      <w:r>
        <w:rPr>
          <w:rFonts w:hint="eastAsia" w:ascii="宋体" w:hAnsi="宋体" w:cs="宋体"/>
          <w:sz w:val="24"/>
          <w:szCs w:val="32"/>
        </w:rPr>
        <w:t>2</w:t>
      </w:r>
      <w:r>
        <w:rPr>
          <w:rFonts w:hint="eastAsia" w:ascii="宋体" w:hAnsi="宋体" w:cs="宋体"/>
          <w:spacing w:val="-16"/>
          <w:sz w:val="24"/>
          <w:szCs w:val="32"/>
        </w:rPr>
        <w:t>个工作日内，在四川政府采购</w:t>
      </w:r>
      <w:r>
        <w:rPr>
          <w:rFonts w:hint="eastAsia" w:ascii="宋体" w:hAnsi="宋体" w:cs="宋体"/>
          <w:spacing w:val="-8"/>
          <w:sz w:val="24"/>
          <w:szCs w:val="32"/>
        </w:rPr>
        <w:t>网上公告评审情况。评审情况包括供应商投标文件资格性、符合性检查情况、综合评分法的总得分和分项汇总得分情况、评标结果等。中标结果公告内容应当包括采购人及其委托的采购代</w:t>
      </w:r>
      <w:r>
        <w:rPr>
          <w:rFonts w:hint="eastAsia" w:ascii="宋体" w:hAnsi="宋体" w:cs="宋体"/>
          <w:spacing w:val="-10"/>
          <w:sz w:val="24"/>
          <w:szCs w:val="32"/>
        </w:rPr>
        <w:t>理机构的名称、地址、联系方式，项目名称和项目编号，中标人名称、地址和中标金额，主要</w:t>
      </w:r>
      <w:r>
        <w:rPr>
          <w:rFonts w:hint="eastAsia" w:ascii="宋体" w:hAnsi="宋体" w:cs="宋体"/>
          <w:spacing w:val="-9"/>
          <w:sz w:val="24"/>
          <w:szCs w:val="32"/>
        </w:rPr>
        <w:t>中标标的的名称、规格型号、数量、单价、服务要求，中标公告期限以及评审专家名单。结果</w:t>
      </w:r>
      <w:r>
        <w:rPr>
          <w:rFonts w:hint="eastAsia" w:ascii="宋体" w:hAnsi="宋体" w:cs="宋体"/>
          <w:spacing w:val="-10"/>
          <w:sz w:val="24"/>
          <w:szCs w:val="32"/>
        </w:rPr>
        <w:t xml:space="preserve">公告期限为 </w:t>
      </w:r>
      <w:r>
        <w:rPr>
          <w:rFonts w:hint="eastAsia" w:ascii="宋体" w:hAnsi="宋体" w:cs="宋体"/>
          <w:sz w:val="24"/>
          <w:szCs w:val="32"/>
        </w:rPr>
        <w:t>1</w:t>
      </w:r>
      <w:r>
        <w:rPr>
          <w:rFonts w:hint="eastAsia" w:ascii="宋体" w:hAnsi="宋体" w:cs="宋体"/>
          <w:spacing w:val="-10"/>
          <w:sz w:val="24"/>
          <w:szCs w:val="32"/>
        </w:rPr>
        <w:t xml:space="preserve"> 个工作日。</w:t>
      </w:r>
    </w:p>
    <w:p>
      <w:pPr>
        <w:spacing w:line="360" w:lineRule="auto"/>
        <w:outlineLvl w:val="2"/>
        <w:rPr>
          <w:rFonts w:ascii="宋体" w:hAnsi="宋体" w:cs="宋体"/>
          <w:b/>
          <w:sz w:val="24"/>
        </w:rPr>
      </w:pPr>
      <w:bookmarkStart w:id="116" w:name="_Toc14522"/>
      <w:r>
        <w:rPr>
          <w:rFonts w:hint="eastAsia" w:ascii="宋体" w:hAnsi="宋体" w:cs="宋体"/>
          <w:b/>
          <w:sz w:val="24"/>
        </w:rPr>
        <w:t>26、中标通知书</w:t>
      </w:r>
      <w:bookmarkEnd w:id="116"/>
    </w:p>
    <w:p>
      <w:pPr>
        <w:pStyle w:val="41"/>
        <w:tabs>
          <w:tab w:val="left" w:pos="1300"/>
        </w:tabs>
        <w:spacing w:line="360" w:lineRule="auto"/>
        <w:ind w:left="0" w:firstLineChars="200"/>
        <w:rPr>
          <w:sz w:val="24"/>
        </w:rPr>
      </w:pPr>
      <w:r>
        <w:rPr>
          <w:rFonts w:hint="eastAsia"/>
          <w:sz w:val="24"/>
          <w:lang w:val="en-US"/>
        </w:rPr>
        <w:t>26.1</w:t>
      </w:r>
      <w:r>
        <w:rPr>
          <w:rFonts w:hint="eastAsia"/>
          <w:sz w:val="24"/>
        </w:rPr>
        <w:t>中标通知书为签订采购合同的依据之一，是合同的有效组成部分。</w:t>
      </w:r>
    </w:p>
    <w:p>
      <w:pPr>
        <w:pStyle w:val="41"/>
        <w:tabs>
          <w:tab w:val="left" w:pos="1240"/>
        </w:tabs>
        <w:spacing w:line="360" w:lineRule="auto"/>
        <w:ind w:left="0" w:firstLineChars="200"/>
        <w:rPr>
          <w:sz w:val="24"/>
        </w:rPr>
      </w:pPr>
      <w:r>
        <w:rPr>
          <w:rFonts w:hint="eastAsia"/>
          <w:sz w:val="24"/>
          <w:lang w:val="en-US"/>
        </w:rPr>
        <w:t>26.2</w:t>
      </w:r>
      <w:r>
        <w:rPr>
          <w:rFonts w:hint="eastAsia"/>
          <w:sz w:val="24"/>
        </w:rPr>
        <w:t>供应商中标后，拒绝领取中标通知书的，招标采购单位将于中标</w:t>
      </w:r>
      <w:r>
        <w:rPr>
          <w:rFonts w:hint="eastAsia"/>
          <w:sz w:val="24"/>
          <w:lang w:val="en-US"/>
        </w:rPr>
        <w:t>人</w:t>
      </w:r>
      <w:r>
        <w:rPr>
          <w:rFonts w:hint="eastAsia"/>
          <w:sz w:val="24"/>
        </w:rPr>
        <w:t>确</w:t>
      </w:r>
      <w:r>
        <w:rPr>
          <w:rFonts w:hint="eastAsia"/>
          <w:sz w:val="24"/>
          <w:lang w:val="en-US"/>
        </w:rPr>
        <w:t>定</w:t>
      </w:r>
      <w:r>
        <w:rPr>
          <w:rFonts w:hint="eastAsia"/>
          <w:sz w:val="24"/>
        </w:rPr>
        <w:t>之日起两个工作日内采取邮寄、快递方式按照供应商投标文件中的地址发出中 标通知书。</w:t>
      </w:r>
    </w:p>
    <w:p>
      <w:pPr>
        <w:pStyle w:val="41"/>
        <w:tabs>
          <w:tab w:val="left" w:pos="1240"/>
        </w:tabs>
        <w:spacing w:line="360" w:lineRule="auto"/>
        <w:ind w:left="0" w:firstLineChars="200"/>
        <w:rPr>
          <w:sz w:val="24"/>
        </w:rPr>
      </w:pPr>
      <w:r>
        <w:rPr>
          <w:rFonts w:hint="eastAsia"/>
          <w:sz w:val="24"/>
          <w:lang w:val="en-US"/>
        </w:rPr>
        <w:t>26.3</w:t>
      </w:r>
      <w:r>
        <w:rPr>
          <w:rFonts w:hint="eastAsia"/>
          <w:sz w:val="24"/>
        </w:rPr>
        <w:t>中标通知书对采购人和中标人均具有法律效力。中标通知书发出后，采购人改变中标结果，或者中标人无正当理由放弃中标的，应当承担相应的法律责任。</w:t>
      </w:r>
    </w:p>
    <w:p>
      <w:pPr>
        <w:pStyle w:val="41"/>
        <w:tabs>
          <w:tab w:val="left" w:pos="1240"/>
        </w:tabs>
        <w:spacing w:line="360" w:lineRule="auto"/>
        <w:ind w:left="0" w:firstLineChars="200"/>
        <w:rPr>
          <w:spacing w:val="-1"/>
          <w:sz w:val="24"/>
        </w:rPr>
      </w:pPr>
      <w:r>
        <w:rPr>
          <w:rFonts w:hint="eastAsia"/>
          <w:sz w:val="24"/>
          <w:lang w:val="en-US"/>
        </w:rPr>
        <w:t>26.4</w:t>
      </w:r>
      <w:r>
        <w:rPr>
          <w:rFonts w:hint="eastAsia"/>
          <w:sz w:val="24"/>
        </w:rPr>
        <w:t xml:space="preserve">中标人的投标文件本应作为无效投标处理或者有政府采购法律法规规章制度规定的中标无效情形的，招标采购单位在取得有权主体的认定以后，将宣布发出的中标通知书无效， </w:t>
      </w:r>
      <w:r>
        <w:rPr>
          <w:rFonts w:hint="eastAsia"/>
          <w:spacing w:val="-7"/>
          <w:sz w:val="24"/>
        </w:rPr>
        <w:t>并收回发出的中标通知书</w:t>
      </w:r>
      <w:r>
        <w:rPr>
          <w:rFonts w:hint="eastAsia"/>
          <w:sz w:val="24"/>
        </w:rPr>
        <w:t>（中标人也应当缴回</w:t>
      </w:r>
      <w:r>
        <w:rPr>
          <w:rFonts w:hint="eastAsia"/>
          <w:spacing w:val="-72"/>
          <w:sz w:val="24"/>
        </w:rPr>
        <w:t>），</w:t>
      </w:r>
      <w:r>
        <w:rPr>
          <w:rFonts w:hint="eastAsia"/>
          <w:spacing w:val="-1"/>
          <w:sz w:val="24"/>
        </w:rPr>
        <w:t>依法重新确定中标人或者重新开展采购活动。</w:t>
      </w:r>
    </w:p>
    <w:p>
      <w:pPr>
        <w:pStyle w:val="41"/>
        <w:tabs>
          <w:tab w:val="left" w:pos="1240"/>
        </w:tabs>
        <w:spacing w:line="360" w:lineRule="auto"/>
        <w:ind w:left="0" w:firstLine="476" w:firstLineChars="200"/>
        <w:rPr>
          <w:spacing w:val="-1"/>
          <w:sz w:val="24"/>
          <w:lang w:val="en-US"/>
        </w:rPr>
      </w:pPr>
      <w:r>
        <w:rPr>
          <w:rFonts w:hint="eastAsia"/>
          <w:spacing w:val="-1"/>
          <w:sz w:val="24"/>
          <w:lang w:val="en-US"/>
        </w:rPr>
        <w:t>26.5中标公告发出后，中标人自行领取中标通知书的，可凭有效身份证明证件到采购代理机构办理。（详见须知附表中联系方式）。</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pStyle w:val="4"/>
        <w:spacing w:before="240" w:beforeLines="100" w:after="240" w:afterLines="100" w:line="360" w:lineRule="auto"/>
        <w:ind w:right="34"/>
        <w:jc w:val="center"/>
        <w:rPr>
          <w:rFonts w:ascii="宋体" w:hAnsi="宋体" w:eastAsia="宋体" w:cs="宋体"/>
          <w:sz w:val="28"/>
          <w:szCs w:val="28"/>
        </w:rPr>
      </w:pPr>
      <w:bookmarkStart w:id="117" w:name="_Toc6216"/>
      <w:bookmarkStart w:id="118" w:name="_Toc468640392"/>
      <w:bookmarkStart w:id="119" w:name="_Toc468320466"/>
      <w:bookmarkStart w:id="120" w:name="_Toc468640297"/>
      <w:bookmarkStart w:id="121" w:name="_Toc31110"/>
      <w:bookmarkStart w:id="122" w:name="_Toc20270"/>
      <w:bookmarkStart w:id="123" w:name="_Toc183682380"/>
      <w:bookmarkStart w:id="124" w:name="_Toc468346389"/>
      <w:bookmarkStart w:id="125" w:name="_Toc183582243"/>
      <w:bookmarkStart w:id="126" w:name="_Toc3426"/>
      <w:bookmarkStart w:id="127" w:name="_Toc15452"/>
      <w:bookmarkStart w:id="128" w:name="_Toc468654155"/>
      <w:bookmarkStart w:id="129" w:name="_Toc468331098"/>
      <w:bookmarkStart w:id="130" w:name="_Toc468641513"/>
      <w:bookmarkStart w:id="131" w:name="_Toc217446075"/>
      <w:bookmarkStart w:id="132" w:name="_Toc395625053"/>
      <w:r>
        <w:rPr>
          <w:rFonts w:hint="eastAsia" w:ascii="宋体" w:hAnsi="宋体" w:eastAsia="宋体" w:cs="宋体"/>
          <w:sz w:val="28"/>
          <w:szCs w:val="28"/>
        </w:rPr>
        <w:t>六、签订及履行合同和验收</w:t>
      </w:r>
      <w:bookmarkEnd w:id="117"/>
    </w:p>
    <w:p>
      <w:pPr>
        <w:spacing w:line="360" w:lineRule="auto"/>
        <w:outlineLvl w:val="2"/>
        <w:rPr>
          <w:rFonts w:ascii="宋体" w:hAnsi="宋体" w:cs="宋体"/>
          <w:b/>
          <w:sz w:val="24"/>
        </w:rPr>
      </w:pPr>
      <w:bookmarkStart w:id="133" w:name="_Toc22862"/>
      <w:r>
        <w:rPr>
          <w:rFonts w:hint="eastAsia" w:ascii="宋体" w:hAnsi="宋体" w:cs="宋体"/>
          <w:b/>
          <w:sz w:val="24"/>
        </w:rPr>
        <w:t>27、签订合同</w:t>
      </w:r>
      <w:bookmarkEnd w:id="133"/>
    </w:p>
    <w:p>
      <w:pPr>
        <w:pStyle w:val="41"/>
        <w:tabs>
          <w:tab w:val="left" w:pos="1305"/>
        </w:tabs>
        <w:spacing w:line="360" w:lineRule="auto"/>
        <w:ind w:left="0" w:firstLine="496" w:firstLineChars="200"/>
        <w:rPr>
          <w:sz w:val="24"/>
        </w:rPr>
      </w:pPr>
      <w:r>
        <w:rPr>
          <w:rFonts w:hint="eastAsia"/>
          <w:spacing w:val="4"/>
          <w:sz w:val="24"/>
          <w:lang w:val="en-US"/>
        </w:rPr>
        <w:t>27.1</w:t>
      </w:r>
      <w:r>
        <w:rPr>
          <w:rFonts w:hint="eastAsia"/>
          <w:spacing w:val="4"/>
          <w:sz w:val="24"/>
        </w:rPr>
        <w:t>中标人应在中标通知书发出之日起三十日内按招标文件要求与采购人签订采购合</w:t>
      </w:r>
      <w:r>
        <w:rPr>
          <w:rFonts w:hint="eastAsia"/>
          <w:spacing w:val="-10"/>
          <w:sz w:val="24"/>
        </w:rPr>
        <w:t>同。由于中标人的原因逾期未与采购人签订采购合同的，将视为放弃中标，取消其中标资格并</w:t>
      </w:r>
      <w:r>
        <w:rPr>
          <w:rFonts w:hint="eastAsia"/>
          <w:sz w:val="24"/>
        </w:rPr>
        <w:t>将按相关规定进行处理。</w:t>
      </w:r>
    </w:p>
    <w:p>
      <w:pPr>
        <w:pStyle w:val="41"/>
        <w:tabs>
          <w:tab w:val="left" w:pos="1305"/>
        </w:tabs>
        <w:spacing w:line="360" w:lineRule="auto"/>
        <w:ind w:left="0" w:firstLine="496" w:firstLineChars="200"/>
        <w:rPr>
          <w:sz w:val="24"/>
        </w:rPr>
      </w:pPr>
      <w:r>
        <w:rPr>
          <w:rFonts w:hint="eastAsia"/>
          <w:spacing w:val="4"/>
          <w:sz w:val="24"/>
          <w:lang w:val="en-US"/>
        </w:rPr>
        <w:t>27.2</w:t>
      </w:r>
      <w:r>
        <w:rPr>
          <w:rFonts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41"/>
        <w:tabs>
          <w:tab w:val="left" w:pos="1305"/>
        </w:tabs>
        <w:spacing w:line="360" w:lineRule="auto"/>
        <w:ind w:left="0" w:firstLine="440" w:firstLineChars="200"/>
        <w:rPr>
          <w:spacing w:val="-10"/>
          <w:sz w:val="24"/>
        </w:rPr>
      </w:pPr>
      <w:r>
        <w:rPr>
          <w:rFonts w:hint="eastAsia"/>
          <w:spacing w:val="-10"/>
          <w:sz w:val="24"/>
          <w:lang w:val="en-US"/>
        </w:rPr>
        <w:t xml:space="preserve">27.3 中标人拒绝与采购人签订合同的，采购人可以按照评标报告推荐的中标候选人名单排序，确定下一候选人为中标人，也可以重新开展政府采购活动。 </w:t>
      </w:r>
    </w:p>
    <w:p>
      <w:pPr>
        <w:pStyle w:val="41"/>
        <w:tabs>
          <w:tab w:val="left" w:pos="1305"/>
        </w:tabs>
        <w:spacing w:line="360" w:lineRule="auto"/>
        <w:ind w:left="0" w:firstLine="440" w:firstLineChars="200"/>
        <w:rPr>
          <w:spacing w:val="-10"/>
          <w:sz w:val="24"/>
        </w:rPr>
      </w:pPr>
      <w:r>
        <w:rPr>
          <w:rFonts w:hint="eastAsia"/>
          <w:spacing w:val="-10"/>
          <w:sz w:val="24"/>
          <w:lang w:val="en-US"/>
        </w:rPr>
        <w:t xml:space="preserve">27.4 中标人因不可抗力原因不能履行采购合同或放弃中标的，采购人可以与排在中标人之后第一位的中标候选人签订采购合同，以此类推。 </w:t>
      </w:r>
    </w:p>
    <w:p>
      <w:pPr>
        <w:pStyle w:val="41"/>
        <w:tabs>
          <w:tab w:val="left" w:pos="1305"/>
        </w:tabs>
        <w:spacing w:line="360" w:lineRule="auto"/>
        <w:ind w:left="0" w:firstLine="440" w:firstLineChars="200"/>
        <w:rPr>
          <w:spacing w:val="-10"/>
          <w:sz w:val="24"/>
          <w:lang w:val="en-US"/>
        </w:rPr>
      </w:pPr>
      <w:r>
        <w:rPr>
          <w:rFonts w:hint="eastAsia"/>
          <w:spacing w:val="-10"/>
          <w:sz w:val="24"/>
          <w:lang w:val="en-US"/>
        </w:rPr>
        <w:t>27.5 中标人在合同签订之后2个工作日内，将签订的合同送采购代理机构进行合同编号。</w:t>
      </w:r>
    </w:p>
    <w:p>
      <w:pPr>
        <w:spacing w:line="360" w:lineRule="auto"/>
        <w:outlineLvl w:val="2"/>
        <w:rPr>
          <w:rFonts w:ascii="宋体" w:hAnsi="宋体" w:cs="宋体"/>
          <w:b/>
          <w:sz w:val="24"/>
        </w:rPr>
      </w:pPr>
      <w:bookmarkStart w:id="134" w:name="_Toc14166"/>
      <w:r>
        <w:rPr>
          <w:rFonts w:hint="eastAsia" w:ascii="宋体" w:hAnsi="宋体" w:cs="宋体"/>
          <w:b/>
          <w:sz w:val="24"/>
        </w:rPr>
        <w:t>28、合同分包（如有）</w:t>
      </w:r>
      <w:bookmarkEnd w:id="134"/>
    </w:p>
    <w:p>
      <w:pPr>
        <w:pStyle w:val="41"/>
        <w:tabs>
          <w:tab w:val="left" w:pos="1300"/>
        </w:tabs>
        <w:spacing w:line="360" w:lineRule="auto"/>
        <w:ind w:left="0" w:firstLine="476" w:firstLineChars="200"/>
        <w:rPr>
          <w:sz w:val="24"/>
        </w:rPr>
      </w:pPr>
      <w:r>
        <w:rPr>
          <w:rFonts w:hint="eastAsia"/>
          <w:spacing w:val="-1"/>
          <w:sz w:val="24"/>
          <w:lang w:val="en-US"/>
        </w:rPr>
        <w:t>28.1</w:t>
      </w:r>
      <w:r>
        <w:rPr>
          <w:rFonts w:hint="eastAsia"/>
          <w:spacing w:val="-1"/>
          <w:sz w:val="24"/>
        </w:rPr>
        <w:t>经采购人同意，中标人可以依法采取分包方式履行合同。这种要求应当在合同签订</w:t>
      </w:r>
      <w:r>
        <w:rPr>
          <w:rFonts w:hint="eastAsia"/>
          <w:spacing w:val="-8"/>
          <w:sz w:val="24"/>
        </w:rPr>
        <w:t>之前征得采购人同意，并且分包供应商履行的分包项目的品牌、规格型号及技术要求等，必须</w:t>
      </w:r>
      <w:r>
        <w:rPr>
          <w:rFonts w:hint="eastAsia"/>
          <w:spacing w:val="-7"/>
          <w:sz w:val="24"/>
        </w:rPr>
        <w:t>与中标标的一致。分包履行的合同部分应当为采购项目的非主体、非关键性工作，不属于中标</w:t>
      </w:r>
      <w:r>
        <w:rPr>
          <w:rFonts w:hint="eastAsia"/>
          <w:sz w:val="24"/>
        </w:rPr>
        <w:t>人的主要合同义务。</w:t>
      </w:r>
    </w:p>
    <w:p>
      <w:pPr>
        <w:pStyle w:val="41"/>
        <w:tabs>
          <w:tab w:val="left" w:pos="1300"/>
        </w:tabs>
        <w:spacing w:line="360" w:lineRule="auto"/>
        <w:ind w:left="0" w:firstLine="476" w:firstLineChars="200"/>
        <w:rPr>
          <w:sz w:val="24"/>
        </w:rPr>
      </w:pPr>
      <w:r>
        <w:rPr>
          <w:rFonts w:hint="eastAsia"/>
          <w:spacing w:val="-1"/>
          <w:sz w:val="24"/>
          <w:lang w:val="en-US"/>
        </w:rPr>
        <w:t>28.2</w:t>
      </w:r>
      <w:r>
        <w:rPr>
          <w:rFonts w:hint="eastAsia"/>
          <w:spacing w:val="-2"/>
          <w:sz w:val="24"/>
        </w:rPr>
        <w:t>采购合同实行分包履行的，中标人就采购项目和分包项目向采购人负责，分包</w:t>
      </w:r>
      <w:r>
        <w:rPr>
          <w:rFonts w:hint="eastAsia"/>
          <w:spacing w:val="-2"/>
          <w:sz w:val="24"/>
          <w:lang w:val="en-US"/>
        </w:rPr>
        <w:t>人</w:t>
      </w:r>
      <w:r>
        <w:rPr>
          <w:rFonts w:hint="eastAsia"/>
          <w:sz w:val="24"/>
        </w:rPr>
        <w:t>就分包项目承担责任。</w:t>
      </w:r>
    </w:p>
    <w:p>
      <w:pPr>
        <w:pStyle w:val="41"/>
        <w:tabs>
          <w:tab w:val="left" w:pos="1300"/>
        </w:tabs>
        <w:spacing w:line="360" w:lineRule="auto"/>
        <w:ind w:left="0" w:firstLine="476" w:firstLineChars="200"/>
        <w:rPr>
          <w:sz w:val="24"/>
        </w:rPr>
      </w:pPr>
      <w:r>
        <w:rPr>
          <w:rFonts w:hint="eastAsia"/>
          <w:spacing w:val="-1"/>
          <w:sz w:val="24"/>
          <w:lang w:val="en-US"/>
        </w:rPr>
        <w:t>28.3</w:t>
      </w:r>
      <w:r>
        <w:rPr>
          <w:rFonts w:hint="eastAsia"/>
          <w:sz w:val="24"/>
        </w:rPr>
        <w:t>中小企业依据《政府采购促进中小企业发展暂行办法》（</w:t>
      </w:r>
      <w:r>
        <w:rPr>
          <w:rFonts w:hint="eastAsia"/>
          <w:spacing w:val="7"/>
          <w:sz w:val="24"/>
        </w:rPr>
        <w:t>财库</w:t>
      </w:r>
      <w:r>
        <w:rPr>
          <w:rFonts w:hint="eastAsia"/>
          <w:sz w:val="24"/>
        </w:rPr>
        <w:t>[2011]181</w:t>
      </w:r>
      <w:r>
        <w:rPr>
          <w:rFonts w:hint="eastAsia"/>
          <w:spacing w:val="-13"/>
          <w:sz w:val="24"/>
        </w:rPr>
        <w:t xml:space="preserve"> 号</w:t>
      </w:r>
      <w:r>
        <w:rPr>
          <w:rFonts w:hint="eastAsia"/>
          <w:sz w:val="24"/>
        </w:rPr>
        <w:t>）规定</w:t>
      </w:r>
      <w:r>
        <w:rPr>
          <w:rFonts w:hint="eastAsia"/>
          <w:spacing w:val="-7"/>
          <w:sz w:val="24"/>
        </w:rPr>
        <w:t>的政策获取政府采购合同后，小型、微型企业不得分包或转包给大型、中型企业，中型企业不</w:t>
      </w:r>
      <w:r>
        <w:rPr>
          <w:rFonts w:hint="eastAsia"/>
          <w:sz w:val="24"/>
        </w:rPr>
        <w:t>得分包或转包给大型企业。</w:t>
      </w:r>
    </w:p>
    <w:p>
      <w:pPr>
        <w:tabs>
          <w:tab w:val="left" w:pos="1243"/>
        </w:tabs>
        <w:spacing w:line="360" w:lineRule="auto"/>
        <w:ind w:firstLine="478" w:firstLineChars="200"/>
        <w:rPr>
          <w:rFonts w:ascii="宋体" w:hAnsi="宋体" w:cs="宋体"/>
          <w:b/>
          <w:bCs/>
          <w:sz w:val="24"/>
        </w:rPr>
      </w:pPr>
      <w:r>
        <w:rPr>
          <w:rFonts w:hint="eastAsia" w:ascii="宋体" w:hAnsi="宋体" w:cs="宋体"/>
          <w:b/>
          <w:bCs/>
          <w:spacing w:val="-1"/>
          <w:sz w:val="24"/>
        </w:rPr>
        <w:t>28.4</w:t>
      </w:r>
      <w:r>
        <w:rPr>
          <w:rFonts w:hint="eastAsia" w:ascii="宋体" w:hAnsi="宋体" w:cs="宋体"/>
          <w:b/>
          <w:bCs/>
          <w:sz w:val="24"/>
        </w:rPr>
        <w:t>本次采购项目不允许合同分包。</w:t>
      </w:r>
    </w:p>
    <w:p>
      <w:pPr>
        <w:spacing w:line="360" w:lineRule="auto"/>
        <w:outlineLvl w:val="2"/>
        <w:rPr>
          <w:rFonts w:ascii="宋体" w:hAnsi="宋体" w:cs="宋体"/>
          <w:b/>
          <w:sz w:val="24"/>
        </w:rPr>
      </w:pPr>
      <w:bookmarkStart w:id="135" w:name="_Toc14692"/>
      <w:r>
        <w:rPr>
          <w:rFonts w:hint="eastAsia" w:ascii="宋体" w:hAnsi="宋体" w:cs="宋体"/>
          <w:b/>
          <w:sz w:val="24"/>
        </w:rPr>
        <w:t>29、合同转包（实质性要求）</w:t>
      </w:r>
      <w:bookmarkEnd w:id="135"/>
    </w:p>
    <w:p>
      <w:pPr>
        <w:spacing w:line="360" w:lineRule="auto"/>
        <w:ind w:firstLine="470" w:firstLineChars="200"/>
        <w:rPr>
          <w:rFonts w:ascii="宋体" w:hAnsi="宋体" w:cs="宋体"/>
          <w:sz w:val="24"/>
        </w:rPr>
      </w:pPr>
      <w:r>
        <w:rPr>
          <w:rFonts w:hint="eastAsia" w:ascii="宋体" w:hAnsi="宋体" w:cs="宋体"/>
          <w:b/>
          <w:spacing w:val="-3"/>
          <w:sz w:val="24"/>
        </w:rPr>
        <w:t>本采购项目严禁中标人将任何政府采购合同义务转包。</w:t>
      </w:r>
      <w:r>
        <w:rPr>
          <w:rFonts w:hint="eastAsia" w:ascii="宋体" w:hAnsi="宋体" w:cs="宋体"/>
          <w:spacing w:val="-8"/>
          <w:sz w:val="24"/>
        </w:rPr>
        <w:t>本项目所称转包，是指中标人将政</w:t>
      </w:r>
      <w:r>
        <w:rPr>
          <w:rFonts w:hint="eastAsia" w:ascii="宋体" w:hAnsi="宋体" w:cs="宋体"/>
          <w:spacing w:val="-12"/>
          <w:sz w:val="24"/>
        </w:rPr>
        <w:t>府采购合同义务转让给第三人，并退出现有政府采购合同当事人双方的权利义务关系，受让人</w:t>
      </w:r>
      <w:r>
        <w:rPr>
          <w:rFonts w:hint="eastAsia" w:ascii="宋体" w:hAnsi="宋体" w:cs="宋体"/>
          <w:sz w:val="24"/>
        </w:rPr>
        <w:t>（即第三人）成为政府采购合同的另一方当事人的行为。</w:t>
      </w:r>
    </w:p>
    <w:p>
      <w:pPr>
        <w:pStyle w:val="2"/>
        <w:spacing w:after="0" w:line="360" w:lineRule="auto"/>
        <w:ind w:firstLine="448" w:firstLineChars="200"/>
        <w:rPr>
          <w:rFonts w:ascii="宋体" w:hAnsi="宋体" w:cs="宋体"/>
          <w:spacing w:val="-8"/>
          <w:sz w:val="24"/>
        </w:rPr>
      </w:pPr>
      <w:r>
        <w:rPr>
          <w:rFonts w:hint="eastAsia" w:ascii="宋体" w:hAnsi="宋体" w:cs="宋体"/>
          <w:spacing w:val="-8"/>
          <w:sz w:val="24"/>
        </w:rPr>
        <w:t>中标人转包的，视同拒绝履行政府采购合同义务，将依法追究法律责任。</w:t>
      </w:r>
    </w:p>
    <w:p>
      <w:pPr>
        <w:spacing w:line="360" w:lineRule="auto"/>
        <w:outlineLvl w:val="2"/>
        <w:rPr>
          <w:rFonts w:ascii="宋体" w:hAnsi="宋体" w:cs="宋体"/>
          <w:b/>
          <w:sz w:val="24"/>
        </w:rPr>
      </w:pPr>
      <w:bookmarkStart w:id="136" w:name="_Toc8316"/>
      <w:r>
        <w:rPr>
          <w:rFonts w:hint="eastAsia" w:ascii="宋体" w:hAnsi="宋体" w:cs="宋体"/>
          <w:b/>
          <w:sz w:val="24"/>
        </w:rPr>
        <w:t>30、补充合同</w:t>
      </w:r>
      <w:bookmarkEnd w:id="136"/>
    </w:p>
    <w:p>
      <w:pPr>
        <w:pStyle w:val="2"/>
        <w:spacing w:after="0" w:line="360" w:lineRule="auto"/>
        <w:ind w:firstLine="448" w:firstLineChars="200"/>
        <w:rPr>
          <w:rFonts w:ascii="宋体" w:hAnsi="宋体" w:cs="宋体"/>
          <w:spacing w:val="-8"/>
          <w:sz w:val="24"/>
        </w:rPr>
      </w:pPr>
      <w:r>
        <w:rPr>
          <w:rFonts w:hint="eastAsia" w:ascii="宋体" w:hAnsi="宋体" w:cs="宋体"/>
          <w:spacing w:val="-8"/>
          <w:sz w:val="24"/>
        </w:rPr>
        <w:t>采购合同履行过程中，采购人需要追加与合同标的相同货物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的名称、价格、履约方式、验收标准等必须与原政府采购合同一致。</w:t>
      </w:r>
    </w:p>
    <w:p>
      <w:pPr>
        <w:spacing w:line="360" w:lineRule="auto"/>
        <w:outlineLvl w:val="2"/>
        <w:rPr>
          <w:rFonts w:ascii="宋体" w:hAnsi="宋体" w:cs="宋体"/>
          <w:b/>
          <w:sz w:val="24"/>
        </w:rPr>
      </w:pPr>
      <w:bookmarkStart w:id="137" w:name="_Toc7774"/>
      <w:r>
        <w:rPr>
          <w:rFonts w:hint="eastAsia" w:ascii="宋体" w:hAnsi="宋体" w:cs="宋体"/>
          <w:b/>
          <w:sz w:val="24"/>
        </w:rPr>
        <w:t>31、履约保证金（实质性要求）</w:t>
      </w:r>
      <w:bookmarkEnd w:id="137"/>
    </w:p>
    <w:p>
      <w:pPr>
        <w:pStyle w:val="41"/>
        <w:tabs>
          <w:tab w:val="left" w:pos="1300"/>
        </w:tabs>
        <w:spacing w:line="360" w:lineRule="auto"/>
        <w:ind w:left="0" w:firstLineChars="200"/>
        <w:rPr>
          <w:sz w:val="24"/>
        </w:rPr>
      </w:pPr>
      <w:r>
        <w:rPr>
          <w:rFonts w:hint="eastAsia"/>
          <w:sz w:val="24"/>
          <w:lang w:val="en-US"/>
        </w:rPr>
        <w:t>31.1</w:t>
      </w:r>
      <w:r>
        <w:rPr>
          <w:rFonts w:hint="eastAsia"/>
          <w:sz w:val="24"/>
        </w:rPr>
        <w:t>中标人应在合同签订之前交纳招标文件规定数额的履约保证金。</w:t>
      </w:r>
    </w:p>
    <w:p>
      <w:pPr>
        <w:pStyle w:val="41"/>
        <w:tabs>
          <w:tab w:val="left" w:pos="1300"/>
        </w:tabs>
        <w:spacing w:line="360" w:lineRule="auto"/>
        <w:ind w:left="0" w:firstLine="476" w:firstLineChars="200"/>
        <w:rPr>
          <w:sz w:val="24"/>
        </w:rPr>
      </w:pPr>
      <w:r>
        <w:rPr>
          <w:rFonts w:hint="eastAsia"/>
          <w:spacing w:val="-1"/>
          <w:sz w:val="24"/>
          <w:lang w:val="en-US"/>
        </w:rPr>
        <w:t>31.2</w:t>
      </w:r>
      <w:r>
        <w:rPr>
          <w:rFonts w:hint="eastAsia"/>
          <w:spacing w:val="-1"/>
          <w:sz w:val="24"/>
        </w:rPr>
        <w:t>如果中标人在规定的合同签订时间内，没有按照招标文件的规定交纳履约保证金，</w:t>
      </w:r>
      <w:r>
        <w:rPr>
          <w:rFonts w:hint="eastAsia"/>
          <w:sz w:val="24"/>
        </w:rPr>
        <w:t>且又无正当理由的，将视为放弃中标。</w:t>
      </w:r>
    </w:p>
    <w:p>
      <w:pPr>
        <w:pStyle w:val="41"/>
        <w:tabs>
          <w:tab w:val="left" w:pos="1300"/>
        </w:tabs>
        <w:spacing w:line="360" w:lineRule="auto"/>
        <w:ind w:left="0" w:firstLineChars="200"/>
        <w:rPr>
          <w:sz w:val="24"/>
          <w:lang w:val="en-US"/>
        </w:rPr>
      </w:pPr>
      <w:r>
        <w:rPr>
          <w:rFonts w:hint="eastAsia"/>
          <w:sz w:val="24"/>
          <w:lang w:val="en-US"/>
        </w:rPr>
        <w:t>31.3除采购人与中标人协商一致可以不缴纳履约保证金以外，中标人必须按要求足额缴纳履约保证金。</w:t>
      </w:r>
    </w:p>
    <w:p>
      <w:pPr>
        <w:spacing w:line="360" w:lineRule="auto"/>
        <w:outlineLvl w:val="2"/>
        <w:rPr>
          <w:rFonts w:ascii="宋体" w:hAnsi="宋体" w:cs="宋体"/>
          <w:b/>
          <w:sz w:val="24"/>
        </w:rPr>
      </w:pPr>
      <w:bookmarkStart w:id="138" w:name="_Toc23144"/>
      <w:r>
        <w:rPr>
          <w:rFonts w:hint="eastAsia" w:ascii="宋体" w:hAnsi="宋体" w:cs="宋体"/>
          <w:b/>
          <w:sz w:val="24"/>
        </w:rPr>
        <w:t>32、合同公告及备案</w:t>
      </w:r>
      <w:bookmarkEnd w:id="138"/>
    </w:p>
    <w:p>
      <w:pPr>
        <w:pStyle w:val="41"/>
        <w:tabs>
          <w:tab w:val="left" w:pos="1240"/>
        </w:tabs>
        <w:spacing w:line="360" w:lineRule="auto"/>
        <w:ind w:left="0" w:firstLine="472" w:firstLineChars="200"/>
        <w:rPr>
          <w:spacing w:val="-4"/>
          <w:sz w:val="24"/>
        </w:rPr>
      </w:pPr>
      <w:r>
        <w:rPr>
          <w:rFonts w:hint="eastAsia"/>
          <w:spacing w:val="-2"/>
          <w:sz w:val="24"/>
          <w:lang w:val="en-US"/>
        </w:rPr>
        <w:t>32.1</w:t>
      </w:r>
      <w:r>
        <w:rPr>
          <w:rFonts w:hint="eastAsia"/>
          <w:spacing w:val="-2"/>
          <w:sz w:val="24"/>
        </w:rPr>
        <w:t>采购人应当自政府采购合同签订</w:t>
      </w:r>
      <w:r>
        <w:rPr>
          <w:rFonts w:hint="eastAsia"/>
          <w:sz w:val="24"/>
        </w:rPr>
        <w:t>（双方当事人均已签字盖章</w:t>
      </w:r>
      <w:r>
        <w:rPr>
          <w:rFonts w:hint="eastAsia"/>
          <w:spacing w:val="-17"/>
          <w:sz w:val="24"/>
        </w:rPr>
        <w:t>）</w:t>
      </w:r>
      <w:r>
        <w:rPr>
          <w:rFonts w:hint="eastAsia"/>
          <w:spacing w:val="-15"/>
          <w:sz w:val="24"/>
        </w:rPr>
        <w:t xml:space="preserve">之日起 </w:t>
      </w:r>
      <w:r>
        <w:rPr>
          <w:rFonts w:hint="eastAsia"/>
          <w:sz w:val="24"/>
        </w:rPr>
        <w:t>2</w:t>
      </w:r>
      <w:r>
        <w:rPr>
          <w:rFonts w:hint="eastAsia"/>
          <w:spacing w:val="-11"/>
          <w:sz w:val="24"/>
        </w:rPr>
        <w:t xml:space="preserve"> 个工作日内， </w:t>
      </w:r>
      <w:r>
        <w:rPr>
          <w:rFonts w:hint="eastAsia"/>
          <w:spacing w:val="-4"/>
          <w:sz w:val="24"/>
        </w:rPr>
        <w:t>将政府采购合同在省级以上人民政府财政部门指定的媒体上公告，但政府采购合同中涉及国家秘密、商业秘密的内容除外。</w:t>
      </w:r>
    </w:p>
    <w:p>
      <w:pPr>
        <w:spacing w:line="360" w:lineRule="auto"/>
        <w:outlineLvl w:val="2"/>
        <w:rPr>
          <w:rFonts w:ascii="宋体" w:hAnsi="宋体" w:cs="宋体"/>
          <w:b/>
          <w:sz w:val="24"/>
        </w:rPr>
      </w:pPr>
      <w:r>
        <w:rPr>
          <w:rFonts w:hint="eastAsia" w:ascii="宋体" w:hAnsi="宋体" w:cs="宋体"/>
          <w:b/>
          <w:sz w:val="24"/>
        </w:rPr>
        <w:t>33、合同备案</w:t>
      </w:r>
    </w:p>
    <w:p>
      <w:pPr>
        <w:pStyle w:val="41"/>
        <w:tabs>
          <w:tab w:val="left" w:pos="1240"/>
        </w:tabs>
        <w:spacing w:line="360" w:lineRule="auto"/>
        <w:ind w:left="0" w:firstLineChars="200"/>
        <w:rPr>
          <w:sz w:val="24"/>
        </w:rPr>
      </w:pPr>
      <w:r>
        <w:rPr>
          <w:rFonts w:hint="eastAsia"/>
          <w:sz w:val="24"/>
        </w:rPr>
        <w:t>采购人应当将政府采购合同副本自签订（双方当事人均已签字盖章）</w:t>
      </w:r>
      <w:r>
        <w:rPr>
          <w:rFonts w:hint="eastAsia"/>
          <w:spacing w:val="-3"/>
          <w:sz w:val="24"/>
        </w:rPr>
        <w:t>之日起七个工</w:t>
      </w:r>
      <w:r>
        <w:rPr>
          <w:rFonts w:hint="eastAsia"/>
          <w:sz w:val="24"/>
        </w:rPr>
        <w:t>作日内报同级财政部门备案。</w:t>
      </w:r>
    </w:p>
    <w:p>
      <w:pPr>
        <w:spacing w:line="360" w:lineRule="auto"/>
        <w:outlineLvl w:val="2"/>
        <w:rPr>
          <w:rFonts w:ascii="宋体" w:hAnsi="宋体" w:cs="宋体"/>
          <w:b/>
          <w:sz w:val="24"/>
        </w:rPr>
      </w:pPr>
      <w:bookmarkStart w:id="139" w:name="_Toc22437"/>
      <w:r>
        <w:rPr>
          <w:rFonts w:hint="eastAsia" w:ascii="宋体" w:hAnsi="宋体" w:cs="宋体"/>
          <w:b/>
          <w:sz w:val="24"/>
        </w:rPr>
        <w:t>34、履行合同</w:t>
      </w:r>
      <w:bookmarkEnd w:id="139"/>
    </w:p>
    <w:p>
      <w:pPr>
        <w:spacing w:line="360" w:lineRule="auto"/>
        <w:ind w:firstLine="452" w:firstLineChars="200"/>
        <w:rPr>
          <w:rFonts w:ascii="宋体" w:hAnsi="宋体" w:cs="宋体"/>
          <w:bCs/>
          <w:spacing w:val="-7"/>
          <w:sz w:val="24"/>
        </w:rPr>
      </w:pPr>
      <w:r>
        <w:rPr>
          <w:rFonts w:hint="eastAsia" w:ascii="宋体" w:hAnsi="宋体" w:cs="宋体"/>
          <w:bCs/>
          <w:spacing w:val="-7"/>
          <w:sz w:val="24"/>
        </w:rPr>
        <w:t>34.1 中标人与采购人签订合同后，合同双方应严格执行合同条款，履行合同规 定的义务，保证合同的顺利完成。</w:t>
      </w:r>
    </w:p>
    <w:p>
      <w:pPr>
        <w:spacing w:line="360" w:lineRule="auto"/>
        <w:ind w:firstLine="452" w:firstLineChars="200"/>
        <w:rPr>
          <w:rFonts w:ascii="宋体" w:hAnsi="宋体" w:cs="宋体"/>
          <w:bCs/>
          <w:sz w:val="24"/>
        </w:rPr>
      </w:pPr>
      <w:r>
        <w:rPr>
          <w:rFonts w:hint="eastAsia" w:ascii="宋体" w:hAnsi="宋体" w:cs="宋体"/>
          <w:bCs/>
          <w:spacing w:val="-7"/>
          <w:sz w:val="24"/>
        </w:rPr>
        <w:t xml:space="preserve"> 34.2 在合同履行过程中，如发生合同纠纷，合同双方应按照《合同法》的有关 规定进行处理</w:t>
      </w:r>
    </w:p>
    <w:p>
      <w:pPr>
        <w:spacing w:line="360" w:lineRule="auto"/>
        <w:outlineLvl w:val="2"/>
        <w:rPr>
          <w:rFonts w:ascii="宋体" w:hAnsi="宋体" w:cs="宋体"/>
          <w:b/>
          <w:sz w:val="24"/>
        </w:rPr>
      </w:pPr>
      <w:bookmarkStart w:id="140" w:name="_Toc5263"/>
      <w:r>
        <w:rPr>
          <w:rFonts w:hint="eastAsia" w:ascii="宋体" w:hAnsi="宋体" w:cs="宋体"/>
          <w:b/>
          <w:sz w:val="24"/>
        </w:rPr>
        <w:t>35、验收</w:t>
      </w:r>
      <w:bookmarkEnd w:id="140"/>
    </w:p>
    <w:p>
      <w:pPr>
        <w:pStyle w:val="41"/>
        <w:tabs>
          <w:tab w:val="left" w:pos="1240"/>
        </w:tabs>
        <w:spacing w:line="360" w:lineRule="auto"/>
        <w:ind w:left="0" w:firstLineChars="200"/>
        <w:rPr>
          <w:sz w:val="24"/>
        </w:rPr>
      </w:pPr>
      <w:r>
        <w:rPr>
          <w:rFonts w:hint="eastAsia"/>
          <w:sz w:val="24"/>
          <w:lang w:val="en-US"/>
        </w:rPr>
        <w:t>35.1</w:t>
      </w:r>
      <w:r>
        <w:rPr>
          <w:rFonts w:hint="eastAsia"/>
          <w:sz w:val="24"/>
        </w:rPr>
        <w:t>政府采购项目履约验收工作由采购人负责。采购人应当及时对采购项目进行验收，</w:t>
      </w:r>
      <w:r>
        <w:rPr>
          <w:rFonts w:hint="eastAsia"/>
          <w:spacing w:val="-5"/>
          <w:sz w:val="24"/>
        </w:rPr>
        <w:t>采购人可以邀请参加本项目的其他供应商或者第三方机构参与验收。参与验收的供应商或者第</w:t>
      </w:r>
      <w:r>
        <w:rPr>
          <w:rFonts w:hint="eastAsia"/>
          <w:sz w:val="24"/>
        </w:rPr>
        <w:t>三方机构的意见作为验收书的参考资料一并存档。</w:t>
      </w:r>
    </w:p>
    <w:p>
      <w:pPr>
        <w:pStyle w:val="41"/>
        <w:tabs>
          <w:tab w:val="left" w:pos="1300"/>
        </w:tabs>
        <w:spacing w:line="360" w:lineRule="auto"/>
        <w:ind w:left="0" w:firstLine="444" w:firstLineChars="200"/>
        <w:rPr>
          <w:spacing w:val="-9"/>
          <w:sz w:val="24"/>
          <w:lang w:val="en-US"/>
        </w:rPr>
      </w:pPr>
      <w:r>
        <w:rPr>
          <w:rFonts w:hint="eastAsia"/>
          <w:spacing w:val="-9"/>
          <w:sz w:val="24"/>
          <w:lang w:val="en-US"/>
        </w:rPr>
        <w:t>35.2项目验收时，参照《财政部关于进一步加强政府采购需求和履约验收管理的指导意见》（财库〔2016〕205号）等相关规定要求进行验收。整体项目符合国家及行业强制性标准、招标文件要求、投标文件的响应及承诺、合同的要求。如果以上标准有不一致的，以较高标准为准。</w:t>
      </w:r>
    </w:p>
    <w:p>
      <w:pPr>
        <w:pStyle w:val="41"/>
        <w:tabs>
          <w:tab w:val="left" w:pos="1300"/>
        </w:tabs>
        <w:spacing w:line="360" w:lineRule="auto"/>
        <w:ind w:left="0" w:firstLineChars="200"/>
        <w:rPr>
          <w:sz w:val="24"/>
        </w:rPr>
      </w:pPr>
      <w:r>
        <w:rPr>
          <w:rFonts w:hint="eastAsia"/>
          <w:sz w:val="24"/>
          <w:lang w:val="en-US"/>
        </w:rPr>
        <w:t>35.3</w:t>
      </w:r>
      <w:r>
        <w:rPr>
          <w:rFonts w:hint="eastAsia"/>
          <w:sz w:val="24"/>
        </w:rPr>
        <w:t>验收结果合格的，采购人向中标人出具《政府采购项目履约验收报告》。中标人凭《政府采购项目履约验收报告》办理履约保证金的退付手续；验收结果不合格的，履约保</w:t>
      </w:r>
      <w:r>
        <w:rPr>
          <w:rFonts w:hint="eastAsia"/>
          <w:spacing w:val="-10"/>
          <w:sz w:val="24"/>
        </w:rPr>
        <w:t>证金将不予退还，也将不再支付采购资金，还可能会报本项目同级财政部门</w:t>
      </w:r>
      <w:r>
        <w:rPr>
          <w:rFonts w:hint="eastAsia"/>
          <w:spacing w:val="-10"/>
          <w:sz w:val="24"/>
          <w:lang w:val="en-US"/>
        </w:rPr>
        <w:t>参照</w:t>
      </w:r>
      <w:r>
        <w:rPr>
          <w:rFonts w:hint="eastAsia"/>
          <w:spacing w:val="-10"/>
          <w:sz w:val="24"/>
        </w:rPr>
        <w:t>政府采购法律</w:t>
      </w:r>
      <w:r>
        <w:rPr>
          <w:rFonts w:hint="eastAsia"/>
          <w:sz w:val="24"/>
        </w:rPr>
        <w:t>法规及《四川省政府采购当事人诚信管理办法》（</w:t>
      </w:r>
      <w:r>
        <w:rPr>
          <w:rFonts w:hint="eastAsia"/>
          <w:spacing w:val="2"/>
          <w:sz w:val="24"/>
        </w:rPr>
        <w:t>川财采〔</w:t>
      </w:r>
      <w:r>
        <w:rPr>
          <w:rFonts w:hint="eastAsia"/>
          <w:sz w:val="24"/>
        </w:rPr>
        <w:t>2015〕33</w:t>
      </w:r>
      <w:r>
        <w:rPr>
          <w:rFonts w:hint="eastAsia"/>
          <w:spacing w:val="-8"/>
          <w:sz w:val="24"/>
        </w:rPr>
        <w:t xml:space="preserve"> 号</w:t>
      </w:r>
      <w:r>
        <w:rPr>
          <w:rFonts w:hint="eastAsia"/>
          <w:sz w:val="24"/>
        </w:rPr>
        <w:t>）等有关规定给予行政处罚或者以失信行为记入诚信档案。</w:t>
      </w:r>
    </w:p>
    <w:p>
      <w:pPr>
        <w:spacing w:line="360" w:lineRule="auto"/>
        <w:outlineLvl w:val="2"/>
        <w:rPr>
          <w:rFonts w:ascii="宋体" w:hAnsi="宋体" w:cs="宋体"/>
          <w:b/>
          <w:sz w:val="24"/>
        </w:rPr>
      </w:pPr>
      <w:bookmarkStart w:id="141" w:name="_Toc10231"/>
      <w:r>
        <w:rPr>
          <w:rFonts w:hint="eastAsia" w:ascii="宋体" w:hAnsi="宋体" w:cs="宋体"/>
          <w:b/>
          <w:sz w:val="24"/>
        </w:rPr>
        <w:t>36、资金支付</w:t>
      </w:r>
      <w:bookmarkEnd w:id="141"/>
    </w:p>
    <w:p>
      <w:pPr>
        <w:spacing w:line="360" w:lineRule="auto"/>
        <w:ind w:firstLine="460" w:firstLineChars="200"/>
        <w:rPr>
          <w:rFonts w:ascii="宋体" w:hAnsi="宋体" w:cs="宋体"/>
          <w:bCs/>
          <w:sz w:val="24"/>
          <w:szCs w:val="20"/>
        </w:rPr>
      </w:pPr>
      <w:r>
        <w:rPr>
          <w:rFonts w:hint="eastAsia" w:ascii="宋体" w:hAnsi="宋体" w:cs="宋体"/>
          <w:bCs/>
          <w:spacing w:val="-5"/>
          <w:sz w:val="24"/>
          <w:szCs w:val="20"/>
        </w:rPr>
        <w:t>采购人将按政府采购合同约定和有关财政资金管理制度的规定，向中标人支付政府采</w:t>
      </w:r>
      <w:r>
        <w:rPr>
          <w:rFonts w:hint="eastAsia" w:ascii="宋体" w:hAnsi="宋体" w:cs="宋体"/>
          <w:bCs/>
          <w:sz w:val="24"/>
          <w:szCs w:val="20"/>
        </w:rPr>
        <w:t>购合同价款。</w:t>
      </w:r>
    </w:p>
    <w:p>
      <w:pPr>
        <w:pStyle w:val="4"/>
        <w:spacing w:before="240" w:beforeLines="100" w:after="240" w:afterLines="100" w:line="360" w:lineRule="auto"/>
        <w:jc w:val="center"/>
        <w:rPr>
          <w:rFonts w:ascii="宋体" w:hAnsi="宋体" w:eastAsia="宋体" w:cs="宋体"/>
          <w:sz w:val="28"/>
          <w:szCs w:val="28"/>
        </w:rPr>
      </w:pPr>
      <w:bookmarkStart w:id="142" w:name="_Toc5385"/>
      <w:r>
        <w:rPr>
          <w:rFonts w:hint="eastAsia" w:ascii="宋体" w:hAnsi="宋体" w:eastAsia="宋体" w:cs="宋体"/>
          <w:sz w:val="28"/>
          <w:szCs w:val="28"/>
        </w:rPr>
        <w:t>七、投标纪律要求</w:t>
      </w:r>
      <w:bookmarkEnd w:id="142"/>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spacing w:line="360" w:lineRule="auto"/>
        <w:outlineLvl w:val="2"/>
        <w:rPr>
          <w:rFonts w:ascii="宋体" w:hAnsi="宋体" w:cs="宋体"/>
          <w:b/>
          <w:sz w:val="24"/>
        </w:rPr>
      </w:pPr>
      <w:bookmarkStart w:id="143" w:name="_Toc29552"/>
      <w:r>
        <w:rPr>
          <w:rFonts w:hint="eastAsia" w:ascii="宋体" w:hAnsi="宋体" w:cs="宋体"/>
          <w:b/>
          <w:sz w:val="24"/>
        </w:rPr>
        <w:t>37、投标无效的情形：</w:t>
      </w:r>
      <w:bookmarkEnd w:id="143"/>
    </w:p>
    <w:p>
      <w:pPr>
        <w:spacing w:line="360" w:lineRule="auto"/>
        <w:ind w:firstLine="480" w:firstLineChars="200"/>
        <w:rPr>
          <w:rFonts w:ascii="宋体" w:hAnsi="宋体" w:cs="宋体"/>
          <w:sz w:val="24"/>
          <w:szCs w:val="32"/>
        </w:rPr>
      </w:pPr>
      <w:r>
        <w:rPr>
          <w:rFonts w:hint="eastAsia" w:ascii="宋体" w:hAnsi="宋体" w:cs="宋体"/>
          <w:sz w:val="24"/>
          <w:szCs w:val="32"/>
        </w:rPr>
        <w:t xml:space="preserve">供应商应当遵循公平竞争的原则，不得恶意串通，不得妨碍其他供应商的竞争行为，不得损害采购人或者其他供应商的合法权益。 </w:t>
      </w:r>
    </w:p>
    <w:p>
      <w:pPr>
        <w:spacing w:line="360" w:lineRule="auto"/>
        <w:ind w:firstLine="480" w:firstLineChars="200"/>
        <w:rPr>
          <w:rFonts w:ascii="宋体" w:hAnsi="宋体" w:cs="宋体"/>
        </w:rPr>
      </w:pPr>
      <w:r>
        <w:rPr>
          <w:rFonts w:hint="eastAsia" w:ascii="宋体" w:hAnsi="宋体" w:cs="宋体"/>
          <w:sz w:val="24"/>
          <w:szCs w:val="32"/>
        </w:rPr>
        <w:t>在评标过程中发现供应商有上述情形的，评标委员会应当认定其投标无效，并书面报告本级财政部门。</w:t>
      </w:r>
      <w:r>
        <w:rPr>
          <w:rFonts w:hint="eastAsia" w:ascii="宋体" w:hAnsi="宋体" w:cs="宋体"/>
        </w:rPr>
        <w:t xml:space="preserve"> </w:t>
      </w:r>
    </w:p>
    <w:p>
      <w:pPr>
        <w:tabs>
          <w:tab w:val="left" w:pos="1224"/>
        </w:tabs>
        <w:spacing w:line="360" w:lineRule="auto"/>
        <w:rPr>
          <w:rFonts w:ascii="宋体" w:hAnsi="宋体" w:cs="宋体"/>
          <w:b/>
          <w:bCs/>
          <w:sz w:val="24"/>
        </w:rPr>
      </w:pPr>
      <w:r>
        <w:rPr>
          <w:rFonts w:hint="eastAsia" w:ascii="宋体" w:hAnsi="宋体" w:cs="宋体"/>
          <w:b/>
          <w:bCs/>
          <w:sz w:val="24"/>
        </w:rPr>
        <w:t>37.1供应商有下列情形之一的，视为供应商串通投标，其投标无效：</w:t>
      </w:r>
    </w:p>
    <w:p>
      <w:pPr>
        <w:pStyle w:val="41"/>
        <w:tabs>
          <w:tab w:val="left" w:pos="1282"/>
        </w:tabs>
        <w:spacing w:line="360" w:lineRule="auto"/>
        <w:ind w:left="0" w:firstLineChars="200"/>
        <w:rPr>
          <w:sz w:val="24"/>
        </w:rPr>
      </w:pPr>
      <w:r>
        <w:rPr>
          <w:rFonts w:hint="eastAsia"/>
          <w:sz w:val="24"/>
        </w:rPr>
        <w:t>（</w:t>
      </w:r>
      <w:r>
        <w:rPr>
          <w:rFonts w:hint="eastAsia"/>
          <w:sz w:val="24"/>
          <w:lang w:val="en-US"/>
        </w:rPr>
        <w:t>1</w:t>
      </w:r>
      <w:r>
        <w:rPr>
          <w:rFonts w:hint="eastAsia"/>
          <w:sz w:val="24"/>
        </w:rPr>
        <w:t>）不同供应商的投标文件由同一单位或者个人编制；</w:t>
      </w:r>
    </w:p>
    <w:p>
      <w:pPr>
        <w:pStyle w:val="41"/>
        <w:tabs>
          <w:tab w:val="left" w:pos="1282"/>
        </w:tabs>
        <w:spacing w:line="360" w:lineRule="auto"/>
        <w:ind w:left="0" w:firstLineChars="200"/>
        <w:rPr>
          <w:sz w:val="24"/>
        </w:rPr>
      </w:pPr>
      <w:r>
        <w:rPr>
          <w:rFonts w:hint="eastAsia"/>
          <w:sz w:val="24"/>
        </w:rPr>
        <w:t>（</w:t>
      </w:r>
      <w:r>
        <w:rPr>
          <w:rFonts w:hint="eastAsia"/>
          <w:sz w:val="24"/>
          <w:lang w:val="en-US"/>
        </w:rPr>
        <w:t>2</w:t>
      </w:r>
      <w:r>
        <w:rPr>
          <w:rFonts w:hint="eastAsia"/>
          <w:sz w:val="24"/>
        </w:rPr>
        <w:t>）不同供应商委托同一单位或者个人办理投标事宜；</w:t>
      </w:r>
    </w:p>
    <w:p>
      <w:pPr>
        <w:pStyle w:val="41"/>
        <w:tabs>
          <w:tab w:val="left" w:pos="1282"/>
        </w:tabs>
        <w:spacing w:line="360" w:lineRule="auto"/>
        <w:ind w:left="0" w:firstLineChars="200"/>
        <w:rPr>
          <w:sz w:val="24"/>
        </w:rPr>
      </w:pPr>
      <w:r>
        <w:rPr>
          <w:rFonts w:hint="eastAsia"/>
          <w:sz w:val="24"/>
        </w:rPr>
        <w:t>（</w:t>
      </w:r>
      <w:r>
        <w:rPr>
          <w:rFonts w:hint="eastAsia"/>
          <w:sz w:val="24"/>
          <w:lang w:val="en-US"/>
        </w:rPr>
        <w:t>3</w:t>
      </w:r>
      <w:r>
        <w:rPr>
          <w:rFonts w:hint="eastAsia"/>
          <w:sz w:val="24"/>
        </w:rPr>
        <w:t>）不同供应商的投标文件载明的项目管理成员或者联系人员为同一人；</w:t>
      </w:r>
    </w:p>
    <w:p>
      <w:pPr>
        <w:pStyle w:val="41"/>
        <w:tabs>
          <w:tab w:val="left" w:pos="1282"/>
        </w:tabs>
        <w:spacing w:line="360" w:lineRule="auto"/>
        <w:ind w:left="0" w:firstLineChars="200"/>
        <w:rPr>
          <w:sz w:val="24"/>
        </w:rPr>
      </w:pPr>
      <w:r>
        <w:rPr>
          <w:rFonts w:hint="eastAsia"/>
          <w:sz w:val="24"/>
        </w:rPr>
        <w:t>（</w:t>
      </w:r>
      <w:r>
        <w:rPr>
          <w:rFonts w:hint="eastAsia"/>
          <w:sz w:val="24"/>
          <w:lang w:val="en-US"/>
        </w:rPr>
        <w:t>4</w:t>
      </w:r>
      <w:r>
        <w:rPr>
          <w:rFonts w:hint="eastAsia"/>
          <w:sz w:val="24"/>
        </w:rPr>
        <w:t>）不同供应商的投标文件异常一致或者投标报价呈规律性差异；</w:t>
      </w:r>
    </w:p>
    <w:p>
      <w:pPr>
        <w:pStyle w:val="41"/>
        <w:tabs>
          <w:tab w:val="left" w:pos="1282"/>
        </w:tabs>
        <w:spacing w:line="360" w:lineRule="auto"/>
        <w:ind w:left="0" w:firstLineChars="200"/>
        <w:rPr>
          <w:sz w:val="24"/>
        </w:rPr>
      </w:pPr>
      <w:r>
        <w:rPr>
          <w:rFonts w:hint="eastAsia"/>
          <w:sz w:val="24"/>
        </w:rPr>
        <w:t>（</w:t>
      </w:r>
      <w:r>
        <w:rPr>
          <w:rFonts w:hint="eastAsia"/>
          <w:sz w:val="24"/>
          <w:lang w:val="en-US"/>
        </w:rPr>
        <w:t>5</w:t>
      </w:r>
      <w:r>
        <w:rPr>
          <w:rFonts w:hint="eastAsia"/>
          <w:sz w:val="24"/>
        </w:rPr>
        <w:t>）不同供应商的投标文件相互混装；</w:t>
      </w:r>
    </w:p>
    <w:p>
      <w:pPr>
        <w:pStyle w:val="41"/>
        <w:tabs>
          <w:tab w:val="left" w:pos="1282"/>
        </w:tabs>
        <w:spacing w:line="360" w:lineRule="auto"/>
        <w:ind w:left="0" w:firstLineChars="200"/>
        <w:rPr>
          <w:sz w:val="24"/>
        </w:rPr>
      </w:pPr>
      <w:r>
        <w:rPr>
          <w:rFonts w:hint="eastAsia"/>
          <w:sz w:val="24"/>
        </w:rPr>
        <w:t>（</w:t>
      </w:r>
      <w:r>
        <w:rPr>
          <w:rFonts w:hint="eastAsia"/>
          <w:sz w:val="24"/>
          <w:lang w:val="en-US"/>
        </w:rPr>
        <w:t>6</w:t>
      </w:r>
      <w:r>
        <w:rPr>
          <w:rFonts w:hint="eastAsia"/>
          <w:sz w:val="24"/>
        </w:rPr>
        <w:t>）不同供应商的投标保证金从同一单位或者个人的账户转出。</w:t>
      </w:r>
    </w:p>
    <w:p>
      <w:pPr>
        <w:tabs>
          <w:tab w:val="left" w:pos="1224"/>
        </w:tabs>
        <w:spacing w:line="360" w:lineRule="auto"/>
        <w:rPr>
          <w:rFonts w:ascii="宋体" w:hAnsi="宋体" w:cs="宋体"/>
          <w:b/>
          <w:bCs/>
          <w:sz w:val="24"/>
        </w:rPr>
      </w:pPr>
      <w:r>
        <w:rPr>
          <w:rFonts w:hint="eastAsia" w:ascii="宋体" w:hAnsi="宋体" w:cs="宋体"/>
          <w:b/>
          <w:bCs/>
          <w:sz w:val="24"/>
        </w:rPr>
        <w:t>37.2供应商有下列情形之一的，其投标无效：</w:t>
      </w:r>
    </w:p>
    <w:p>
      <w:pPr>
        <w:pStyle w:val="41"/>
        <w:tabs>
          <w:tab w:val="left" w:pos="1282"/>
        </w:tabs>
        <w:spacing w:line="360" w:lineRule="auto"/>
        <w:ind w:left="0" w:firstLine="476" w:firstLineChars="200"/>
        <w:rPr>
          <w:sz w:val="24"/>
        </w:rPr>
      </w:pPr>
      <w:r>
        <w:rPr>
          <w:rFonts w:hint="eastAsia"/>
          <w:spacing w:val="-1"/>
          <w:sz w:val="24"/>
        </w:rPr>
        <w:t>（</w:t>
      </w:r>
      <w:r>
        <w:rPr>
          <w:rFonts w:hint="eastAsia"/>
          <w:spacing w:val="-1"/>
          <w:sz w:val="24"/>
          <w:lang w:val="en-US"/>
        </w:rPr>
        <w:t>1</w:t>
      </w:r>
      <w:r>
        <w:rPr>
          <w:rFonts w:hint="eastAsia"/>
          <w:spacing w:val="-1"/>
          <w:sz w:val="24"/>
        </w:rPr>
        <w:t>）</w:t>
      </w:r>
      <w:r>
        <w:rPr>
          <w:rFonts w:hint="eastAsia"/>
          <w:spacing w:val="-1"/>
          <w:sz w:val="24"/>
          <w:lang w:val="en-US"/>
        </w:rPr>
        <w:t>供应商</w:t>
      </w:r>
      <w:r>
        <w:rPr>
          <w:rFonts w:hint="eastAsia"/>
          <w:spacing w:val="-1"/>
          <w:sz w:val="24"/>
        </w:rPr>
        <w:t>直接或者间接从采购人或者采购代理机构处获得其他</w:t>
      </w:r>
      <w:r>
        <w:rPr>
          <w:rFonts w:hint="eastAsia"/>
          <w:spacing w:val="-1"/>
          <w:sz w:val="24"/>
          <w:lang w:val="en-US"/>
        </w:rPr>
        <w:t>供应商</w:t>
      </w:r>
      <w:r>
        <w:rPr>
          <w:rFonts w:hint="eastAsia"/>
          <w:spacing w:val="-1"/>
          <w:sz w:val="24"/>
        </w:rPr>
        <w:t>的相关情况并修</w:t>
      </w:r>
      <w:r>
        <w:rPr>
          <w:rFonts w:hint="eastAsia"/>
          <w:sz w:val="24"/>
        </w:rPr>
        <w:t>改其投标文件；</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w:t>
      </w:r>
      <w:r>
        <w:rPr>
          <w:rFonts w:hint="eastAsia"/>
          <w:spacing w:val="-1"/>
          <w:sz w:val="24"/>
          <w:lang w:val="en-US"/>
        </w:rPr>
        <w:t>供应商</w:t>
      </w:r>
      <w:r>
        <w:rPr>
          <w:rFonts w:hint="eastAsia"/>
          <w:sz w:val="24"/>
        </w:rPr>
        <w:t>按照采购人或者采购代理机构的授意撤换、修改投标文件；</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w:t>
      </w:r>
      <w:r>
        <w:rPr>
          <w:rFonts w:hint="eastAsia"/>
          <w:spacing w:val="-1"/>
          <w:sz w:val="24"/>
          <w:lang w:val="en-US"/>
        </w:rPr>
        <w:t>供应商</w:t>
      </w:r>
      <w:r>
        <w:rPr>
          <w:rFonts w:hint="eastAsia"/>
          <w:sz w:val="24"/>
        </w:rPr>
        <w:t>之间协商报价、技术方案等投标文件的实质性内容；</w:t>
      </w:r>
    </w:p>
    <w:p>
      <w:pPr>
        <w:pStyle w:val="41"/>
        <w:tabs>
          <w:tab w:val="left" w:pos="1277"/>
        </w:tabs>
        <w:spacing w:line="360" w:lineRule="auto"/>
        <w:ind w:left="0" w:firstLine="456" w:firstLineChars="200"/>
        <w:rPr>
          <w:sz w:val="24"/>
        </w:rPr>
      </w:pPr>
      <w:r>
        <w:rPr>
          <w:rFonts w:hint="eastAsia"/>
          <w:spacing w:val="-6"/>
          <w:sz w:val="24"/>
        </w:rPr>
        <w:t>（</w:t>
      </w:r>
      <w:r>
        <w:rPr>
          <w:rFonts w:hint="eastAsia"/>
          <w:spacing w:val="-6"/>
          <w:sz w:val="24"/>
          <w:lang w:val="en-US"/>
        </w:rPr>
        <w:t>4</w:t>
      </w:r>
      <w:r>
        <w:rPr>
          <w:rFonts w:hint="eastAsia"/>
          <w:spacing w:val="-6"/>
          <w:sz w:val="24"/>
        </w:rPr>
        <w:t>）属于同一集团、协会、商会等组织成员的</w:t>
      </w:r>
      <w:r>
        <w:rPr>
          <w:rFonts w:hint="eastAsia"/>
          <w:spacing w:val="-1"/>
          <w:sz w:val="24"/>
          <w:lang w:val="en-US"/>
        </w:rPr>
        <w:t>供应商</w:t>
      </w:r>
      <w:r>
        <w:rPr>
          <w:rFonts w:hint="eastAsia"/>
          <w:spacing w:val="-6"/>
          <w:sz w:val="24"/>
        </w:rPr>
        <w:t>按照该组织要求协同参加采购活动；</w:t>
      </w:r>
    </w:p>
    <w:p>
      <w:pPr>
        <w:pStyle w:val="41"/>
        <w:tabs>
          <w:tab w:val="left" w:pos="1301"/>
        </w:tabs>
        <w:spacing w:line="360" w:lineRule="auto"/>
        <w:ind w:left="0" w:firstLineChars="200"/>
        <w:rPr>
          <w:sz w:val="24"/>
        </w:rPr>
      </w:pPr>
      <w:r>
        <w:rPr>
          <w:rFonts w:hint="eastAsia"/>
          <w:sz w:val="24"/>
        </w:rPr>
        <w:t>（</w:t>
      </w:r>
      <w:r>
        <w:rPr>
          <w:rFonts w:hint="eastAsia"/>
          <w:sz w:val="24"/>
          <w:lang w:val="en-US"/>
        </w:rPr>
        <w:t>5</w:t>
      </w:r>
      <w:r>
        <w:rPr>
          <w:rFonts w:hint="eastAsia"/>
          <w:sz w:val="24"/>
        </w:rPr>
        <w:t>）</w:t>
      </w:r>
      <w:r>
        <w:rPr>
          <w:rFonts w:hint="eastAsia"/>
          <w:spacing w:val="-1"/>
          <w:sz w:val="24"/>
          <w:lang w:val="en-US"/>
        </w:rPr>
        <w:t>供应商</w:t>
      </w:r>
      <w:r>
        <w:rPr>
          <w:rFonts w:hint="eastAsia"/>
          <w:sz w:val="24"/>
        </w:rPr>
        <w:t>之间事先约定由某一特定</w:t>
      </w:r>
      <w:r>
        <w:rPr>
          <w:rFonts w:hint="eastAsia"/>
          <w:spacing w:val="-1"/>
          <w:sz w:val="24"/>
          <w:lang w:val="en-US"/>
        </w:rPr>
        <w:t>供应商</w:t>
      </w:r>
      <w:r>
        <w:rPr>
          <w:rFonts w:hint="eastAsia"/>
          <w:sz w:val="24"/>
        </w:rPr>
        <w:t>中标；</w:t>
      </w:r>
    </w:p>
    <w:p>
      <w:pPr>
        <w:pStyle w:val="41"/>
        <w:tabs>
          <w:tab w:val="left" w:pos="1301"/>
        </w:tabs>
        <w:spacing w:line="360" w:lineRule="auto"/>
        <w:ind w:left="0" w:firstLineChars="200"/>
        <w:rPr>
          <w:sz w:val="24"/>
        </w:rPr>
      </w:pPr>
      <w:r>
        <w:rPr>
          <w:rFonts w:hint="eastAsia"/>
          <w:sz w:val="24"/>
        </w:rPr>
        <w:t>（</w:t>
      </w:r>
      <w:r>
        <w:rPr>
          <w:rFonts w:hint="eastAsia"/>
          <w:sz w:val="24"/>
          <w:lang w:val="en-US"/>
        </w:rPr>
        <w:t>6</w:t>
      </w:r>
      <w:r>
        <w:rPr>
          <w:rFonts w:hint="eastAsia"/>
          <w:sz w:val="24"/>
        </w:rPr>
        <w:t>）</w:t>
      </w:r>
      <w:r>
        <w:rPr>
          <w:rFonts w:hint="eastAsia"/>
          <w:spacing w:val="-1"/>
          <w:sz w:val="24"/>
          <w:lang w:val="en-US"/>
        </w:rPr>
        <w:t>供应商</w:t>
      </w:r>
      <w:r>
        <w:rPr>
          <w:rFonts w:hint="eastAsia"/>
          <w:sz w:val="24"/>
        </w:rPr>
        <w:t>之间商定部分</w:t>
      </w:r>
      <w:r>
        <w:rPr>
          <w:rFonts w:hint="eastAsia"/>
          <w:spacing w:val="-1"/>
          <w:sz w:val="24"/>
          <w:lang w:val="en-US"/>
        </w:rPr>
        <w:t>供应商</w:t>
      </w:r>
      <w:r>
        <w:rPr>
          <w:rFonts w:hint="eastAsia"/>
          <w:sz w:val="24"/>
        </w:rPr>
        <w:t>放弃参加采购活动或者放弃中标；</w:t>
      </w:r>
    </w:p>
    <w:p>
      <w:pPr>
        <w:pStyle w:val="41"/>
        <w:tabs>
          <w:tab w:val="left" w:pos="1301"/>
        </w:tabs>
        <w:spacing w:line="360" w:lineRule="auto"/>
        <w:ind w:left="0" w:firstLine="476" w:firstLineChars="200"/>
        <w:rPr>
          <w:sz w:val="24"/>
        </w:rPr>
      </w:pPr>
      <w:r>
        <w:rPr>
          <w:rFonts w:hint="eastAsia"/>
          <w:spacing w:val="-1"/>
          <w:sz w:val="24"/>
        </w:rPr>
        <w:t>（</w:t>
      </w:r>
      <w:r>
        <w:rPr>
          <w:rFonts w:hint="eastAsia"/>
          <w:spacing w:val="-1"/>
          <w:sz w:val="24"/>
          <w:lang w:val="en-US"/>
        </w:rPr>
        <w:t>7</w:t>
      </w:r>
      <w:r>
        <w:rPr>
          <w:rFonts w:hint="eastAsia"/>
          <w:spacing w:val="-1"/>
          <w:sz w:val="24"/>
        </w:rPr>
        <w:t>）</w:t>
      </w:r>
      <w:r>
        <w:rPr>
          <w:rFonts w:hint="eastAsia"/>
          <w:spacing w:val="-1"/>
          <w:sz w:val="24"/>
          <w:lang w:val="en-US"/>
        </w:rPr>
        <w:t>供应商</w:t>
      </w:r>
      <w:r>
        <w:rPr>
          <w:rFonts w:hint="eastAsia"/>
          <w:spacing w:val="-1"/>
          <w:sz w:val="24"/>
        </w:rPr>
        <w:t>与采购人或者采购代理机构之间、</w:t>
      </w:r>
      <w:r>
        <w:rPr>
          <w:rFonts w:hint="eastAsia"/>
          <w:spacing w:val="-1"/>
          <w:sz w:val="24"/>
          <w:lang w:val="en-US"/>
        </w:rPr>
        <w:t>供应商</w:t>
      </w:r>
      <w:r>
        <w:rPr>
          <w:rFonts w:hint="eastAsia"/>
          <w:spacing w:val="-1"/>
          <w:sz w:val="24"/>
        </w:rPr>
        <w:t>相互之间，为谋求特定</w:t>
      </w:r>
      <w:r>
        <w:rPr>
          <w:rFonts w:hint="eastAsia"/>
          <w:spacing w:val="-1"/>
          <w:sz w:val="24"/>
          <w:lang w:val="en-US"/>
        </w:rPr>
        <w:t>供应商</w:t>
      </w:r>
      <w:r>
        <w:rPr>
          <w:rFonts w:hint="eastAsia"/>
          <w:spacing w:val="-1"/>
          <w:sz w:val="24"/>
        </w:rPr>
        <w:t>中标</w:t>
      </w:r>
      <w:r>
        <w:rPr>
          <w:rFonts w:hint="eastAsia"/>
          <w:sz w:val="24"/>
        </w:rPr>
        <w:t>或者排斥其他</w:t>
      </w:r>
      <w:r>
        <w:rPr>
          <w:rFonts w:hint="eastAsia"/>
          <w:spacing w:val="-1"/>
          <w:sz w:val="24"/>
          <w:lang w:val="en-US"/>
        </w:rPr>
        <w:t>供应商</w:t>
      </w:r>
      <w:r>
        <w:rPr>
          <w:rFonts w:hint="eastAsia"/>
          <w:sz w:val="24"/>
        </w:rPr>
        <w:t>的其他串通行为。</w:t>
      </w:r>
    </w:p>
    <w:p>
      <w:pPr>
        <w:spacing w:line="360" w:lineRule="auto"/>
        <w:rPr>
          <w:rFonts w:ascii="宋体" w:hAnsi="宋体" w:cs="宋体"/>
          <w:sz w:val="24"/>
          <w:szCs w:val="20"/>
        </w:rPr>
      </w:pPr>
      <w:r>
        <w:rPr>
          <w:rFonts w:hint="eastAsia" w:ascii="宋体" w:hAnsi="宋体" w:cs="宋体"/>
          <w:sz w:val="24"/>
          <w:szCs w:val="20"/>
        </w:rPr>
        <w:t>37.3取消中标资格或者认定中标无效的情形：</w:t>
      </w:r>
    </w:p>
    <w:p>
      <w:pPr>
        <w:pStyle w:val="41"/>
        <w:tabs>
          <w:tab w:val="left" w:pos="1282"/>
        </w:tabs>
        <w:spacing w:line="360" w:lineRule="auto"/>
        <w:ind w:left="0" w:firstLineChars="200"/>
        <w:rPr>
          <w:sz w:val="24"/>
        </w:rPr>
      </w:pPr>
      <w:r>
        <w:rPr>
          <w:rFonts w:hint="eastAsia"/>
          <w:sz w:val="24"/>
        </w:rPr>
        <w:t>（</w:t>
      </w:r>
      <w:r>
        <w:rPr>
          <w:rFonts w:hint="eastAsia"/>
          <w:sz w:val="24"/>
          <w:lang w:val="en-US"/>
        </w:rPr>
        <w:t>1</w:t>
      </w:r>
      <w:r>
        <w:rPr>
          <w:rFonts w:hint="eastAsia"/>
          <w:sz w:val="24"/>
        </w:rPr>
        <w:t>）提供虚假材料谋取中标；</w:t>
      </w:r>
    </w:p>
    <w:p>
      <w:pPr>
        <w:pStyle w:val="41"/>
        <w:tabs>
          <w:tab w:val="left" w:pos="1282"/>
        </w:tabs>
        <w:spacing w:line="360" w:lineRule="auto"/>
        <w:ind w:left="0" w:firstLineChars="200"/>
        <w:rPr>
          <w:sz w:val="24"/>
        </w:rPr>
      </w:pPr>
      <w:r>
        <w:rPr>
          <w:rFonts w:hint="eastAsia"/>
          <w:sz w:val="24"/>
        </w:rPr>
        <w:t>（</w:t>
      </w:r>
      <w:r>
        <w:rPr>
          <w:rFonts w:hint="eastAsia"/>
          <w:sz w:val="24"/>
          <w:lang w:val="en-US"/>
        </w:rPr>
        <w:t>2</w:t>
      </w:r>
      <w:r>
        <w:rPr>
          <w:rFonts w:hint="eastAsia"/>
          <w:sz w:val="24"/>
        </w:rPr>
        <w:t>）采取不正当手段诋毁、排挤其他供应商；</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）与招标采购单位、其他供应商恶意串通；</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）向招标采购单位、评标委员会成员行贿或者提供其他不正当利益；</w:t>
      </w:r>
    </w:p>
    <w:p>
      <w:pPr>
        <w:pStyle w:val="41"/>
        <w:tabs>
          <w:tab w:val="left" w:pos="1282"/>
        </w:tabs>
        <w:spacing w:line="360" w:lineRule="auto"/>
        <w:ind w:left="0" w:firstLineChars="200"/>
        <w:rPr>
          <w:sz w:val="24"/>
        </w:rPr>
      </w:pPr>
      <w:r>
        <w:rPr>
          <w:rFonts w:hint="eastAsia"/>
          <w:sz w:val="24"/>
        </w:rPr>
        <w:t>（</w:t>
      </w:r>
      <w:r>
        <w:rPr>
          <w:rFonts w:hint="eastAsia"/>
          <w:sz w:val="24"/>
          <w:lang w:val="en-US"/>
        </w:rPr>
        <w:t>5</w:t>
      </w:r>
      <w:r>
        <w:rPr>
          <w:rFonts w:hint="eastAsia"/>
          <w:sz w:val="24"/>
        </w:rPr>
        <w:t>）在招标过程中与招标采购单位进行协商谈判；</w:t>
      </w:r>
    </w:p>
    <w:p>
      <w:pPr>
        <w:pStyle w:val="41"/>
        <w:tabs>
          <w:tab w:val="left" w:pos="1282"/>
        </w:tabs>
        <w:spacing w:line="360" w:lineRule="auto"/>
        <w:ind w:left="0" w:firstLineChars="200"/>
        <w:rPr>
          <w:sz w:val="24"/>
        </w:rPr>
      </w:pPr>
      <w:r>
        <w:rPr>
          <w:rFonts w:hint="eastAsia"/>
          <w:sz w:val="24"/>
        </w:rPr>
        <w:t>（</w:t>
      </w:r>
      <w:r>
        <w:rPr>
          <w:rFonts w:hint="eastAsia"/>
          <w:sz w:val="24"/>
          <w:lang w:val="en-US"/>
        </w:rPr>
        <w:t>6</w:t>
      </w:r>
      <w:r>
        <w:rPr>
          <w:rFonts w:hint="eastAsia"/>
          <w:sz w:val="24"/>
        </w:rPr>
        <w:t>）中标后无正当理由拒不与采购人签订采购合同；</w:t>
      </w:r>
    </w:p>
    <w:p>
      <w:pPr>
        <w:pStyle w:val="41"/>
        <w:tabs>
          <w:tab w:val="left" w:pos="1301"/>
        </w:tabs>
        <w:spacing w:line="360" w:lineRule="auto"/>
        <w:ind w:left="0" w:firstLineChars="200"/>
        <w:rPr>
          <w:sz w:val="24"/>
        </w:rPr>
      </w:pPr>
      <w:r>
        <w:rPr>
          <w:rFonts w:hint="eastAsia"/>
          <w:sz w:val="24"/>
        </w:rPr>
        <w:t>（</w:t>
      </w:r>
      <w:r>
        <w:rPr>
          <w:rFonts w:hint="eastAsia"/>
          <w:sz w:val="24"/>
          <w:lang w:val="en-US"/>
        </w:rPr>
        <w:t>7</w:t>
      </w:r>
      <w:r>
        <w:rPr>
          <w:rFonts w:hint="eastAsia"/>
          <w:sz w:val="24"/>
        </w:rPr>
        <w:t>）未按照采购文件确定的事项签订采购合同；</w:t>
      </w:r>
    </w:p>
    <w:p>
      <w:pPr>
        <w:pStyle w:val="41"/>
        <w:tabs>
          <w:tab w:val="left" w:pos="1301"/>
        </w:tabs>
        <w:spacing w:line="360" w:lineRule="auto"/>
        <w:ind w:left="0" w:firstLineChars="200"/>
        <w:rPr>
          <w:sz w:val="24"/>
        </w:rPr>
      </w:pPr>
      <w:r>
        <w:rPr>
          <w:rFonts w:hint="eastAsia"/>
          <w:sz w:val="24"/>
        </w:rPr>
        <w:t>（</w:t>
      </w:r>
      <w:r>
        <w:rPr>
          <w:rFonts w:hint="eastAsia"/>
          <w:sz w:val="24"/>
          <w:lang w:val="en-US"/>
        </w:rPr>
        <w:t>8</w:t>
      </w:r>
      <w:r>
        <w:rPr>
          <w:rFonts w:hint="eastAsia"/>
          <w:sz w:val="24"/>
        </w:rPr>
        <w:t>）将采购合同转包或者违规分包；</w:t>
      </w:r>
    </w:p>
    <w:p>
      <w:pPr>
        <w:pStyle w:val="41"/>
        <w:tabs>
          <w:tab w:val="left" w:pos="1301"/>
        </w:tabs>
        <w:spacing w:line="360" w:lineRule="auto"/>
        <w:ind w:left="0" w:firstLineChars="200"/>
        <w:rPr>
          <w:sz w:val="24"/>
        </w:rPr>
      </w:pPr>
      <w:r>
        <w:rPr>
          <w:rFonts w:hint="eastAsia"/>
          <w:sz w:val="24"/>
        </w:rPr>
        <w:t>（</w:t>
      </w:r>
      <w:r>
        <w:rPr>
          <w:rFonts w:hint="eastAsia"/>
          <w:sz w:val="24"/>
          <w:lang w:val="en-US"/>
        </w:rPr>
        <w:t>9</w:t>
      </w:r>
      <w:r>
        <w:rPr>
          <w:rFonts w:hint="eastAsia"/>
          <w:sz w:val="24"/>
        </w:rPr>
        <w:t>）提供假冒伪劣产品；</w:t>
      </w:r>
    </w:p>
    <w:p>
      <w:pPr>
        <w:pStyle w:val="41"/>
        <w:tabs>
          <w:tab w:val="left" w:pos="1421"/>
        </w:tabs>
        <w:spacing w:line="360" w:lineRule="auto"/>
        <w:ind w:left="0" w:firstLineChars="200"/>
        <w:rPr>
          <w:sz w:val="24"/>
        </w:rPr>
      </w:pPr>
      <w:r>
        <w:rPr>
          <w:rFonts w:hint="eastAsia"/>
          <w:sz w:val="24"/>
        </w:rPr>
        <w:t>（</w:t>
      </w:r>
      <w:r>
        <w:rPr>
          <w:rFonts w:hint="eastAsia"/>
          <w:sz w:val="24"/>
          <w:lang w:val="en-US"/>
        </w:rPr>
        <w:t>10</w:t>
      </w:r>
      <w:r>
        <w:rPr>
          <w:rFonts w:hint="eastAsia"/>
          <w:sz w:val="24"/>
        </w:rPr>
        <w:t>）擅自变更、中止或者终止采购合同；</w:t>
      </w:r>
    </w:p>
    <w:p>
      <w:pPr>
        <w:pStyle w:val="41"/>
        <w:tabs>
          <w:tab w:val="left" w:pos="1402"/>
        </w:tabs>
        <w:spacing w:line="360" w:lineRule="auto"/>
        <w:ind w:left="0" w:firstLineChars="200"/>
        <w:rPr>
          <w:sz w:val="24"/>
        </w:rPr>
      </w:pPr>
      <w:r>
        <w:rPr>
          <w:rFonts w:hint="eastAsia"/>
          <w:sz w:val="24"/>
        </w:rPr>
        <w:t>（</w:t>
      </w:r>
      <w:r>
        <w:rPr>
          <w:rFonts w:hint="eastAsia"/>
          <w:sz w:val="24"/>
          <w:lang w:val="en-US"/>
        </w:rPr>
        <w:t>11</w:t>
      </w:r>
      <w:r>
        <w:rPr>
          <w:rFonts w:hint="eastAsia"/>
          <w:sz w:val="24"/>
        </w:rPr>
        <w:t>）拒绝有关部门的监督检查或者向监督检查部门提供虚假情况；</w:t>
      </w:r>
    </w:p>
    <w:p>
      <w:pPr>
        <w:pStyle w:val="41"/>
        <w:tabs>
          <w:tab w:val="left" w:pos="1421"/>
        </w:tabs>
        <w:spacing w:line="360" w:lineRule="auto"/>
        <w:ind w:left="0" w:firstLineChars="200"/>
        <w:rPr>
          <w:sz w:val="24"/>
        </w:rPr>
      </w:pPr>
      <w:r>
        <w:rPr>
          <w:rFonts w:hint="eastAsia"/>
          <w:sz w:val="24"/>
        </w:rPr>
        <w:t>（</w:t>
      </w:r>
      <w:r>
        <w:rPr>
          <w:rFonts w:hint="eastAsia"/>
          <w:sz w:val="24"/>
          <w:lang w:val="en-US"/>
        </w:rPr>
        <w:t>12</w:t>
      </w:r>
      <w:r>
        <w:rPr>
          <w:rFonts w:hint="eastAsia"/>
          <w:sz w:val="24"/>
        </w:rPr>
        <w:t>）法律法规规定的其他情形。</w:t>
      </w:r>
    </w:p>
    <w:p>
      <w:pPr>
        <w:pStyle w:val="41"/>
        <w:tabs>
          <w:tab w:val="left" w:pos="1402"/>
        </w:tabs>
        <w:spacing w:line="360" w:lineRule="auto"/>
        <w:ind w:left="0" w:firstLineChars="200"/>
        <w:rPr>
          <w:sz w:val="24"/>
        </w:rPr>
      </w:pPr>
      <w:r>
        <w:rPr>
          <w:rFonts w:hint="eastAsia"/>
          <w:sz w:val="24"/>
        </w:rPr>
        <w:t>供应商有上述情形的，按照规定追究法律责任，具备（1）-（1</w:t>
      </w:r>
      <w:r>
        <w:rPr>
          <w:rFonts w:hint="eastAsia"/>
          <w:sz w:val="24"/>
          <w:lang w:val="en-US"/>
        </w:rPr>
        <w:t>2</w:t>
      </w:r>
      <w:r>
        <w:rPr>
          <w:rFonts w:hint="eastAsia"/>
          <w:sz w:val="24"/>
        </w:rPr>
        <w:t>）条情形之一的，同时将取消中标资格或者认定中标无效。</w:t>
      </w:r>
    </w:p>
    <w:p>
      <w:pPr>
        <w:spacing w:line="360" w:lineRule="auto"/>
        <w:outlineLvl w:val="2"/>
        <w:rPr>
          <w:rFonts w:ascii="宋体" w:hAnsi="宋体" w:cs="宋体"/>
          <w:b/>
          <w:sz w:val="24"/>
        </w:rPr>
      </w:pPr>
      <w:bookmarkStart w:id="144" w:name="_Toc10327"/>
      <w:r>
        <w:rPr>
          <w:rFonts w:hint="eastAsia" w:ascii="宋体" w:hAnsi="宋体" w:cs="宋体"/>
          <w:b/>
          <w:sz w:val="24"/>
        </w:rPr>
        <w:t>38、供应商失信行为及处理</w:t>
      </w:r>
      <w:bookmarkEnd w:id="144"/>
    </w:p>
    <w:p>
      <w:pPr>
        <w:pStyle w:val="2"/>
        <w:spacing w:after="0" w:line="360" w:lineRule="auto"/>
        <w:ind w:firstLine="480" w:firstLineChars="200"/>
        <w:rPr>
          <w:rFonts w:ascii="宋体" w:hAnsi="宋体" w:cs="宋体"/>
          <w:sz w:val="24"/>
        </w:rPr>
      </w:pPr>
      <w:r>
        <w:rPr>
          <w:rFonts w:hint="eastAsia" w:ascii="宋体" w:hAnsi="宋体" w:cs="宋体"/>
          <w:sz w:val="24"/>
        </w:rPr>
        <w:t>供应商在政府采购活动中有下列情形之一的，按失信行为记入诚信档案：</w:t>
      </w:r>
    </w:p>
    <w:p>
      <w:pPr>
        <w:pStyle w:val="41"/>
        <w:tabs>
          <w:tab w:val="left" w:pos="1301"/>
        </w:tabs>
        <w:spacing w:line="360" w:lineRule="auto"/>
        <w:ind w:left="0" w:firstLineChars="200"/>
        <w:jc w:val="left"/>
        <w:rPr>
          <w:sz w:val="24"/>
        </w:rPr>
      </w:pPr>
      <w:r>
        <w:rPr>
          <w:rFonts w:hint="eastAsia"/>
          <w:sz w:val="24"/>
        </w:rPr>
        <w:t>（</w:t>
      </w:r>
      <w:r>
        <w:rPr>
          <w:rFonts w:hint="eastAsia"/>
          <w:sz w:val="24"/>
          <w:lang w:val="en-US"/>
        </w:rPr>
        <w:t>1</w:t>
      </w:r>
      <w:r>
        <w:rPr>
          <w:rFonts w:hint="eastAsia"/>
          <w:sz w:val="24"/>
        </w:rPr>
        <w:t>）提供虚假材料谋取中标的；</w:t>
      </w:r>
    </w:p>
    <w:p>
      <w:pPr>
        <w:pStyle w:val="41"/>
        <w:tabs>
          <w:tab w:val="left" w:pos="1301"/>
        </w:tabs>
        <w:spacing w:line="360" w:lineRule="auto"/>
        <w:ind w:left="0" w:firstLineChars="200"/>
        <w:jc w:val="left"/>
        <w:rPr>
          <w:sz w:val="24"/>
        </w:rPr>
      </w:pPr>
      <w:r>
        <w:rPr>
          <w:rFonts w:hint="eastAsia"/>
          <w:sz w:val="24"/>
        </w:rPr>
        <w:t>（</w:t>
      </w:r>
      <w:r>
        <w:rPr>
          <w:rFonts w:hint="eastAsia"/>
          <w:sz w:val="24"/>
          <w:lang w:val="en-US"/>
        </w:rPr>
        <w:t>2</w:t>
      </w:r>
      <w:r>
        <w:rPr>
          <w:rFonts w:hint="eastAsia"/>
          <w:sz w:val="24"/>
        </w:rPr>
        <w:t>）采取不正当手段诋毁、排挤其他供应商的；</w:t>
      </w:r>
    </w:p>
    <w:p>
      <w:pPr>
        <w:pStyle w:val="41"/>
        <w:tabs>
          <w:tab w:val="left" w:pos="1301"/>
        </w:tabs>
        <w:spacing w:line="360" w:lineRule="auto"/>
        <w:ind w:left="0" w:firstLineChars="200"/>
        <w:jc w:val="left"/>
        <w:rPr>
          <w:sz w:val="24"/>
        </w:rPr>
      </w:pPr>
      <w:r>
        <w:rPr>
          <w:rFonts w:hint="eastAsia"/>
          <w:sz w:val="24"/>
        </w:rPr>
        <w:t>（</w:t>
      </w:r>
      <w:r>
        <w:rPr>
          <w:rFonts w:hint="eastAsia"/>
          <w:sz w:val="24"/>
          <w:lang w:val="en-US"/>
        </w:rPr>
        <w:t>3</w:t>
      </w:r>
      <w:r>
        <w:rPr>
          <w:rFonts w:hint="eastAsia"/>
          <w:sz w:val="24"/>
        </w:rPr>
        <w:t>）与采购人、采购代理机构、评标委员会成员或其他供应商恶意串通的；</w:t>
      </w:r>
    </w:p>
    <w:p>
      <w:pPr>
        <w:pStyle w:val="41"/>
        <w:tabs>
          <w:tab w:val="left" w:pos="1301"/>
        </w:tabs>
        <w:spacing w:line="360" w:lineRule="auto"/>
        <w:ind w:left="0" w:firstLine="452" w:firstLineChars="200"/>
        <w:jc w:val="left"/>
        <w:rPr>
          <w:sz w:val="24"/>
        </w:rPr>
      </w:pPr>
      <w:r>
        <w:rPr>
          <w:rFonts w:hint="eastAsia"/>
          <w:spacing w:val="-7"/>
          <w:sz w:val="24"/>
        </w:rPr>
        <w:t>（</w:t>
      </w:r>
      <w:r>
        <w:rPr>
          <w:rFonts w:hint="eastAsia"/>
          <w:spacing w:val="-7"/>
          <w:sz w:val="24"/>
          <w:lang w:val="en-US"/>
        </w:rPr>
        <w:t>4</w:t>
      </w:r>
      <w:r>
        <w:rPr>
          <w:rFonts w:hint="eastAsia"/>
          <w:spacing w:val="-7"/>
          <w:sz w:val="24"/>
        </w:rPr>
        <w:t>）不遵守开标、评审现场工作纪律，扰乱或者委托其他人扰乱开标、评审现场秩序的；</w:t>
      </w:r>
    </w:p>
    <w:p>
      <w:pPr>
        <w:pStyle w:val="41"/>
        <w:tabs>
          <w:tab w:val="left" w:pos="1301"/>
        </w:tabs>
        <w:spacing w:line="360" w:lineRule="auto"/>
        <w:ind w:left="0" w:firstLine="476" w:firstLineChars="200"/>
        <w:jc w:val="left"/>
        <w:rPr>
          <w:sz w:val="24"/>
        </w:rPr>
      </w:pPr>
      <w:r>
        <w:rPr>
          <w:rFonts w:hint="eastAsia"/>
          <w:spacing w:val="-1"/>
          <w:sz w:val="24"/>
        </w:rPr>
        <w:t>（</w:t>
      </w:r>
      <w:r>
        <w:rPr>
          <w:rFonts w:hint="eastAsia"/>
          <w:spacing w:val="-1"/>
          <w:sz w:val="24"/>
          <w:lang w:val="en-US"/>
        </w:rPr>
        <w:t>5</w:t>
      </w:r>
      <w:r>
        <w:rPr>
          <w:rFonts w:hint="eastAsia"/>
          <w:spacing w:val="-1"/>
          <w:sz w:val="24"/>
        </w:rPr>
        <w:t>）向采购人、采购人代理机构及其工作人员、评标委员会成员或采购相关专业人员行</w:t>
      </w:r>
      <w:r>
        <w:rPr>
          <w:rFonts w:hint="eastAsia"/>
          <w:sz w:val="24"/>
        </w:rPr>
        <w:t>贿或者提供其他不正当利益的；</w:t>
      </w:r>
    </w:p>
    <w:p>
      <w:pPr>
        <w:pStyle w:val="41"/>
        <w:tabs>
          <w:tab w:val="left" w:pos="1301"/>
        </w:tabs>
        <w:spacing w:line="360" w:lineRule="auto"/>
        <w:ind w:left="0" w:firstLine="476" w:firstLineChars="200"/>
        <w:jc w:val="left"/>
        <w:rPr>
          <w:sz w:val="24"/>
        </w:rPr>
      </w:pPr>
      <w:r>
        <w:rPr>
          <w:rFonts w:hint="eastAsia"/>
          <w:spacing w:val="-1"/>
          <w:sz w:val="24"/>
        </w:rPr>
        <w:t>（</w:t>
      </w:r>
      <w:r>
        <w:rPr>
          <w:rFonts w:hint="eastAsia"/>
          <w:spacing w:val="-1"/>
          <w:sz w:val="24"/>
          <w:lang w:val="en-US"/>
        </w:rPr>
        <w:t>6</w:t>
      </w:r>
      <w:r>
        <w:rPr>
          <w:rFonts w:hint="eastAsia"/>
          <w:spacing w:val="-1"/>
          <w:sz w:val="24"/>
        </w:rPr>
        <w:t>）无正当理由放弃中标候选人资格的，或者放弃中标的，或者中标后不与采购人、采</w:t>
      </w:r>
      <w:r>
        <w:rPr>
          <w:rFonts w:hint="eastAsia"/>
          <w:sz w:val="24"/>
        </w:rPr>
        <w:t>购代理机构签订政府采购合同的；</w:t>
      </w:r>
    </w:p>
    <w:p>
      <w:pPr>
        <w:pStyle w:val="41"/>
        <w:tabs>
          <w:tab w:val="left" w:pos="1301"/>
        </w:tabs>
        <w:spacing w:line="360" w:lineRule="auto"/>
        <w:ind w:left="0" w:firstLine="476" w:firstLineChars="200"/>
        <w:jc w:val="left"/>
        <w:rPr>
          <w:sz w:val="24"/>
        </w:rPr>
      </w:pPr>
      <w:r>
        <w:rPr>
          <w:rFonts w:hint="eastAsia"/>
          <w:spacing w:val="-1"/>
          <w:sz w:val="24"/>
        </w:rPr>
        <w:t>（</w:t>
      </w:r>
      <w:r>
        <w:rPr>
          <w:rFonts w:hint="eastAsia"/>
          <w:spacing w:val="-1"/>
          <w:sz w:val="24"/>
          <w:lang w:val="en-US"/>
        </w:rPr>
        <w:t>7</w:t>
      </w:r>
      <w:r>
        <w:rPr>
          <w:rFonts w:hint="eastAsia"/>
          <w:spacing w:val="-1"/>
          <w:sz w:val="24"/>
        </w:rPr>
        <w:t>）在招标采购过程中与采购人进行协商谈判的，或者不按照采购文件和中标</w:t>
      </w:r>
      <w:r>
        <w:rPr>
          <w:rFonts w:hint="eastAsia"/>
          <w:spacing w:val="-1"/>
          <w:sz w:val="24"/>
          <w:lang w:val="en-US"/>
        </w:rPr>
        <w:t>人</w:t>
      </w:r>
      <w:r>
        <w:rPr>
          <w:rFonts w:hint="eastAsia"/>
          <w:spacing w:val="-1"/>
          <w:sz w:val="24"/>
        </w:rPr>
        <w:t>的</w:t>
      </w:r>
      <w:r>
        <w:rPr>
          <w:rFonts w:hint="eastAsia"/>
          <w:sz w:val="24"/>
        </w:rPr>
        <w:t>投标文件订立合同的，或者与采购人另行订立背离合同实质性内容的协议的；</w:t>
      </w:r>
    </w:p>
    <w:p>
      <w:pPr>
        <w:pStyle w:val="41"/>
        <w:tabs>
          <w:tab w:val="left" w:pos="1301"/>
        </w:tabs>
        <w:spacing w:line="360" w:lineRule="auto"/>
        <w:ind w:left="0" w:firstLineChars="200"/>
        <w:jc w:val="left"/>
        <w:rPr>
          <w:sz w:val="24"/>
        </w:rPr>
      </w:pPr>
      <w:r>
        <w:rPr>
          <w:rFonts w:hint="eastAsia"/>
          <w:sz w:val="24"/>
        </w:rPr>
        <w:t>（</w:t>
      </w:r>
      <w:r>
        <w:rPr>
          <w:rFonts w:hint="eastAsia"/>
          <w:sz w:val="24"/>
          <w:lang w:val="en-US"/>
        </w:rPr>
        <w:t>8</w:t>
      </w:r>
      <w:r>
        <w:rPr>
          <w:rFonts w:hint="eastAsia"/>
          <w:sz w:val="24"/>
        </w:rPr>
        <w:t>）将中标项目转包给他人或者违规分包给他人的；</w:t>
      </w:r>
    </w:p>
    <w:p>
      <w:pPr>
        <w:pStyle w:val="41"/>
        <w:tabs>
          <w:tab w:val="left" w:pos="1301"/>
        </w:tabs>
        <w:spacing w:line="360" w:lineRule="auto"/>
        <w:ind w:left="0" w:firstLine="476" w:firstLineChars="200"/>
        <w:jc w:val="left"/>
        <w:rPr>
          <w:sz w:val="24"/>
        </w:rPr>
      </w:pPr>
      <w:r>
        <w:rPr>
          <w:rFonts w:hint="eastAsia"/>
          <w:spacing w:val="-1"/>
          <w:sz w:val="24"/>
        </w:rPr>
        <w:t>（</w:t>
      </w:r>
      <w:r>
        <w:rPr>
          <w:rFonts w:hint="eastAsia"/>
          <w:spacing w:val="-1"/>
          <w:sz w:val="24"/>
          <w:lang w:val="en-US"/>
        </w:rPr>
        <w:t>9</w:t>
      </w:r>
      <w:r>
        <w:rPr>
          <w:rFonts w:hint="eastAsia"/>
          <w:spacing w:val="-1"/>
          <w:sz w:val="24"/>
        </w:rPr>
        <w:t>）拒绝或者不按照约定履行政府采购合同的，或者擅自变更、中止或者终止政府采购</w:t>
      </w:r>
      <w:r>
        <w:rPr>
          <w:rFonts w:hint="eastAsia"/>
          <w:sz w:val="24"/>
        </w:rPr>
        <w:t>合同的；</w:t>
      </w:r>
    </w:p>
    <w:p>
      <w:pPr>
        <w:pStyle w:val="41"/>
        <w:tabs>
          <w:tab w:val="left" w:pos="1421"/>
        </w:tabs>
        <w:spacing w:line="360" w:lineRule="auto"/>
        <w:ind w:left="0" w:firstLineChars="200"/>
        <w:jc w:val="left"/>
        <w:rPr>
          <w:sz w:val="24"/>
        </w:rPr>
      </w:pPr>
      <w:r>
        <w:rPr>
          <w:rFonts w:hint="eastAsia"/>
          <w:sz w:val="24"/>
        </w:rPr>
        <w:t>（</w:t>
      </w:r>
      <w:r>
        <w:rPr>
          <w:rFonts w:hint="eastAsia"/>
          <w:sz w:val="24"/>
          <w:lang w:val="en-US"/>
        </w:rPr>
        <w:t>10</w:t>
      </w:r>
      <w:r>
        <w:rPr>
          <w:rFonts w:hint="eastAsia"/>
          <w:sz w:val="24"/>
        </w:rPr>
        <w:t>）捏造事实或者提供虚假材料投诉或者以非法手段取得证明材料进行质疑、投诉的；</w:t>
      </w:r>
    </w:p>
    <w:p>
      <w:pPr>
        <w:pStyle w:val="41"/>
        <w:tabs>
          <w:tab w:val="left" w:pos="1421"/>
        </w:tabs>
        <w:spacing w:line="360" w:lineRule="auto"/>
        <w:ind w:left="0" w:firstLineChars="200"/>
        <w:jc w:val="left"/>
        <w:rPr>
          <w:sz w:val="24"/>
        </w:rPr>
      </w:pPr>
      <w:r>
        <w:rPr>
          <w:rFonts w:hint="eastAsia"/>
          <w:sz w:val="24"/>
        </w:rPr>
        <w:t>（</w:t>
      </w:r>
      <w:r>
        <w:rPr>
          <w:rFonts w:hint="eastAsia"/>
          <w:sz w:val="24"/>
          <w:lang w:val="en-US"/>
        </w:rPr>
        <w:t>11</w:t>
      </w:r>
      <w:r>
        <w:rPr>
          <w:rFonts w:hint="eastAsia"/>
          <w:sz w:val="24"/>
        </w:rPr>
        <w:t>）借维权之名获取非法利益、不当得利并经查证属实的；</w:t>
      </w:r>
    </w:p>
    <w:p>
      <w:pPr>
        <w:pStyle w:val="41"/>
        <w:tabs>
          <w:tab w:val="left" w:pos="1421"/>
        </w:tabs>
        <w:spacing w:line="360" w:lineRule="auto"/>
        <w:ind w:left="0" w:firstLineChars="200"/>
        <w:jc w:val="left"/>
        <w:rPr>
          <w:sz w:val="24"/>
        </w:rPr>
      </w:pPr>
      <w:r>
        <w:rPr>
          <w:rFonts w:hint="eastAsia"/>
          <w:sz w:val="24"/>
        </w:rPr>
        <w:t>（</w:t>
      </w:r>
      <w:r>
        <w:rPr>
          <w:rFonts w:hint="eastAsia"/>
          <w:sz w:val="24"/>
          <w:lang w:val="en-US"/>
        </w:rPr>
        <w:t>12</w:t>
      </w:r>
      <w:r>
        <w:rPr>
          <w:rFonts w:hint="eastAsia"/>
          <w:sz w:val="24"/>
        </w:rPr>
        <w:t>）在财政部门投诉、举报处理过程中隐瞒采购项目相关情况的；</w:t>
      </w:r>
    </w:p>
    <w:p>
      <w:pPr>
        <w:pStyle w:val="41"/>
        <w:tabs>
          <w:tab w:val="left" w:pos="1421"/>
        </w:tabs>
        <w:spacing w:line="360" w:lineRule="auto"/>
        <w:ind w:left="0" w:firstLineChars="200"/>
        <w:jc w:val="left"/>
        <w:rPr>
          <w:sz w:val="24"/>
        </w:rPr>
      </w:pPr>
      <w:r>
        <w:rPr>
          <w:rFonts w:hint="eastAsia"/>
          <w:sz w:val="24"/>
        </w:rPr>
        <w:t>（</w:t>
      </w:r>
      <w:r>
        <w:rPr>
          <w:rFonts w:hint="eastAsia"/>
          <w:sz w:val="24"/>
          <w:lang w:val="en-US"/>
        </w:rPr>
        <w:t>13</w:t>
      </w:r>
      <w:r>
        <w:rPr>
          <w:rFonts w:hint="eastAsia"/>
          <w:sz w:val="24"/>
        </w:rPr>
        <w:t>）拒绝有关部门监督检查或者在监督检查过程中提供虚假情况的；</w:t>
      </w:r>
    </w:p>
    <w:p>
      <w:pPr>
        <w:pStyle w:val="41"/>
        <w:tabs>
          <w:tab w:val="left" w:pos="1421"/>
        </w:tabs>
        <w:spacing w:line="360" w:lineRule="auto"/>
        <w:ind w:left="0" w:firstLineChars="200"/>
        <w:jc w:val="left"/>
        <w:rPr>
          <w:sz w:val="24"/>
        </w:rPr>
      </w:pPr>
      <w:r>
        <w:rPr>
          <w:rFonts w:hint="eastAsia"/>
          <w:sz w:val="24"/>
        </w:rPr>
        <w:t>（</w:t>
      </w:r>
      <w:r>
        <w:rPr>
          <w:rFonts w:hint="eastAsia"/>
          <w:sz w:val="24"/>
          <w:lang w:val="en-US"/>
        </w:rPr>
        <w:t>14</w:t>
      </w:r>
      <w:r>
        <w:rPr>
          <w:rFonts w:hint="eastAsia"/>
          <w:sz w:val="24"/>
        </w:rPr>
        <w:t>）提供假冒伪劣产品；</w:t>
      </w:r>
    </w:p>
    <w:p>
      <w:pPr>
        <w:pStyle w:val="41"/>
        <w:tabs>
          <w:tab w:val="left" w:pos="1486"/>
        </w:tabs>
        <w:spacing w:line="360" w:lineRule="auto"/>
        <w:ind w:left="0" w:firstLineChars="200"/>
        <w:jc w:val="left"/>
        <w:rPr>
          <w:sz w:val="24"/>
        </w:rPr>
      </w:pPr>
      <w:r>
        <w:rPr>
          <w:rFonts w:hint="eastAsia"/>
          <w:sz w:val="24"/>
        </w:rPr>
        <w:t>（</w:t>
      </w:r>
      <w:r>
        <w:rPr>
          <w:rFonts w:hint="eastAsia"/>
          <w:sz w:val="24"/>
          <w:lang w:val="en-US"/>
        </w:rPr>
        <w:t>15</w:t>
      </w:r>
      <w:r>
        <w:rPr>
          <w:rFonts w:hint="eastAsia"/>
          <w:sz w:val="24"/>
        </w:rPr>
        <w:t>）工商部门、税务部门、审判机关及其他有关部门单位认定的失信行为；</w:t>
      </w:r>
    </w:p>
    <w:p>
      <w:pPr>
        <w:pStyle w:val="41"/>
        <w:tabs>
          <w:tab w:val="left" w:pos="1486"/>
        </w:tabs>
        <w:spacing w:line="360" w:lineRule="auto"/>
        <w:ind w:left="0" w:firstLineChars="200"/>
        <w:jc w:val="left"/>
        <w:rPr>
          <w:sz w:val="24"/>
        </w:rPr>
      </w:pPr>
      <w:r>
        <w:rPr>
          <w:rFonts w:hint="eastAsia"/>
          <w:sz w:val="24"/>
        </w:rPr>
        <w:t>（</w:t>
      </w:r>
      <w:r>
        <w:rPr>
          <w:rFonts w:hint="eastAsia"/>
          <w:sz w:val="24"/>
          <w:lang w:val="en-US"/>
        </w:rPr>
        <w:t>16</w:t>
      </w:r>
      <w:r>
        <w:rPr>
          <w:rFonts w:hint="eastAsia"/>
          <w:sz w:val="24"/>
        </w:rPr>
        <w:t>）其他法律法规规定的失信行为。</w:t>
      </w:r>
    </w:p>
    <w:p>
      <w:pPr>
        <w:pStyle w:val="41"/>
        <w:tabs>
          <w:tab w:val="left" w:pos="1486"/>
        </w:tabs>
        <w:spacing w:line="360" w:lineRule="auto"/>
        <w:ind w:left="0" w:firstLine="464" w:firstLineChars="200"/>
        <w:jc w:val="left"/>
        <w:rPr>
          <w:spacing w:val="-4"/>
          <w:sz w:val="24"/>
        </w:rPr>
      </w:pPr>
      <w:r>
        <w:rPr>
          <w:rFonts w:hint="eastAsia"/>
          <w:spacing w:val="-4"/>
          <w:sz w:val="24"/>
        </w:rPr>
        <w:t>对</w:t>
      </w:r>
      <w:r>
        <w:rPr>
          <w:rFonts w:hint="eastAsia"/>
          <w:spacing w:val="-4"/>
          <w:sz w:val="24"/>
          <w:lang w:val="en-US"/>
        </w:rPr>
        <w:t>参照</w:t>
      </w:r>
      <w:r>
        <w:rPr>
          <w:rFonts w:hint="eastAsia"/>
          <w:spacing w:val="-4"/>
          <w:sz w:val="24"/>
        </w:rPr>
        <w:t>《四川省政府采购当事人诚信管理办法》（川财采[2015]33号）记入诚信档案的且在有效期内的失信</w:t>
      </w:r>
      <w:r>
        <w:rPr>
          <w:rFonts w:hint="eastAsia"/>
          <w:spacing w:val="-4"/>
          <w:sz w:val="24"/>
          <w:lang w:val="en-US"/>
        </w:rPr>
        <w:t>供应商</w:t>
      </w:r>
      <w:r>
        <w:rPr>
          <w:rFonts w:hint="eastAsia"/>
          <w:spacing w:val="-4"/>
          <w:sz w:val="24"/>
        </w:rPr>
        <w:t>，在参加政府采购活动中实行10%的报价加成、以加成后报价作为该</w:t>
      </w:r>
      <w:r>
        <w:rPr>
          <w:rFonts w:hint="eastAsia"/>
          <w:spacing w:val="-4"/>
          <w:sz w:val="24"/>
          <w:lang w:val="en-US"/>
        </w:rPr>
        <w:t>供应商</w:t>
      </w:r>
      <w:r>
        <w:rPr>
          <w:rFonts w:hint="eastAsia"/>
          <w:spacing w:val="-4"/>
          <w:sz w:val="24"/>
        </w:rPr>
        <w:t>报价评标，且</w:t>
      </w:r>
      <w:r>
        <w:rPr>
          <w:rFonts w:hint="eastAsia"/>
          <w:spacing w:val="-4"/>
          <w:sz w:val="24"/>
          <w:lang w:val="en-US"/>
        </w:rPr>
        <w:t>供应商</w:t>
      </w:r>
      <w:r>
        <w:rPr>
          <w:rFonts w:hint="eastAsia"/>
          <w:spacing w:val="-4"/>
          <w:sz w:val="24"/>
        </w:rPr>
        <w:t>失信行为惩戒实行无限制累加制，因其失信行为进行报价加成惩戒后报价超过政府采购预算的，其</w:t>
      </w:r>
      <w:r>
        <w:rPr>
          <w:rFonts w:hint="eastAsia"/>
          <w:spacing w:val="-4"/>
          <w:sz w:val="24"/>
          <w:lang w:val="en-US"/>
        </w:rPr>
        <w:t>投标</w:t>
      </w:r>
      <w:r>
        <w:rPr>
          <w:rFonts w:hint="eastAsia"/>
          <w:spacing w:val="-4"/>
          <w:sz w:val="24"/>
        </w:rPr>
        <w:t>文件按无效处理。</w:t>
      </w:r>
    </w:p>
    <w:p>
      <w:pPr>
        <w:pStyle w:val="41"/>
        <w:tabs>
          <w:tab w:val="left" w:pos="1486"/>
        </w:tabs>
        <w:spacing w:line="360" w:lineRule="auto"/>
        <w:ind w:left="0" w:firstLine="464" w:firstLineChars="200"/>
        <w:jc w:val="left"/>
        <w:rPr>
          <w:sz w:val="24"/>
        </w:rPr>
      </w:pPr>
      <w:r>
        <w:rPr>
          <w:rFonts w:hint="eastAsia"/>
          <w:spacing w:val="-4"/>
          <w:sz w:val="24"/>
        </w:rPr>
        <w:t>财政部门对政府采购当事人的失信行为记入诚信档案，有效期为</w:t>
      </w:r>
      <w:r>
        <w:rPr>
          <w:rFonts w:hint="eastAsia"/>
          <w:sz w:val="24"/>
        </w:rPr>
        <w:t>1</w:t>
      </w:r>
      <w:r>
        <w:rPr>
          <w:rFonts w:hint="eastAsia"/>
          <w:spacing w:val="-16"/>
          <w:sz w:val="24"/>
        </w:rPr>
        <w:t>年。工商部门、税务部</w:t>
      </w:r>
      <w:r>
        <w:rPr>
          <w:rFonts w:hint="eastAsia"/>
          <w:sz w:val="24"/>
        </w:rPr>
        <w:t>门、审判机关及其他有关部门单位认定</w:t>
      </w:r>
      <w:r>
        <w:rPr>
          <w:rFonts w:hint="eastAsia"/>
          <w:spacing w:val="-4"/>
          <w:sz w:val="24"/>
          <w:lang w:val="en-US"/>
        </w:rPr>
        <w:t>供应商</w:t>
      </w:r>
      <w:r>
        <w:rPr>
          <w:rFonts w:hint="eastAsia"/>
          <w:sz w:val="24"/>
        </w:rPr>
        <w:t>的失信行为明确了有效期的，不再重复计算。</w:t>
      </w:r>
    </w:p>
    <w:p>
      <w:pPr>
        <w:pStyle w:val="41"/>
        <w:tabs>
          <w:tab w:val="left" w:pos="1486"/>
        </w:tabs>
        <w:spacing w:line="360" w:lineRule="auto"/>
        <w:ind w:left="0" w:firstLine="452" w:firstLineChars="200"/>
        <w:jc w:val="left"/>
        <w:rPr>
          <w:sz w:val="24"/>
        </w:rPr>
      </w:pPr>
      <w:r>
        <w:rPr>
          <w:rFonts w:hint="eastAsia"/>
          <w:spacing w:val="-7"/>
          <w:sz w:val="24"/>
        </w:rPr>
        <w:t>以上属于投标或中标无效情形的，按投标或中标无效处理；属于违法情形的，依法予以处</w:t>
      </w:r>
      <w:r>
        <w:rPr>
          <w:rFonts w:hint="eastAsia"/>
          <w:sz w:val="24"/>
        </w:rPr>
        <w:t>理。</w:t>
      </w:r>
    </w:p>
    <w:p>
      <w:pPr>
        <w:pStyle w:val="4"/>
        <w:spacing w:before="240" w:beforeLines="100" w:after="240" w:afterLines="100" w:line="360" w:lineRule="auto"/>
        <w:jc w:val="center"/>
        <w:rPr>
          <w:rFonts w:ascii="宋体" w:hAnsi="宋体" w:eastAsia="宋体" w:cs="宋体"/>
        </w:rPr>
      </w:pPr>
      <w:bookmarkStart w:id="145" w:name="_Toc5753"/>
      <w:r>
        <w:rPr>
          <w:rFonts w:hint="eastAsia" w:ascii="宋体" w:hAnsi="宋体" w:eastAsia="宋体" w:cs="宋体"/>
          <w:sz w:val="28"/>
          <w:szCs w:val="28"/>
        </w:rPr>
        <w:t>八、询问、质疑和投诉</w:t>
      </w:r>
      <w:bookmarkEnd w:id="145"/>
    </w:p>
    <w:p>
      <w:pPr>
        <w:pStyle w:val="41"/>
        <w:tabs>
          <w:tab w:val="left" w:pos="1181"/>
        </w:tabs>
        <w:spacing w:line="360" w:lineRule="auto"/>
        <w:ind w:left="0" w:firstLine="440" w:firstLineChars="200"/>
        <w:rPr>
          <w:sz w:val="24"/>
        </w:rPr>
      </w:pPr>
      <w:r>
        <w:rPr>
          <w:rFonts w:hint="eastAsia"/>
          <w:spacing w:val="-10"/>
          <w:sz w:val="24"/>
          <w:lang w:val="en-US"/>
        </w:rPr>
        <w:t>39.</w:t>
      </w:r>
      <w:r>
        <w:rPr>
          <w:rFonts w:hint="eastAsia"/>
          <w:spacing w:val="-10"/>
          <w:sz w:val="24"/>
        </w:rPr>
        <w:t>询问、质疑、投诉的接收和处理严格按照《中华人共和国政府采购法》、《中华人民</w:t>
      </w:r>
      <w:r>
        <w:rPr>
          <w:rFonts w:hint="eastAsia"/>
          <w:spacing w:val="-8"/>
          <w:sz w:val="24"/>
        </w:rPr>
        <w:t>共和国政府采购法实施条例》、《政府采购货物和服务招标投标管理办法》、《政府采购供应</w:t>
      </w:r>
      <w:r>
        <w:rPr>
          <w:rFonts w:hint="eastAsia"/>
          <w:spacing w:val="-10"/>
          <w:sz w:val="24"/>
        </w:rPr>
        <w:t>商投诉处理办法》、《财政部关于加强政府采购供应商投诉受理审查工作的通知》的规定办理。</w:t>
      </w:r>
      <w:r>
        <w:rPr>
          <w:rFonts w:hint="eastAsia"/>
          <w:sz w:val="24"/>
        </w:rPr>
        <w:t>（详细规定请在四川政府采购网政策法规模块查询）。</w:t>
      </w:r>
    </w:p>
    <w:p>
      <w:pPr>
        <w:spacing w:before="240" w:beforeLines="100" w:after="240" w:afterLines="100" w:line="360" w:lineRule="auto"/>
        <w:jc w:val="center"/>
        <w:outlineLvl w:val="1"/>
        <w:rPr>
          <w:rFonts w:ascii="宋体" w:hAnsi="宋体" w:cs="宋体"/>
          <w:b/>
          <w:bCs/>
          <w:sz w:val="28"/>
          <w:szCs w:val="28"/>
        </w:rPr>
      </w:pPr>
      <w:bookmarkStart w:id="146" w:name="_Toc28158"/>
      <w:r>
        <w:rPr>
          <w:rFonts w:hint="eastAsia" w:ascii="宋体" w:hAnsi="宋体" w:cs="宋体"/>
          <w:b/>
          <w:bCs/>
          <w:sz w:val="28"/>
          <w:szCs w:val="28"/>
        </w:rPr>
        <w:t>九、其他</w:t>
      </w:r>
      <w:bookmarkEnd w:id="146"/>
    </w:p>
    <w:p>
      <w:pPr>
        <w:pStyle w:val="41"/>
        <w:tabs>
          <w:tab w:val="left" w:pos="1061"/>
        </w:tabs>
        <w:spacing w:line="360" w:lineRule="auto"/>
        <w:ind w:left="0" w:firstLineChars="200"/>
        <w:rPr>
          <w:sz w:val="24"/>
        </w:rPr>
      </w:pPr>
      <w:r>
        <w:rPr>
          <w:rFonts w:hint="eastAsia"/>
          <w:sz w:val="24"/>
          <w:lang w:val="en-US"/>
        </w:rPr>
        <w:t>40.</w:t>
      </w:r>
      <w:r>
        <w:rPr>
          <w:rFonts w:hint="eastAsia"/>
          <w:sz w:val="24"/>
        </w:rPr>
        <w:t>本招标文件中所引相关法律制度规定，在政府采购中有变化的，按照变化后的相关法</w:t>
      </w:r>
      <w:r>
        <w:rPr>
          <w:rFonts w:hint="eastAsia"/>
          <w:spacing w:val="-4"/>
          <w:sz w:val="24"/>
        </w:rPr>
        <w:t>律制度规定执行。本章和第七章中</w:t>
      </w:r>
      <w:r>
        <w:rPr>
          <w:rFonts w:hint="eastAsia"/>
          <w:sz w:val="24"/>
        </w:rPr>
        <w:t>“</w:t>
      </w:r>
      <w:r>
        <w:rPr>
          <w:rFonts w:hint="eastAsia"/>
          <w:sz w:val="24"/>
          <w:lang w:val="en-US"/>
        </w:rPr>
        <w:t>一、</w:t>
      </w:r>
      <w:r>
        <w:rPr>
          <w:rFonts w:hint="eastAsia"/>
          <w:spacing w:val="-6"/>
          <w:sz w:val="24"/>
        </w:rPr>
        <w:t>总则；</w:t>
      </w:r>
      <w:r>
        <w:rPr>
          <w:rFonts w:hint="eastAsia"/>
          <w:spacing w:val="-6"/>
          <w:sz w:val="24"/>
          <w:lang w:val="en-US"/>
        </w:rPr>
        <w:t>二、</w:t>
      </w:r>
      <w:r>
        <w:rPr>
          <w:rFonts w:hint="eastAsia"/>
          <w:spacing w:val="-3"/>
          <w:sz w:val="24"/>
        </w:rPr>
        <w:t>评标方法；</w:t>
      </w:r>
      <w:r>
        <w:rPr>
          <w:rFonts w:hint="eastAsia"/>
          <w:spacing w:val="-3"/>
          <w:sz w:val="24"/>
          <w:lang w:val="en-US"/>
        </w:rPr>
        <w:t>三、</w:t>
      </w:r>
      <w:r>
        <w:rPr>
          <w:rFonts w:hint="eastAsia"/>
          <w:spacing w:val="-6"/>
          <w:sz w:val="24"/>
        </w:rPr>
        <w:t>评标程序”规定的内容条款，在</w:t>
      </w:r>
      <w:r>
        <w:rPr>
          <w:rFonts w:hint="eastAsia"/>
          <w:spacing w:val="-7"/>
          <w:sz w:val="24"/>
        </w:rPr>
        <w:t>本项目投标截止时间届满后，因相关法律制度规定的变化导致不符合相关法律制度规定的，直</w:t>
      </w:r>
      <w:r>
        <w:rPr>
          <w:rFonts w:hint="eastAsia"/>
          <w:sz w:val="24"/>
        </w:rPr>
        <w:t>接按照变化后的相关法律制度规定执行，本招标文件不再做调整。</w:t>
      </w:r>
    </w:p>
    <w:p>
      <w:pPr>
        <w:pStyle w:val="3"/>
        <w:tabs>
          <w:tab w:val="left" w:pos="1283"/>
        </w:tabs>
        <w:spacing w:before="100" w:line="360" w:lineRule="auto"/>
        <w:ind w:right="42"/>
        <w:jc w:val="center"/>
        <w:rPr>
          <w:rFonts w:ascii="宋体" w:hAnsi="宋体" w:cs="宋体"/>
          <w:sz w:val="43"/>
        </w:rPr>
      </w:pPr>
      <w:r>
        <w:rPr>
          <w:rFonts w:hint="eastAsia" w:ascii="宋体" w:hAnsi="宋体" w:cs="宋体"/>
          <w:sz w:val="36"/>
          <w:szCs w:val="36"/>
        </w:rPr>
        <w:br w:type="page"/>
      </w:r>
      <w:bookmarkStart w:id="147" w:name="_Toc26722"/>
      <w:r>
        <w:rPr>
          <w:rFonts w:hint="eastAsia" w:ascii="宋体" w:hAnsi="宋体" w:cs="宋体"/>
        </w:rPr>
        <w:t>第三章</w:t>
      </w:r>
      <w:r>
        <w:rPr>
          <w:rFonts w:hint="eastAsia" w:ascii="宋体" w:hAnsi="宋体" w:cs="宋体"/>
        </w:rPr>
        <w:tab/>
      </w:r>
      <w:r>
        <w:rPr>
          <w:rFonts w:hint="eastAsia" w:ascii="宋体" w:hAnsi="宋体" w:cs="宋体"/>
        </w:rPr>
        <w:t>投标文件格式</w:t>
      </w:r>
      <w:bookmarkEnd w:id="147"/>
    </w:p>
    <w:p>
      <w:pPr>
        <w:pStyle w:val="2"/>
        <w:spacing w:line="360" w:lineRule="auto"/>
        <w:ind w:right="257" w:firstLine="440" w:firstLineChars="200"/>
        <w:rPr>
          <w:rFonts w:ascii="宋体" w:hAnsi="宋体" w:cs="宋体"/>
          <w:sz w:val="24"/>
          <w:szCs w:val="32"/>
        </w:rPr>
      </w:pPr>
      <w:r>
        <w:rPr>
          <w:rFonts w:hint="eastAsia" w:ascii="宋体" w:hAnsi="宋体" w:cs="宋体"/>
          <w:spacing w:val="-10"/>
          <w:sz w:val="24"/>
          <w:szCs w:val="32"/>
        </w:rPr>
        <w:t>一、本章所制投标文件格式，除格式中明确将该格式作为实质性要求的，一律不具有强制</w:t>
      </w:r>
      <w:r>
        <w:rPr>
          <w:rFonts w:hint="eastAsia" w:ascii="宋体" w:hAnsi="宋体" w:cs="宋体"/>
          <w:spacing w:val="-11"/>
          <w:sz w:val="24"/>
          <w:szCs w:val="32"/>
        </w:rPr>
        <w:t>性，但是，供应商投标文件相关资料和本章所制格式不一致的，评标委员会将在评分时以投标</w:t>
      </w:r>
      <w:r>
        <w:rPr>
          <w:rFonts w:hint="eastAsia" w:ascii="宋体" w:hAnsi="宋体" w:cs="宋体"/>
          <w:sz w:val="24"/>
          <w:szCs w:val="32"/>
        </w:rPr>
        <w:t>文件不规范予以扣分处理。</w:t>
      </w:r>
    </w:p>
    <w:p>
      <w:pPr>
        <w:pStyle w:val="2"/>
        <w:numPr>
          <w:ilvl w:val="0"/>
          <w:numId w:val="3"/>
        </w:numPr>
        <w:spacing w:line="360" w:lineRule="auto"/>
        <w:ind w:right="257" w:firstLine="440" w:firstLineChars="200"/>
        <w:rPr>
          <w:rFonts w:ascii="宋体" w:hAnsi="宋体" w:cs="宋体"/>
          <w:sz w:val="24"/>
          <w:szCs w:val="32"/>
        </w:rPr>
      </w:pPr>
      <w:r>
        <w:rPr>
          <w:rFonts w:hint="eastAsia" w:ascii="宋体" w:hAnsi="宋体" w:cs="宋体"/>
          <w:spacing w:val="-10"/>
          <w:sz w:val="24"/>
          <w:szCs w:val="32"/>
        </w:rPr>
        <w:t>本章所制投标文件格式有关表格中的备注栏，由供应商根据自身投标情况作解释性说</w:t>
      </w:r>
      <w:r>
        <w:rPr>
          <w:rFonts w:hint="eastAsia" w:ascii="宋体" w:hAnsi="宋体" w:cs="宋体"/>
          <w:sz w:val="24"/>
          <w:szCs w:val="32"/>
        </w:rPr>
        <w:t>明，不作为必填项。</w:t>
      </w:r>
    </w:p>
    <w:p>
      <w:pPr>
        <w:pStyle w:val="2"/>
        <w:numPr>
          <w:ilvl w:val="0"/>
          <w:numId w:val="3"/>
        </w:numPr>
        <w:spacing w:line="360" w:lineRule="auto"/>
        <w:ind w:right="257" w:firstLine="444" w:firstLineChars="200"/>
        <w:rPr>
          <w:rFonts w:ascii="宋体" w:hAnsi="宋体" w:cs="宋体"/>
          <w:sz w:val="24"/>
          <w:szCs w:val="32"/>
        </w:rPr>
      </w:pPr>
      <w:r>
        <w:rPr>
          <w:rFonts w:hint="eastAsia" w:ascii="宋体" w:hAnsi="宋体" w:cs="宋体"/>
          <w:spacing w:val="-9"/>
          <w:sz w:val="24"/>
          <w:szCs w:val="32"/>
        </w:rPr>
        <w:t>本章所制投标文件格式中需要填写的相关内容事项，可能会与本采购项目无关，在不</w:t>
      </w:r>
      <w:r>
        <w:rPr>
          <w:rFonts w:hint="eastAsia" w:ascii="宋体" w:hAnsi="宋体" w:cs="宋体"/>
          <w:sz w:val="24"/>
          <w:szCs w:val="32"/>
        </w:rPr>
        <w:t>改变投标文件原义、不影响本项目采购需求的情况下，供应商可以不予填写，但应当注明。</w:t>
      </w:r>
    </w:p>
    <w:p>
      <w:pPr>
        <w:spacing w:line="360" w:lineRule="auto"/>
        <w:rPr>
          <w:rFonts w:ascii="宋体" w:hAnsi="宋体" w:cs="宋体"/>
        </w:rPr>
        <w:sectPr>
          <w:footerReference r:id="rId5" w:type="default"/>
          <w:pgSz w:w="11910" w:h="16840"/>
          <w:pgMar w:top="1440" w:right="1803" w:bottom="1440" w:left="1803" w:header="720" w:footer="720" w:gutter="0"/>
          <w:pgNumType w:start="1"/>
          <w:cols w:space="425" w:num="1"/>
        </w:sectPr>
      </w:pPr>
    </w:p>
    <w:p>
      <w:pPr>
        <w:tabs>
          <w:tab w:val="left" w:pos="2087"/>
        </w:tabs>
        <w:spacing w:before="36" w:line="360" w:lineRule="auto"/>
        <w:ind w:right="34"/>
        <w:jc w:val="center"/>
        <w:outlineLvl w:val="1"/>
        <w:rPr>
          <w:rFonts w:ascii="宋体" w:hAnsi="宋体" w:cs="宋体"/>
          <w:b/>
          <w:sz w:val="32"/>
        </w:rPr>
      </w:pPr>
      <w:bookmarkStart w:id="148" w:name="_Toc591"/>
      <w:bookmarkStart w:id="149" w:name="_Toc217446085"/>
      <w:r>
        <w:rPr>
          <w:rFonts w:hint="eastAsia" w:ascii="宋体" w:hAnsi="宋体" w:cs="宋体"/>
          <w:b/>
          <w:sz w:val="32"/>
        </w:rPr>
        <w:t>第一</w:t>
      </w:r>
      <w:r>
        <w:rPr>
          <w:rFonts w:hint="eastAsia" w:ascii="宋体" w:hAnsi="宋体" w:cs="宋体"/>
          <w:b/>
          <w:spacing w:val="5"/>
          <w:sz w:val="32"/>
        </w:rPr>
        <w:t>部</w:t>
      </w:r>
      <w:r>
        <w:rPr>
          <w:rFonts w:hint="eastAsia" w:ascii="宋体" w:hAnsi="宋体" w:cs="宋体"/>
          <w:b/>
          <w:sz w:val="32"/>
        </w:rPr>
        <w:t>分</w:t>
      </w:r>
      <w:r>
        <w:rPr>
          <w:rFonts w:hint="eastAsia" w:ascii="宋体" w:hAnsi="宋体" w:cs="宋体"/>
          <w:b/>
          <w:sz w:val="32"/>
        </w:rPr>
        <w:tab/>
      </w:r>
      <w:r>
        <w:rPr>
          <w:rFonts w:hint="eastAsia" w:ascii="宋体" w:hAnsi="宋体" w:cs="宋体"/>
          <w:b/>
          <w:sz w:val="32"/>
        </w:rPr>
        <w:t>“资格</w:t>
      </w:r>
      <w:r>
        <w:rPr>
          <w:rFonts w:hint="eastAsia" w:ascii="宋体" w:hAnsi="宋体" w:cs="宋体"/>
          <w:b/>
          <w:spacing w:val="5"/>
          <w:sz w:val="32"/>
        </w:rPr>
        <w:t>性</w:t>
      </w:r>
      <w:r>
        <w:rPr>
          <w:rFonts w:hint="eastAsia" w:ascii="宋体" w:hAnsi="宋体" w:cs="宋体"/>
          <w:b/>
          <w:sz w:val="32"/>
        </w:rPr>
        <w:t>投标文件”格式</w:t>
      </w:r>
      <w:bookmarkEnd w:id="148"/>
    </w:p>
    <w:p>
      <w:pPr>
        <w:pStyle w:val="2"/>
        <w:spacing w:before="11" w:line="360" w:lineRule="auto"/>
        <w:rPr>
          <w:rFonts w:ascii="宋体" w:hAnsi="宋体" w:cs="宋体"/>
          <w:b/>
          <w:sz w:val="14"/>
        </w:rPr>
      </w:pPr>
    </w:p>
    <w:p>
      <w:pPr>
        <w:spacing w:line="360" w:lineRule="auto"/>
        <w:rPr>
          <w:rFonts w:ascii="宋体" w:hAnsi="宋体" w:cs="宋体"/>
          <w:sz w:val="14"/>
        </w:rPr>
        <w:sectPr>
          <w:pgSz w:w="11910" w:h="16840"/>
          <w:pgMar w:top="1440" w:right="1803" w:bottom="1440" w:left="1803" w:header="720" w:footer="720" w:gutter="0"/>
          <w:cols w:space="425" w:num="1"/>
        </w:sectPr>
      </w:pPr>
    </w:p>
    <w:p>
      <w:pPr>
        <w:spacing w:before="62" w:line="360" w:lineRule="auto"/>
        <w:ind w:left="220"/>
        <w:rPr>
          <w:rFonts w:ascii="宋体" w:hAnsi="宋体" w:cs="宋体"/>
          <w:b/>
          <w:sz w:val="28"/>
        </w:rPr>
      </w:pPr>
      <w:r>
        <w:rPr>
          <w:rFonts w:hint="eastAsia" w:ascii="宋体" w:hAnsi="宋体" w:cs="宋体"/>
          <w:b/>
          <w:sz w:val="28"/>
        </w:rPr>
        <w:t>封面：</w:t>
      </w:r>
    </w:p>
    <w:p>
      <w:pPr>
        <w:spacing w:line="360" w:lineRule="auto"/>
        <w:ind w:left="220"/>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sz w:val="36"/>
        </w:rPr>
        <w:sectPr>
          <w:type w:val="continuous"/>
          <w:pgSz w:w="11910" w:h="16840"/>
          <w:pgMar w:top="1440" w:right="1803" w:bottom="1440" w:left="1803" w:header="720" w:footer="720" w:gutter="0"/>
          <w:cols w:space="425" w:num="1"/>
        </w:sect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before="10" w:line="360" w:lineRule="auto"/>
        <w:rPr>
          <w:rFonts w:ascii="宋体" w:hAnsi="宋体" w:cs="宋体"/>
          <w:b/>
          <w:sz w:val="26"/>
        </w:rPr>
      </w:pPr>
    </w:p>
    <w:p>
      <w:pPr>
        <w:tabs>
          <w:tab w:val="left" w:pos="3815"/>
        </w:tabs>
        <w:spacing w:before="58" w:line="360" w:lineRule="auto"/>
        <w:ind w:right="24"/>
        <w:jc w:val="center"/>
        <w:rPr>
          <w:rFonts w:ascii="宋体" w:hAnsi="宋体" w:cs="宋体"/>
          <w:b/>
          <w:sz w:val="40"/>
        </w:rPr>
      </w:pPr>
      <w:r>
        <w:rPr>
          <w:rFonts w:hint="eastAsia" w:ascii="宋体" w:hAnsi="宋体" w:cs="宋体"/>
          <w:b/>
          <w:sz w:val="40"/>
          <w:u w:val="single"/>
        </w:rPr>
        <w:t xml:space="preserve"> </w:t>
      </w:r>
      <w:r>
        <w:rPr>
          <w:rFonts w:hint="eastAsia" w:ascii="宋体" w:hAnsi="宋体" w:cs="宋体"/>
          <w:b/>
          <w:sz w:val="40"/>
          <w:u w:val="single"/>
        </w:rPr>
        <w:tab/>
      </w:r>
      <w:r>
        <w:rPr>
          <w:rFonts w:hint="eastAsia" w:ascii="宋体" w:hAnsi="宋体" w:cs="宋体"/>
          <w:b/>
          <w:sz w:val="40"/>
        </w:rPr>
        <w:t>项目</w:t>
      </w:r>
    </w:p>
    <w:p>
      <w:pPr>
        <w:pStyle w:val="2"/>
        <w:spacing w:line="360" w:lineRule="auto"/>
        <w:rPr>
          <w:rFonts w:ascii="宋体" w:hAnsi="宋体" w:cs="宋体"/>
          <w:b/>
          <w:sz w:val="44"/>
        </w:rPr>
      </w:pPr>
    </w:p>
    <w:p>
      <w:pPr>
        <w:spacing w:before="282" w:line="360" w:lineRule="auto"/>
        <w:ind w:right="39"/>
        <w:jc w:val="center"/>
        <w:rPr>
          <w:rFonts w:ascii="宋体" w:hAnsi="宋体" w:cs="宋体"/>
          <w:b/>
          <w:sz w:val="52"/>
        </w:rPr>
      </w:pPr>
      <w:r>
        <w:rPr>
          <w:rFonts w:hint="eastAsia" w:ascii="宋体" w:hAnsi="宋体" w:cs="宋体"/>
          <w:b/>
          <w:sz w:val="52"/>
        </w:rPr>
        <w:t>资格性投标文件</w:t>
      </w:r>
    </w:p>
    <w:p>
      <w:pPr>
        <w:pStyle w:val="2"/>
        <w:spacing w:line="360" w:lineRule="auto"/>
        <w:rPr>
          <w:rFonts w:ascii="宋体" w:hAnsi="宋体" w:cs="宋体"/>
          <w:b/>
          <w:sz w:val="52"/>
        </w:rPr>
      </w:pPr>
    </w:p>
    <w:p>
      <w:pPr>
        <w:pStyle w:val="2"/>
        <w:spacing w:line="360" w:lineRule="auto"/>
        <w:rPr>
          <w:rFonts w:ascii="宋体" w:hAnsi="宋体" w:cs="宋体"/>
          <w:b/>
          <w:sz w:val="52"/>
        </w:rPr>
      </w:pPr>
    </w:p>
    <w:p>
      <w:pPr>
        <w:pStyle w:val="2"/>
        <w:spacing w:before="8" w:line="360" w:lineRule="auto"/>
        <w:rPr>
          <w:rFonts w:ascii="宋体" w:hAnsi="宋体" w:cs="宋体"/>
          <w:b/>
          <w:sz w:val="63"/>
        </w:rPr>
      </w:pPr>
    </w:p>
    <w:p>
      <w:pPr>
        <w:tabs>
          <w:tab w:val="left" w:pos="6069"/>
        </w:tabs>
        <w:spacing w:before="1" w:line="360" w:lineRule="auto"/>
        <w:ind w:left="858" w:right="2137"/>
        <w:rPr>
          <w:rFonts w:ascii="宋体" w:hAnsi="宋体" w:cs="宋体"/>
          <w:b/>
          <w:spacing w:val="-15"/>
          <w:sz w:val="32"/>
        </w:rPr>
      </w:pPr>
      <w:r>
        <w:rPr>
          <w:rFonts w:hint="eastAsia" w:ascii="宋体" w:hAnsi="宋体" w:cs="宋体"/>
          <w:b/>
          <w:sz w:val="32"/>
        </w:rPr>
        <w:t>供应商名</w:t>
      </w:r>
      <w:r>
        <w:rPr>
          <w:rFonts w:hint="eastAsia" w:ascii="宋体" w:hAnsi="宋体" w:cs="宋体"/>
          <w:b/>
          <w:spacing w:val="5"/>
          <w:sz w:val="32"/>
        </w:rPr>
        <w:t>称</w:t>
      </w:r>
      <w:r>
        <w:rPr>
          <w:rFonts w:hint="eastAsia" w:ascii="宋体" w:hAnsi="宋体" w:cs="宋体"/>
          <w:b/>
          <w:sz w:val="32"/>
        </w:rPr>
        <w:t>：</w:t>
      </w:r>
      <w:r>
        <w:rPr>
          <w:rFonts w:hint="eastAsia" w:ascii="宋体" w:hAnsi="宋体" w:cs="宋体"/>
          <w:b/>
          <w:sz w:val="32"/>
          <w:u w:val="single"/>
        </w:rPr>
        <w:t xml:space="preserve">      </w:t>
      </w:r>
      <w:r>
        <w:rPr>
          <w:rFonts w:hint="eastAsia" w:ascii="宋体" w:hAnsi="宋体" w:cs="宋体"/>
          <w:b/>
          <w:sz w:val="32"/>
        </w:rPr>
        <w:t>(加盖公章</w:t>
      </w:r>
      <w:r>
        <w:rPr>
          <w:rFonts w:hint="eastAsia" w:ascii="宋体" w:hAnsi="宋体" w:cs="宋体"/>
          <w:b/>
          <w:spacing w:val="-15"/>
          <w:sz w:val="32"/>
        </w:rPr>
        <w:t>)</w:t>
      </w:r>
    </w:p>
    <w:p>
      <w:pPr>
        <w:tabs>
          <w:tab w:val="left" w:pos="6069"/>
        </w:tabs>
        <w:spacing w:before="1" w:line="360" w:lineRule="auto"/>
        <w:ind w:left="858" w:right="2137"/>
        <w:rPr>
          <w:rFonts w:ascii="宋体" w:hAnsi="宋体" w:cs="宋体"/>
          <w:b/>
          <w:sz w:val="32"/>
        </w:rPr>
      </w:pPr>
      <w:r>
        <w:rPr>
          <w:rFonts w:hint="eastAsia" w:ascii="宋体" w:hAnsi="宋体" w:cs="宋体"/>
          <w:b/>
          <w:sz w:val="32"/>
        </w:rPr>
        <w:t xml:space="preserve">采购项目编号：  </w:t>
      </w:r>
    </w:p>
    <w:p>
      <w:pPr>
        <w:tabs>
          <w:tab w:val="left" w:pos="2463"/>
        </w:tabs>
        <w:spacing w:line="360" w:lineRule="auto"/>
        <w:ind w:left="858"/>
        <w:rPr>
          <w:rFonts w:ascii="宋体" w:hAnsi="宋体" w:cs="宋体"/>
          <w:b/>
          <w:sz w:val="32"/>
        </w:rPr>
      </w:pPr>
      <w:r>
        <w:rPr>
          <w:rFonts w:hint="eastAsia" w:ascii="宋体" w:hAnsi="宋体" w:cs="宋体"/>
          <w:b/>
          <w:sz w:val="32"/>
        </w:rPr>
        <w:t>包</w:t>
      </w:r>
      <w:r>
        <w:rPr>
          <w:rFonts w:hint="eastAsia" w:ascii="宋体" w:hAnsi="宋体" w:cs="宋体"/>
          <w:b/>
          <w:sz w:val="32"/>
        </w:rPr>
        <w:tab/>
      </w:r>
      <w:r>
        <w:rPr>
          <w:rFonts w:hint="eastAsia" w:ascii="宋体" w:hAnsi="宋体" w:cs="宋体"/>
          <w:b/>
          <w:w w:val="95"/>
          <w:sz w:val="32"/>
        </w:rPr>
        <w:t>号：</w:t>
      </w:r>
    </w:p>
    <w:p>
      <w:pPr>
        <w:tabs>
          <w:tab w:val="left" w:pos="2463"/>
        </w:tabs>
        <w:spacing w:line="360" w:lineRule="auto"/>
        <w:ind w:left="858"/>
        <w:rPr>
          <w:rFonts w:ascii="宋体" w:hAnsi="宋体" w:cs="宋体"/>
          <w:b/>
          <w:sz w:val="32"/>
        </w:rPr>
      </w:pPr>
      <w:r>
        <w:rPr>
          <w:rFonts w:hint="eastAsia" w:ascii="宋体" w:hAnsi="宋体" w:cs="宋体"/>
          <w:b/>
          <w:sz w:val="32"/>
        </w:rPr>
        <w:t>投 标 时 间：   年  月  日</w:t>
      </w:r>
    </w:p>
    <w:p>
      <w:pPr>
        <w:spacing w:line="360" w:lineRule="auto"/>
        <w:rPr>
          <w:rFonts w:ascii="宋体" w:hAnsi="宋体" w:cs="宋体"/>
          <w:sz w:val="32"/>
        </w:rPr>
        <w:sectPr>
          <w:type w:val="continuous"/>
          <w:pgSz w:w="11910" w:h="16840"/>
          <w:pgMar w:top="1440" w:right="1803" w:bottom="1440" w:left="1803" w:header="720" w:footer="720" w:gutter="0"/>
          <w:cols w:space="425" w:num="1"/>
        </w:sectPr>
      </w:pPr>
    </w:p>
    <w:p>
      <w:pPr>
        <w:spacing w:before="240" w:beforeLines="100" w:after="240" w:afterLines="100" w:line="480" w:lineRule="auto"/>
        <w:jc w:val="center"/>
        <w:outlineLvl w:val="2"/>
        <w:rPr>
          <w:rFonts w:ascii="宋体" w:hAnsi="宋体" w:cs="宋体"/>
          <w:b/>
          <w:sz w:val="28"/>
        </w:rPr>
      </w:pPr>
      <w:bookmarkStart w:id="150" w:name="_Toc13675"/>
      <w:r>
        <w:rPr>
          <w:rFonts w:hint="eastAsia" w:ascii="宋体" w:hAnsi="宋体" w:cs="宋体"/>
          <w:b/>
          <w:sz w:val="32"/>
        </w:rPr>
        <w:t>一、承诺函</w:t>
      </w:r>
      <w:bookmarkEnd w:id="150"/>
    </w:p>
    <w:p>
      <w:pPr>
        <w:pStyle w:val="2"/>
        <w:spacing w:after="0" w:line="360" w:lineRule="auto"/>
        <w:rPr>
          <w:rFonts w:ascii="宋体" w:hAnsi="宋体" w:cs="宋体"/>
          <w:sz w:val="24"/>
        </w:rPr>
      </w:pPr>
      <w:r>
        <w:rPr>
          <w:rFonts w:hint="eastAsia" w:ascii="宋体" w:hAnsi="宋体" w:cs="宋体"/>
          <w:sz w:val="24"/>
        </w:rPr>
        <w:t>XXXX（采购代理机构名称）：</w:t>
      </w:r>
    </w:p>
    <w:p>
      <w:pPr>
        <w:pStyle w:val="2"/>
        <w:spacing w:after="0" w:line="360" w:lineRule="auto"/>
        <w:rPr>
          <w:rFonts w:ascii="宋体" w:hAnsi="宋体" w:cs="宋体"/>
          <w:sz w:val="24"/>
        </w:rPr>
      </w:pPr>
      <w:r>
        <w:rPr>
          <w:rFonts w:hint="eastAsia" w:ascii="宋体" w:hAnsi="宋体" w:cs="宋体"/>
          <w:sz w:val="24"/>
        </w:rPr>
        <w:t>我单位作为本次采购项目的供应商，根据招标文件要求，现郑重承诺如下：</w:t>
      </w:r>
    </w:p>
    <w:p>
      <w:pPr>
        <w:spacing w:line="360" w:lineRule="auto"/>
        <w:ind w:firstLine="448" w:firstLineChars="200"/>
        <w:rPr>
          <w:rFonts w:ascii="宋体" w:hAnsi="宋体" w:cs="宋体"/>
          <w:spacing w:val="-8"/>
          <w:sz w:val="24"/>
        </w:rPr>
      </w:pPr>
      <w:r>
        <w:rPr>
          <w:rFonts w:hint="eastAsia" w:ascii="宋体" w:hAnsi="宋体" w:cs="宋体"/>
          <w:spacing w:val="-8"/>
          <w:sz w:val="24"/>
        </w:rPr>
        <w:t>一、资格要求：</w:t>
      </w:r>
    </w:p>
    <w:p>
      <w:pPr>
        <w:spacing w:line="360" w:lineRule="auto"/>
        <w:ind w:firstLine="448" w:firstLineChars="200"/>
        <w:rPr>
          <w:rFonts w:ascii="宋体" w:hAnsi="宋体" w:cs="宋体"/>
          <w:spacing w:val="-8"/>
          <w:sz w:val="24"/>
        </w:rPr>
      </w:pPr>
      <w:r>
        <w:rPr>
          <w:rFonts w:hint="eastAsia" w:ascii="宋体" w:hAnsi="宋体" w:cs="宋体"/>
          <w:spacing w:val="-8"/>
          <w:sz w:val="24"/>
        </w:rPr>
        <w:t>1、具备《政府采购法》第二十二条规定的条件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1.1具备独立的承担民事责任能力；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1.2具有良好的商业信誉和健全的财务会计制度；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1.3具有依法缴纳税收和社会保障资金的良好记录：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1.4具有履行合同所必须的设备和专业技术能力；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1.5参加本次政府采购活动前三年内，在经营活动中没有重大违法记录； </w:t>
      </w:r>
    </w:p>
    <w:p>
      <w:pPr>
        <w:spacing w:line="360" w:lineRule="auto"/>
        <w:ind w:firstLine="448" w:firstLineChars="200"/>
        <w:rPr>
          <w:rFonts w:ascii="宋体" w:hAnsi="宋体" w:cs="宋体"/>
          <w:spacing w:val="-8"/>
          <w:sz w:val="24"/>
        </w:rPr>
      </w:pPr>
      <w:r>
        <w:rPr>
          <w:rFonts w:hint="eastAsia" w:ascii="宋体" w:hAnsi="宋体" w:cs="宋体"/>
          <w:spacing w:val="-8"/>
          <w:sz w:val="24"/>
        </w:rPr>
        <w:t>1.6法律、行政法规规定的其他条件。</w:t>
      </w:r>
    </w:p>
    <w:p>
      <w:pPr>
        <w:tabs>
          <w:tab w:val="left" w:pos="1134"/>
        </w:tabs>
        <w:spacing w:line="360" w:lineRule="auto"/>
        <w:ind w:firstLine="480" w:firstLineChars="200"/>
        <w:jc w:val="left"/>
        <w:rPr>
          <w:rFonts w:ascii="宋体" w:hAnsi="宋体" w:cs="宋体"/>
          <w:bCs/>
          <w:sz w:val="24"/>
        </w:rPr>
      </w:pPr>
      <w:r>
        <w:rPr>
          <w:rFonts w:hint="eastAsia" w:ascii="宋体" w:hAnsi="宋体" w:cs="宋体"/>
          <w:bCs/>
          <w:sz w:val="24"/>
        </w:rPr>
        <w:t>2、本项目规定的特定条件：</w:t>
      </w:r>
    </w:p>
    <w:p>
      <w:pPr>
        <w:spacing w:line="360" w:lineRule="auto"/>
        <w:ind w:firstLine="480" w:firstLineChars="200"/>
        <w:rPr>
          <w:rFonts w:ascii="宋体" w:hAnsi="宋体" w:cs="宋体"/>
          <w:sz w:val="24"/>
        </w:rPr>
      </w:pPr>
      <w:r>
        <w:rPr>
          <w:rFonts w:hint="eastAsia" w:ascii="宋体" w:hAnsi="宋体" w:cs="宋体"/>
          <w:sz w:val="24"/>
        </w:rPr>
        <w:t>2.1供应商没有被列入失信被执行人、重大税收违法案件当事人名单、政府采购严重违法失信行为记录；</w:t>
      </w:r>
    </w:p>
    <w:p>
      <w:pPr>
        <w:spacing w:line="360" w:lineRule="auto"/>
        <w:ind w:firstLine="480" w:firstLineChars="200"/>
        <w:rPr>
          <w:rFonts w:ascii="宋体" w:hAnsi="宋体" w:cs="宋体"/>
          <w:sz w:val="24"/>
        </w:rPr>
      </w:pPr>
      <w:r>
        <w:rPr>
          <w:rFonts w:hint="eastAsia" w:ascii="宋体" w:hAnsi="宋体" w:cs="宋体"/>
          <w:sz w:val="24"/>
        </w:rPr>
        <w:t>注：采购人或采购代理机构将于投标截止时间前一个工作日在“信用中国”网站（www.creditchina.gov.cn）、“中国政府采购网”网站（www.ccgp.gov.cn）等渠道对供应商进行信用记录查询，并将查询记录存档。凡被列入失信被执行人、重大税收违法案件当事人名单、政府采购严重违法失信行为记录名单的，视为存在不良信用记录，参与本项目的将被视为无效投标。</w:t>
      </w:r>
    </w:p>
    <w:p>
      <w:pPr>
        <w:spacing w:line="360" w:lineRule="auto"/>
        <w:ind w:firstLine="480" w:firstLineChars="200"/>
        <w:rPr>
          <w:rFonts w:ascii="宋体" w:hAnsi="宋体" w:cs="宋体"/>
          <w:sz w:val="24"/>
        </w:rPr>
      </w:pPr>
      <w:r>
        <w:rPr>
          <w:rFonts w:hint="eastAsia" w:ascii="宋体" w:hAnsi="宋体" w:cs="宋体"/>
          <w:sz w:val="24"/>
        </w:rPr>
        <w:t>2.2本项目不允许联合体投标。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2.3供应商具备环保工程专业承包叁级及以上资质（在有效期内）；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2.4具备有效的《安全生产许可证》；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2.5供应商具备环境工程（水污染防治工程）专项设计乙级及以上资质（在有效期内）。</w:t>
      </w:r>
    </w:p>
    <w:p>
      <w:pPr>
        <w:spacing w:line="360" w:lineRule="auto"/>
        <w:ind w:firstLine="448" w:firstLineChars="200"/>
        <w:rPr>
          <w:rFonts w:ascii="宋体" w:hAnsi="宋体" w:cs="宋体"/>
          <w:sz w:val="24"/>
        </w:rPr>
      </w:pPr>
      <w:r>
        <w:rPr>
          <w:rFonts w:hint="eastAsia" w:ascii="宋体" w:hAnsi="宋体" w:cs="宋体"/>
          <w:spacing w:val="-8"/>
          <w:sz w:val="24"/>
        </w:rPr>
        <w:t>二、完全接受和满足本项目招标文件中规定的实质性要求，如对招标文件有异议，已经</w:t>
      </w:r>
      <w:r>
        <w:rPr>
          <w:rFonts w:hint="eastAsia" w:ascii="宋体" w:hAnsi="宋体" w:cs="宋体"/>
          <w:spacing w:val="-5"/>
          <w:sz w:val="24"/>
        </w:rPr>
        <w:t>在投标截止时间届满前依法进行维权救济，不存在对招标文件有异议的同时又参加投标以求</w:t>
      </w:r>
      <w:r>
        <w:rPr>
          <w:rFonts w:hint="eastAsia" w:ascii="宋体" w:hAnsi="宋体" w:cs="宋体"/>
          <w:sz w:val="24"/>
        </w:rPr>
        <w:t>侥幸中标或者为实现其他非法目的的行为。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三、参加本次招标采购活动，不存在与单位负责人为同一人或者存在直接控股、管理关系的其他供应商参与同一合同项下的政府采购活动的行为。</w:t>
      </w:r>
    </w:p>
    <w:p>
      <w:pPr>
        <w:spacing w:line="360" w:lineRule="auto"/>
        <w:ind w:firstLine="444" w:firstLineChars="200"/>
        <w:rPr>
          <w:rFonts w:ascii="宋体" w:hAnsi="宋体" w:cs="宋体"/>
          <w:sz w:val="24"/>
        </w:rPr>
      </w:pPr>
      <w:r>
        <w:rPr>
          <w:rFonts w:hint="eastAsia" w:ascii="宋体" w:hAnsi="宋体" w:cs="宋体"/>
          <w:spacing w:val="-9"/>
          <w:sz w:val="24"/>
        </w:rPr>
        <w:t>四、参加本次招标采购活动，不存在和其他供应商在同一合同项下的采购项目中，同时</w:t>
      </w:r>
      <w:r>
        <w:rPr>
          <w:rFonts w:hint="eastAsia" w:ascii="宋体" w:hAnsi="宋体" w:cs="宋体"/>
          <w:sz w:val="24"/>
        </w:rPr>
        <w:t>委托同一个自然人、同一家庭的人员、同一单位的人员作为代理人的行为。</w:t>
      </w:r>
    </w:p>
    <w:p>
      <w:pPr>
        <w:spacing w:line="360" w:lineRule="auto"/>
        <w:ind w:firstLine="480" w:firstLineChars="200"/>
        <w:rPr>
          <w:rFonts w:ascii="宋体" w:hAnsi="宋体" w:cs="宋体"/>
          <w:spacing w:val="-16"/>
          <w:sz w:val="24"/>
        </w:rPr>
      </w:pPr>
      <w:r>
        <w:rPr>
          <w:rFonts w:hint="eastAsia" w:ascii="宋体" w:hAnsi="宋体" w:cs="宋体"/>
          <w:sz w:val="24"/>
        </w:rPr>
        <w:t>五、满足本项目法律法规规定的其他条件，未参与本采购项目前期咨询论证，未对本项</w:t>
      </w:r>
      <w:r>
        <w:rPr>
          <w:rFonts w:hint="eastAsia" w:ascii="宋体" w:hAnsi="宋体" w:cs="宋体"/>
          <w:spacing w:val="-16"/>
          <w:sz w:val="24"/>
        </w:rPr>
        <w:t>目提供整体设计、规范编制或者项目管理、监理、检测等服务，不属于禁止参加投标的供应商。</w:t>
      </w:r>
    </w:p>
    <w:p>
      <w:pPr>
        <w:spacing w:line="360" w:lineRule="auto"/>
        <w:ind w:firstLine="480" w:firstLineChars="200"/>
        <w:rPr>
          <w:rFonts w:ascii="宋体" w:hAnsi="宋体" w:cs="宋体"/>
          <w:sz w:val="24"/>
        </w:rPr>
      </w:pPr>
      <w:r>
        <w:rPr>
          <w:rFonts w:hint="eastAsia" w:ascii="宋体" w:hAnsi="宋体" w:cs="宋体"/>
          <w:sz w:val="24"/>
        </w:rPr>
        <w:t>六、如果有《四川省政府采购当事人诚信管理办法》（</w:t>
      </w:r>
      <w:r>
        <w:rPr>
          <w:rFonts w:hint="eastAsia" w:ascii="宋体" w:hAnsi="宋体" w:cs="宋体"/>
          <w:spacing w:val="3"/>
          <w:sz w:val="24"/>
        </w:rPr>
        <w:t>川财采</w:t>
      </w:r>
      <w:r>
        <w:rPr>
          <w:rFonts w:hint="eastAsia" w:ascii="宋体" w:hAnsi="宋体" w:cs="宋体"/>
          <w:sz w:val="24"/>
        </w:rPr>
        <w:t>[2015]33</w:t>
      </w:r>
      <w:r>
        <w:rPr>
          <w:rFonts w:hint="eastAsia" w:ascii="宋体" w:hAnsi="宋体" w:cs="宋体"/>
          <w:spacing w:val="-27"/>
          <w:sz w:val="24"/>
        </w:rPr>
        <w:t xml:space="preserve"> 号</w:t>
      </w:r>
      <w:r>
        <w:rPr>
          <w:rFonts w:hint="eastAsia" w:ascii="宋体" w:hAnsi="宋体" w:cs="宋体"/>
          <w:spacing w:val="4"/>
          <w:sz w:val="24"/>
        </w:rPr>
        <w:t>）</w:t>
      </w:r>
      <w:r>
        <w:rPr>
          <w:rFonts w:hint="eastAsia" w:ascii="宋体" w:hAnsi="宋体" w:cs="宋体"/>
          <w:sz w:val="24"/>
        </w:rPr>
        <w:t>规定的记入诚信档案的失信行为，将在投标文件中全面如实反映。</w:t>
      </w:r>
    </w:p>
    <w:p>
      <w:pPr>
        <w:spacing w:line="360" w:lineRule="auto"/>
        <w:ind w:firstLine="440" w:firstLineChars="200"/>
        <w:rPr>
          <w:rFonts w:ascii="宋体" w:hAnsi="宋体" w:cs="宋体"/>
          <w:sz w:val="24"/>
        </w:rPr>
      </w:pPr>
      <w:r>
        <w:rPr>
          <w:rFonts w:hint="eastAsia" w:ascii="宋体" w:hAnsi="宋体" w:cs="宋体"/>
          <w:spacing w:val="-10"/>
          <w:sz w:val="24"/>
        </w:rPr>
        <w:t>七、截至投标截止日未被列入失信被执行人、重大税收违法案件当事人名单、政府采购严</w:t>
      </w:r>
      <w:r>
        <w:rPr>
          <w:rFonts w:hint="eastAsia" w:ascii="宋体" w:hAnsi="宋体" w:cs="宋体"/>
          <w:sz w:val="24"/>
        </w:rPr>
        <w:t>重违法失信行为记录名单。</w:t>
      </w:r>
    </w:p>
    <w:p>
      <w:pPr>
        <w:spacing w:line="360" w:lineRule="auto"/>
        <w:ind w:firstLine="480" w:firstLineChars="200"/>
        <w:rPr>
          <w:rFonts w:ascii="宋体" w:hAnsi="宋体" w:cs="宋体"/>
          <w:sz w:val="24"/>
        </w:rPr>
      </w:pPr>
      <w:r>
        <w:rPr>
          <w:rFonts w:hint="eastAsia" w:ascii="宋体" w:hAnsi="宋体" w:cs="宋体"/>
          <w:sz w:val="24"/>
        </w:rPr>
        <w:t>八、未与其他供应商组成联合体参与本项目的投标。</w:t>
      </w:r>
    </w:p>
    <w:p>
      <w:pPr>
        <w:spacing w:line="360" w:lineRule="auto"/>
        <w:ind w:firstLine="480" w:firstLineChars="200"/>
        <w:rPr>
          <w:rFonts w:ascii="宋体" w:hAnsi="宋体" w:cs="宋体"/>
          <w:sz w:val="24"/>
        </w:rPr>
      </w:pPr>
      <w:r>
        <w:rPr>
          <w:rFonts w:hint="eastAsia" w:ascii="宋体" w:hAnsi="宋体" w:cs="宋体"/>
          <w:sz w:val="24"/>
        </w:rPr>
        <w:t>九、投标文件中提供的能够给予我公司带来优惠、好处的任何材料资料和技术、服务、商务等响应承诺情况都是真实的、有效的、合法的。</w:t>
      </w:r>
    </w:p>
    <w:p>
      <w:pPr>
        <w:spacing w:line="360" w:lineRule="auto"/>
        <w:ind w:firstLine="444" w:firstLineChars="200"/>
        <w:rPr>
          <w:rFonts w:ascii="宋体" w:hAnsi="宋体" w:cs="宋体"/>
          <w:sz w:val="24"/>
        </w:rPr>
      </w:pPr>
      <w:r>
        <w:rPr>
          <w:rFonts w:hint="eastAsia" w:ascii="宋体" w:hAnsi="宋体" w:cs="宋体"/>
          <w:spacing w:val="-9"/>
          <w:sz w:val="24"/>
        </w:rPr>
        <w:t>十、如本项目评审过程中需要提供样品，则我单位提供的样品即为中标后将要提供的中</w:t>
      </w:r>
      <w:r>
        <w:rPr>
          <w:rFonts w:hint="eastAsia" w:ascii="宋体" w:hAnsi="宋体" w:cs="宋体"/>
          <w:sz w:val="24"/>
        </w:rPr>
        <w:t>标产品/服务，我单位对提供样品的性能和质量负责，因样品存在缺陷或者不符合招标文件要求导致未能中标的，我单位愿意承担相应不利后果。</w:t>
      </w:r>
    </w:p>
    <w:p>
      <w:pPr>
        <w:spacing w:line="360" w:lineRule="auto"/>
        <w:ind w:firstLine="480" w:firstLineChars="200"/>
        <w:rPr>
          <w:rFonts w:ascii="宋体" w:hAnsi="宋体" w:cs="宋体"/>
          <w:sz w:val="24"/>
        </w:rPr>
      </w:pPr>
      <w:r>
        <w:rPr>
          <w:rFonts w:hint="eastAsia" w:ascii="宋体" w:hAnsi="宋体" w:cs="宋体"/>
          <w:sz w:val="24"/>
        </w:rPr>
        <w:t>本单位对上述承诺内容、事项的真实性负责。如经查实上述承诺的内容事项存在虚假， 我单位愿意接受以提供虚假材料谋取中标追究法律责任。</w:t>
      </w:r>
    </w:p>
    <w:p>
      <w:pPr>
        <w:pStyle w:val="2"/>
        <w:spacing w:line="360" w:lineRule="auto"/>
        <w:rPr>
          <w:rFonts w:ascii="宋体" w:hAnsi="宋体" w:cs="宋体"/>
          <w:sz w:val="24"/>
        </w:rPr>
      </w:pPr>
    </w:p>
    <w:p>
      <w:pPr>
        <w:pStyle w:val="2"/>
        <w:spacing w:line="360" w:lineRule="auto"/>
        <w:ind w:firstLine="480" w:firstLineChars="200"/>
        <w:rPr>
          <w:rFonts w:ascii="宋体" w:hAnsi="宋体" w:cs="宋体"/>
          <w:sz w:val="24"/>
        </w:rPr>
      </w:pPr>
      <w:r>
        <w:rPr>
          <w:rFonts w:hint="eastAsia" w:ascii="宋体" w:hAnsi="宋体" w:cs="宋体"/>
          <w:sz w:val="24"/>
        </w:rPr>
        <w:t>供应商名称：XXXX（单位公章）</w:t>
      </w:r>
    </w:p>
    <w:p>
      <w:pPr>
        <w:pStyle w:val="2"/>
        <w:spacing w:line="360" w:lineRule="auto"/>
        <w:ind w:firstLine="480" w:firstLineChars="200"/>
        <w:rPr>
          <w:rFonts w:ascii="宋体" w:hAnsi="宋体" w:cs="宋体"/>
          <w:spacing w:val="-3"/>
          <w:sz w:val="24"/>
        </w:rPr>
      </w:pPr>
      <w:r>
        <w:rPr>
          <w:rFonts w:hint="eastAsia" w:ascii="宋体" w:hAnsi="宋体" w:cs="宋体"/>
          <w:sz w:val="24"/>
        </w:rPr>
        <w:t>法定代表人/单位负责人或授权代表（签字或盖章</w:t>
      </w:r>
      <w:r>
        <w:rPr>
          <w:rFonts w:hint="eastAsia" w:ascii="宋体" w:hAnsi="宋体" w:cs="宋体"/>
          <w:spacing w:val="-3"/>
          <w:sz w:val="24"/>
        </w:rPr>
        <w:t xml:space="preserve">）：XXXX </w:t>
      </w:r>
    </w:p>
    <w:p>
      <w:pPr>
        <w:pStyle w:val="2"/>
        <w:spacing w:line="360" w:lineRule="auto"/>
        <w:ind w:firstLine="480" w:firstLineChars="200"/>
        <w:rPr>
          <w:rFonts w:ascii="宋体" w:hAnsi="宋体" w:cs="宋体"/>
          <w:sz w:val="24"/>
        </w:rPr>
      </w:pPr>
      <w:r>
        <w:rPr>
          <w:rFonts w:hint="eastAsia" w:ascii="宋体" w:hAnsi="宋体" w:cs="宋体"/>
          <w:sz w:val="24"/>
        </w:rPr>
        <w:t>日</w:t>
      </w:r>
      <w:r>
        <w:rPr>
          <w:rFonts w:hint="eastAsia" w:ascii="宋体" w:hAnsi="宋体" w:cs="宋体"/>
          <w:sz w:val="24"/>
        </w:rPr>
        <w:tab/>
      </w:r>
      <w:r>
        <w:rPr>
          <w:rFonts w:hint="eastAsia" w:ascii="宋体" w:hAnsi="宋体" w:cs="宋体"/>
          <w:sz w:val="24"/>
        </w:rPr>
        <w:t>期：XXXX</w:t>
      </w:r>
    </w:p>
    <w:p>
      <w:pPr>
        <w:spacing w:line="360" w:lineRule="auto"/>
        <w:rPr>
          <w:rFonts w:ascii="宋体" w:hAnsi="宋体" w:cs="宋体"/>
          <w:sz w:val="24"/>
        </w:rPr>
        <w:sectPr>
          <w:pgSz w:w="11910" w:h="16840"/>
          <w:pgMar w:top="1440" w:right="1803" w:bottom="1440" w:left="1803" w:header="720" w:footer="720" w:gutter="0"/>
          <w:cols w:space="425" w:num="1"/>
        </w:sectPr>
      </w:pPr>
    </w:p>
    <w:p>
      <w:pPr>
        <w:numPr>
          <w:ilvl w:val="0"/>
          <w:numId w:val="4"/>
        </w:numPr>
        <w:spacing w:before="42" w:line="360" w:lineRule="auto"/>
        <w:ind w:right="36"/>
        <w:jc w:val="center"/>
        <w:outlineLvl w:val="2"/>
        <w:rPr>
          <w:rFonts w:ascii="宋体" w:hAnsi="宋体" w:cs="宋体"/>
          <w:b/>
          <w:sz w:val="32"/>
        </w:rPr>
      </w:pPr>
      <w:bookmarkStart w:id="151" w:name="_Toc1243"/>
      <w:r>
        <w:rPr>
          <w:rFonts w:hint="eastAsia" w:ascii="宋体" w:hAnsi="宋体" w:cs="宋体"/>
          <w:b/>
          <w:sz w:val="32"/>
        </w:rPr>
        <w:t>法定代表人/单位负责人身份证明书</w:t>
      </w:r>
      <w:bookmarkEnd w:id="151"/>
    </w:p>
    <w:p>
      <w:pPr>
        <w:spacing w:before="42" w:line="360" w:lineRule="auto"/>
        <w:ind w:right="36" w:firstLine="528" w:firstLineChars="200"/>
        <w:rPr>
          <w:rFonts w:ascii="宋体" w:hAnsi="宋体" w:cs="宋体"/>
          <w:spacing w:val="12"/>
          <w:sz w:val="24"/>
        </w:rPr>
      </w:pP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单位名称：</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单位性质：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rPr>
      </w:pPr>
      <w:r>
        <w:rPr>
          <w:rFonts w:hint="eastAsia" w:ascii="宋体" w:hAnsi="宋体" w:cs="宋体"/>
          <w:spacing w:val="12"/>
          <w:sz w:val="24"/>
        </w:rPr>
        <w:t>成立时间：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经营期限：</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性    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rPr>
      </w:pPr>
      <w:r>
        <w:rPr>
          <w:rFonts w:hint="eastAsia" w:ascii="宋体" w:hAnsi="宋体" w:cs="宋体"/>
          <w:spacing w:val="12"/>
          <w:sz w:val="24"/>
        </w:rPr>
        <w:t>身份证号码：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pacing w:val="12"/>
          <w:sz w:val="24"/>
        </w:rPr>
        <w:t>，职务</w:t>
      </w:r>
      <w:r>
        <w:rPr>
          <w:rFonts w:hint="eastAsia" w:ascii="宋体" w:hAnsi="宋体" w:cs="宋体"/>
          <w:spacing w:val="-17"/>
          <w:sz w:val="24"/>
        </w:rPr>
        <w:t>：</w:t>
      </w:r>
      <w:r>
        <w:rPr>
          <w:rFonts w:hint="eastAsia" w:ascii="宋体" w:hAnsi="宋体" w:cs="宋体"/>
          <w:spacing w:val="-17"/>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pacing w:val="4"/>
          <w:sz w:val="24"/>
          <w:u w:val="single"/>
        </w:rPr>
        <w:t>(</w:t>
      </w:r>
      <w:r>
        <w:rPr>
          <w:rFonts w:hint="eastAsia" w:ascii="宋体" w:hAnsi="宋体" w:cs="宋体"/>
          <w:spacing w:val="12"/>
          <w:sz w:val="24"/>
          <w:u w:val="single"/>
        </w:rPr>
        <w:t>供应商）</w:t>
      </w:r>
      <w:r>
        <w:rPr>
          <w:rFonts w:hint="eastAsia" w:ascii="宋体" w:hAnsi="宋体" w:cs="宋体"/>
          <w:sz w:val="24"/>
        </w:rPr>
        <w:t>的法定代表人/单位负责人。</w:t>
      </w:r>
    </w:p>
    <w:p>
      <w:pPr>
        <w:spacing w:before="42" w:line="360" w:lineRule="auto"/>
        <w:ind w:right="36" w:firstLine="480" w:firstLineChars="200"/>
        <w:rPr>
          <w:rFonts w:ascii="宋体" w:hAnsi="宋体" w:cs="宋体"/>
          <w:sz w:val="24"/>
        </w:rPr>
      </w:pPr>
      <w:r>
        <w:rPr>
          <w:rFonts w:hint="eastAsia" w:ascii="宋体" w:hAnsi="宋体" w:cs="宋体"/>
          <w:sz w:val="24"/>
        </w:rPr>
        <w:t>特此证明。</w:t>
      </w:r>
    </w:p>
    <w:p>
      <w:pPr>
        <w:spacing w:before="42" w:line="360" w:lineRule="auto"/>
        <w:ind w:right="36" w:firstLine="480" w:firstLineChars="200"/>
        <w:rPr>
          <w:rFonts w:ascii="宋体" w:hAnsi="宋体" w:cs="宋体"/>
          <w:sz w:val="24"/>
        </w:rPr>
      </w:pPr>
    </w:p>
    <w:p>
      <w:pPr>
        <w:spacing w:before="42" w:line="360" w:lineRule="auto"/>
        <w:ind w:right="36" w:firstLine="480" w:firstLineChars="200"/>
        <w:rPr>
          <w:rFonts w:ascii="宋体" w:hAnsi="宋体" w:cs="宋体"/>
          <w:sz w:val="24"/>
        </w:rPr>
      </w:pPr>
    </w:p>
    <w:p>
      <w:pPr>
        <w:spacing w:before="42" w:line="360" w:lineRule="auto"/>
        <w:ind w:right="36" w:firstLine="480" w:firstLineChars="200"/>
        <w:rPr>
          <w:rFonts w:ascii="宋体" w:hAnsi="宋体" w:cs="宋体"/>
          <w:spacing w:val="-18"/>
        </w:rPr>
      </w:pPr>
      <w:r>
        <w:rPr>
          <w:rFonts w:hint="eastAsia" w:ascii="宋体" w:hAnsi="宋体" w:cs="宋体"/>
          <w:sz w:val="24"/>
        </w:rPr>
        <w:t>供应商名称：XXXX（单位盖章</w:t>
      </w:r>
      <w:r>
        <w:rPr>
          <w:rFonts w:hint="eastAsia" w:ascii="宋体" w:hAnsi="宋体" w:cs="宋体"/>
          <w:spacing w:val="-18"/>
          <w:sz w:val="24"/>
        </w:rPr>
        <w:t>）</w:t>
      </w:r>
      <w:r>
        <w:rPr>
          <w:rFonts w:hint="eastAsia" w:ascii="宋体" w:hAnsi="宋体" w:cs="宋体"/>
          <w:spacing w:val="-18"/>
        </w:rPr>
        <w:t xml:space="preserve"> </w:t>
      </w:r>
    </w:p>
    <w:p>
      <w:pPr>
        <w:spacing w:before="42" w:line="360" w:lineRule="auto"/>
        <w:ind w:right="36" w:firstLine="480" w:firstLineChars="200"/>
        <w:rPr>
          <w:rFonts w:ascii="宋体" w:hAnsi="宋体" w:cs="宋体"/>
          <w:sz w:val="24"/>
        </w:rPr>
      </w:pPr>
      <w:r>
        <w:rPr>
          <w:rFonts w:hint="eastAsia" w:ascii="宋体" w:hAnsi="宋体" w:cs="宋体"/>
          <w:sz w:val="24"/>
        </w:rPr>
        <w:t>日       期：XXXX</w:t>
      </w:r>
    </w:p>
    <w:p>
      <w:pPr>
        <w:pStyle w:val="2"/>
        <w:spacing w:line="360" w:lineRule="auto"/>
        <w:rPr>
          <w:rFonts w:ascii="宋体" w:hAnsi="宋体" w:cs="宋体"/>
        </w:rPr>
      </w:pPr>
    </w:p>
    <w:p>
      <w:pPr>
        <w:pStyle w:val="2"/>
        <w:spacing w:before="8" w:line="360" w:lineRule="auto"/>
        <w:rPr>
          <w:rFonts w:ascii="宋体" w:hAnsi="宋体" w:cs="宋体"/>
          <w:sz w:val="34"/>
        </w:rPr>
      </w:pPr>
    </w:p>
    <w:p>
      <w:pPr>
        <w:pStyle w:val="2"/>
        <w:spacing w:line="360" w:lineRule="auto"/>
        <w:ind w:left="220"/>
        <w:rPr>
          <w:rFonts w:ascii="宋体" w:hAnsi="宋体" w:cs="宋体"/>
        </w:rPr>
      </w:pPr>
      <w:r>
        <w:rPr>
          <w:rFonts w:hint="eastAsia" w:ascii="宋体" w:hAnsi="宋体" w:cs="宋体"/>
        </w:rPr>
        <w:t>附：法定代表人/单位负责人身份证明材料复印件。</w:t>
      </w:r>
    </w:p>
    <w:p>
      <w:pPr>
        <w:spacing w:line="360" w:lineRule="auto"/>
        <w:rPr>
          <w:rFonts w:ascii="宋体" w:hAnsi="宋体" w:cs="宋体"/>
        </w:rPr>
        <w:sectPr>
          <w:pgSz w:w="11910" w:h="16840"/>
          <w:pgMar w:top="1440" w:right="1803" w:bottom="1440" w:left="1803" w:header="720" w:footer="720" w:gutter="0"/>
          <w:cols w:space="425" w:num="1"/>
        </w:sectPr>
      </w:pPr>
    </w:p>
    <w:p>
      <w:pPr>
        <w:spacing w:before="240" w:beforeLines="100" w:after="240" w:afterLines="100" w:line="480" w:lineRule="auto"/>
        <w:jc w:val="center"/>
        <w:outlineLvl w:val="2"/>
        <w:rPr>
          <w:rFonts w:ascii="宋体" w:hAnsi="宋体" w:cs="宋体"/>
          <w:b/>
          <w:sz w:val="32"/>
        </w:rPr>
      </w:pPr>
      <w:bookmarkStart w:id="152" w:name="_Toc23026"/>
      <w:r>
        <w:rPr>
          <w:rFonts w:hint="eastAsia" w:ascii="宋体" w:hAnsi="宋体" w:cs="宋体"/>
          <w:b/>
          <w:sz w:val="32"/>
        </w:rPr>
        <w:t>三、法定代表人/单位负责人授权书</w:t>
      </w:r>
      <w:bookmarkEnd w:id="152"/>
    </w:p>
    <w:p>
      <w:pPr>
        <w:pStyle w:val="2"/>
        <w:spacing w:after="0" w:line="480" w:lineRule="auto"/>
        <w:rPr>
          <w:rFonts w:ascii="宋体" w:hAnsi="宋体" w:cs="宋体"/>
          <w:sz w:val="24"/>
          <w:szCs w:val="32"/>
        </w:rPr>
      </w:pPr>
      <w:r>
        <w:rPr>
          <w:rFonts w:hint="eastAsia" w:ascii="宋体" w:hAnsi="宋体" w:cs="宋体"/>
          <w:sz w:val="24"/>
          <w:szCs w:val="32"/>
        </w:rPr>
        <w:t>XXXXXXXX（采购代理机构名称）：</w:t>
      </w:r>
    </w:p>
    <w:p>
      <w:pPr>
        <w:pStyle w:val="2"/>
        <w:spacing w:after="0" w:line="480" w:lineRule="auto"/>
        <w:ind w:firstLine="480" w:firstLineChars="200"/>
        <w:rPr>
          <w:rFonts w:ascii="宋体" w:hAnsi="宋体" w:cs="宋体"/>
          <w:sz w:val="24"/>
          <w:szCs w:val="32"/>
        </w:rPr>
      </w:pPr>
      <w:r>
        <w:rPr>
          <w:rFonts w:hint="eastAsia" w:ascii="宋体" w:hAnsi="宋体" w:cs="宋体"/>
          <w:sz w:val="24"/>
          <w:szCs w:val="32"/>
        </w:rPr>
        <w:t>本授权声明：XXXXXXXX（供应商名称）XXXX（法定代表人/</w:t>
      </w:r>
      <w:r>
        <w:rPr>
          <w:rFonts w:hint="eastAsia" w:ascii="宋体" w:hAnsi="宋体" w:cs="宋体"/>
          <w:spacing w:val="-1"/>
          <w:sz w:val="24"/>
          <w:szCs w:val="32"/>
        </w:rPr>
        <w:t>单位负责人姓名、职务</w:t>
      </w:r>
      <w:r>
        <w:rPr>
          <w:rFonts w:hint="eastAsia" w:ascii="宋体" w:hAnsi="宋体" w:cs="宋体"/>
          <w:spacing w:val="-5"/>
          <w:sz w:val="24"/>
          <w:szCs w:val="32"/>
        </w:rPr>
        <w:t>）</w:t>
      </w:r>
      <w:r>
        <w:rPr>
          <w:rFonts w:hint="eastAsia" w:ascii="宋体" w:hAnsi="宋体" w:cs="宋体"/>
          <w:spacing w:val="-8"/>
          <w:sz w:val="24"/>
          <w:szCs w:val="32"/>
        </w:rPr>
        <w:t>授权</w:t>
      </w:r>
      <w:r>
        <w:rPr>
          <w:rFonts w:hint="eastAsia" w:ascii="宋体" w:hAnsi="宋体" w:cs="宋体"/>
          <w:spacing w:val="-3"/>
          <w:sz w:val="24"/>
          <w:szCs w:val="32"/>
        </w:rPr>
        <w:t>XXXX（</w:t>
      </w:r>
      <w:r>
        <w:rPr>
          <w:rFonts w:hint="eastAsia" w:ascii="宋体" w:hAnsi="宋体" w:cs="宋体"/>
          <w:spacing w:val="-2"/>
          <w:sz w:val="24"/>
          <w:szCs w:val="32"/>
        </w:rPr>
        <w:t>被授权人姓名、职务</w:t>
      </w:r>
      <w:r>
        <w:rPr>
          <w:rFonts w:hint="eastAsia" w:ascii="宋体" w:hAnsi="宋体" w:cs="宋体"/>
          <w:spacing w:val="-12"/>
          <w:sz w:val="24"/>
          <w:szCs w:val="32"/>
        </w:rPr>
        <w:t>）</w:t>
      </w:r>
      <w:r>
        <w:rPr>
          <w:rFonts w:hint="eastAsia" w:ascii="宋体" w:hAnsi="宋体" w:cs="宋体"/>
          <w:spacing w:val="-3"/>
          <w:sz w:val="24"/>
          <w:szCs w:val="32"/>
        </w:rPr>
        <w:t xml:space="preserve">为我方 </w:t>
      </w:r>
      <w:r>
        <w:rPr>
          <w:rFonts w:hint="eastAsia" w:ascii="宋体" w:hAnsi="宋体" w:cs="宋体"/>
          <w:sz w:val="24"/>
          <w:szCs w:val="32"/>
        </w:rPr>
        <w:t>“XXXXXXXX”</w:t>
      </w:r>
      <w:r>
        <w:rPr>
          <w:rFonts w:hint="eastAsia" w:ascii="宋体" w:hAnsi="宋体" w:cs="宋体"/>
          <w:spacing w:val="-8"/>
          <w:sz w:val="24"/>
          <w:szCs w:val="32"/>
        </w:rPr>
        <w:t xml:space="preserve"> 项目</w:t>
      </w:r>
      <w:r>
        <w:rPr>
          <w:rFonts w:hint="eastAsia" w:ascii="宋体" w:hAnsi="宋体" w:cs="宋体"/>
          <w:sz w:val="24"/>
          <w:szCs w:val="32"/>
        </w:rPr>
        <w:t>（</w:t>
      </w:r>
      <w:r>
        <w:rPr>
          <w:rFonts w:hint="eastAsia" w:ascii="宋体" w:hAnsi="宋体" w:cs="宋体"/>
          <w:spacing w:val="-1"/>
          <w:sz w:val="24"/>
          <w:szCs w:val="32"/>
        </w:rPr>
        <w:t>项目编号：</w:t>
      </w:r>
      <w:r>
        <w:rPr>
          <w:rFonts w:hint="eastAsia" w:ascii="宋体" w:hAnsi="宋体" w:cs="宋体"/>
          <w:spacing w:val="-4"/>
          <w:sz w:val="24"/>
          <w:szCs w:val="32"/>
        </w:rPr>
        <w:t>XXXX）</w:t>
      </w:r>
      <w:r>
        <w:rPr>
          <w:rFonts w:hint="eastAsia" w:ascii="宋体" w:hAnsi="宋体" w:cs="宋体"/>
          <w:spacing w:val="-3"/>
          <w:sz w:val="24"/>
          <w:szCs w:val="32"/>
        </w:rPr>
        <w:t>投标活动的合法</w:t>
      </w:r>
      <w:r>
        <w:rPr>
          <w:rFonts w:hint="eastAsia" w:ascii="宋体" w:hAnsi="宋体" w:cs="宋体"/>
          <w:sz w:val="24"/>
          <w:szCs w:val="32"/>
        </w:rPr>
        <w:t>代表，以我方名义全权处理该项目有关投标、签订合同以及执行合同等一切事宜。</w:t>
      </w:r>
    </w:p>
    <w:p>
      <w:pPr>
        <w:pStyle w:val="2"/>
        <w:spacing w:after="0" w:line="480" w:lineRule="auto"/>
        <w:ind w:firstLine="480" w:firstLineChars="200"/>
        <w:rPr>
          <w:rFonts w:ascii="宋体" w:hAnsi="宋体" w:cs="宋体"/>
          <w:sz w:val="24"/>
          <w:szCs w:val="32"/>
        </w:rPr>
      </w:pPr>
      <w:r>
        <w:rPr>
          <w:rFonts w:hint="eastAsia" w:ascii="宋体" w:hAnsi="宋体" w:cs="宋体"/>
          <w:sz w:val="24"/>
          <w:szCs w:val="32"/>
        </w:rPr>
        <w:t>特此声明。</w:t>
      </w:r>
    </w:p>
    <w:p>
      <w:pPr>
        <w:pStyle w:val="2"/>
        <w:spacing w:before="1" w:line="360" w:lineRule="auto"/>
        <w:ind w:firstLine="480" w:firstLineChars="200"/>
        <w:rPr>
          <w:rFonts w:ascii="宋体" w:hAnsi="宋体" w:cs="宋体"/>
          <w:sz w:val="24"/>
          <w:szCs w:val="32"/>
        </w:rPr>
      </w:pPr>
    </w:p>
    <w:p>
      <w:pPr>
        <w:pStyle w:val="2"/>
        <w:spacing w:before="1" w:line="360" w:lineRule="auto"/>
        <w:ind w:firstLine="480" w:firstLineChars="200"/>
        <w:rPr>
          <w:rFonts w:ascii="宋体" w:hAnsi="宋体" w:cs="宋体"/>
          <w:sz w:val="24"/>
          <w:szCs w:val="32"/>
        </w:rPr>
      </w:pP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法定代表人/单位负责人（委托人）签字或盖章：XXXX </w:t>
      </w: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rPr>
        <w:t>授权代表（被授权人）签字：XXXX</w:t>
      </w:r>
    </w:p>
    <w:p>
      <w:pPr>
        <w:pStyle w:val="2"/>
        <w:spacing w:before="1" w:line="360" w:lineRule="auto"/>
        <w:ind w:firstLine="480" w:firstLineChars="200"/>
        <w:rPr>
          <w:rFonts w:ascii="宋体" w:hAnsi="宋体" w:cs="宋体"/>
          <w:spacing w:val="-18"/>
          <w:sz w:val="24"/>
          <w:szCs w:val="32"/>
        </w:rPr>
      </w:pPr>
      <w:r>
        <w:rPr>
          <w:rFonts w:hint="eastAsia" w:ascii="宋体" w:hAnsi="宋体" w:cs="宋体"/>
          <w:sz w:val="24"/>
          <w:szCs w:val="32"/>
        </w:rPr>
        <w:t>供应商名称：XXXX（单位盖章</w:t>
      </w:r>
      <w:r>
        <w:rPr>
          <w:rFonts w:hint="eastAsia" w:ascii="宋体" w:hAnsi="宋体" w:cs="宋体"/>
          <w:spacing w:val="-18"/>
          <w:sz w:val="24"/>
          <w:szCs w:val="32"/>
        </w:rPr>
        <w:t xml:space="preserve">） </w:t>
      </w: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rPr>
        <w:t>日</w:t>
      </w:r>
      <w:r>
        <w:rPr>
          <w:rFonts w:hint="eastAsia" w:ascii="宋体" w:hAnsi="宋体" w:cs="宋体"/>
          <w:sz w:val="24"/>
          <w:szCs w:val="32"/>
        </w:rPr>
        <w:tab/>
      </w:r>
      <w:r>
        <w:rPr>
          <w:rFonts w:hint="eastAsia" w:ascii="宋体" w:hAnsi="宋体" w:cs="宋体"/>
          <w:sz w:val="24"/>
          <w:szCs w:val="32"/>
        </w:rPr>
        <w:t>期：XXXX</w:t>
      </w:r>
    </w:p>
    <w:p>
      <w:pPr>
        <w:pStyle w:val="2"/>
        <w:spacing w:before="1" w:line="360" w:lineRule="auto"/>
        <w:rPr>
          <w:rFonts w:ascii="宋体" w:hAnsi="宋体" w:cs="宋体"/>
          <w:sz w:val="24"/>
          <w:szCs w:val="32"/>
        </w:rPr>
      </w:pPr>
    </w:p>
    <w:p>
      <w:pPr>
        <w:pStyle w:val="2"/>
        <w:spacing w:before="1" w:line="360" w:lineRule="auto"/>
        <w:rPr>
          <w:rFonts w:ascii="宋体" w:hAnsi="宋体" w:cs="宋体"/>
          <w:sz w:val="24"/>
          <w:szCs w:val="32"/>
        </w:rPr>
      </w:pPr>
    </w:p>
    <w:p>
      <w:pPr>
        <w:pStyle w:val="2"/>
        <w:spacing w:after="0" w:line="360" w:lineRule="auto"/>
        <w:rPr>
          <w:rFonts w:ascii="宋体" w:hAnsi="宋体" w:cs="宋体"/>
          <w:sz w:val="24"/>
          <w:szCs w:val="32"/>
        </w:rPr>
      </w:pPr>
      <w:r>
        <w:rPr>
          <w:rFonts w:hint="eastAsia" w:ascii="宋体" w:hAnsi="宋体" w:cs="宋体"/>
          <w:sz w:val="24"/>
          <w:szCs w:val="32"/>
        </w:rPr>
        <w:t>注：</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1、供应商为法人单位时提供“法定代表人授权书”，供应商为其他组织时提供“单位负责人授权书”，供应商为自然人时提供“自然人身份证明材料”。</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2、应附法定代表人/单位负责人身份证明材料复印件和授权代表身份证明材料复印件。</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3、身份证明材料包括居民身份证或户口本或军官证或护照等。</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4、身份证明材料应同时提供其在有效期的材料，如居民身份证正、反面复印件。</w:t>
      </w:r>
    </w:p>
    <w:p>
      <w:pPr>
        <w:spacing w:line="360" w:lineRule="auto"/>
        <w:rPr>
          <w:rFonts w:ascii="宋体" w:hAnsi="宋体" w:cs="宋体"/>
          <w:sz w:val="24"/>
          <w:szCs w:val="32"/>
        </w:rPr>
        <w:sectPr>
          <w:pgSz w:w="11910" w:h="16840"/>
          <w:pgMar w:top="1440" w:right="1803" w:bottom="1440" w:left="1803" w:header="720" w:footer="720" w:gutter="0"/>
          <w:cols w:space="425" w:num="1"/>
        </w:sectPr>
      </w:pPr>
    </w:p>
    <w:p>
      <w:pPr>
        <w:spacing w:before="240" w:beforeLines="100" w:after="240" w:afterLines="100" w:line="480" w:lineRule="auto"/>
        <w:jc w:val="center"/>
        <w:outlineLvl w:val="2"/>
        <w:rPr>
          <w:rFonts w:ascii="宋体" w:hAnsi="宋体" w:cs="宋体"/>
          <w:b/>
          <w:sz w:val="32"/>
        </w:rPr>
      </w:pPr>
      <w:bookmarkStart w:id="153" w:name="_Toc22381"/>
      <w:r>
        <w:rPr>
          <w:rFonts w:hint="eastAsia" w:ascii="宋体" w:hAnsi="宋体" w:cs="宋体"/>
          <w:b/>
          <w:sz w:val="32"/>
        </w:rPr>
        <w:t>四、资格证明材料</w:t>
      </w:r>
      <w:bookmarkEnd w:id="153"/>
    </w:p>
    <w:p>
      <w:pPr>
        <w:pStyle w:val="2"/>
        <w:spacing w:after="0" w:line="480" w:lineRule="auto"/>
        <w:rPr>
          <w:rFonts w:ascii="宋体" w:hAnsi="宋体" w:cs="宋体"/>
          <w:sz w:val="24"/>
        </w:rPr>
      </w:pPr>
      <w:r>
        <w:rPr>
          <w:rFonts w:hint="eastAsia" w:ascii="宋体" w:hAnsi="宋体" w:cs="宋体"/>
          <w:sz w:val="24"/>
        </w:rPr>
        <w:t>注：</w:t>
      </w:r>
    </w:p>
    <w:p>
      <w:pPr>
        <w:pStyle w:val="2"/>
        <w:spacing w:after="0" w:line="480" w:lineRule="auto"/>
        <w:ind w:firstLine="444" w:firstLineChars="200"/>
        <w:rPr>
          <w:rFonts w:ascii="宋体" w:hAnsi="宋体" w:cs="宋体"/>
          <w:sz w:val="24"/>
        </w:rPr>
      </w:pPr>
      <w:r>
        <w:rPr>
          <w:rFonts w:hint="eastAsia" w:ascii="宋体" w:hAnsi="宋体" w:cs="宋体"/>
          <w:spacing w:val="-9"/>
          <w:sz w:val="24"/>
        </w:rPr>
        <w:t>1、供应商必须按招标文件“第四、五章供应商应当提供的资格、资质性及其他类似效</w:t>
      </w:r>
      <w:r>
        <w:rPr>
          <w:rFonts w:hint="eastAsia" w:ascii="宋体" w:hAnsi="宋体" w:cs="宋体"/>
          <w:sz w:val="24"/>
        </w:rPr>
        <w:t>力要求的相关证明材料”提供证明材料，否则，视为无效投标。</w:t>
      </w:r>
    </w:p>
    <w:p>
      <w:pPr>
        <w:pStyle w:val="2"/>
        <w:spacing w:after="0" w:line="480" w:lineRule="auto"/>
        <w:ind w:firstLine="480" w:firstLineChars="200"/>
        <w:rPr>
          <w:rFonts w:ascii="宋体" w:hAnsi="宋体" w:cs="宋体"/>
          <w:sz w:val="24"/>
        </w:rPr>
      </w:pPr>
      <w:r>
        <w:rPr>
          <w:rFonts w:hint="eastAsia" w:ascii="宋体" w:hAnsi="宋体" w:cs="宋体"/>
          <w:sz w:val="24"/>
        </w:rPr>
        <w:t>2、有格式要求的从其要求，无格式要求的格式自拟。</w:t>
      </w:r>
    </w:p>
    <w:p>
      <w:pPr>
        <w:spacing w:line="360" w:lineRule="auto"/>
        <w:rPr>
          <w:rFonts w:ascii="宋体" w:hAnsi="宋体" w:cs="宋体"/>
          <w:sz w:val="24"/>
        </w:rPr>
        <w:sectPr>
          <w:footerReference r:id="rId6" w:type="default"/>
          <w:pgSz w:w="11910" w:h="16840"/>
          <w:pgMar w:top="1440" w:right="1803" w:bottom="1440" w:left="1803" w:header="720" w:footer="720" w:gutter="0"/>
          <w:cols w:space="425" w:num="1"/>
        </w:sectPr>
      </w:pPr>
    </w:p>
    <w:p>
      <w:pPr>
        <w:tabs>
          <w:tab w:val="left" w:pos="2087"/>
        </w:tabs>
        <w:spacing w:before="36" w:line="360" w:lineRule="auto"/>
        <w:ind w:right="32"/>
        <w:jc w:val="center"/>
        <w:outlineLvl w:val="1"/>
        <w:rPr>
          <w:rFonts w:ascii="宋体" w:hAnsi="宋体" w:cs="宋体"/>
          <w:b/>
          <w:sz w:val="20"/>
        </w:rPr>
      </w:pPr>
      <w:bookmarkStart w:id="154" w:name="_Toc21480"/>
      <w:r>
        <w:rPr>
          <w:rFonts w:hint="eastAsia" w:ascii="宋体" w:hAnsi="宋体" w:cs="宋体"/>
          <w:b/>
          <w:sz w:val="32"/>
        </w:rPr>
        <w:t>第二部分</w:t>
      </w:r>
      <w:r>
        <w:rPr>
          <w:rFonts w:hint="eastAsia" w:ascii="宋体" w:hAnsi="宋体" w:cs="宋体"/>
          <w:b/>
          <w:sz w:val="32"/>
        </w:rPr>
        <w:tab/>
      </w:r>
      <w:r>
        <w:rPr>
          <w:rFonts w:hint="eastAsia" w:ascii="宋体" w:hAnsi="宋体" w:cs="宋体"/>
          <w:b/>
          <w:sz w:val="32"/>
        </w:rPr>
        <w:t>“技术、服务</w:t>
      </w:r>
      <w:r>
        <w:rPr>
          <w:rFonts w:hint="eastAsia" w:ascii="宋体" w:hAnsi="宋体" w:cs="宋体"/>
          <w:b/>
          <w:spacing w:val="5"/>
          <w:sz w:val="32"/>
        </w:rPr>
        <w:t>性</w:t>
      </w:r>
      <w:r>
        <w:rPr>
          <w:rFonts w:hint="eastAsia" w:ascii="宋体" w:hAnsi="宋体" w:cs="宋体"/>
          <w:b/>
          <w:sz w:val="32"/>
        </w:rPr>
        <w:t>投标文件”格式</w:t>
      </w:r>
      <w:bookmarkEnd w:id="154"/>
    </w:p>
    <w:p>
      <w:pPr>
        <w:pStyle w:val="2"/>
        <w:spacing w:before="10" w:line="360" w:lineRule="auto"/>
        <w:rPr>
          <w:rFonts w:ascii="宋体" w:hAnsi="宋体" w:cs="宋体"/>
          <w:b/>
          <w:sz w:val="19"/>
        </w:rPr>
      </w:pPr>
    </w:p>
    <w:p>
      <w:pPr>
        <w:spacing w:before="61" w:line="360" w:lineRule="auto"/>
        <w:ind w:left="220"/>
        <w:rPr>
          <w:rFonts w:ascii="宋体" w:hAnsi="宋体" w:cs="宋体"/>
          <w:b/>
          <w:sz w:val="28"/>
        </w:rPr>
      </w:pPr>
      <w:r>
        <w:rPr>
          <w:rFonts w:hint="eastAsia" w:ascii="宋体" w:hAnsi="宋体" w:cs="宋体"/>
          <w:b/>
          <w:sz w:val="28"/>
        </w:rPr>
        <w:t>封面：</w:t>
      </w:r>
    </w:p>
    <w:p>
      <w:pPr>
        <w:pStyle w:val="2"/>
        <w:spacing w:before="8" w:line="360" w:lineRule="auto"/>
        <w:rPr>
          <w:rFonts w:ascii="宋体" w:hAnsi="宋体" w:cs="宋体"/>
          <w:b/>
          <w:sz w:val="15"/>
        </w:rPr>
      </w:pPr>
    </w:p>
    <w:p>
      <w:pPr>
        <w:spacing w:before="54" w:line="360" w:lineRule="auto"/>
        <w:ind w:right="257"/>
        <w:jc w:val="right"/>
        <w:rPr>
          <w:rFonts w:ascii="宋体" w:hAnsi="宋体" w:cs="宋体"/>
          <w:b/>
          <w:sz w:val="32"/>
        </w:rPr>
      </w:pPr>
      <w:r>
        <w:rPr>
          <w:rFonts w:hint="eastAsia" w:ascii="宋体" w:hAnsi="宋体" w:cs="宋体"/>
          <w:b/>
          <w:w w:val="95"/>
          <w:sz w:val="32"/>
        </w:rPr>
        <w:t>（正本/副本）</w:t>
      </w: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pStyle w:val="2"/>
        <w:spacing w:line="360" w:lineRule="auto"/>
        <w:rPr>
          <w:rFonts w:ascii="宋体" w:hAnsi="宋体" w:cs="宋体"/>
          <w:b/>
          <w:sz w:val="20"/>
        </w:rPr>
      </w:pPr>
    </w:p>
    <w:p>
      <w:pPr>
        <w:tabs>
          <w:tab w:val="left" w:pos="4197"/>
        </w:tabs>
        <w:spacing w:before="208" w:line="360" w:lineRule="auto"/>
        <w:ind w:right="25"/>
        <w:jc w:val="center"/>
        <w:rPr>
          <w:rFonts w:ascii="宋体" w:hAnsi="宋体" w:cs="宋体"/>
          <w:b/>
          <w:sz w:val="44"/>
        </w:rPr>
      </w:pPr>
      <w:r>
        <w:rPr>
          <w:rFonts w:hint="eastAsia" w:ascii="宋体" w:hAnsi="宋体" w:cs="宋体"/>
          <w:b/>
          <w:w w:val="99"/>
          <w:sz w:val="44"/>
          <w:u w:val="thick"/>
        </w:rPr>
        <w:t xml:space="preserve"> </w:t>
      </w:r>
      <w:r>
        <w:rPr>
          <w:rFonts w:hint="eastAsia" w:ascii="宋体" w:hAnsi="宋体" w:cs="宋体"/>
          <w:b/>
          <w:sz w:val="44"/>
          <w:u w:val="thick"/>
        </w:rPr>
        <w:tab/>
      </w:r>
      <w:r>
        <w:rPr>
          <w:rFonts w:hint="eastAsia" w:ascii="宋体" w:hAnsi="宋体" w:cs="宋体"/>
          <w:b/>
          <w:sz w:val="44"/>
        </w:rPr>
        <w:t>项目</w:t>
      </w:r>
    </w:p>
    <w:p>
      <w:pPr>
        <w:pStyle w:val="2"/>
        <w:spacing w:line="360" w:lineRule="auto"/>
        <w:rPr>
          <w:rFonts w:ascii="宋体" w:hAnsi="宋体" w:cs="宋体"/>
          <w:b/>
          <w:sz w:val="48"/>
        </w:rPr>
      </w:pPr>
    </w:p>
    <w:p>
      <w:pPr>
        <w:pStyle w:val="2"/>
        <w:spacing w:before="12" w:line="360" w:lineRule="auto"/>
        <w:rPr>
          <w:rFonts w:ascii="宋体" w:hAnsi="宋体" w:cs="宋体"/>
          <w:b/>
          <w:sz w:val="40"/>
        </w:rPr>
      </w:pPr>
    </w:p>
    <w:p>
      <w:pPr>
        <w:spacing w:line="360" w:lineRule="auto"/>
        <w:ind w:right="41"/>
        <w:jc w:val="center"/>
        <w:rPr>
          <w:rFonts w:ascii="宋体" w:hAnsi="宋体" w:cs="宋体"/>
          <w:b/>
          <w:sz w:val="52"/>
        </w:rPr>
      </w:pPr>
      <w:r>
        <w:rPr>
          <w:rFonts w:hint="eastAsia" w:ascii="宋体" w:hAnsi="宋体" w:cs="宋体"/>
          <w:b/>
          <w:sz w:val="52"/>
        </w:rPr>
        <w:t>技术、服务性投标文件</w:t>
      </w:r>
    </w:p>
    <w:p>
      <w:pPr>
        <w:pStyle w:val="2"/>
        <w:spacing w:before="4" w:line="360" w:lineRule="auto"/>
        <w:rPr>
          <w:rFonts w:ascii="宋体" w:hAnsi="宋体" w:cs="宋体"/>
          <w:b/>
          <w:sz w:val="61"/>
        </w:rPr>
      </w:pPr>
    </w:p>
    <w:p>
      <w:pPr>
        <w:rPr>
          <w:rFonts w:ascii="宋体" w:hAnsi="宋体" w:cs="宋体"/>
        </w:rPr>
      </w:pPr>
    </w:p>
    <w:p>
      <w:pPr>
        <w:tabs>
          <w:tab w:val="left" w:pos="6069"/>
        </w:tabs>
        <w:spacing w:before="1" w:line="360" w:lineRule="auto"/>
        <w:ind w:left="858" w:right="2137"/>
        <w:rPr>
          <w:rFonts w:ascii="宋体" w:hAnsi="宋体" w:cs="宋体"/>
          <w:b/>
          <w:spacing w:val="-15"/>
          <w:sz w:val="32"/>
        </w:rPr>
      </w:pPr>
      <w:r>
        <w:rPr>
          <w:rFonts w:hint="eastAsia" w:ascii="宋体" w:hAnsi="宋体" w:cs="宋体"/>
          <w:b/>
          <w:sz w:val="32"/>
        </w:rPr>
        <w:t>供应商名</w:t>
      </w:r>
      <w:r>
        <w:rPr>
          <w:rFonts w:hint="eastAsia" w:ascii="宋体" w:hAnsi="宋体" w:cs="宋体"/>
          <w:b/>
          <w:spacing w:val="5"/>
          <w:sz w:val="32"/>
        </w:rPr>
        <w:t>称</w:t>
      </w:r>
      <w:r>
        <w:rPr>
          <w:rFonts w:hint="eastAsia" w:ascii="宋体" w:hAnsi="宋体" w:cs="宋体"/>
          <w:b/>
          <w:sz w:val="32"/>
        </w:rPr>
        <w:t>：</w:t>
      </w:r>
      <w:r>
        <w:rPr>
          <w:rFonts w:hint="eastAsia" w:ascii="宋体" w:hAnsi="宋体" w:cs="宋体"/>
          <w:b/>
          <w:sz w:val="32"/>
          <w:u w:val="single"/>
        </w:rPr>
        <w:t xml:space="preserve">      </w:t>
      </w:r>
      <w:r>
        <w:rPr>
          <w:rFonts w:hint="eastAsia" w:ascii="宋体" w:hAnsi="宋体" w:cs="宋体"/>
          <w:b/>
          <w:sz w:val="32"/>
        </w:rPr>
        <w:t>(加盖公章</w:t>
      </w:r>
      <w:r>
        <w:rPr>
          <w:rFonts w:hint="eastAsia" w:ascii="宋体" w:hAnsi="宋体" w:cs="宋体"/>
          <w:b/>
          <w:spacing w:val="-15"/>
          <w:sz w:val="32"/>
        </w:rPr>
        <w:t>)</w:t>
      </w:r>
    </w:p>
    <w:p>
      <w:pPr>
        <w:tabs>
          <w:tab w:val="left" w:pos="6069"/>
        </w:tabs>
        <w:spacing w:before="1" w:line="360" w:lineRule="auto"/>
        <w:ind w:left="858" w:right="2137"/>
        <w:rPr>
          <w:rFonts w:ascii="宋体" w:hAnsi="宋体" w:cs="宋体"/>
          <w:b/>
          <w:sz w:val="32"/>
        </w:rPr>
      </w:pPr>
      <w:r>
        <w:rPr>
          <w:rFonts w:hint="eastAsia" w:ascii="宋体" w:hAnsi="宋体" w:cs="宋体"/>
          <w:b/>
          <w:sz w:val="32"/>
        </w:rPr>
        <w:t xml:space="preserve">采购项目编号：  </w:t>
      </w:r>
    </w:p>
    <w:p>
      <w:pPr>
        <w:tabs>
          <w:tab w:val="left" w:pos="2463"/>
        </w:tabs>
        <w:spacing w:line="360" w:lineRule="auto"/>
        <w:ind w:left="858"/>
        <w:rPr>
          <w:rFonts w:ascii="宋体" w:hAnsi="宋体" w:cs="宋体"/>
          <w:b/>
          <w:sz w:val="32"/>
        </w:rPr>
      </w:pPr>
      <w:r>
        <w:rPr>
          <w:rFonts w:hint="eastAsia" w:ascii="宋体" w:hAnsi="宋体" w:cs="宋体"/>
          <w:b/>
          <w:sz w:val="32"/>
        </w:rPr>
        <w:t>包</w:t>
      </w:r>
      <w:r>
        <w:rPr>
          <w:rFonts w:hint="eastAsia" w:ascii="宋体" w:hAnsi="宋体" w:cs="宋体"/>
          <w:b/>
          <w:sz w:val="32"/>
        </w:rPr>
        <w:tab/>
      </w:r>
      <w:r>
        <w:rPr>
          <w:rFonts w:hint="eastAsia" w:ascii="宋体" w:hAnsi="宋体" w:cs="宋体"/>
          <w:b/>
          <w:w w:val="95"/>
          <w:sz w:val="32"/>
        </w:rPr>
        <w:t>号：</w:t>
      </w:r>
    </w:p>
    <w:p>
      <w:pPr>
        <w:tabs>
          <w:tab w:val="left" w:pos="2463"/>
        </w:tabs>
        <w:spacing w:line="360" w:lineRule="auto"/>
        <w:ind w:left="858"/>
        <w:rPr>
          <w:rFonts w:ascii="宋体" w:hAnsi="宋体" w:cs="宋体"/>
          <w:b/>
          <w:sz w:val="32"/>
        </w:rPr>
      </w:pPr>
      <w:r>
        <w:rPr>
          <w:rFonts w:hint="eastAsia" w:ascii="宋体" w:hAnsi="宋体" w:cs="宋体"/>
          <w:b/>
          <w:sz w:val="32"/>
        </w:rPr>
        <w:t>投 标 时 间：   年  月  日</w:t>
      </w:r>
    </w:p>
    <w:p>
      <w:pPr>
        <w:spacing w:line="360" w:lineRule="auto"/>
        <w:rPr>
          <w:rFonts w:ascii="宋体" w:hAnsi="宋体" w:cs="宋体"/>
          <w:sz w:val="32"/>
        </w:rPr>
        <w:sectPr>
          <w:pgSz w:w="11910" w:h="16840"/>
          <w:pgMar w:top="1440" w:right="1803" w:bottom="1440" w:left="1803" w:header="720" w:footer="720" w:gutter="0"/>
          <w:cols w:space="425" w:num="1"/>
        </w:sectPr>
      </w:pPr>
    </w:p>
    <w:p>
      <w:pPr>
        <w:spacing w:before="240" w:beforeLines="100" w:after="240" w:afterLines="100" w:line="360" w:lineRule="auto"/>
        <w:jc w:val="center"/>
        <w:outlineLvl w:val="2"/>
        <w:rPr>
          <w:rFonts w:ascii="宋体" w:hAnsi="宋体" w:cs="宋体"/>
          <w:b/>
          <w:sz w:val="35"/>
        </w:rPr>
      </w:pPr>
      <w:bookmarkStart w:id="155" w:name="_Toc32288"/>
      <w:r>
        <w:rPr>
          <w:rFonts w:hint="eastAsia" w:ascii="宋体" w:hAnsi="宋体" w:cs="宋体"/>
          <w:b/>
          <w:sz w:val="32"/>
        </w:rPr>
        <w:t>一、投标函</w:t>
      </w:r>
      <w:bookmarkEnd w:id="155"/>
    </w:p>
    <w:p>
      <w:pPr>
        <w:pStyle w:val="2"/>
        <w:spacing w:after="0" w:line="360" w:lineRule="auto"/>
        <w:rPr>
          <w:rFonts w:ascii="宋体" w:hAnsi="宋体" w:cs="宋体"/>
          <w:sz w:val="24"/>
        </w:rPr>
      </w:pPr>
      <w:r>
        <w:rPr>
          <w:rFonts w:hint="eastAsia" w:ascii="宋体" w:hAnsi="宋体" w:cs="宋体"/>
          <w:sz w:val="24"/>
        </w:rPr>
        <w:t>XXXX（采购代理机构名称）：</w:t>
      </w:r>
    </w:p>
    <w:p>
      <w:pPr>
        <w:pStyle w:val="2"/>
        <w:spacing w:after="0" w:line="360" w:lineRule="auto"/>
        <w:ind w:firstLine="472" w:firstLineChars="200"/>
        <w:rPr>
          <w:rFonts w:ascii="宋体" w:hAnsi="宋体" w:cs="宋体"/>
          <w:sz w:val="24"/>
        </w:rPr>
      </w:pPr>
      <w:r>
        <w:rPr>
          <w:rFonts w:hint="eastAsia" w:ascii="宋体" w:hAnsi="宋体" w:cs="宋体"/>
          <w:spacing w:val="-2"/>
          <w:sz w:val="24"/>
        </w:rPr>
        <w:t>我方全面研究了“</w:t>
      </w:r>
      <w:r>
        <w:rPr>
          <w:rFonts w:hint="eastAsia" w:ascii="宋体" w:hAnsi="宋体" w:cs="宋体"/>
          <w:sz w:val="24"/>
          <w:u w:val="single"/>
        </w:rPr>
        <w:t>XXXXXXXX</w:t>
      </w:r>
      <w:r>
        <w:rPr>
          <w:rFonts w:hint="eastAsia" w:ascii="宋体" w:hAnsi="宋体" w:cs="宋体"/>
          <w:spacing w:val="-5"/>
          <w:sz w:val="24"/>
        </w:rPr>
        <w:t>”项目</w:t>
      </w:r>
      <w:r>
        <w:rPr>
          <w:rFonts w:hint="eastAsia" w:ascii="宋体" w:hAnsi="宋体" w:cs="宋体"/>
          <w:sz w:val="24"/>
        </w:rPr>
        <w:t>（</w:t>
      </w:r>
      <w:r>
        <w:rPr>
          <w:rFonts w:hint="eastAsia" w:ascii="宋体" w:hAnsi="宋体" w:cs="宋体"/>
          <w:spacing w:val="-1"/>
          <w:sz w:val="24"/>
        </w:rPr>
        <w:t>招标编号：</w:t>
      </w:r>
      <w:r>
        <w:rPr>
          <w:rFonts w:hint="eastAsia" w:ascii="宋体" w:hAnsi="宋体" w:cs="宋体"/>
          <w:spacing w:val="-5"/>
          <w:sz w:val="24"/>
          <w:u w:val="single"/>
        </w:rPr>
        <w:t>XXXX</w:t>
      </w:r>
      <w:r>
        <w:rPr>
          <w:rFonts w:hint="eastAsia" w:ascii="宋体" w:hAnsi="宋体" w:cs="宋体"/>
          <w:spacing w:val="-5"/>
          <w:sz w:val="24"/>
        </w:rPr>
        <w:t>）</w:t>
      </w:r>
      <w:r>
        <w:rPr>
          <w:rFonts w:hint="eastAsia" w:ascii="宋体" w:hAnsi="宋体" w:cs="宋体"/>
          <w:spacing w:val="-4"/>
          <w:sz w:val="24"/>
        </w:rPr>
        <w:t>招标文件，决定参加贵单位组织的</w:t>
      </w:r>
      <w:r>
        <w:rPr>
          <w:rFonts w:hint="eastAsia" w:ascii="宋体" w:hAnsi="宋体" w:cs="宋体"/>
          <w:spacing w:val="-6"/>
          <w:sz w:val="24"/>
        </w:rPr>
        <w:t xml:space="preserve">本项目投标。我方授权 </w:t>
      </w:r>
      <w:r>
        <w:rPr>
          <w:rFonts w:hint="eastAsia" w:ascii="宋体" w:hAnsi="宋体" w:cs="宋体"/>
          <w:sz w:val="24"/>
          <w:u w:val="single"/>
        </w:rPr>
        <w:t>XXXX</w:t>
      </w:r>
      <w:r>
        <w:rPr>
          <w:rFonts w:hint="eastAsia" w:ascii="宋体" w:hAnsi="宋体" w:cs="宋体"/>
          <w:sz w:val="24"/>
        </w:rPr>
        <w:t>（姓名、职务）</w:t>
      </w:r>
      <w:r>
        <w:rPr>
          <w:rFonts w:hint="eastAsia" w:ascii="宋体" w:hAnsi="宋体" w:cs="宋体"/>
          <w:spacing w:val="-12"/>
          <w:sz w:val="24"/>
        </w:rPr>
        <w:t xml:space="preserve">代表我方 </w:t>
      </w:r>
      <w:r>
        <w:rPr>
          <w:rFonts w:hint="eastAsia" w:ascii="宋体" w:hAnsi="宋体" w:cs="宋体"/>
          <w:sz w:val="24"/>
          <w:u w:val="single"/>
        </w:rPr>
        <w:t>XXXXXXXX</w:t>
      </w:r>
      <w:r>
        <w:rPr>
          <w:rFonts w:hint="eastAsia" w:ascii="宋体" w:hAnsi="宋体" w:cs="宋体"/>
          <w:sz w:val="24"/>
        </w:rPr>
        <w:t>（投标单位的名称）全权处理本项目投标的有关事宜。</w:t>
      </w:r>
    </w:p>
    <w:p>
      <w:pPr>
        <w:pStyle w:val="2"/>
        <w:spacing w:after="0" w:line="360" w:lineRule="auto"/>
        <w:ind w:firstLine="480" w:firstLineChars="200"/>
        <w:rPr>
          <w:rFonts w:ascii="宋体" w:hAnsi="宋体" w:cs="宋体"/>
          <w:sz w:val="24"/>
        </w:rPr>
      </w:pPr>
      <w:r>
        <w:rPr>
          <w:rFonts w:hint="eastAsia" w:ascii="宋体" w:hAnsi="宋体" w:cs="宋体"/>
          <w:sz w:val="24"/>
        </w:rPr>
        <w:t>一、我方自愿按照招标文件规定的各项要求向采购人提供所需服务，投标价为人民币</w:t>
      </w:r>
      <w:r>
        <w:rPr>
          <w:rFonts w:hint="eastAsia" w:ascii="宋体" w:hAnsi="宋体" w:cs="宋体"/>
          <w:sz w:val="24"/>
          <w:u w:val="single"/>
        </w:rPr>
        <w:t>XXXXX</w:t>
      </w:r>
      <w:r>
        <w:rPr>
          <w:rFonts w:hint="eastAsia" w:ascii="宋体" w:hAnsi="宋体" w:cs="宋体"/>
          <w:sz w:val="24"/>
        </w:rPr>
        <w:t xml:space="preserve"> 元</w:t>
      </w:r>
      <w:r>
        <w:rPr>
          <w:rFonts w:hint="eastAsia" w:ascii="宋体" w:hAnsi="宋体" w:cs="宋体"/>
          <w:sz w:val="24"/>
          <w:lang w:val="en-US" w:eastAsia="zh-CN"/>
        </w:rPr>
        <w:t>/年</w:t>
      </w:r>
      <w:r>
        <w:rPr>
          <w:rFonts w:hint="eastAsia" w:ascii="宋体" w:hAnsi="宋体" w:cs="宋体"/>
          <w:sz w:val="24"/>
        </w:rPr>
        <w:t>（大写：XXXXX 元</w:t>
      </w:r>
      <w:r>
        <w:rPr>
          <w:rFonts w:hint="eastAsia" w:ascii="宋体" w:hAnsi="宋体" w:cs="宋体"/>
          <w:sz w:val="24"/>
          <w:lang w:val="en-US" w:eastAsia="zh-CN"/>
        </w:rPr>
        <w:t>/年</w:t>
      </w:r>
      <w:r>
        <w:rPr>
          <w:rFonts w:hint="eastAsia" w:ascii="宋体" w:hAnsi="宋体" w:cs="宋体"/>
          <w:sz w:val="24"/>
        </w:rPr>
        <w:t>）。</w:t>
      </w:r>
    </w:p>
    <w:p>
      <w:pPr>
        <w:pStyle w:val="2"/>
        <w:spacing w:after="0" w:line="360" w:lineRule="auto"/>
        <w:ind w:firstLine="480" w:firstLineChars="200"/>
        <w:rPr>
          <w:rFonts w:ascii="宋体" w:hAnsi="宋体" w:cs="宋体"/>
          <w:sz w:val="24"/>
        </w:rPr>
      </w:pPr>
      <w:r>
        <w:rPr>
          <w:rFonts w:hint="eastAsia" w:ascii="宋体" w:hAnsi="宋体" w:cs="宋体"/>
          <w:sz w:val="24"/>
        </w:rPr>
        <w:t>二、一旦我方中标，我方将严格履行政府采购合同规定的责任和义务。</w:t>
      </w:r>
    </w:p>
    <w:p>
      <w:pPr>
        <w:pStyle w:val="2"/>
        <w:spacing w:after="0" w:line="360" w:lineRule="auto"/>
        <w:ind w:firstLine="480" w:firstLineChars="200"/>
        <w:rPr>
          <w:rFonts w:ascii="宋体" w:hAnsi="宋体" w:cs="宋体"/>
          <w:sz w:val="24"/>
        </w:rPr>
      </w:pPr>
      <w:r>
        <w:rPr>
          <w:rFonts w:hint="eastAsia" w:ascii="宋体" w:hAnsi="宋体" w:cs="宋体"/>
          <w:sz w:val="24"/>
        </w:rPr>
        <w:t>三、我方同意本招标文件依据《四川省政府采购当事人诚信管理办法》（川财采【2015】33 号文件）对我方可能存在的失信行为进行的惩戒。</w:t>
      </w:r>
    </w:p>
    <w:p>
      <w:pPr>
        <w:pStyle w:val="2"/>
        <w:spacing w:after="0" w:line="360" w:lineRule="auto"/>
        <w:ind w:firstLine="436" w:firstLineChars="200"/>
        <w:rPr>
          <w:rFonts w:ascii="宋体" w:hAnsi="宋体" w:cs="宋体"/>
          <w:sz w:val="24"/>
        </w:rPr>
      </w:pPr>
      <w:r>
        <w:rPr>
          <w:rFonts w:hint="eastAsia" w:ascii="宋体" w:hAnsi="宋体" w:cs="宋体"/>
          <w:spacing w:val="-11"/>
          <w:sz w:val="24"/>
        </w:rPr>
        <w:t>四、我方为本项目提交的投标文件正本壹份，副本</w:t>
      </w:r>
      <w:r>
        <w:rPr>
          <w:rFonts w:hint="eastAsia" w:ascii="宋体" w:hAnsi="宋体" w:cs="宋体"/>
          <w:sz w:val="24"/>
          <w:u w:val="single"/>
        </w:rPr>
        <w:t>贰</w:t>
      </w:r>
      <w:r>
        <w:rPr>
          <w:rFonts w:hint="eastAsia" w:ascii="宋体" w:hAnsi="宋体" w:cs="宋体"/>
          <w:spacing w:val="-17"/>
          <w:sz w:val="24"/>
        </w:rPr>
        <w:t xml:space="preserve">份，相应的电子文档 </w:t>
      </w:r>
      <w:r>
        <w:rPr>
          <w:rFonts w:hint="eastAsia" w:ascii="宋体" w:hAnsi="宋体" w:cs="宋体"/>
          <w:sz w:val="24"/>
        </w:rPr>
        <w:t>1</w:t>
      </w:r>
      <w:r>
        <w:rPr>
          <w:rFonts w:hint="eastAsia" w:ascii="宋体" w:hAnsi="宋体" w:cs="宋体"/>
          <w:spacing w:val="-48"/>
          <w:sz w:val="24"/>
        </w:rPr>
        <w:t xml:space="preserve"> 份</w:t>
      </w:r>
      <w:r>
        <w:rPr>
          <w:rFonts w:hint="eastAsia" w:ascii="宋体" w:hAnsi="宋体" w:cs="宋体"/>
          <w:sz w:val="24"/>
        </w:rPr>
        <w:t>（U</w:t>
      </w:r>
      <w:r>
        <w:rPr>
          <w:rFonts w:hint="eastAsia" w:ascii="宋体" w:hAnsi="宋体" w:cs="宋体"/>
          <w:spacing w:val="-30"/>
          <w:sz w:val="24"/>
        </w:rPr>
        <w:t xml:space="preserve"> 盘</w:t>
      </w:r>
      <w:r>
        <w:rPr>
          <w:rFonts w:hint="eastAsia" w:ascii="宋体" w:hAnsi="宋体" w:cs="宋体"/>
          <w:spacing w:val="-129"/>
          <w:sz w:val="24"/>
        </w:rPr>
        <w:t>）</w:t>
      </w:r>
      <w:r>
        <w:rPr>
          <w:rFonts w:hint="eastAsia" w:ascii="宋体" w:hAnsi="宋体" w:cs="宋体"/>
          <w:spacing w:val="-9"/>
          <w:sz w:val="24"/>
        </w:rPr>
        <w:t>，</w:t>
      </w:r>
      <w:r>
        <w:rPr>
          <w:rFonts w:hint="eastAsia" w:ascii="宋体" w:hAnsi="宋体" w:cs="宋体"/>
          <w:sz w:val="24"/>
        </w:rPr>
        <w:t>用于开标唱标的“开标一览表”一式壹份。</w:t>
      </w:r>
    </w:p>
    <w:p>
      <w:pPr>
        <w:pStyle w:val="2"/>
        <w:spacing w:after="0" w:line="360" w:lineRule="auto"/>
        <w:ind w:firstLine="480" w:firstLineChars="200"/>
        <w:rPr>
          <w:rFonts w:ascii="宋体" w:hAnsi="宋体" w:cs="宋体"/>
          <w:sz w:val="24"/>
        </w:rPr>
      </w:pPr>
      <w:r>
        <w:rPr>
          <w:rFonts w:hint="eastAsia" w:ascii="宋体" w:hAnsi="宋体" w:cs="宋体"/>
          <w:sz w:val="24"/>
        </w:rPr>
        <w:t>五、我方同意本次招标的投标有效期为投标截止时间届满后</w:t>
      </w:r>
      <w:r>
        <w:rPr>
          <w:rFonts w:hint="eastAsia" w:ascii="宋体" w:hAnsi="宋体" w:cs="宋体"/>
          <w:sz w:val="24"/>
          <w:u w:val="single"/>
        </w:rPr>
        <w:t>90</w:t>
      </w:r>
      <w:r>
        <w:rPr>
          <w:rFonts w:hint="eastAsia" w:ascii="宋体" w:hAnsi="宋体" w:cs="宋体"/>
          <w:sz w:val="24"/>
        </w:rPr>
        <w:t>天。</w:t>
      </w:r>
    </w:p>
    <w:p>
      <w:pPr>
        <w:pStyle w:val="2"/>
        <w:spacing w:after="0" w:line="360" w:lineRule="auto"/>
        <w:ind w:firstLine="440" w:firstLineChars="200"/>
        <w:rPr>
          <w:rFonts w:ascii="宋体" w:hAnsi="宋体" w:cs="宋体"/>
          <w:sz w:val="24"/>
        </w:rPr>
      </w:pPr>
      <w:r>
        <w:rPr>
          <w:rFonts w:hint="eastAsia" w:ascii="宋体" w:hAnsi="宋体" w:cs="宋体"/>
          <w:spacing w:val="-10"/>
          <w:sz w:val="24"/>
        </w:rPr>
        <w:t>六、我方愿意提供贵单位可能另外要求的，与投标有关的文件资料，并保证我方已提供和</w:t>
      </w:r>
      <w:r>
        <w:rPr>
          <w:rFonts w:hint="eastAsia" w:ascii="宋体" w:hAnsi="宋体" w:cs="宋体"/>
          <w:sz w:val="24"/>
        </w:rPr>
        <w:t>将要提供的文件资料是真实、准确的。</w:t>
      </w:r>
    </w:p>
    <w:p>
      <w:pPr>
        <w:pStyle w:val="2"/>
        <w:spacing w:before="52" w:line="360" w:lineRule="auto"/>
        <w:ind w:right="259" w:firstLine="480" w:firstLineChars="200"/>
        <w:rPr>
          <w:rFonts w:ascii="宋体" w:hAnsi="宋体" w:cs="宋体"/>
          <w:sz w:val="24"/>
        </w:rPr>
      </w:pPr>
    </w:p>
    <w:p>
      <w:pPr>
        <w:pStyle w:val="2"/>
        <w:spacing w:before="52" w:line="360" w:lineRule="auto"/>
        <w:ind w:right="259" w:firstLine="480" w:firstLineChars="200"/>
        <w:rPr>
          <w:rFonts w:ascii="宋体" w:hAnsi="宋体" w:cs="宋体"/>
          <w:sz w:val="24"/>
        </w:rPr>
      </w:pPr>
    </w:p>
    <w:p>
      <w:pPr>
        <w:pStyle w:val="2"/>
        <w:spacing w:before="52" w:line="360" w:lineRule="auto"/>
        <w:ind w:right="259" w:firstLine="480" w:firstLineChars="200"/>
        <w:rPr>
          <w:rFonts w:ascii="宋体" w:hAnsi="宋体" w:cs="宋体"/>
          <w:sz w:val="24"/>
        </w:rPr>
      </w:pPr>
      <w:r>
        <w:rPr>
          <w:rFonts w:hint="eastAsia" w:ascii="宋体" w:hAnsi="宋体" w:cs="宋体"/>
          <w:sz w:val="24"/>
        </w:rPr>
        <w:t>供应商名称：XXXX（单位公章）</w:t>
      </w:r>
    </w:p>
    <w:p>
      <w:pPr>
        <w:pStyle w:val="2"/>
        <w:spacing w:before="52" w:line="360" w:lineRule="auto"/>
        <w:ind w:right="259" w:firstLine="480" w:firstLineChars="200"/>
        <w:rPr>
          <w:rFonts w:ascii="宋体" w:hAnsi="宋体" w:cs="宋体"/>
          <w:spacing w:val="-3"/>
          <w:sz w:val="24"/>
        </w:rPr>
      </w:pPr>
      <w:r>
        <w:rPr>
          <w:rFonts w:hint="eastAsia" w:ascii="宋体" w:hAnsi="宋体" w:cs="宋体"/>
          <w:sz w:val="24"/>
        </w:rPr>
        <w:t>法定代表人/单位负责人或授权代表（签字或盖章</w:t>
      </w:r>
      <w:r>
        <w:rPr>
          <w:rFonts w:hint="eastAsia" w:ascii="宋体" w:hAnsi="宋体" w:cs="宋体"/>
          <w:spacing w:val="-3"/>
          <w:sz w:val="24"/>
        </w:rPr>
        <w:t xml:space="preserve">）：XXXX </w:t>
      </w:r>
    </w:p>
    <w:p>
      <w:pPr>
        <w:pStyle w:val="2"/>
        <w:spacing w:before="52" w:line="360" w:lineRule="auto"/>
        <w:ind w:right="259" w:firstLine="480" w:firstLineChars="200"/>
        <w:rPr>
          <w:rFonts w:ascii="宋体" w:hAnsi="宋体" w:cs="宋体"/>
          <w:sz w:val="24"/>
        </w:rPr>
      </w:pPr>
      <w:r>
        <w:rPr>
          <w:rFonts w:hint="eastAsia" w:ascii="宋体" w:hAnsi="宋体" w:cs="宋体"/>
          <w:sz w:val="24"/>
        </w:rPr>
        <w:t>通讯地址：XXXX</w:t>
      </w:r>
    </w:p>
    <w:p>
      <w:pPr>
        <w:pStyle w:val="2"/>
        <w:spacing w:before="52" w:line="360" w:lineRule="auto"/>
        <w:ind w:right="259" w:firstLine="480" w:firstLineChars="200"/>
        <w:rPr>
          <w:rFonts w:ascii="宋体" w:hAnsi="宋体" w:cs="宋体"/>
          <w:sz w:val="24"/>
        </w:rPr>
      </w:pPr>
      <w:r>
        <w:rPr>
          <w:rFonts w:hint="eastAsia" w:ascii="宋体" w:hAnsi="宋体" w:cs="宋体"/>
          <w:sz w:val="24"/>
        </w:rPr>
        <w:t>邮政编码：</w:t>
      </w:r>
    </w:p>
    <w:p>
      <w:pPr>
        <w:pStyle w:val="2"/>
        <w:spacing w:before="52" w:line="360" w:lineRule="auto"/>
        <w:ind w:right="259" w:firstLine="480" w:firstLineChars="200"/>
        <w:rPr>
          <w:rFonts w:ascii="宋体" w:hAnsi="宋体" w:cs="宋体"/>
          <w:sz w:val="24"/>
        </w:rPr>
      </w:pPr>
      <w:r>
        <w:rPr>
          <w:rFonts w:hint="eastAsia" w:ascii="宋体" w:hAnsi="宋体" w:cs="宋体"/>
          <w:sz w:val="24"/>
        </w:rPr>
        <w:t>联系电话：</w:t>
      </w:r>
    </w:p>
    <w:p>
      <w:pPr>
        <w:pStyle w:val="2"/>
        <w:spacing w:before="52" w:line="360" w:lineRule="auto"/>
        <w:ind w:right="259" w:firstLine="480" w:firstLineChars="200"/>
        <w:rPr>
          <w:rFonts w:ascii="宋体" w:hAnsi="宋体" w:cs="宋体"/>
          <w:sz w:val="24"/>
        </w:rPr>
      </w:pPr>
      <w:r>
        <w:rPr>
          <w:rFonts w:hint="eastAsia" w:ascii="宋体" w:hAnsi="宋体" w:cs="宋体"/>
          <w:sz w:val="24"/>
        </w:rPr>
        <w:t>传    真：</w:t>
      </w:r>
    </w:p>
    <w:p>
      <w:pPr>
        <w:spacing w:before="42" w:line="360" w:lineRule="auto"/>
        <w:ind w:right="41" w:firstLine="480" w:firstLineChars="200"/>
        <w:jc w:val="left"/>
        <w:rPr>
          <w:rFonts w:ascii="宋体" w:hAnsi="宋体" w:cs="宋体"/>
          <w:sz w:val="24"/>
        </w:rPr>
      </w:pPr>
      <w:r>
        <w:rPr>
          <w:rFonts w:hint="eastAsia" w:ascii="宋体" w:hAnsi="宋体" w:cs="宋体"/>
          <w:sz w:val="24"/>
        </w:rPr>
        <w:t xml:space="preserve">日 期：XXXX </w:t>
      </w:r>
    </w:p>
    <w:p>
      <w:pPr>
        <w:rPr>
          <w:rFonts w:ascii="宋体" w:hAnsi="宋体" w:cs="宋体"/>
        </w:rPr>
      </w:pPr>
      <w:r>
        <w:rPr>
          <w:rFonts w:hint="eastAsia" w:ascii="宋体" w:hAnsi="宋体" w:cs="宋体"/>
        </w:rPr>
        <w:br w:type="page"/>
      </w:r>
    </w:p>
    <w:p>
      <w:pPr>
        <w:spacing w:before="240" w:beforeLines="100" w:after="240" w:afterLines="100" w:line="360" w:lineRule="auto"/>
        <w:jc w:val="center"/>
        <w:outlineLvl w:val="2"/>
        <w:rPr>
          <w:rFonts w:ascii="宋体" w:hAnsi="宋体" w:cs="宋体"/>
          <w:sz w:val="24"/>
        </w:rPr>
      </w:pPr>
      <w:bookmarkStart w:id="156" w:name="_Toc25900"/>
      <w:r>
        <w:rPr>
          <w:rFonts w:hint="eastAsia" w:ascii="宋体" w:hAnsi="宋体" w:cs="宋体"/>
          <w:b/>
          <w:sz w:val="32"/>
        </w:rPr>
        <w:t>二、承诺函</w:t>
      </w:r>
      <w:bookmarkEnd w:id="156"/>
    </w:p>
    <w:p>
      <w:pPr>
        <w:spacing w:before="42" w:line="360" w:lineRule="auto"/>
        <w:ind w:right="41"/>
        <w:rPr>
          <w:rFonts w:ascii="宋体" w:hAnsi="宋体" w:cs="宋体"/>
          <w:sz w:val="24"/>
        </w:rPr>
      </w:pPr>
      <w:r>
        <w:rPr>
          <w:rFonts w:hint="eastAsia" w:ascii="宋体" w:hAnsi="宋体" w:cs="宋体"/>
          <w:sz w:val="24"/>
        </w:rPr>
        <w:t>XXXX（采购代理机构名称）：</w:t>
      </w:r>
    </w:p>
    <w:p>
      <w:pPr>
        <w:numPr>
          <w:ilvl w:val="0"/>
          <w:numId w:val="5"/>
        </w:numPr>
        <w:spacing w:before="42" w:line="360" w:lineRule="auto"/>
        <w:ind w:right="41" w:firstLine="480" w:firstLineChars="200"/>
        <w:rPr>
          <w:rFonts w:ascii="宋体" w:hAnsi="宋体" w:cs="宋体"/>
          <w:sz w:val="24"/>
        </w:rPr>
      </w:pPr>
      <w:r>
        <w:rPr>
          <w:rFonts w:hint="eastAsia" w:ascii="宋体" w:hAnsi="宋体" w:cs="宋体"/>
          <w:sz w:val="24"/>
        </w:rPr>
        <w:t>我单位作为本次采购项目的供应商，根据招标文件要求，现郑重承诺如下：</w:t>
      </w:r>
      <w:r>
        <w:rPr>
          <w:rFonts w:hint="eastAsia" w:ascii="宋体" w:hAnsi="宋体" w:cs="宋体"/>
          <w:spacing w:val="-9"/>
          <w:sz w:val="24"/>
        </w:rPr>
        <w:t>完全接受和满足本项目招标文件中规定的实质性要求，如对招标文件有异议，已依法</w:t>
      </w:r>
      <w:r>
        <w:rPr>
          <w:rFonts w:hint="eastAsia" w:ascii="宋体" w:hAnsi="宋体" w:cs="宋体"/>
          <w:spacing w:val="-11"/>
          <w:sz w:val="24"/>
        </w:rPr>
        <w:t>进行维权救济，不存在对招标文件有异议的同时又参加投标以求侥幸中标或者为实现其他非法</w:t>
      </w:r>
      <w:r>
        <w:rPr>
          <w:rFonts w:hint="eastAsia" w:ascii="宋体" w:hAnsi="宋体" w:cs="宋体"/>
          <w:sz w:val="24"/>
        </w:rPr>
        <w:t>目的的行为。</w:t>
      </w:r>
    </w:p>
    <w:p>
      <w:pPr>
        <w:numPr>
          <w:ilvl w:val="0"/>
          <w:numId w:val="5"/>
        </w:numPr>
        <w:spacing w:before="42" w:line="360" w:lineRule="auto"/>
        <w:ind w:right="41" w:firstLine="440" w:firstLineChars="200"/>
        <w:rPr>
          <w:rFonts w:ascii="宋体" w:hAnsi="宋体" w:cs="宋体"/>
          <w:sz w:val="24"/>
        </w:rPr>
      </w:pPr>
      <w:r>
        <w:rPr>
          <w:rFonts w:hint="eastAsia" w:ascii="宋体" w:hAnsi="宋体" w:cs="宋体"/>
          <w:spacing w:val="-10"/>
          <w:sz w:val="24"/>
        </w:rPr>
        <w:t>参加本次招标采购活动，不存在与单位负责人为同一人或者存在直接控股、管理关系</w:t>
      </w:r>
      <w:r>
        <w:rPr>
          <w:rFonts w:hint="eastAsia" w:ascii="宋体" w:hAnsi="宋体" w:cs="宋体"/>
          <w:spacing w:val="-5"/>
          <w:sz w:val="24"/>
        </w:rPr>
        <w:t>的其他供应商参与同一合同项下的政府采购活动的行为。为采购项目提供整体设计、规范编制</w:t>
      </w:r>
      <w:r>
        <w:rPr>
          <w:rFonts w:hint="eastAsia" w:ascii="宋体" w:hAnsi="宋体" w:cs="宋体"/>
          <w:sz w:val="24"/>
        </w:rPr>
        <w:t>或者项目管理、监理、检测等服务的供应商，不得再参加该采购项目的其他采购活动。</w:t>
      </w:r>
    </w:p>
    <w:p>
      <w:pPr>
        <w:numPr>
          <w:ilvl w:val="0"/>
          <w:numId w:val="5"/>
        </w:numPr>
        <w:spacing w:before="42" w:line="360" w:lineRule="auto"/>
        <w:ind w:right="41" w:firstLine="440" w:firstLineChars="200"/>
        <w:rPr>
          <w:rFonts w:ascii="宋体" w:hAnsi="宋体" w:cs="宋体"/>
          <w:sz w:val="24"/>
        </w:rPr>
      </w:pPr>
      <w:r>
        <w:rPr>
          <w:rFonts w:hint="eastAsia" w:ascii="宋体" w:hAnsi="宋体" w:cs="宋体"/>
          <w:spacing w:val="-10"/>
          <w:sz w:val="24"/>
        </w:rPr>
        <w:t>参加本次招标采购活动，不存在和其他供应商在同一合同项下的采购项目中，同时委</w:t>
      </w:r>
      <w:r>
        <w:rPr>
          <w:rFonts w:hint="eastAsia" w:ascii="宋体" w:hAnsi="宋体" w:cs="宋体"/>
          <w:sz w:val="24"/>
        </w:rPr>
        <w:t>托同一个自然人、同一家庭的人员、同一单位的人员作为代理人的行为。</w:t>
      </w:r>
    </w:p>
    <w:p>
      <w:pPr>
        <w:numPr>
          <w:ilvl w:val="0"/>
          <w:numId w:val="5"/>
        </w:numPr>
        <w:spacing w:before="42" w:line="360" w:lineRule="auto"/>
        <w:ind w:right="41" w:firstLine="444" w:firstLineChars="200"/>
        <w:rPr>
          <w:rFonts w:ascii="宋体" w:hAnsi="宋体" w:cs="宋体"/>
          <w:sz w:val="24"/>
        </w:rPr>
      </w:pPr>
      <w:r>
        <w:rPr>
          <w:rFonts w:hint="eastAsia" w:ascii="宋体" w:hAnsi="宋体" w:cs="宋体"/>
          <w:spacing w:val="-9"/>
          <w:sz w:val="24"/>
        </w:rPr>
        <w:t>投标文件中提供的能够给予我单位带来优惠、好处的任何材料资料和技术、服务、商</w:t>
      </w:r>
      <w:r>
        <w:rPr>
          <w:rFonts w:hint="eastAsia" w:ascii="宋体" w:hAnsi="宋体" w:cs="宋体"/>
          <w:sz w:val="24"/>
        </w:rPr>
        <w:t>务、等响应承诺情况都是真实的、有效的、合法的。</w:t>
      </w:r>
    </w:p>
    <w:p>
      <w:pPr>
        <w:spacing w:before="42" w:line="360" w:lineRule="auto"/>
        <w:ind w:right="41" w:firstLine="456" w:firstLineChars="200"/>
        <w:rPr>
          <w:rFonts w:ascii="宋体" w:hAnsi="宋体" w:cs="宋体"/>
          <w:sz w:val="24"/>
        </w:rPr>
      </w:pPr>
      <w:r>
        <w:rPr>
          <w:rFonts w:hint="eastAsia" w:ascii="宋体" w:hAnsi="宋体" w:cs="宋体"/>
          <w:spacing w:val="-6"/>
          <w:sz w:val="24"/>
        </w:rPr>
        <w:t>本单位对上述承诺的内容事项真实性负责。如经查实上述承诺的内容事项存在虚假，我单</w:t>
      </w:r>
      <w:r>
        <w:rPr>
          <w:rFonts w:hint="eastAsia" w:ascii="宋体" w:hAnsi="宋体" w:cs="宋体"/>
          <w:sz w:val="24"/>
        </w:rPr>
        <w:t>位愿意接受以提供虚假材料谋取中标追究法律责任。</w:t>
      </w:r>
    </w:p>
    <w:p>
      <w:pPr>
        <w:spacing w:before="42" w:line="360" w:lineRule="auto"/>
        <w:ind w:right="41" w:firstLine="480" w:firstLineChars="200"/>
        <w:rPr>
          <w:rFonts w:ascii="宋体" w:hAnsi="宋体" w:cs="宋体"/>
          <w:sz w:val="24"/>
        </w:rPr>
      </w:pPr>
    </w:p>
    <w:p>
      <w:pPr>
        <w:spacing w:before="42" w:line="360" w:lineRule="auto"/>
        <w:ind w:right="41" w:firstLine="480" w:firstLineChars="200"/>
        <w:rPr>
          <w:rFonts w:ascii="宋体" w:hAnsi="宋体" w:cs="宋体"/>
          <w:sz w:val="24"/>
        </w:rPr>
      </w:pPr>
    </w:p>
    <w:p>
      <w:pPr>
        <w:spacing w:before="42" w:line="360" w:lineRule="auto"/>
        <w:ind w:right="41" w:firstLine="480" w:firstLineChars="200"/>
        <w:rPr>
          <w:rFonts w:ascii="宋体" w:hAnsi="宋体" w:cs="宋体"/>
          <w:sz w:val="24"/>
        </w:rPr>
      </w:pPr>
      <w:r>
        <w:rPr>
          <w:rFonts w:hint="eastAsia" w:ascii="宋体" w:hAnsi="宋体" w:cs="宋体"/>
          <w:sz w:val="24"/>
        </w:rPr>
        <w:t>供应商名称：XXXX（单位公章）</w:t>
      </w:r>
    </w:p>
    <w:p>
      <w:pPr>
        <w:spacing w:before="42" w:line="360" w:lineRule="auto"/>
        <w:ind w:right="41" w:firstLine="480" w:firstLineChars="200"/>
        <w:rPr>
          <w:rFonts w:ascii="宋体" w:hAnsi="宋体" w:cs="宋体"/>
          <w:spacing w:val="-18"/>
          <w:sz w:val="24"/>
        </w:rPr>
      </w:pPr>
      <w:r>
        <w:rPr>
          <w:rFonts w:hint="eastAsia" w:ascii="宋体" w:hAnsi="宋体" w:cs="宋体"/>
          <w:sz w:val="24"/>
        </w:rPr>
        <w:t>法定代表人/单位负责人或授权代表（</w:t>
      </w:r>
      <w:r>
        <w:rPr>
          <w:rFonts w:hint="eastAsia" w:ascii="宋体" w:hAnsi="宋体" w:cs="宋体"/>
        </w:rPr>
        <w:t>签字或盖章</w:t>
      </w:r>
      <w:r>
        <w:rPr>
          <w:rFonts w:hint="eastAsia" w:ascii="宋体" w:hAnsi="宋体" w:cs="宋体"/>
          <w:sz w:val="24"/>
        </w:rPr>
        <w:t>）：XXXX</w:t>
      </w:r>
    </w:p>
    <w:p>
      <w:pPr>
        <w:spacing w:before="42" w:line="360" w:lineRule="auto"/>
        <w:ind w:right="41" w:firstLine="480" w:firstLineChars="200"/>
        <w:rPr>
          <w:rFonts w:ascii="宋体" w:hAnsi="宋体" w:cs="宋体"/>
          <w:sz w:val="24"/>
        </w:rPr>
      </w:pPr>
      <w:r>
        <w:rPr>
          <w:rFonts w:hint="eastAsia" w:ascii="宋体" w:hAnsi="宋体" w:cs="宋体"/>
          <w:sz w:val="24"/>
        </w:rPr>
        <w:t>日</w:t>
      </w:r>
      <w:r>
        <w:rPr>
          <w:rFonts w:hint="eastAsia" w:ascii="宋体" w:hAnsi="宋体" w:cs="宋体"/>
          <w:sz w:val="24"/>
        </w:rPr>
        <w:tab/>
      </w:r>
      <w:r>
        <w:rPr>
          <w:rFonts w:hint="eastAsia" w:ascii="宋体" w:hAnsi="宋体" w:cs="宋体"/>
          <w:sz w:val="24"/>
        </w:rPr>
        <w:t>期：XXXX。</w:t>
      </w:r>
    </w:p>
    <w:p>
      <w:pPr>
        <w:spacing w:line="360" w:lineRule="auto"/>
        <w:rPr>
          <w:rFonts w:ascii="宋体" w:hAnsi="宋体" w:cs="宋体"/>
        </w:rPr>
        <w:sectPr>
          <w:pgSz w:w="11910" w:h="16840"/>
          <w:pgMar w:top="1440" w:right="1803" w:bottom="1440" w:left="1803" w:header="720" w:footer="720" w:gutter="0"/>
          <w:cols w:space="425" w:num="1"/>
        </w:sectPr>
      </w:pPr>
    </w:p>
    <w:p>
      <w:pPr>
        <w:spacing w:before="240" w:beforeLines="100" w:after="240" w:afterLines="100" w:line="360" w:lineRule="auto"/>
        <w:jc w:val="center"/>
        <w:outlineLvl w:val="2"/>
        <w:rPr>
          <w:rFonts w:ascii="宋体" w:hAnsi="宋体" w:cs="宋体"/>
        </w:rPr>
      </w:pPr>
      <w:bookmarkStart w:id="157" w:name="_Toc28894"/>
      <w:r>
        <w:rPr>
          <w:rFonts w:hint="eastAsia" w:ascii="宋体" w:hAnsi="宋体" w:cs="宋体"/>
          <w:b/>
          <w:sz w:val="32"/>
        </w:rPr>
        <w:t>三、开标一览表</w:t>
      </w:r>
      <w:bookmarkEnd w:id="157"/>
    </w:p>
    <w:p>
      <w:pPr>
        <w:pStyle w:val="2"/>
        <w:spacing w:before="66" w:after="5" w:line="360" w:lineRule="auto"/>
        <w:rPr>
          <w:rFonts w:ascii="宋体" w:hAnsi="宋体" w:cs="宋体"/>
          <w:sz w:val="24"/>
        </w:rPr>
      </w:pPr>
      <w:r>
        <w:rPr>
          <w:rFonts w:hint="eastAsia" w:ascii="宋体" w:hAnsi="宋体" w:cs="宋体"/>
          <w:sz w:val="24"/>
        </w:rPr>
        <w:t>项目名称：</w:t>
      </w:r>
    </w:p>
    <w:p>
      <w:pPr>
        <w:pStyle w:val="2"/>
        <w:spacing w:before="66" w:after="5" w:line="360" w:lineRule="auto"/>
        <w:rPr>
          <w:rFonts w:ascii="宋体" w:hAnsi="宋体" w:cs="宋体"/>
        </w:rPr>
      </w:pPr>
      <w:r>
        <w:rPr>
          <w:rFonts w:hint="eastAsia" w:ascii="宋体" w:hAnsi="宋体" w:cs="宋体"/>
          <w:sz w:val="24"/>
        </w:rPr>
        <w:t>采购编号：</w:t>
      </w:r>
    </w:p>
    <w:tbl>
      <w:tblPr>
        <w:tblStyle w:val="20"/>
        <w:tblpPr w:leftFromText="180" w:rightFromText="180" w:vertAnchor="text" w:horzAnchor="page" w:tblpX="2161" w:tblpY="509"/>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0"/>
        <w:gridCol w:w="1904"/>
        <w:gridCol w:w="3427"/>
        <w:gridCol w:w="2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23" w:type="pct"/>
            <w:vAlign w:val="center"/>
          </w:tcPr>
          <w:p>
            <w:pPr>
              <w:pStyle w:val="40"/>
              <w:spacing w:line="360" w:lineRule="auto"/>
              <w:jc w:val="center"/>
              <w:rPr>
                <w:sz w:val="24"/>
              </w:rPr>
            </w:pPr>
            <w:r>
              <w:rPr>
                <w:rFonts w:hint="eastAsia"/>
                <w:sz w:val="24"/>
              </w:rPr>
              <w:t>序号</w:t>
            </w:r>
          </w:p>
        </w:tc>
        <w:tc>
          <w:tcPr>
            <w:tcW w:w="1145" w:type="pct"/>
            <w:vAlign w:val="center"/>
          </w:tcPr>
          <w:p>
            <w:pPr>
              <w:pStyle w:val="40"/>
              <w:spacing w:line="360" w:lineRule="auto"/>
              <w:jc w:val="center"/>
              <w:rPr>
                <w:sz w:val="24"/>
              </w:rPr>
            </w:pPr>
            <w:r>
              <w:rPr>
                <w:rFonts w:hint="eastAsia"/>
                <w:sz w:val="24"/>
              </w:rPr>
              <w:t>服务内容</w:t>
            </w:r>
          </w:p>
        </w:tc>
        <w:tc>
          <w:tcPr>
            <w:tcW w:w="2061" w:type="pct"/>
            <w:vAlign w:val="center"/>
          </w:tcPr>
          <w:p>
            <w:pPr>
              <w:pStyle w:val="40"/>
              <w:spacing w:line="360" w:lineRule="auto"/>
              <w:jc w:val="center"/>
              <w:rPr>
                <w:sz w:val="24"/>
              </w:rPr>
            </w:pPr>
            <w:r>
              <w:rPr>
                <w:rFonts w:hint="eastAsia"/>
                <w:sz w:val="24"/>
              </w:rPr>
              <w:t>报价（</w:t>
            </w:r>
            <w:r>
              <w:rPr>
                <w:rFonts w:hint="eastAsia" w:ascii="宋体" w:hAnsi="宋体" w:cs="宋体"/>
                <w:sz w:val="24"/>
              </w:rPr>
              <w:t>元</w:t>
            </w:r>
            <w:r>
              <w:rPr>
                <w:rFonts w:hint="eastAsia" w:ascii="宋体" w:hAnsi="宋体" w:cs="宋体"/>
                <w:sz w:val="24"/>
                <w:lang w:val="en-US" w:eastAsia="zh-CN"/>
              </w:rPr>
              <w:t>/年</w:t>
            </w:r>
            <w:r>
              <w:rPr>
                <w:rFonts w:hint="eastAsia"/>
                <w:sz w:val="24"/>
              </w:rPr>
              <w:t>）</w:t>
            </w:r>
          </w:p>
        </w:tc>
        <w:tc>
          <w:tcPr>
            <w:tcW w:w="1269" w:type="pct"/>
            <w:vAlign w:val="center"/>
          </w:tcPr>
          <w:p>
            <w:pPr>
              <w:pStyle w:val="40"/>
              <w:spacing w:line="360" w:lineRule="auto"/>
              <w:ind w:right="1136"/>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23" w:type="pct"/>
          </w:tcPr>
          <w:p>
            <w:pPr>
              <w:pStyle w:val="40"/>
              <w:spacing w:line="360" w:lineRule="auto"/>
              <w:rPr>
                <w:sz w:val="24"/>
              </w:rPr>
            </w:pPr>
          </w:p>
        </w:tc>
        <w:tc>
          <w:tcPr>
            <w:tcW w:w="1145" w:type="pct"/>
          </w:tcPr>
          <w:p>
            <w:pPr>
              <w:pStyle w:val="40"/>
              <w:spacing w:line="360" w:lineRule="auto"/>
              <w:rPr>
                <w:sz w:val="24"/>
              </w:rPr>
            </w:pPr>
          </w:p>
        </w:tc>
        <w:tc>
          <w:tcPr>
            <w:tcW w:w="2061" w:type="pct"/>
          </w:tcPr>
          <w:p>
            <w:pPr>
              <w:pStyle w:val="40"/>
              <w:spacing w:line="360" w:lineRule="auto"/>
              <w:rPr>
                <w:sz w:val="24"/>
              </w:rPr>
            </w:pPr>
          </w:p>
        </w:tc>
        <w:tc>
          <w:tcPr>
            <w:tcW w:w="126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523" w:type="pct"/>
          </w:tcPr>
          <w:p>
            <w:pPr>
              <w:pStyle w:val="40"/>
              <w:spacing w:line="360" w:lineRule="auto"/>
              <w:rPr>
                <w:sz w:val="24"/>
              </w:rPr>
            </w:pPr>
          </w:p>
        </w:tc>
        <w:tc>
          <w:tcPr>
            <w:tcW w:w="1145" w:type="pct"/>
          </w:tcPr>
          <w:p>
            <w:pPr>
              <w:pStyle w:val="40"/>
              <w:spacing w:line="360" w:lineRule="auto"/>
              <w:rPr>
                <w:sz w:val="24"/>
              </w:rPr>
            </w:pPr>
          </w:p>
        </w:tc>
        <w:tc>
          <w:tcPr>
            <w:tcW w:w="2061" w:type="pct"/>
          </w:tcPr>
          <w:p>
            <w:pPr>
              <w:pStyle w:val="40"/>
              <w:spacing w:line="360" w:lineRule="auto"/>
              <w:rPr>
                <w:sz w:val="24"/>
              </w:rPr>
            </w:pPr>
          </w:p>
        </w:tc>
        <w:tc>
          <w:tcPr>
            <w:tcW w:w="1269" w:type="pct"/>
          </w:tcPr>
          <w:p>
            <w:pPr>
              <w:pStyle w:val="40"/>
              <w:spacing w:line="360" w:lineRule="auto"/>
              <w:rPr>
                <w:sz w:val="24"/>
              </w:rPr>
            </w:pPr>
          </w:p>
        </w:tc>
      </w:tr>
    </w:tbl>
    <w:p>
      <w:pPr>
        <w:pStyle w:val="2"/>
        <w:spacing w:before="48" w:line="360" w:lineRule="auto"/>
        <w:rPr>
          <w:rFonts w:ascii="宋体" w:hAnsi="宋体" w:cs="宋体"/>
        </w:rPr>
      </w:pPr>
      <w:r>
        <w:rPr>
          <w:rFonts w:hint="eastAsia" w:ascii="宋体" w:hAnsi="宋体" w:cs="宋体"/>
        </w:rPr>
        <w:t>说明：</w:t>
      </w:r>
    </w:p>
    <w:p>
      <w:pPr>
        <w:pStyle w:val="2"/>
        <w:spacing w:after="0"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sz w:val="24"/>
        </w:rPr>
        <w:t>“开标一览表”为多页的，每页均需由法定代表人/</w:t>
      </w:r>
      <w:r>
        <w:rPr>
          <w:rFonts w:hint="eastAsia" w:ascii="宋体" w:hAnsi="宋体" w:cs="宋体"/>
          <w:spacing w:val="-2"/>
          <w:sz w:val="24"/>
        </w:rPr>
        <w:t>单位负责人或授权代表签字并盖</w:t>
      </w:r>
      <w:r>
        <w:rPr>
          <w:rFonts w:hint="eastAsia" w:ascii="宋体" w:hAnsi="宋体" w:cs="宋体"/>
          <w:sz w:val="24"/>
        </w:rPr>
        <w:t>供应商公章。</w:t>
      </w:r>
    </w:p>
    <w:p>
      <w:pPr>
        <w:pStyle w:val="2"/>
        <w:spacing w:before="48" w:line="360" w:lineRule="auto"/>
        <w:rPr>
          <w:rFonts w:ascii="宋体" w:hAnsi="宋体" w:cs="宋体"/>
          <w:sz w:val="24"/>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供应商名称：XXXX（单位公章）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投标日期：XXXX</w:t>
      </w:r>
    </w:p>
    <w:p>
      <w:pPr>
        <w:pStyle w:val="2"/>
        <w:spacing w:before="48" w:line="360" w:lineRule="auto"/>
        <w:ind w:firstLine="420" w:firstLineChars="200"/>
        <w:rPr>
          <w:rFonts w:ascii="宋体" w:hAnsi="宋体" w:cs="宋体"/>
        </w:rPr>
      </w:pPr>
    </w:p>
    <w:p>
      <w:pPr>
        <w:spacing w:line="360" w:lineRule="auto"/>
        <w:rPr>
          <w:rFonts w:ascii="宋体" w:hAnsi="宋体" w:cs="宋体"/>
        </w:rPr>
        <w:sectPr>
          <w:pgSz w:w="11910" w:h="16840"/>
          <w:pgMar w:top="1440" w:right="1803" w:bottom="1440" w:left="1803" w:header="720" w:footer="720" w:gutter="0"/>
          <w:cols w:space="425" w:num="1"/>
        </w:sectPr>
      </w:pPr>
    </w:p>
    <w:p>
      <w:pPr>
        <w:spacing w:before="240" w:beforeLines="100" w:after="240" w:afterLines="100" w:line="360" w:lineRule="auto"/>
        <w:jc w:val="center"/>
        <w:outlineLvl w:val="2"/>
        <w:rPr>
          <w:rFonts w:ascii="宋体" w:hAnsi="宋体" w:cs="宋体"/>
        </w:rPr>
      </w:pPr>
      <w:bookmarkStart w:id="158" w:name="_Toc30074"/>
      <w:r>
        <w:rPr>
          <w:rFonts w:hint="eastAsia" w:ascii="宋体" w:hAnsi="宋体" w:cs="宋体"/>
          <w:b/>
          <w:sz w:val="32"/>
        </w:rPr>
        <w:t>四、分项报价明细表</w:t>
      </w:r>
      <w:bookmarkEnd w:id="158"/>
    </w:p>
    <w:p>
      <w:pPr>
        <w:pStyle w:val="2"/>
        <w:spacing w:after="0" w:line="360" w:lineRule="auto"/>
        <w:rPr>
          <w:rFonts w:ascii="宋体" w:hAnsi="宋体" w:cs="宋体"/>
          <w:sz w:val="24"/>
        </w:rPr>
      </w:pPr>
      <w:r>
        <w:rPr>
          <w:rFonts w:hint="eastAsia" w:ascii="宋体" w:hAnsi="宋体" w:cs="宋体"/>
          <w:sz w:val="24"/>
        </w:rPr>
        <w:t>项目名称：</w:t>
      </w:r>
    </w:p>
    <w:p>
      <w:pPr>
        <w:spacing w:line="360" w:lineRule="auto"/>
        <w:rPr>
          <w:rFonts w:ascii="宋体" w:hAnsi="宋体" w:cs="宋体"/>
          <w:sz w:val="24"/>
        </w:rPr>
      </w:pPr>
      <w:r>
        <w:rPr>
          <w:rFonts w:hint="eastAsia" w:ascii="宋体" w:hAnsi="宋体" w:cs="宋体"/>
          <w:sz w:val="24"/>
        </w:rPr>
        <w:t>采购编号：</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294"/>
        <w:gridCol w:w="2185"/>
        <w:gridCol w:w="197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27" w:type="pct"/>
            <w:vAlign w:val="center"/>
          </w:tcPr>
          <w:p>
            <w:pPr>
              <w:pStyle w:val="2"/>
              <w:adjustRightInd w:val="0"/>
              <w:spacing w:before="48" w:line="360" w:lineRule="auto"/>
              <w:jc w:val="center"/>
              <w:textAlignment w:val="baseline"/>
              <w:rPr>
                <w:rFonts w:ascii="宋体" w:hAnsi="宋体" w:cs="宋体"/>
                <w:sz w:val="24"/>
              </w:rPr>
            </w:pPr>
            <w:r>
              <w:rPr>
                <w:rFonts w:hint="eastAsia" w:ascii="宋体" w:hAnsi="宋体" w:cs="宋体"/>
                <w:sz w:val="24"/>
              </w:rPr>
              <w:t>序号</w:t>
            </w:r>
          </w:p>
        </w:tc>
        <w:tc>
          <w:tcPr>
            <w:tcW w:w="1346" w:type="pct"/>
            <w:vAlign w:val="center"/>
          </w:tcPr>
          <w:p>
            <w:pPr>
              <w:pStyle w:val="2"/>
              <w:adjustRightInd w:val="0"/>
              <w:spacing w:before="48" w:line="360" w:lineRule="auto"/>
              <w:jc w:val="center"/>
              <w:textAlignment w:val="baseline"/>
              <w:rPr>
                <w:rFonts w:ascii="宋体" w:hAnsi="宋体" w:cs="宋体"/>
                <w:sz w:val="24"/>
              </w:rPr>
            </w:pPr>
            <w:r>
              <w:rPr>
                <w:rFonts w:hint="eastAsia" w:ascii="宋体" w:hAnsi="宋体" w:cs="宋体"/>
                <w:sz w:val="24"/>
              </w:rPr>
              <w:t>服务内容</w:t>
            </w:r>
          </w:p>
        </w:tc>
        <w:tc>
          <w:tcPr>
            <w:tcW w:w="1282" w:type="pct"/>
            <w:vAlign w:val="center"/>
          </w:tcPr>
          <w:p>
            <w:pPr>
              <w:pStyle w:val="2"/>
              <w:adjustRightInd w:val="0"/>
              <w:spacing w:before="48" w:line="360" w:lineRule="auto"/>
              <w:jc w:val="center"/>
              <w:textAlignment w:val="baseline"/>
              <w:rPr>
                <w:rFonts w:ascii="宋体" w:hAnsi="宋体" w:cs="宋体"/>
                <w:sz w:val="24"/>
              </w:rPr>
            </w:pPr>
            <w:r>
              <w:rPr>
                <w:rFonts w:hint="eastAsia" w:ascii="宋体" w:hAnsi="宋体" w:cs="宋体"/>
                <w:sz w:val="24"/>
              </w:rPr>
              <w:t>单价（元</w:t>
            </w:r>
            <w:r>
              <w:rPr>
                <w:rFonts w:hint="eastAsia" w:ascii="宋体" w:hAnsi="宋体" w:cs="宋体"/>
                <w:sz w:val="24"/>
                <w:lang w:val="en-US" w:eastAsia="zh-CN"/>
              </w:rPr>
              <w:t>/年</w:t>
            </w:r>
            <w:r>
              <w:rPr>
                <w:rFonts w:hint="eastAsia" w:ascii="宋体" w:hAnsi="宋体" w:cs="宋体"/>
                <w:sz w:val="24"/>
              </w:rPr>
              <w:t>）</w:t>
            </w:r>
          </w:p>
        </w:tc>
        <w:tc>
          <w:tcPr>
            <w:tcW w:w="1158" w:type="pct"/>
            <w:vAlign w:val="center"/>
          </w:tcPr>
          <w:p>
            <w:pPr>
              <w:pStyle w:val="2"/>
              <w:adjustRightInd w:val="0"/>
              <w:spacing w:before="48" w:line="360" w:lineRule="auto"/>
              <w:jc w:val="center"/>
              <w:textAlignment w:val="baseline"/>
              <w:rPr>
                <w:rFonts w:ascii="宋体" w:hAnsi="宋体" w:cs="宋体"/>
                <w:sz w:val="24"/>
              </w:rPr>
            </w:pPr>
            <w:r>
              <w:rPr>
                <w:rFonts w:hint="eastAsia" w:ascii="宋体" w:hAnsi="宋体" w:cs="宋体"/>
                <w:sz w:val="24"/>
              </w:rPr>
              <w:t>金额</w:t>
            </w:r>
          </w:p>
        </w:tc>
        <w:tc>
          <w:tcPr>
            <w:tcW w:w="685" w:type="pct"/>
            <w:vAlign w:val="center"/>
          </w:tcPr>
          <w:p>
            <w:pPr>
              <w:pStyle w:val="2"/>
              <w:adjustRightInd w:val="0"/>
              <w:spacing w:before="48" w:line="360" w:lineRule="auto"/>
              <w:jc w:val="center"/>
              <w:textAlignment w:val="baseline"/>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2"/>
              <w:adjustRightInd w:val="0"/>
              <w:spacing w:before="48" w:line="360" w:lineRule="auto"/>
              <w:jc w:val="center"/>
              <w:textAlignment w:val="baseline"/>
              <w:rPr>
                <w:rFonts w:ascii="宋体" w:hAnsi="宋体" w:cs="宋体"/>
                <w:sz w:val="24"/>
              </w:rPr>
            </w:pPr>
          </w:p>
        </w:tc>
        <w:tc>
          <w:tcPr>
            <w:tcW w:w="1346" w:type="pct"/>
            <w:vAlign w:val="center"/>
          </w:tcPr>
          <w:p>
            <w:pPr>
              <w:pStyle w:val="2"/>
              <w:adjustRightInd w:val="0"/>
              <w:spacing w:before="48" w:line="360" w:lineRule="auto"/>
              <w:jc w:val="center"/>
              <w:textAlignment w:val="baseline"/>
              <w:rPr>
                <w:rFonts w:ascii="宋体" w:hAnsi="宋体" w:cs="宋体"/>
                <w:sz w:val="24"/>
              </w:rPr>
            </w:pPr>
          </w:p>
        </w:tc>
        <w:tc>
          <w:tcPr>
            <w:tcW w:w="1282" w:type="pct"/>
            <w:vAlign w:val="center"/>
          </w:tcPr>
          <w:p>
            <w:pPr>
              <w:pStyle w:val="2"/>
              <w:adjustRightInd w:val="0"/>
              <w:spacing w:before="48" w:line="360" w:lineRule="auto"/>
              <w:jc w:val="center"/>
              <w:textAlignment w:val="baseline"/>
              <w:rPr>
                <w:rFonts w:ascii="宋体" w:hAnsi="宋体" w:cs="宋体"/>
                <w:sz w:val="24"/>
              </w:rPr>
            </w:pPr>
          </w:p>
        </w:tc>
        <w:tc>
          <w:tcPr>
            <w:tcW w:w="1158" w:type="pct"/>
            <w:vAlign w:val="center"/>
          </w:tcPr>
          <w:p>
            <w:pPr>
              <w:pStyle w:val="2"/>
              <w:adjustRightInd w:val="0"/>
              <w:spacing w:before="48" w:line="360" w:lineRule="auto"/>
              <w:jc w:val="center"/>
              <w:textAlignment w:val="baseline"/>
              <w:rPr>
                <w:rFonts w:ascii="宋体" w:hAnsi="宋体" w:cs="宋体"/>
                <w:sz w:val="24"/>
              </w:rPr>
            </w:pPr>
          </w:p>
        </w:tc>
        <w:tc>
          <w:tcPr>
            <w:tcW w:w="685" w:type="pct"/>
            <w:vAlign w:val="center"/>
          </w:tcPr>
          <w:p>
            <w:pPr>
              <w:pStyle w:val="2"/>
              <w:adjustRightInd w:val="0"/>
              <w:spacing w:before="48"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2"/>
              <w:adjustRightInd w:val="0"/>
              <w:spacing w:before="48" w:line="360" w:lineRule="auto"/>
              <w:jc w:val="center"/>
              <w:textAlignment w:val="baseline"/>
              <w:rPr>
                <w:rFonts w:ascii="宋体" w:hAnsi="宋体" w:cs="宋体"/>
                <w:sz w:val="24"/>
              </w:rPr>
            </w:pPr>
          </w:p>
        </w:tc>
        <w:tc>
          <w:tcPr>
            <w:tcW w:w="1346" w:type="pct"/>
            <w:vAlign w:val="center"/>
          </w:tcPr>
          <w:p>
            <w:pPr>
              <w:pStyle w:val="2"/>
              <w:adjustRightInd w:val="0"/>
              <w:spacing w:before="48" w:line="360" w:lineRule="auto"/>
              <w:jc w:val="center"/>
              <w:textAlignment w:val="baseline"/>
              <w:rPr>
                <w:rFonts w:ascii="宋体" w:hAnsi="宋体" w:cs="宋体"/>
                <w:sz w:val="24"/>
              </w:rPr>
            </w:pPr>
          </w:p>
        </w:tc>
        <w:tc>
          <w:tcPr>
            <w:tcW w:w="1282" w:type="pct"/>
            <w:vAlign w:val="center"/>
          </w:tcPr>
          <w:p>
            <w:pPr>
              <w:pStyle w:val="2"/>
              <w:adjustRightInd w:val="0"/>
              <w:spacing w:before="48" w:line="360" w:lineRule="auto"/>
              <w:jc w:val="center"/>
              <w:textAlignment w:val="baseline"/>
              <w:rPr>
                <w:rFonts w:ascii="宋体" w:hAnsi="宋体" w:cs="宋体"/>
                <w:sz w:val="24"/>
              </w:rPr>
            </w:pPr>
          </w:p>
        </w:tc>
        <w:tc>
          <w:tcPr>
            <w:tcW w:w="1158" w:type="pct"/>
            <w:vAlign w:val="center"/>
          </w:tcPr>
          <w:p>
            <w:pPr>
              <w:pStyle w:val="2"/>
              <w:adjustRightInd w:val="0"/>
              <w:spacing w:before="48" w:line="360" w:lineRule="auto"/>
              <w:jc w:val="center"/>
              <w:textAlignment w:val="baseline"/>
              <w:rPr>
                <w:rFonts w:ascii="宋体" w:hAnsi="宋体" w:cs="宋体"/>
                <w:sz w:val="24"/>
              </w:rPr>
            </w:pPr>
          </w:p>
        </w:tc>
        <w:tc>
          <w:tcPr>
            <w:tcW w:w="685" w:type="pct"/>
            <w:vAlign w:val="center"/>
          </w:tcPr>
          <w:p>
            <w:pPr>
              <w:pStyle w:val="2"/>
              <w:adjustRightInd w:val="0"/>
              <w:spacing w:before="48"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pPr>
              <w:pStyle w:val="2"/>
              <w:adjustRightInd w:val="0"/>
              <w:spacing w:before="48" w:line="360" w:lineRule="auto"/>
              <w:jc w:val="center"/>
              <w:textAlignment w:val="baseline"/>
              <w:rPr>
                <w:rFonts w:ascii="宋体" w:hAnsi="宋体" w:cs="宋体"/>
                <w:sz w:val="24"/>
              </w:rPr>
            </w:pPr>
          </w:p>
        </w:tc>
        <w:tc>
          <w:tcPr>
            <w:tcW w:w="1346" w:type="pct"/>
            <w:vAlign w:val="center"/>
          </w:tcPr>
          <w:p>
            <w:pPr>
              <w:pStyle w:val="2"/>
              <w:adjustRightInd w:val="0"/>
              <w:spacing w:before="48" w:line="360" w:lineRule="auto"/>
              <w:jc w:val="center"/>
              <w:textAlignment w:val="baseline"/>
              <w:rPr>
                <w:rFonts w:ascii="宋体" w:hAnsi="宋体" w:cs="宋体"/>
                <w:sz w:val="24"/>
              </w:rPr>
            </w:pPr>
          </w:p>
        </w:tc>
        <w:tc>
          <w:tcPr>
            <w:tcW w:w="1282" w:type="pct"/>
            <w:vAlign w:val="center"/>
          </w:tcPr>
          <w:p>
            <w:pPr>
              <w:pStyle w:val="2"/>
              <w:adjustRightInd w:val="0"/>
              <w:spacing w:before="48" w:line="360" w:lineRule="auto"/>
              <w:jc w:val="center"/>
              <w:textAlignment w:val="baseline"/>
              <w:rPr>
                <w:rFonts w:ascii="宋体" w:hAnsi="宋体" w:cs="宋体"/>
                <w:sz w:val="24"/>
              </w:rPr>
            </w:pPr>
          </w:p>
        </w:tc>
        <w:tc>
          <w:tcPr>
            <w:tcW w:w="1158" w:type="pct"/>
            <w:vAlign w:val="center"/>
          </w:tcPr>
          <w:p>
            <w:pPr>
              <w:pStyle w:val="2"/>
              <w:adjustRightInd w:val="0"/>
              <w:spacing w:before="48" w:line="360" w:lineRule="auto"/>
              <w:jc w:val="center"/>
              <w:textAlignment w:val="baseline"/>
              <w:rPr>
                <w:rFonts w:ascii="宋体" w:hAnsi="宋体" w:cs="宋体"/>
                <w:sz w:val="24"/>
              </w:rPr>
            </w:pPr>
          </w:p>
        </w:tc>
        <w:tc>
          <w:tcPr>
            <w:tcW w:w="685" w:type="pct"/>
            <w:vAlign w:val="center"/>
          </w:tcPr>
          <w:p>
            <w:pPr>
              <w:pStyle w:val="2"/>
              <w:adjustRightInd w:val="0"/>
              <w:spacing w:before="48" w:line="360" w:lineRule="auto"/>
              <w:jc w:val="center"/>
              <w:textAlignment w:val="baseline"/>
              <w:rPr>
                <w:rFonts w:ascii="宋体" w:hAnsi="宋体" w:cs="宋体"/>
                <w:sz w:val="24"/>
              </w:rPr>
            </w:pPr>
          </w:p>
        </w:tc>
      </w:tr>
    </w:tbl>
    <w:p>
      <w:pPr>
        <w:pStyle w:val="2"/>
        <w:spacing w:before="48" w:line="360" w:lineRule="auto"/>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1、供应商必须按“分项报价明细表”的格式详细报出投标总价的各个组成部分的报价，否则作无效投标处理。</w:t>
      </w:r>
    </w:p>
    <w:p>
      <w:pPr>
        <w:spacing w:line="360" w:lineRule="auto"/>
        <w:ind w:firstLine="480" w:firstLineChars="200"/>
        <w:rPr>
          <w:rFonts w:ascii="宋体" w:hAnsi="宋体" w:cs="宋体"/>
          <w:sz w:val="24"/>
        </w:rPr>
      </w:pPr>
      <w:r>
        <w:rPr>
          <w:rFonts w:hint="eastAsia" w:ascii="宋体" w:hAnsi="宋体" w:cs="宋体"/>
          <w:sz w:val="24"/>
        </w:rPr>
        <w:t>2、“分项报价明细表”各分项报价合计应当与“开标一览表”报价合计相等。</w:t>
      </w:r>
    </w:p>
    <w:p>
      <w:pPr>
        <w:pStyle w:val="2"/>
        <w:spacing w:before="48" w:line="360" w:lineRule="auto"/>
        <w:rPr>
          <w:rFonts w:ascii="宋体" w:hAnsi="宋体" w:cs="宋体"/>
          <w:sz w:val="24"/>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供应商名称：XXXX（单位公章）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投标日期：XXXX</w:t>
      </w:r>
    </w:p>
    <w:p>
      <w:pPr>
        <w:spacing w:before="42" w:line="360" w:lineRule="auto"/>
        <w:ind w:right="36"/>
        <w:jc w:val="center"/>
        <w:rPr>
          <w:rFonts w:ascii="宋体" w:hAnsi="宋体" w:cs="宋体"/>
          <w:b/>
          <w:sz w:val="32"/>
        </w:rPr>
      </w:pPr>
    </w:p>
    <w:p>
      <w:pPr>
        <w:rPr>
          <w:rFonts w:ascii="宋体" w:hAnsi="宋体" w:cs="宋体"/>
          <w:b/>
          <w:sz w:val="32"/>
        </w:rPr>
      </w:pPr>
      <w:r>
        <w:rPr>
          <w:rFonts w:hint="eastAsia" w:ascii="宋体" w:hAnsi="宋体" w:cs="宋体"/>
          <w:b/>
          <w:sz w:val="32"/>
        </w:rPr>
        <w:br w:type="page"/>
      </w:r>
    </w:p>
    <w:p>
      <w:pPr>
        <w:spacing w:before="240" w:beforeLines="100" w:after="240" w:afterLines="100" w:line="360" w:lineRule="auto"/>
        <w:jc w:val="center"/>
        <w:outlineLvl w:val="2"/>
        <w:rPr>
          <w:rFonts w:ascii="宋体" w:hAnsi="宋体" w:cs="宋体"/>
        </w:rPr>
      </w:pPr>
      <w:bookmarkStart w:id="159" w:name="_Toc29183"/>
      <w:r>
        <w:rPr>
          <w:rFonts w:hint="eastAsia" w:ascii="宋体" w:hAnsi="宋体" w:cs="宋体"/>
          <w:b/>
          <w:sz w:val="32"/>
        </w:rPr>
        <w:t>五、技术、服务应答表</w:t>
      </w:r>
      <w:bookmarkEnd w:id="159"/>
    </w:p>
    <w:p>
      <w:pPr>
        <w:pStyle w:val="2"/>
        <w:spacing w:after="0" w:line="360" w:lineRule="auto"/>
        <w:rPr>
          <w:rFonts w:ascii="宋体" w:hAnsi="宋体" w:cs="宋体"/>
          <w:sz w:val="24"/>
        </w:rPr>
      </w:pPr>
      <w:r>
        <w:rPr>
          <w:rFonts w:hint="eastAsia" w:ascii="宋体" w:hAnsi="宋体" w:cs="宋体"/>
          <w:sz w:val="24"/>
        </w:rPr>
        <w:t>项目名称：</w:t>
      </w:r>
    </w:p>
    <w:p>
      <w:pPr>
        <w:spacing w:line="360" w:lineRule="auto"/>
        <w:rPr>
          <w:rFonts w:ascii="宋体" w:hAnsi="宋体" w:cs="宋体"/>
          <w:sz w:val="24"/>
        </w:rPr>
      </w:pPr>
      <w:r>
        <w:rPr>
          <w:rFonts w:hint="eastAsia" w:ascii="宋体" w:hAnsi="宋体" w:cs="宋体"/>
          <w:sz w:val="24"/>
        </w:rPr>
        <w:t>采购编号：</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0"/>
        <w:gridCol w:w="1056"/>
        <w:gridCol w:w="3071"/>
        <w:gridCol w:w="3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17" w:type="pct"/>
            <w:vAlign w:val="center"/>
          </w:tcPr>
          <w:p>
            <w:pPr>
              <w:pStyle w:val="40"/>
              <w:spacing w:before="172" w:line="360" w:lineRule="auto"/>
              <w:jc w:val="center"/>
              <w:rPr>
                <w:sz w:val="24"/>
              </w:rPr>
            </w:pPr>
            <w:r>
              <w:rPr>
                <w:rFonts w:hint="eastAsia"/>
                <w:sz w:val="24"/>
              </w:rPr>
              <w:t>序号</w:t>
            </w:r>
          </w:p>
        </w:tc>
        <w:tc>
          <w:tcPr>
            <w:tcW w:w="635" w:type="pct"/>
            <w:vAlign w:val="center"/>
          </w:tcPr>
          <w:p>
            <w:pPr>
              <w:pStyle w:val="40"/>
              <w:spacing w:before="172" w:line="360" w:lineRule="auto"/>
              <w:jc w:val="center"/>
              <w:rPr>
                <w:sz w:val="24"/>
              </w:rPr>
            </w:pPr>
            <w:r>
              <w:rPr>
                <w:rFonts w:hint="eastAsia"/>
                <w:sz w:val="24"/>
              </w:rPr>
              <w:t>包号</w:t>
            </w:r>
          </w:p>
        </w:tc>
        <w:tc>
          <w:tcPr>
            <w:tcW w:w="1847" w:type="pct"/>
            <w:vAlign w:val="center"/>
          </w:tcPr>
          <w:p>
            <w:pPr>
              <w:pStyle w:val="40"/>
              <w:spacing w:before="172" w:line="360" w:lineRule="auto"/>
              <w:jc w:val="center"/>
              <w:rPr>
                <w:sz w:val="24"/>
              </w:rPr>
            </w:pPr>
            <w:r>
              <w:rPr>
                <w:rFonts w:hint="eastAsia"/>
                <w:sz w:val="24"/>
              </w:rPr>
              <w:t>招标文件要求</w:t>
            </w:r>
          </w:p>
        </w:tc>
        <w:tc>
          <w:tcPr>
            <w:tcW w:w="1999" w:type="pct"/>
            <w:vAlign w:val="center"/>
          </w:tcPr>
          <w:p>
            <w:pPr>
              <w:pStyle w:val="40"/>
              <w:spacing w:before="172" w:line="360" w:lineRule="auto"/>
              <w:jc w:val="center"/>
              <w:rPr>
                <w:sz w:val="24"/>
              </w:rPr>
            </w:pPr>
            <w:r>
              <w:rPr>
                <w:rFonts w:hint="eastAsia"/>
                <w:sz w:val="24"/>
              </w:rPr>
              <w:t>投标应答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bl>
    <w:p>
      <w:pPr>
        <w:pStyle w:val="2"/>
        <w:spacing w:line="360" w:lineRule="auto"/>
        <w:ind w:right="1946"/>
        <w:rPr>
          <w:rFonts w:ascii="宋体" w:hAnsi="宋体" w:cs="宋体"/>
        </w:rPr>
      </w:pP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注：</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1.供应商必须据实填写，不得虚假填写，否则将取消其投标或中标资格。</w:t>
      </w:r>
    </w:p>
    <w:p>
      <w:pPr>
        <w:pStyle w:val="2"/>
        <w:spacing w:before="48" w:line="360" w:lineRule="auto"/>
        <w:ind w:firstLine="480" w:firstLineChars="200"/>
        <w:rPr>
          <w:rFonts w:ascii="宋体" w:hAnsi="宋体" w:cs="宋体"/>
          <w:sz w:val="24"/>
          <w:szCs w:val="32"/>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供应商名称：XXXX（单位盖章）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 XXXX</w:t>
      </w:r>
    </w:p>
    <w:p>
      <w:pPr>
        <w:pStyle w:val="2"/>
        <w:spacing w:before="48" w:line="360" w:lineRule="auto"/>
        <w:ind w:firstLine="420" w:firstLineChars="200"/>
        <w:rPr>
          <w:rFonts w:ascii="宋体" w:hAnsi="宋体" w:cs="宋体"/>
        </w:rPr>
      </w:pPr>
    </w:p>
    <w:p>
      <w:pPr>
        <w:spacing w:line="360" w:lineRule="auto"/>
        <w:rPr>
          <w:rFonts w:ascii="宋体" w:hAnsi="宋体" w:cs="宋体"/>
        </w:rPr>
        <w:sectPr>
          <w:pgSz w:w="11910" w:h="16840"/>
          <w:pgMar w:top="1440" w:right="1803" w:bottom="1440" w:left="1803" w:header="720" w:footer="720" w:gutter="0"/>
          <w:cols w:space="425" w:num="1"/>
        </w:sectPr>
      </w:pPr>
    </w:p>
    <w:p>
      <w:pPr>
        <w:spacing w:before="240" w:beforeLines="100" w:after="240" w:afterLines="100" w:line="360" w:lineRule="auto"/>
        <w:jc w:val="center"/>
        <w:outlineLvl w:val="2"/>
        <w:rPr>
          <w:rFonts w:ascii="宋体" w:hAnsi="宋体" w:cs="宋体"/>
        </w:rPr>
      </w:pPr>
      <w:bookmarkStart w:id="160" w:name="_Toc6414"/>
      <w:r>
        <w:rPr>
          <w:rFonts w:hint="eastAsia" w:ascii="宋体" w:hAnsi="宋体" w:cs="宋体"/>
          <w:b/>
          <w:sz w:val="32"/>
        </w:rPr>
        <w:t>六、商务应答表</w:t>
      </w:r>
      <w:bookmarkEnd w:id="160"/>
    </w:p>
    <w:p>
      <w:pPr>
        <w:pStyle w:val="2"/>
        <w:spacing w:after="0" w:line="360" w:lineRule="auto"/>
        <w:rPr>
          <w:rFonts w:ascii="宋体" w:hAnsi="宋体" w:cs="宋体"/>
          <w:sz w:val="24"/>
        </w:rPr>
      </w:pPr>
      <w:r>
        <w:rPr>
          <w:rFonts w:hint="eastAsia" w:ascii="宋体" w:hAnsi="宋体" w:cs="宋体"/>
          <w:sz w:val="24"/>
        </w:rPr>
        <w:t>项目名称：</w:t>
      </w:r>
    </w:p>
    <w:p>
      <w:pPr>
        <w:pStyle w:val="2"/>
        <w:spacing w:after="0" w:line="360" w:lineRule="auto"/>
        <w:rPr>
          <w:rFonts w:ascii="宋体" w:hAnsi="宋体" w:cs="宋体"/>
          <w:sz w:val="24"/>
        </w:rPr>
      </w:pPr>
      <w:r>
        <w:rPr>
          <w:rFonts w:hint="eastAsia" w:ascii="宋体" w:hAnsi="宋体" w:cs="宋体"/>
          <w:sz w:val="24"/>
        </w:rPr>
        <w:t>采购编号：</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0"/>
        <w:gridCol w:w="1056"/>
        <w:gridCol w:w="3071"/>
        <w:gridCol w:w="3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17" w:type="pct"/>
            <w:vAlign w:val="center"/>
          </w:tcPr>
          <w:p>
            <w:pPr>
              <w:pStyle w:val="40"/>
              <w:spacing w:before="172" w:line="360" w:lineRule="auto"/>
              <w:jc w:val="center"/>
              <w:rPr>
                <w:sz w:val="24"/>
              </w:rPr>
            </w:pPr>
            <w:r>
              <w:rPr>
                <w:rFonts w:hint="eastAsia"/>
                <w:sz w:val="24"/>
              </w:rPr>
              <w:t>序号</w:t>
            </w:r>
          </w:p>
        </w:tc>
        <w:tc>
          <w:tcPr>
            <w:tcW w:w="635" w:type="pct"/>
            <w:vAlign w:val="center"/>
          </w:tcPr>
          <w:p>
            <w:pPr>
              <w:pStyle w:val="40"/>
              <w:spacing w:before="172" w:line="360" w:lineRule="auto"/>
              <w:jc w:val="center"/>
              <w:rPr>
                <w:sz w:val="24"/>
              </w:rPr>
            </w:pPr>
            <w:r>
              <w:rPr>
                <w:rFonts w:hint="eastAsia"/>
                <w:sz w:val="24"/>
              </w:rPr>
              <w:t>包号</w:t>
            </w:r>
          </w:p>
        </w:tc>
        <w:tc>
          <w:tcPr>
            <w:tcW w:w="1847" w:type="pct"/>
            <w:vAlign w:val="center"/>
          </w:tcPr>
          <w:p>
            <w:pPr>
              <w:pStyle w:val="40"/>
              <w:spacing w:before="172" w:line="360" w:lineRule="auto"/>
              <w:jc w:val="center"/>
              <w:rPr>
                <w:sz w:val="24"/>
              </w:rPr>
            </w:pPr>
            <w:r>
              <w:rPr>
                <w:rFonts w:hint="eastAsia"/>
                <w:sz w:val="24"/>
              </w:rPr>
              <w:t>招标文件要求</w:t>
            </w:r>
          </w:p>
        </w:tc>
        <w:tc>
          <w:tcPr>
            <w:tcW w:w="1999" w:type="pct"/>
            <w:vAlign w:val="center"/>
          </w:tcPr>
          <w:p>
            <w:pPr>
              <w:pStyle w:val="40"/>
              <w:spacing w:before="172" w:line="360" w:lineRule="auto"/>
              <w:jc w:val="center"/>
              <w:rPr>
                <w:sz w:val="24"/>
              </w:rPr>
            </w:pPr>
            <w:r>
              <w:rPr>
                <w:rFonts w:hint="eastAsia"/>
                <w:sz w:val="24"/>
              </w:rPr>
              <w:t>投标应答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517" w:type="pct"/>
          </w:tcPr>
          <w:p>
            <w:pPr>
              <w:pStyle w:val="40"/>
              <w:spacing w:line="360" w:lineRule="auto"/>
              <w:rPr>
                <w:sz w:val="24"/>
              </w:rPr>
            </w:pPr>
          </w:p>
        </w:tc>
        <w:tc>
          <w:tcPr>
            <w:tcW w:w="635" w:type="pct"/>
          </w:tcPr>
          <w:p>
            <w:pPr>
              <w:pStyle w:val="40"/>
              <w:spacing w:line="360" w:lineRule="auto"/>
              <w:rPr>
                <w:sz w:val="24"/>
              </w:rPr>
            </w:pPr>
          </w:p>
        </w:tc>
        <w:tc>
          <w:tcPr>
            <w:tcW w:w="1847" w:type="pct"/>
          </w:tcPr>
          <w:p>
            <w:pPr>
              <w:pStyle w:val="40"/>
              <w:spacing w:line="360" w:lineRule="auto"/>
              <w:rPr>
                <w:sz w:val="24"/>
              </w:rPr>
            </w:pPr>
          </w:p>
        </w:tc>
        <w:tc>
          <w:tcPr>
            <w:tcW w:w="1999" w:type="pct"/>
          </w:tcPr>
          <w:p>
            <w:pPr>
              <w:pStyle w:val="40"/>
              <w:spacing w:line="360" w:lineRule="auto"/>
              <w:rPr>
                <w:sz w:val="24"/>
              </w:rPr>
            </w:pPr>
          </w:p>
        </w:tc>
      </w:tr>
    </w:tbl>
    <w:p>
      <w:pPr>
        <w:pStyle w:val="2"/>
        <w:spacing w:before="48" w:line="360" w:lineRule="auto"/>
        <w:ind w:firstLine="480" w:firstLineChars="200"/>
        <w:rPr>
          <w:rFonts w:ascii="宋体" w:hAnsi="宋体" w:cs="宋体"/>
          <w:sz w:val="24"/>
          <w:szCs w:val="32"/>
        </w:rPr>
      </w:pP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注：</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1.供应商必须据实填写，不得虚假填写，否则将取消其投标或中标资格。</w:t>
      </w:r>
    </w:p>
    <w:p>
      <w:pPr>
        <w:pStyle w:val="2"/>
        <w:spacing w:before="48" w:line="360" w:lineRule="auto"/>
        <w:ind w:firstLine="420" w:firstLineChars="200"/>
        <w:rPr>
          <w:rFonts w:ascii="宋体" w:hAnsi="宋体" w:cs="宋体"/>
        </w:rPr>
      </w:pPr>
    </w:p>
    <w:p>
      <w:pPr>
        <w:pStyle w:val="2"/>
        <w:spacing w:before="48" w:line="360" w:lineRule="auto"/>
        <w:ind w:firstLine="480" w:firstLineChars="200"/>
        <w:rPr>
          <w:rFonts w:ascii="宋体" w:hAnsi="宋体" w:cs="宋体"/>
          <w:sz w:val="24"/>
          <w:szCs w:val="32"/>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供应商名称：XXXX（单位盖章）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 XXXX</w:t>
      </w:r>
    </w:p>
    <w:p>
      <w:pPr>
        <w:rPr>
          <w:rFonts w:ascii="宋体" w:hAnsi="宋体" w:cs="宋体"/>
          <w:b/>
          <w:sz w:val="28"/>
        </w:rPr>
      </w:pPr>
      <w:r>
        <w:rPr>
          <w:rFonts w:hint="eastAsia" w:ascii="宋体" w:hAnsi="宋体" w:cs="宋体"/>
          <w:b/>
          <w:sz w:val="28"/>
        </w:rPr>
        <w:br w:type="page"/>
      </w:r>
    </w:p>
    <w:p>
      <w:pPr>
        <w:spacing w:before="240" w:beforeLines="100" w:after="240" w:afterLines="100" w:line="360" w:lineRule="auto"/>
        <w:jc w:val="center"/>
        <w:outlineLvl w:val="2"/>
        <w:rPr>
          <w:rFonts w:ascii="宋体" w:hAnsi="宋体" w:cs="宋体"/>
          <w:b/>
          <w:sz w:val="32"/>
        </w:rPr>
      </w:pPr>
      <w:bookmarkStart w:id="161" w:name="_Toc23286"/>
      <w:r>
        <w:rPr>
          <w:rFonts w:hint="eastAsia" w:ascii="宋体" w:hAnsi="宋体" w:cs="宋体"/>
          <w:b/>
          <w:sz w:val="32"/>
        </w:rPr>
        <w:t>七、供应商基本情况表</w:t>
      </w:r>
      <w:bookmarkEnd w:id="161"/>
    </w:p>
    <w:p>
      <w:pPr>
        <w:pStyle w:val="2"/>
        <w:spacing w:before="11" w:line="360" w:lineRule="auto"/>
        <w:rPr>
          <w:rFonts w:ascii="宋体" w:hAnsi="宋体" w:cs="宋体"/>
          <w:b/>
          <w:sz w:val="10"/>
        </w:rPr>
      </w:pPr>
    </w:p>
    <w:tbl>
      <w:tblPr>
        <w:tblStyle w:val="20"/>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1135"/>
        <w:gridCol w:w="1411"/>
        <w:gridCol w:w="1466"/>
        <w:gridCol w:w="1557"/>
        <w:gridCol w:w="547"/>
        <w:gridCol w:w="504"/>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bottom w:val="single" w:color="000000" w:sz="6" w:space="0"/>
              <w:right w:val="single" w:color="000000" w:sz="6" w:space="0"/>
            </w:tcBorders>
          </w:tcPr>
          <w:p>
            <w:pPr>
              <w:pStyle w:val="40"/>
              <w:spacing w:before="84" w:line="360" w:lineRule="auto"/>
              <w:ind w:left="135" w:right="128"/>
              <w:jc w:val="center"/>
              <w:rPr>
                <w:sz w:val="24"/>
              </w:rPr>
            </w:pPr>
            <w:r>
              <w:rPr>
                <w:rFonts w:hint="eastAsia"/>
                <w:sz w:val="24"/>
              </w:rPr>
              <w:t>供应商名称</w:t>
            </w:r>
          </w:p>
        </w:tc>
        <w:tc>
          <w:tcPr>
            <w:tcW w:w="7990" w:type="dxa"/>
            <w:gridSpan w:val="7"/>
            <w:tcBorders>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757" w:type="dxa"/>
            <w:tcBorders>
              <w:top w:val="single" w:color="000000" w:sz="6" w:space="0"/>
              <w:bottom w:val="single" w:color="000000" w:sz="6" w:space="0"/>
              <w:right w:val="single" w:color="000000" w:sz="6" w:space="0"/>
            </w:tcBorders>
          </w:tcPr>
          <w:p>
            <w:pPr>
              <w:pStyle w:val="40"/>
              <w:spacing w:before="91" w:line="360" w:lineRule="auto"/>
              <w:ind w:left="135" w:right="128"/>
              <w:jc w:val="center"/>
              <w:rPr>
                <w:sz w:val="24"/>
              </w:rPr>
            </w:pPr>
            <w:r>
              <w:rPr>
                <w:rFonts w:hint="eastAsia"/>
                <w:sz w:val="24"/>
              </w:rPr>
              <w:t>注册地址</w:t>
            </w:r>
          </w:p>
        </w:tc>
        <w:tc>
          <w:tcPr>
            <w:tcW w:w="4012" w:type="dxa"/>
            <w:gridSpan w:val="3"/>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557" w:type="dxa"/>
            <w:tcBorders>
              <w:top w:val="single" w:color="000000" w:sz="6" w:space="0"/>
              <w:left w:val="single" w:color="000000" w:sz="6" w:space="0"/>
              <w:bottom w:val="single" w:color="000000" w:sz="6" w:space="0"/>
              <w:right w:val="single" w:color="000000" w:sz="6" w:space="0"/>
            </w:tcBorders>
          </w:tcPr>
          <w:p>
            <w:pPr>
              <w:pStyle w:val="40"/>
              <w:spacing w:before="91" w:line="360" w:lineRule="auto"/>
              <w:ind w:left="280" w:right="262"/>
              <w:jc w:val="center"/>
              <w:rPr>
                <w:sz w:val="24"/>
              </w:rPr>
            </w:pPr>
            <w:r>
              <w:rPr>
                <w:rFonts w:hint="eastAsia"/>
                <w:sz w:val="24"/>
              </w:rPr>
              <w:t>邮政编码</w:t>
            </w:r>
          </w:p>
        </w:tc>
        <w:tc>
          <w:tcPr>
            <w:tcW w:w="2421" w:type="dxa"/>
            <w:gridSpan w:val="3"/>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757" w:type="dxa"/>
            <w:vMerge w:val="restart"/>
            <w:tcBorders>
              <w:top w:val="single" w:color="000000" w:sz="6" w:space="0"/>
              <w:bottom w:val="single" w:color="000000" w:sz="6" w:space="0"/>
              <w:right w:val="single" w:color="000000" w:sz="6" w:space="0"/>
            </w:tcBorders>
          </w:tcPr>
          <w:p>
            <w:pPr>
              <w:pStyle w:val="40"/>
              <w:spacing w:before="8" w:line="360" w:lineRule="auto"/>
              <w:rPr>
                <w:b/>
                <w:sz w:val="25"/>
              </w:rPr>
            </w:pPr>
          </w:p>
          <w:p>
            <w:pPr>
              <w:pStyle w:val="40"/>
              <w:spacing w:line="360" w:lineRule="auto"/>
              <w:ind w:left="395"/>
              <w:rPr>
                <w:sz w:val="24"/>
              </w:rPr>
            </w:pPr>
            <w:r>
              <w:rPr>
                <w:rFonts w:hint="eastAsia"/>
                <w:sz w:val="24"/>
              </w:rPr>
              <w:t>联系方式</w:t>
            </w:r>
          </w:p>
        </w:tc>
        <w:tc>
          <w:tcPr>
            <w:tcW w:w="1135" w:type="dxa"/>
            <w:tcBorders>
              <w:top w:val="single" w:color="000000" w:sz="6" w:space="0"/>
              <w:left w:val="single" w:color="000000" w:sz="6" w:space="0"/>
              <w:bottom w:val="single" w:color="000000" w:sz="6" w:space="0"/>
              <w:right w:val="single" w:color="000000" w:sz="6" w:space="0"/>
            </w:tcBorders>
          </w:tcPr>
          <w:p>
            <w:pPr>
              <w:pStyle w:val="40"/>
              <w:spacing w:before="81" w:line="360" w:lineRule="auto"/>
              <w:ind w:left="183" w:right="176"/>
              <w:jc w:val="center"/>
              <w:rPr>
                <w:sz w:val="24"/>
              </w:rPr>
            </w:pPr>
            <w:r>
              <w:rPr>
                <w:rFonts w:hint="eastAsia"/>
                <w:sz w:val="24"/>
              </w:rPr>
              <w:t>联系人</w:t>
            </w:r>
          </w:p>
        </w:tc>
        <w:tc>
          <w:tcPr>
            <w:tcW w:w="2877"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557" w:type="dxa"/>
            <w:tcBorders>
              <w:top w:val="single" w:color="000000" w:sz="6" w:space="0"/>
              <w:left w:val="single" w:color="000000" w:sz="6" w:space="0"/>
              <w:bottom w:val="single" w:color="000000" w:sz="6" w:space="0"/>
              <w:right w:val="single" w:color="000000" w:sz="6" w:space="0"/>
            </w:tcBorders>
          </w:tcPr>
          <w:p>
            <w:pPr>
              <w:pStyle w:val="40"/>
              <w:spacing w:before="81" w:line="360" w:lineRule="auto"/>
              <w:ind w:left="271" w:right="262"/>
              <w:jc w:val="center"/>
              <w:rPr>
                <w:sz w:val="24"/>
              </w:rPr>
            </w:pPr>
            <w:r>
              <w:rPr>
                <w:rFonts w:hint="eastAsia"/>
                <w:sz w:val="24"/>
              </w:rPr>
              <w:t>电话</w:t>
            </w:r>
          </w:p>
        </w:tc>
        <w:tc>
          <w:tcPr>
            <w:tcW w:w="2421" w:type="dxa"/>
            <w:gridSpan w:val="3"/>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vMerge w:val="continue"/>
            <w:tcBorders>
              <w:top w:val="nil"/>
              <w:bottom w:val="single" w:color="000000" w:sz="6" w:space="0"/>
              <w:right w:val="single" w:color="000000" w:sz="6" w:space="0"/>
            </w:tcBorders>
          </w:tcPr>
          <w:p>
            <w:pPr>
              <w:spacing w:line="360" w:lineRule="auto"/>
              <w:rPr>
                <w:rFonts w:ascii="宋体" w:hAnsi="宋体" w:cs="宋体"/>
                <w:sz w:val="2"/>
                <w:szCs w:val="2"/>
              </w:rPr>
            </w:pPr>
          </w:p>
        </w:tc>
        <w:tc>
          <w:tcPr>
            <w:tcW w:w="1135" w:type="dxa"/>
            <w:tcBorders>
              <w:top w:val="single" w:color="000000" w:sz="6" w:space="0"/>
              <w:left w:val="single" w:color="000000" w:sz="6" w:space="0"/>
              <w:bottom w:val="single" w:color="000000" w:sz="6" w:space="0"/>
              <w:right w:val="single" w:color="000000" w:sz="6" w:space="0"/>
            </w:tcBorders>
          </w:tcPr>
          <w:p>
            <w:pPr>
              <w:pStyle w:val="40"/>
              <w:spacing w:before="83" w:line="360" w:lineRule="auto"/>
              <w:ind w:left="183" w:right="176"/>
              <w:jc w:val="center"/>
              <w:rPr>
                <w:sz w:val="24"/>
              </w:rPr>
            </w:pPr>
            <w:r>
              <w:rPr>
                <w:rFonts w:hint="eastAsia"/>
                <w:sz w:val="24"/>
              </w:rPr>
              <w:t>传真</w:t>
            </w:r>
          </w:p>
        </w:tc>
        <w:tc>
          <w:tcPr>
            <w:tcW w:w="2877"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557" w:type="dxa"/>
            <w:tcBorders>
              <w:top w:val="single" w:color="000000" w:sz="6" w:space="0"/>
              <w:left w:val="single" w:color="000000" w:sz="6" w:space="0"/>
              <w:bottom w:val="single" w:color="000000" w:sz="6" w:space="0"/>
              <w:right w:val="single" w:color="000000" w:sz="6" w:space="0"/>
            </w:tcBorders>
          </w:tcPr>
          <w:p>
            <w:pPr>
              <w:pStyle w:val="40"/>
              <w:spacing w:before="83" w:line="360" w:lineRule="auto"/>
              <w:ind w:left="271" w:right="262"/>
              <w:jc w:val="center"/>
              <w:rPr>
                <w:sz w:val="24"/>
              </w:rPr>
            </w:pPr>
            <w:r>
              <w:rPr>
                <w:rFonts w:hint="eastAsia"/>
                <w:sz w:val="24"/>
              </w:rPr>
              <w:t>网址</w:t>
            </w:r>
          </w:p>
        </w:tc>
        <w:tc>
          <w:tcPr>
            <w:tcW w:w="2421" w:type="dxa"/>
            <w:gridSpan w:val="3"/>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组织结构</w:t>
            </w:r>
          </w:p>
        </w:tc>
        <w:tc>
          <w:tcPr>
            <w:tcW w:w="7990" w:type="dxa"/>
            <w:gridSpan w:val="7"/>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top w:val="single" w:color="000000" w:sz="6" w:space="0"/>
              <w:bottom w:val="single" w:color="000000" w:sz="6" w:space="0"/>
              <w:right w:val="single" w:color="000000" w:sz="6" w:space="0"/>
            </w:tcBorders>
          </w:tcPr>
          <w:p>
            <w:pPr>
              <w:pStyle w:val="40"/>
              <w:spacing w:before="86" w:line="360" w:lineRule="auto"/>
              <w:ind w:left="135" w:right="128"/>
              <w:jc w:val="center"/>
              <w:rPr>
                <w:sz w:val="24"/>
              </w:rPr>
            </w:pPr>
            <w:r>
              <w:rPr>
                <w:rFonts w:hint="eastAsia"/>
                <w:sz w:val="24"/>
              </w:rPr>
              <w:t>法定代表人</w:t>
            </w:r>
          </w:p>
        </w:tc>
        <w:tc>
          <w:tcPr>
            <w:tcW w:w="1135" w:type="dxa"/>
            <w:tcBorders>
              <w:top w:val="single" w:color="000000" w:sz="6" w:space="0"/>
              <w:left w:val="single" w:color="000000" w:sz="6" w:space="0"/>
              <w:bottom w:val="single" w:color="000000" w:sz="6" w:space="0"/>
              <w:right w:val="single" w:color="000000" w:sz="6" w:space="0"/>
            </w:tcBorders>
          </w:tcPr>
          <w:p>
            <w:pPr>
              <w:pStyle w:val="40"/>
              <w:spacing w:before="86" w:line="360" w:lineRule="auto"/>
              <w:ind w:left="183" w:right="176"/>
              <w:jc w:val="center"/>
              <w:rPr>
                <w:sz w:val="24"/>
              </w:rPr>
            </w:pPr>
            <w:r>
              <w:rPr>
                <w:rFonts w:hint="eastAsia"/>
                <w:sz w:val="24"/>
              </w:rPr>
              <w:t>姓名</w:t>
            </w:r>
          </w:p>
        </w:tc>
        <w:tc>
          <w:tcPr>
            <w:tcW w:w="1411" w:type="dxa"/>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tcBorders>
              <w:top w:val="single" w:color="000000" w:sz="6" w:space="0"/>
              <w:left w:val="single" w:color="000000" w:sz="6" w:space="0"/>
              <w:bottom w:val="single" w:color="000000" w:sz="6" w:space="0"/>
              <w:right w:val="single" w:color="000000" w:sz="6" w:space="0"/>
            </w:tcBorders>
          </w:tcPr>
          <w:p>
            <w:pPr>
              <w:pStyle w:val="40"/>
              <w:spacing w:before="86" w:line="360" w:lineRule="auto"/>
              <w:ind w:left="229" w:right="221"/>
              <w:jc w:val="center"/>
              <w:rPr>
                <w:sz w:val="24"/>
              </w:rPr>
            </w:pPr>
            <w:r>
              <w:rPr>
                <w:rFonts w:hint="eastAsia"/>
                <w:sz w:val="24"/>
              </w:rPr>
              <w:t>技术职称</w:t>
            </w:r>
          </w:p>
        </w:tc>
        <w:tc>
          <w:tcPr>
            <w:tcW w:w="1557" w:type="dxa"/>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051" w:type="dxa"/>
            <w:gridSpan w:val="2"/>
            <w:tcBorders>
              <w:top w:val="single" w:color="000000" w:sz="6" w:space="0"/>
              <w:left w:val="single" w:color="000000" w:sz="6" w:space="0"/>
              <w:bottom w:val="single" w:color="000000" w:sz="6" w:space="0"/>
              <w:right w:val="single" w:color="000000" w:sz="6" w:space="0"/>
            </w:tcBorders>
            <w:vAlign w:val="center"/>
          </w:tcPr>
          <w:p>
            <w:pPr>
              <w:pStyle w:val="40"/>
              <w:spacing w:before="86" w:line="360" w:lineRule="auto"/>
              <w:jc w:val="center"/>
              <w:rPr>
                <w:sz w:val="24"/>
              </w:rPr>
            </w:pPr>
            <w:r>
              <w:rPr>
                <w:rFonts w:hint="eastAsia"/>
                <w:sz w:val="24"/>
              </w:rPr>
              <w:t>电话</w:t>
            </w:r>
          </w:p>
        </w:tc>
        <w:tc>
          <w:tcPr>
            <w:tcW w:w="1370" w:type="dxa"/>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技术负责人</w:t>
            </w:r>
          </w:p>
        </w:tc>
        <w:tc>
          <w:tcPr>
            <w:tcW w:w="1135" w:type="dxa"/>
            <w:tcBorders>
              <w:top w:val="single" w:color="000000" w:sz="6" w:space="0"/>
              <w:left w:val="single" w:color="000000" w:sz="6" w:space="0"/>
              <w:bottom w:val="single" w:color="000000" w:sz="6" w:space="0"/>
              <w:right w:val="single" w:color="000000" w:sz="6" w:space="0"/>
            </w:tcBorders>
          </w:tcPr>
          <w:p>
            <w:pPr>
              <w:pStyle w:val="40"/>
              <w:spacing w:before="83" w:line="360" w:lineRule="auto"/>
              <w:ind w:left="183" w:right="176"/>
              <w:jc w:val="center"/>
              <w:rPr>
                <w:sz w:val="24"/>
              </w:rPr>
            </w:pPr>
            <w:r>
              <w:rPr>
                <w:rFonts w:hint="eastAsia"/>
                <w:sz w:val="24"/>
              </w:rPr>
              <w:t>姓名</w:t>
            </w:r>
          </w:p>
        </w:tc>
        <w:tc>
          <w:tcPr>
            <w:tcW w:w="1411" w:type="dxa"/>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tcBorders>
              <w:top w:val="single" w:color="000000" w:sz="6" w:space="0"/>
              <w:left w:val="single" w:color="000000" w:sz="6" w:space="0"/>
              <w:bottom w:val="single" w:color="000000" w:sz="6" w:space="0"/>
              <w:right w:val="single" w:color="000000" w:sz="6" w:space="0"/>
            </w:tcBorders>
          </w:tcPr>
          <w:p>
            <w:pPr>
              <w:pStyle w:val="40"/>
              <w:spacing w:before="83" w:line="360" w:lineRule="auto"/>
              <w:ind w:left="229" w:right="221"/>
              <w:jc w:val="center"/>
              <w:rPr>
                <w:sz w:val="24"/>
              </w:rPr>
            </w:pPr>
            <w:r>
              <w:rPr>
                <w:rFonts w:hint="eastAsia"/>
                <w:sz w:val="24"/>
              </w:rPr>
              <w:t>技术职称</w:t>
            </w:r>
          </w:p>
        </w:tc>
        <w:tc>
          <w:tcPr>
            <w:tcW w:w="1557" w:type="dxa"/>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051" w:type="dxa"/>
            <w:gridSpan w:val="2"/>
            <w:tcBorders>
              <w:top w:val="single" w:color="000000" w:sz="6" w:space="0"/>
              <w:left w:val="single" w:color="000000" w:sz="6" w:space="0"/>
              <w:bottom w:val="single" w:color="000000" w:sz="6" w:space="0"/>
              <w:right w:val="single" w:color="000000" w:sz="6" w:space="0"/>
            </w:tcBorders>
            <w:vAlign w:val="center"/>
          </w:tcPr>
          <w:p>
            <w:pPr>
              <w:pStyle w:val="40"/>
              <w:spacing w:before="83" w:line="360" w:lineRule="auto"/>
              <w:jc w:val="center"/>
              <w:rPr>
                <w:sz w:val="24"/>
              </w:rPr>
            </w:pPr>
            <w:r>
              <w:rPr>
                <w:rFonts w:hint="eastAsia"/>
                <w:sz w:val="24"/>
              </w:rPr>
              <w:t>电话</w:t>
            </w:r>
          </w:p>
        </w:tc>
        <w:tc>
          <w:tcPr>
            <w:tcW w:w="1370" w:type="dxa"/>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成立时间</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5444" w:type="dxa"/>
            <w:gridSpan w:val="5"/>
            <w:tcBorders>
              <w:top w:val="single" w:color="000000" w:sz="6" w:space="0"/>
              <w:left w:val="single" w:color="000000" w:sz="6" w:space="0"/>
              <w:bottom w:val="single" w:color="000000" w:sz="6" w:space="0"/>
            </w:tcBorders>
          </w:tcPr>
          <w:p>
            <w:pPr>
              <w:pStyle w:val="40"/>
              <w:spacing w:before="83" w:line="360" w:lineRule="auto"/>
              <w:ind w:left="1783"/>
              <w:rPr>
                <w:sz w:val="24"/>
              </w:rPr>
            </w:pPr>
            <w:r>
              <w:rPr>
                <w:rFonts w:hint="eastAsia"/>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企业资质等级</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vMerge w:val="restart"/>
            <w:tcBorders>
              <w:top w:val="single" w:color="000000" w:sz="6" w:space="0"/>
              <w:left w:val="single" w:color="000000" w:sz="6" w:space="0"/>
              <w:bottom w:val="single" w:color="000000" w:sz="6" w:space="0"/>
              <w:right w:val="single" w:color="000000" w:sz="6" w:space="0"/>
            </w:tcBorders>
          </w:tcPr>
          <w:p>
            <w:pPr>
              <w:pStyle w:val="40"/>
              <w:spacing w:line="360" w:lineRule="auto"/>
              <w:rPr>
                <w:b/>
                <w:sz w:val="24"/>
              </w:rPr>
            </w:pPr>
          </w:p>
          <w:p>
            <w:pPr>
              <w:pStyle w:val="40"/>
              <w:spacing w:line="360" w:lineRule="auto"/>
              <w:rPr>
                <w:b/>
                <w:sz w:val="24"/>
              </w:rPr>
            </w:pPr>
          </w:p>
          <w:p>
            <w:pPr>
              <w:pStyle w:val="40"/>
              <w:spacing w:before="6" w:line="360" w:lineRule="auto"/>
              <w:rPr>
                <w:b/>
                <w:sz w:val="35"/>
              </w:rPr>
            </w:pPr>
          </w:p>
          <w:p>
            <w:pPr>
              <w:pStyle w:val="40"/>
              <w:spacing w:line="360" w:lineRule="auto"/>
              <w:ind w:left="489"/>
              <w:rPr>
                <w:sz w:val="24"/>
              </w:rPr>
            </w:pPr>
            <w:r>
              <w:rPr>
                <w:rFonts w:hint="eastAsia"/>
                <w:sz w:val="24"/>
              </w:rPr>
              <w:t>其中</w:t>
            </w:r>
          </w:p>
        </w:tc>
        <w:tc>
          <w:tcPr>
            <w:tcW w:w="2104" w:type="dxa"/>
            <w:gridSpan w:val="2"/>
            <w:tcBorders>
              <w:top w:val="single" w:color="000000" w:sz="6" w:space="0"/>
              <w:left w:val="single" w:color="000000" w:sz="6" w:space="0"/>
              <w:bottom w:val="single" w:color="000000" w:sz="6" w:space="0"/>
              <w:right w:val="single" w:color="000000" w:sz="6" w:space="0"/>
            </w:tcBorders>
          </w:tcPr>
          <w:p>
            <w:pPr>
              <w:pStyle w:val="40"/>
              <w:spacing w:before="83" w:line="360" w:lineRule="auto"/>
              <w:ind w:left="569"/>
              <w:rPr>
                <w:sz w:val="24"/>
              </w:rPr>
            </w:pPr>
            <w:r>
              <w:rPr>
                <w:rFonts w:hint="eastAsia"/>
                <w:sz w:val="24"/>
              </w:rPr>
              <w:t>项目经理</w:t>
            </w:r>
          </w:p>
        </w:tc>
        <w:tc>
          <w:tcPr>
            <w:tcW w:w="1874" w:type="dxa"/>
            <w:gridSpan w:val="2"/>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营业执照号</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vMerge w:val="continue"/>
            <w:tcBorders>
              <w:top w:val="nil"/>
              <w:left w:val="single" w:color="000000" w:sz="6" w:space="0"/>
              <w:bottom w:val="single" w:color="000000" w:sz="6" w:space="0"/>
              <w:right w:val="single" w:color="000000" w:sz="6" w:space="0"/>
            </w:tcBorders>
          </w:tcPr>
          <w:p>
            <w:pPr>
              <w:spacing w:line="360" w:lineRule="auto"/>
              <w:rPr>
                <w:rFonts w:ascii="宋体" w:hAnsi="宋体" w:cs="宋体"/>
                <w:sz w:val="2"/>
                <w:szCs w:val="2"/>
              </w:rPr>
            </w:pPr>
          </w:p>
        </w:tc>
        <w:tc>
          <w:tcPr>
            <w:tcW w:w="2104" w:type="dxa"/>
            <w:gridSpan w:val="2"/>
            <w:tcBorders>
              <w:top w:val="single" w:color="000000" w:sz="6" w:space="0"/>
              <w:left w:val="single" w:color="000000" w:sz="6" w:space="0"/>
              <w:bottom w:val="single" w:color="000000" w:sz="6" w:space="0"/>
              <w:right w:val="single" w:color="000000" w:sz="6" w:space="0"/>
            </w:tcBorders>
          </w:tcPr>
          <w:p>
            <w:pPr>
              <w:pStyle w:val="40"/>
              <w:spacing w:before="83" w:line="360" w:lineRule="auto"/>
              <w:ind w:left="329"/>
              <w:rPr>
                <w:sz w:val="24"/>
              </w:rPr>
            </w:pPr>
            <w:r>
              <w:rPr>
                <w:rFonts w:hint="eastAsia"/>
                <w:sz w:val="24"/>
              </w:rPr>
              <w:t>高级职称人员</w:t>
            </w:r>
          </w:p>
        </w:tc>
        <w:tc>
          <w:tcPr>
            <w:tcW w:w="1874" w:type="dxa"/>
            <w:gridSpan w:val="2"/>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757" w:type="dxa"/>
            <w:tcBorders>
              <w:top w:val="single" w:color="000000" w:sz="6" w:space="0"/>
              <w:bottom w:val="single" w:color="000000" w:sz="6" w:space="0"/>
              <w:right w:val="single" w:color="000000" w:sz="6" w:space="0"/>
            </w:tcBorders>
          </w:tcPr>
          <w:p>
            <w:pPr>
              <w:pStyle w:val="40"/>
              <w:spacing w:before="81" w:line="360" w:lineRule="auto"/>
              <w:ind w:left="135" w:right="128"/>
              <w:jc w:val="center"/>
              <w:rPr>
                <w:sz w:val="24"/>
              </w:rPr>
            </w:pPr>
            <w:r>
              <w:rPr>
                <w:rFonts w:hint="eastAsia"/>
                <w:sz w:val="24"/>
              </w:rPr>
              <w:t>注册资金</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vMerge w:val="continue"/>
            <w:tcBorders>
              <w:top w:val="nil"/>
              <w:left w:val="single" w:color="000000" w:sz="6" w:space="0"/>
              <w:bottom w:val="single" w:color="000000" w:sz="6" w:space="0"/>
              <w:right w:val="single" w:color="000000" w:sz="6" w:space="0"/>
            </w:tcBorders>
          </w:tcPr>
          <w:p>
            <w:pPr>
              <w:spacing w:line="360" w:lineRule="auto"/>
              <w:rPr>
                <w:rFonts w:ascii="宋体" w:hAnsi="宋体" w:cs="宋体"/>
                <w:sz w:val="2"/>
                <w:szCs w:val="2"/>
              </w:rPr>
            </w:pPr>
          </w:p>
        </w:tc>
        <w:tc>
          <w:tcPr>
            <w:tcW w:w="2104" w:type="dxa"/>
            <w:gridSpan w:val="2"/>
            <w:tcBorders>
              <w:top w:val="single" w:color="000000" w:sz="6" w:space="0"/>
              <w:left w:val="single" w:color="000000" w:sz="6" w:space="0"/>
              <w:bottom w:val="single" w:color="000000" w:sz="6" w:space="0"/>
              <w:right w:val="single" w:color="000000" w:sz="6" w:space="0"/>
            </w:tcBorders>
          </w:tcPr>
          <w:p>
            <w:pPr>
              <w:pStyle w:val="40"/>
              <w:spacing w:before="81" w:line="360" w:lineRule="auto"/>
              <w:ind w:left="329"/>
              <w:rPr>
                <w:sz w:val="24"/>
              </w:rPr>
            </w:pPr>
            <w:r>
              <w:rPr>
                <w:rFonts w:hint="eastAsia"/>
                <w:sz w:val="24"/>
              </w:rPr>
              <w:t>中级职称人员</w:t>
            </w:r>
          </w:p>
        </w:tc>
        <w:tc>
          <w:tcPr>
            <w:tcW w:w="1874" w:type="dxa"/>
            <w:gridSpan w:val="2"/>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开户银行</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vMerge w:val="continue"/>
            <w:tcBorders>
              <w:top w:val="nil"/>
              <w:left w:val="single" w:color="000000" w:sz="6" w:space="0"/>
              <w:bottom w:val="single" w:color="000000" w:sz="6" w:space="0"/>
              <w:right w:val="single" w:color="000000" w:sz="6" w:space="0"/>
            </w:tcBorders>
          </w:tcPr>
          <w:p>
            <w:pPr>
              <w:spacing w:line="360" w:lineRule="auto"/>
              <w:rPr>
                <w:rFonts w:ascii="宋体" w:hAnsi="宋体" w:cs="宋体"/>
                <w:sz w:val="2"/>
                <w:szCs w:val="2"/>
              </w:rPr>
            </w:pPr>
          </w:p>
        </w:tc>
        <w:tc>
          <w:tcPr>
            <w:tcW w:w="2104" w:type="dxa"/>
            <w:gridSpan w:val="2"/>
            <w:tcBorders>
              <w:top w:val="single" w:color="000000" w:sz="6" w:space="0"/>
              <w:left w:val="single" w:color="000000" w:sz="6" w:space="0"/>
              <w:bottom w:val="single" w:color="000000" w:sz="6" w:space="0"/>
              <w:right w:val="single" w:color="000000" w:sz="6" w:space="0"/>
            </w:tcBorders>
          </w:tcPr>
          <w:p>
            <w:pPr>
              <w:pStyle w:val="40"/>
              <w:spacing w:before="83" w:line="360" w:lineRule="auto"/>
              <w:ind w:left="329"/>
              <w:rPr>
                <w:sz w:val="24"/>
              </w:rPr>
            </w:pPr>
            <w:r>
              <w:rPr>
                <w:rFonts w:hint="eastAsia"/>
                <w:sz w:val="24"/>
              </w:rPr>
              <w:t>初级职称人员</w:t>
            </w:r>
          </w:p>
        </w:tc>
        <w:tc>
          <w:tcPr>
            <w:tcW w:w="1874" w:type="dxa"/>
            <w:gridSpan w:val="2"/>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757" w:type="dxa"/>
            <w:tcBorders>
              <w:top w:val="single" w:color="000000" w:sz="6" w:space="0"/>
              <w:bottom w:val="single" w:color="000000" w:sz="6" w:space="0"/>
              <w:right w:val="single" w:color="000000" w:sz="6" w:space="0"/>
            </w:tcBorders>
          </w:tcPr>
          <w:p>
            <w:pPr>
              <w:pStyle w:val="40"/>
              <w:spacing w:before="83" w:line="360" w:lineRule="auto"/>
              <w:ind w:left="135" w:right="128"/>
              <w:jc w:val="center"/>
              <w:rPr>
                <w:sz w:val="24"/>
              </w:rPr>
            </w:pPr>
            <w:r>
              <w:rPr>
                <w:rFonts w:hint="eastAsia"/>
                <w:sz w:val="24"/>
              </w:rPr>
              <w:t>账号</w:t>
            </w:r>
          </w:p>
        </w:tc>
        <w:tc>
          <w:tcPr>
            <w:tcW w:w="2546" w:type="dxa"/>
            <w:gridSpan w:val="2"/>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1466" w:type="dxa"/>
            <w:vMerge w:val="continue"/>
            <w:tcBorders>
              <w:top w:val="nil"/>
              <w:left w:val="single" w:color="000000" w:sz="6" w:space="0"/>
              <w:bottom w:val="single" w:color="000000" w:sz="6" w:space="0"/>
              <w:right w:val="single" w:color="000000" w:sz="6" w:space="0"/>
            </w:tcBorders>
          </w:tcPr>
          <w:p>
            <w:pPr>
              <w:spacing w:line="360" w:lineRule="auto"/>
              <w:rPr>
                <w:rFonts w:ascii="宋体" w:hAnsi="宋体" w:cs="宋体"/>
                <w:sz w:val="2"/>
                <w:szCs w:val="2"/>
              </w:rPr>
            </w:pPr>
          </w:p>
        </w:tc>
        <w:tc>
          <w:tcPr>
            <w:tcW w:w="2104" w:type="dxa"/>
            <w:gridSpan w:val="2"/>
            <w:tcBorders>
              <w:top w:val="single" w:color="000000" w:sz="6" w:space="0"/>
              <w:left w:val="single" w:color="000000" w:sz="6" w:space="0"/>
              <w:bottom w:val="single" w:color="000000" w:sz="6" w:space="0"/>
              <w:right w:val="single" w:color="000000" w:sz="6" w:space="0"/>
            </w:tcBorders>
          </w:tcPr>
          <w:p>
            <w:pPr>
              <w:pStyle w:val="40"/>
              <w:spacing w:before="83" w:line="360" w:lineRule="auto"/>
              <w:ind w:left="789" w:right="780"/>
              <w:jc w:val="center"/>
              <w:rPr>
                <w:sz w:val="24"/>
              </w:rPr>
            </w:pPr>
            <w:r>
              <w:rPr>
                <w:rFonts w:hint="eastAsia"/>
                <w:sz w:val="24"/>
              </w:rPr>
              <w:t>技工</w:t>
            </w:r>
          </w:p>
        </w:tc>
        <w:tc>
          <w:tcPr>
            <w:tcW w:w="1874" w:type="dxa"/>
            <w:gridSpan w:val="2"/>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1757" w:type="dxa"/>
            <w:tcBorders>
              <w:top w:val="single" w:color="000000" w:sz="6" w:space="0"/>
              <w:bottom w:val="single" w:color="000000" w:sz="6" w:space="0"/>
              <w:right w:val="single" w:color="000000" w:sz="6" w:space="0"/>
            </w:tcBorders>
            <w:vAlign w:val="center"/>
          </w:tcPr>
          <w:p>
            <w:pPr>
              <w:pStyle w:val="40"/>
              <w:spacing w:line="360" w:lineRule="auto"/>
              <w:ind w:right="128"/>
              <w:jc w:val="center"/>
              <w:rPr>
                <w:sz w:val="24"/>
              </w:rPr>
            </w:pPr>
            <w:r>
              <w:rPr>
                <w:rFonts w:hint="eastAsia"/>
                <w:sz w:val="24"/>
              </w:rPr>
              <w:t>经营范围</w:t>
            </w:r>
          </w:p>
        </w:tc>
        <w:tc>
          <w:tcPr>
            <w:tcW w:w="7990" w:type="dxa"/>
            <w:gridSpan w:val="7"/>
            <w:tcBorders>
              <w:top w:val="single" w:color="000000" w:sz="6" w:space="0"/>
              <w:left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1757" w:type="dxa"/>
            <w:tcBorders>
              <w:top w:val="single" w:color="000000" w:sz="6" w:space="0"/>
              <w:right w:val="single" w:color="000000" w:sz="6" w:space="0"/>
            </w:tcBorders>
            <w:vAlign w:val="center"/>
          </w:tcPr>
          <w:p>
            <w:pPr>
              <w:pStyle w:val="40"/>
              <w:spacing w:before="83" w:line="360" w:lineRule="auto"/>
              <w:ind w:left="135" w:right="128"/>
              <w:jc w:val="center"/>
              <w:rPr>
                <w:sz w:val="24"/>
              </w:rPr>
            </w:pPr>
            <w:r>
              <w:rPr>
                <w:rFonts w:hint="eastAsia"/>
                <w:sz w:val="24"/>
              </w:rPr>
              <w:t>备注</w:t>
            </w:r>
          </w:p>
        </w:tc>
        <w:tc>
          <w:tcPr>
            <w:tcW w:w="7990" w:type="dxa"/>
            <w:gridSpan w:val="7"/>
            <w:tcBorders>
              <w:top w:val="single" w:color="000000" w:sz="6" w:space="0"/>
              <w:left w:val="single" w:color="000000" w:sz="6" w:space="0"/>
            </w:tcBorders>
          </w:tcPr>
          <w:p>
            <w:pPr>
              <w:pStyle w:val="40"/>
              <w:spacing w:line="360" w:lineRule="auto"/>
              <w:rPr>
                <w:sz w:val="24"/>
              </w:rPr>
            </w:pPr>
          </w:p>
        </w:tc>
      </w:tr>
    </w:tbl>
    <w:p>
      <w:pPr>
        <w:pStyle w:val="2"/>
        <w:spacing w:before="48" w:line="360" w:lineRule="auto"/>
        <w:ind w:firstLine="420" w:firstLineChars="200"/>
        <w:rPr>
          <w:rFonts w:ascii="宋体" w:hAnsi="宋体" w:cs="宋体"/>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供应商名称：XXXX（单位盖章）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 XXXX</w:t>
      </w:r>
    </w:p>
    <w:p>
      <w:pPr>
        <w:rPr>
          <w:rFonts w:ascii="宋体" w:hAnsi="宋体" w:cs="宋体"/>
          <w:b/>
          <w:sz w:val="28"/>
        </w:rPr>
      </w:pPr>
      <w:r>
        <w:rPr>
          <w:rFonts w:hint="eastAsia" w:ascii="宋体" w:hAnsi="宋体" w:cs="宋体"/>
          <w:b/>
          <w:sz w:val="28"/>
        </w:rPr>
        <w:br w:type="page"/>
      </w:r>
    </w:p>
    <w:p>
      <w:pPr>
        <w:spacing w:before="240" w:beforeLines="100" w:after="240" w:afterLines="100" w:line="360" w:lineRule="auto"/>
        <w:jc w:val="center"/>
        <w:outlineLvl w:val="2"/>
        <w:rPr>
          <w:rFonts w:ascii="宋体" w:hAnsi="宋体" w:cs="宋体"/>
          <w:b/>
          <w:sz w:val="20"/>
        </w:rPr>
      </w:pPr>
      <w:bookmarkStart w:id="162" w:name="_Toc2352"/>
      <w:r>
        <w:rPr>
          <w:rFonts w:hint="eastAsia" w:ascii="宋体" w:hAnsi="宋体" w:cs="宋体"/>
          <w:b/>
          <w:sz w:val="32"/>
        </w:rPr>
        <w:t>八、供应商类似项目业绩一览表</w:t>
      </w:r>
      <w:bookmarkEnd w:id="162"/>
    </w:p>
    <w:p>
      <w:pPr>
        <w:pStyle w:val="2"/>
        <w:spacing w:before="4" w:line="360" w:lineRule="auto"/>
        <w:rPr>
          <w:rFonts w:ascii="宋体" w:hAnsi="宋体" w:cs="宋体"/>
          <w:b/>
          <w:sz w:val="11"/>
        </w:rPr>
      </w:pPr>
    </w:p>
    <w:tbl>
      <w:tblPr>
        <w:tblStyle w:val="20"/>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1491"/>
        <w:gridCol w:w="1368"/>
        <w:gridCol w:w="1204"/>
        <w:gridCol w:w="1305"/>
        <w:gridCol w:w="1665"/>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bottom w:val="single" w:color="000000" w:sz="6" w:space="0"/>
              <w:right w:val="single" w:color="000000" w:sz="6" w:space="0"/>
            </w:tcBorders>
            <w:vAlign w:val="center"/>
          </w:tcPr>
          <w:p>
            <w:pPr>
              <w:pStyle w:val="40"/>
              <w:spacing w:before="177" w:line="360" w:lineRule="auto"/>
              <w:jc w:val="center"/>
              <w:rPr>
                <w:sz w:val="24"/>
              </w:rPr>
            </w:pPr>
            <w:r>
              <w:rPr>
                <w:rFonts w:hint="eastAsia"/>
                <w:sz w:val="24"/>
              </w:rPr>
              <w:t>年份</w:t>
            </w:r>
          </w:p>
        </w:tc>
        <w:tc>
          <w:tcPr>
            <w:tcW w:w="874" w:type="pct"/>
            <w:tcBorders>
              <w:left w:val="single" w:color="000000" w:sz="6" w:space="0"/>
              <w:bottom w:val="single" w:color="000000" w:sz="6" w:space="0"/>
              <w:right w:val="single" w:color="000000" w:sz="6" w:space="0"/>
            </w:tcBorders>
            <w:vAlign w:val="center"/>
          </w:tcPr>
          <w:p>
            <w:pPr>
              <w:pStyle w:val="40"/>
              <w:spacing w:before="177" w:line="360" w:lineRule="auto"/>
              <w:jc w:val="center"/>
              <w:rPr>
                <w:sz w:val="24"/>
              </w:rPr>
            </w:pPr>
            <w:r>
              <w:rPr>
                <w:rFonts w:hint="eastAsia"/>
                <w:sz w:val="24"/>
              </w:rPr>
              <w:t>用户名称</w:t>
            </w:r>
          </w:p>
        </w:tc>
        <w:tc>
          <w:tcPr>
            <w:tcW w:w="802" w:type="pct"/>
            <w:tcBorders>
              <w:left w:val="single" w:color="000000" w:sz="6" w:space="0"/>
              <w:bottom w:val="single" w:color="000000" w:sz="6" w:space="0"/>
              <w:right w:val="single" w:color="000000" w:sz="6" w:space="0"/>
            </w:tcBorders>
            <w:vAlign w:val="center"/>
          </w:tcPr>
          <w:p>
            <w:pPr>
              <w:pStyle w:val="40"/>
              <w:spacing w:before="177" w:line="360" w:lineRule="auto"/>
              <w:jc w:val="center"/>
              <w:rPr>
                <w:sz w:val="24"/>
              </w:rPr>
            </w:pPr>
            <w:r>
              <w:rPr>
                <w:rFonts w:hint="eastAsia"/>
                <w:sz w:val="24"/>
              </w:rPr>
              <w:t>项目名称</w:t>
            </w:r>
          </w:p>
        </w:tc>
        <w:tc>
          <w:tcPr>
            <w:tcW w:w="706" w:type="pct"/>
            <w:tcBorders>
              <w:left w:val="single" w:color="000000" w:sz="6" w:space="0"/>
              <w:bottom w:val="single" w:color="000000" w:sz="6" w:space="0"/>
              <w:right w:val="single" w:color="000000" w:sz="6" w:space="0"/>
            </w:tcBorders>
            <w:vAlign w:val="center"/>
          </w:tcPr>
          <w:p>
            <w:pPr>
              <w:pStyle w:val="40"/>
              <w:spacing w:before="177" w:line="360" w:lineRule="auto"/>
              <w:jc w:val="center"/>
              <w:rPr>
                <w:sz w:val="24"/>
              </w:rPr>
            </w:pPr>
            <w:r>
              <w:rPr>
                <w:rFonts w:hint="eastAsia"/>
                <w:sz w:val="24"/>
              </w:rPr>
              <w:t>完成时间</w:t>
            </w:r>
          </w:p>
        </w:tc>
        <w:tc>
          <w:tcPr>
            <w:tcW w:w="765" w:type="pct"/>
            <w:tcBorders>
              <w:left w:val="single" w:color="000000" w:sz="6" w:space="0"/>
              <w:bottom w:val="single" w:color="000000" w:sz="6" w:space="0"/>
              <w:right w:val="single" w:color="000000" w:sz="6" w:space="0"/>
            </w:tcBorders>
            <w:vAlign w:val="center"/>
          </w:tcPr>
          <w:p>
            <w:pPr>
              <w:pStyle w:val="40"/>
              <w:spacing w:before="177" w:line="360" w:lineRule="auto"/>
              <w:jc w:val="center"/>
              <w:rPr>
                <w:sz w:val="24"/>
              </w:rPr>
            </w:pPr>
            <w:r>
              <w:rPr>
                <w:rFonts w:hint="eastAsia"/>
                <w:sz w:val="24"/>
              </w:rPr>
              <w:t>合同金额</w:t>
            </w:r>
          </w:p>
        </w:tc>
        <w:tc>
          <w:tcPr>
            <w:tcW w:w="976" w:type="pct"/>
            <w:tcBorders>
              <w:left w:val="single" w:color="000000" w:sz="6" w:space="0"/>
              <w:bottom w:val="single" w:color="000000" w:sz="6" w:space="0"/>
            </w:tcBorders>
            <w:vAlign w:val="center"/>
          </w:tcPr>
          <w:p>
            <w:pPr>
              <w:pStyle w:val="40"/>
              <w:spacing w:before="177" w:line="360" w:lineRule="auto"/>
              <w:jc w:val="center"/>
              <w:rPr>
                <w:sz w:val="24"/>
              </w:rPr>
            </w:pPr>
            <w:r>
              <w:rPr>
                <w:rFonts w:hint="eastAsia"/>
                <w:sz w:val="24"/>
              </w:rPr>
              <w:t>是否通过验收</w:t>
            </w:r>
          </w:p>
        </w:tc>
        <w:tc>
          <w:tcPr>
            <w:tcW w:w="438" w:type="pct"/>
            <w:tcBorders>
              <w:bottom w:val="single" w:color="000000" w:sz="6" w:space="0"/>
            </w:tcBorders>
            <w:vAlign w:val="center"/>
          </w:tcPr>
          <w:p>
            <w:pPr>
              <w:pStyle w:val="40"/>
              <w:spacing w:before="177" w:line="360" w:lineRule="auto"/>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976" w:type="pct"/>
            <w:tcBorders>
              <w:top w:val="single" w:color="000000" w:sz="6" w:space="0"/>
              <w:left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976" w:type="pct"/>
            <w:tcBorders>
              <w:top w:val="single" w:color="000000" w:sz="6" w:space="0"/>
              <w:left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976" w:type="pct"/>
            <w:tcBorders>
              <w:top w:val="single" w:color="000000" w:sz="6" w:space="0"/>
              <w:left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tcBorders>
          </w:tcPr>
          <w:p>
            <w:pPr>
              <w:pStyle w:val="40"/>
              <w:spacing w:line="360" w:lineRule="auto"/>
              <w:rPr>
                <w:sz w:val="24"/>
              </w:rPr>
            </w:pPr>
          </w:p>
        </w:tc>
        <w:tc>
          <w:tcPr>
            <w:tcW w:w="802" w:type="pct"/>
            <w:tcBorders>
              <w:top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976" w:type="pct"/>
            <w:tcBorders>
              <w:top w:val="single" w:color="000000" w:sz="6" w:space="0"/>
              <w:left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tcBorders>
          </w:tcPr>
          <w:p>
            <w:pPr>
              <w:pStyle w:val="40"/>
              <w:spacing w:line="360" w:lineRule="auto"/>
              <w:rPr>
                <w:sz w:val="24"/>
              </w:rPr>
            </w:pPr>
          </w:p>
        </w:tc>
        <w:tc>
          <w:tcPr>
            <w:tcW w:w="874" w:type="pct"/>
            <w:tcBorders>
              <w:top w:val="single" w:color="000000" w:sz="6" w:space="0"/>
              <w:bottom w:val="single" w:color="000000" w:sz="6" w:space="0"/>
            </w:tcBorders>
          </w:tcPr>
          <w:p>
            <w:pPr>
              <w:pStyle w:val="40"/>
              <w:spacing w:line="360" w:lineRule="auto"/>
              <w:rPr>
                <w:sz w:val="24"/>
              </w:rPr>
            </w:pPr>
          </w:p>
        </w:tc>
        <w:tc>
          <w:tcPr>
            <w:tcW w:w="802" w:type="pct"/>
            <w:tcBorders>
              <w:top w:val="single" w:color="000000" w:sz="6" w:space="0"/>
              <w:bottom w:val="single" w:color="000000" w:sz="6" w:space="0"/>
            </w:tcBorders>
          </w:tcPr>
          <w:p>
            <w:pPr>
              <w:pStyle w:val="40"/>
              <w:spacing w:line="360" w:lineRule="auto"/>
              <w:rPr>
                <w:sz w:val="24"/>
              </w:rPr>
            </w:pPr>
          </w:p>
        </w:tc>
        <w:tc>
          <w:tcPr>
            <w:tcW w:w="706" w:type="pct"/>
            <w:tcBorders>
              <w:top w:val="single" w:color="000000" w:sz="6" w:space="0"/>
              <w:bottom w:val="single" w:color="000000" w:sz="6" w:space="0"/>
            </w:tcBorders>
          </w:tcPr>
          <w:p>
            <w:pPr>
              <w:pStyle w:val="40"/>
              <w:spacing w:line="360" w:lineRule="auto"/>
              <w:rPr>
                <w:sz w:val="24"/>
              </w:rPr>
            </w:pPr>
          </w:p>
        </w:tc>
        <w:tc>
          <w:tcPr>
            <w:tcW w:w="765" w:type="pct"/>
            <w:tcBorders>
              <w:top w:val="single" w:color="000000" w:sz="6" w:space="0"/>
              <w:bottom w:val="single" w:color="000000" w:sz="6" w:space="0"/>
            </w:tcBorders>
          </w:tcPr>
          <w:p>
            <w:pPr>
              <w:pStyle w:val="40"/>
              <w:spacing w:line="360" w:lineRule="auto"/>
              <w:rPr>
                <w:sz w:val="24"/>
              </w:rPr>
            </w:pPr>
          </w:p>
        </w:tc>
        <w:tc>
          <w:tcPr>
            <w:tcW w:w="976" w:type="pct"/>
            <w:tcBorders>
              <w:top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tcBorders>
          </w:tcPr>
          <w:p>
            <w:pPr>
              <w:pStyle w:val="40"/>
              <w:spacing w:line="360" w:lineRule="auto"/>
              <w:rPr>
                <w:sz w:val="24"/>
              </w:rPr>
            </w:pPr>
          </w:p>
        </w:tc>
        <w:tc>
          <w:tcPr>
            <w:tcW w:w="976" w:type="pct"/>
            <w:tcBorders>
              <w:top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tcBorders>
          </w:tcPr>
          <w:p>
            <w:pPr>
              <w:pStyle w:val="40"/>
              <w:spacing w:line="360" w:lineRule="auto"/>
              <w:rPr>
                <w:sz w:val="24"/>
              </w:rPr>
            </w:pPr>
          </w:p>
        </w:tc>
        <w:tc>
          <w:tcPr>
            <w:tcW w:w="976" w:type="pct"/>
            <w:tcBorders>
              <w:top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435" w:type="pct"/>
            <w:tcBorders>
              <w:top w:val="single" w:color="000000" w:sz="6" w:space="0"/>
              <w:bottom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bottom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bottom w:val="single" w:color="000000" w:sz="6" w:space="0"/>
            </w:tcBorders>
          </w:tcPr>
          <w:p>
            <w:pPr>
              <w:pStyle w:val="40"/>
              <w:spacing w:line="360" w:lineRule="auto"/>
              <w:rPr>
                <w:sz w:val="24"/>
              </w:rPr>
            </w:pPr>
          </w:p>
        </w:tc>
        <w:tc>
          <w:tcPr>
            <w:tcW w:w="976" w:type="pct"/>
            <w:tcBorders>
              <w:top w:val="single" w:color="000000" w:sz="6" w:space="0"/>
              <w:bottom w:val="single" w:color="000000" w:sz="6" w:space="0"/>
            </w:tcBorders>
          </w:tcPr>
          <w:p>
            <w:pPr>
              <w:pStyle w:val="40"/>
              <w:spacing w:line="360" w:lineRule="auto"/>
              <w:rPr>
                <w:sz w:val="24"/>
              </w:rPr>
            </w:pPr>
          </w:p>
        </w:tc>
        <w:tc>
          <w:tcPr>
            <w:tcW w:w="438" w:type="pct"/>
            <w:tcBorders>
              <w:top w:val="single" w:color="000000" w:sz="6" w:space="0"/>
              <w:bottom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35" w:type="pct"/>
            <w:tcBorders>
              <w:top w:val="single" w:color="000000" w:sz="6" w:space="0"/>
              <w:right w:val="single" w:color="000000" w:sz="6" w:space="0"/>
            </w:tcBorders>
          </w:tcPr>
          <w:p>
            <w:pPr>
              <w:pStyle w:val="40"/>
              <w:spacing w:line="360" w:lineRule="auto"/>
              <w:rPr>
                <w:sz w:val="24"/>
              </w:rPr>
            </w:pPr>
          </w:p>
        </w:tc>
        <w:tc>
          <w:tcPr>
            <w:tcW w:w="874" w:type="pct"/>
            <w:tcBorders>
              <w:top w:val="single" w:color="000000" w:sz="6" w:space="0"/>
              <w:left w:val="single" w:color="000000" w:sz="6" w:space="0"/>
              <w:right w:val="single" w:color="000000" w:sz="6" w:space="0"/>
            </w:tcBorders>
          </w:tcPr>
          <w:p>
            <w:pPr>
              <w:pStyle w:val="40"/>
              <w:spacing w:line="360" w:lineRule="auto"/>
              <w:rPr>
                <w:sz w:val="24"/>
              </w:rPr>
            </w:pPr>
          </w:p>
        </w:tc>
        <w:tc>
          <w:tcPr>
            <w:tcW w:w="802" w:type="pct"/>
            <w:tcBorders>
              <w:top w:val="single" w:color="000000" w:sz="6" w:space="0"/>
              <w:left w:val="single" w:color="000000" w:sz="6" w:space="0"/>
              <w:right w:val="single" w:color="000000" w:sz="6" w:space="0"/>
            </w:tcBorders>
          </w:tcPr>
          <w:p>
            <w:pPr>
              <w:pStyle w:val="40"/>
              <w:spacing w:line="360" w:lineRule="auto"/>
              <w:rPr>
                <w:sz w:val="24"/>
              </w:rPr>
            </w:pPr>
          </w:p>
        </w:tc>
        <w:tc>
          <w:tcPr>
            <w:tcW w:w="706" w:type="pct"/>
            <w:tcBorders>
              <w:top w:val="single" w:color="000000" w:sz="6" w:space="0"/>
              <w:left w:val="single" w:color="000000" w:sz="6" w:space="0"/>
              <w:right w:val="single" w:color="000000" w:sz="6" w:space="0"/>
            </w:tcBorders>
          </w:tcPr>
          <w:p>
            <w:pPr>
              <w:pStyle w:val="40"/>
              <w:spacing w:line="360" w:lineRule="auto"/>
              <w:rPr>
                <w:sz w:val="24"/>
              </w:rPr>
            </w:pPr>
          </w:p>
        </w:tc>
        <w:tc>
          <w:tcPr>
            <w:tcW w:w="765" w:type="pct"/>
            <w:tcBorders>
              <w:top w:val="single" w:color="000000" w:sz="6" w:space="0"/>
              <w:left w:val="single" w:color="000000" w:sz="6" w:space="0"/>
            </w:tcBorders>
          </w:tcPr>
          <w:p>
            <w:pPr>
              <w:pStyle w:val="40"/>
              <w:spacing w:line="360" w:lineRule="auto"/>
              <w:rPr>
                <w:sz w:val="24"/>
              </w:rPr>
            </w:pPr>
          </w:p>
        </w:tc>
        <w:tc>
          <w:tcPr>
            <w:tcW w:w="976" w:type="pct"/>
            <w:tcBorders>
              <w:top w:val="single" w:color="000000" w:sz="6" w:space="0"/>
            </w:tcBorders>
          </w:tcPr>
          <w:p>
            <w:pPr>
              <w:pStyle w:val="40"/>
              <w:spacing w:line="360" w:lineRule="auto"/>
              <w:rPr>
                <w:sz w:val="24"/>
              </w:rPr>
            </w:pPr>
          </w:p>
        </w:tc>
        <w:tc>
          <w:tcPr>
            <w:tcW w:w="438" w:type="pct"/>
            <w:tcBorders>
              <w:top w:val="single" w:color="000000" w:sz="6" w:space="0"/>
            </w:tcBorders>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35" w:type="pct"/>
            <w:tcBorders>
              <w:right w:val="single" w:color="000000" w:sz="6" w:space="0"/>
            </w:tcBorders>
          </w:tcPr>
          <w:p>
            <w:pPr>
              <w:pStyle w:val="40"/>
              <w:spacing w:line="360" w:lineRule="auto"/>
              <w:rPr>
                <w:sz w:val="24"/>
              </w:rPr>
            </w:pPr>
          </w:p>
        </w:tc>
        <w:tc>
          <w:tcPr>
            <w:tcW w:w="874" w:type="pct"/>
            <w:tcBorders>
              <w:left w:val="single" w:color="000000" w:sz="6" w:space="0"/>
              <w:right w:val="single" w:color="000000" w:sz="6" w:space="0"/>
            </w:tcBorders>
          </w:tcPr>
          <w:p>
            <w:pPr>
              <w:pStyle w:val="40"/>
              <w:spacing w:line="360" w:lineRule="auto"/>
              <w:rPr>
                <w:sz w:val="24"/>
              </w:rPr>
            </w:pPr>
          </w:p>
        </w:tc>
        <w:tc>
          <w:tcPr>
            <w:tcW w:w="802" w:type="pct"/>
            <w:tcBorders>
              <w:left w:val="single" w:color="000000" w:sz="6" w:space="0"/>
              <w:right w:val="single" w:color="000000" w:sz="6" w:space="0"/>
            </w:tcBorders>
          </w:tcPr>
          <w:p>
            <w:pPr>
              <w:pStyle w:val="40"/>
              <w:spacing w:line="360" w:lineRule="auto"/>
              <w:rPr>
                <w:sz w:val="24"/>
              </w:rPr>
            </w:pPr>
          </w:p>
        </w:tc>
        <w:tc>
          <w:tcPr>
            <w:tcW w:w="706" w:type="pct"/>
            <w:tcBorders>
              <w:left w:val="single" w:color="000000" w:sz="6" w:space="0"/>
              <w:right w:val="single" w:color="000000" w:sz="6" w:space="0"/>
            </w:tcBorders>
          </w:tcPr>
          <w:p>
            <w:pPr>
              <w:pStyle w:val="40"/>
              <w:spacing w:line="360" w:lineRule="auto"/>
              <w:rPr>
                <w:sz w:val="24"/>
              </w:rPr>
            </w:pPr>
          </w:p>
        </w:tc>
        <w:tc>
          <w:tcPr>
            <w:tcW w:w="765" w:type="pct"/>
            <w:tcBorders>
              <w:left w:val="single" w:color="000000" w:sz="6" w:space="0"/>
            </w:tcBorders>
          </w:tcPr>
          <w:p>
            <w:pPr>
              <w:pStyle w:val="40"/>
              <w:spacing w:line="360" w:lineRule="auto"/>
              <w:rPr>
                <w:sz w:val="24"/>
              </w:rPr>
            </w:pPr>
          </w:p>
        </w:tc>
        <w:tc>
          <w:tcPr>
            <w:tcW w:w="976" w:type="pct"/>
          </w:tcPr>
          <w:p>
            <w:pPr>
              <w:pStyle w:val="40"/>
              <w:spacing w:line="360" w:lineRule="auto"/>
              <w:rPr>
                <w:sz w:val="24"/>
              </w:rPr>
            </w:pPr>
          </w:p>
        </w:tc>
        <w:tc>
          <w:tcPr>
            <w:tcW w:w="438"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35" w:type="pct"/>
            <w:tcBorders>
              <w:right w:val="single" w:color="000000" w:sz="6" w:space="0"/>
            </w:tcBorders>
          </w:tcPr>
          <w:p>
            <w:pPr>
              <w:pStyle w:val="40"/>
              <w:spacing w:line="360" w:lineRule="auto"/>
              <w:rPr>
                <w:sz w:val="24"/>
              </w:rPr>
            </w:pPr>
          </w:p>
        </w:tc>
        <w:tc>
          <w:tcPr>
            <w:tcW w:w="874" w:type="pct"/>
            <w:tcBorders>
              <w:left w:val="single" w:color="000000" w:sz="6" w:space="0"/>
              <w:right w:val="single" w:color="000000" w:sz="6" w:space="0"/>
            </w:tcBorders>
          </w:tcPr>
          <w:p>
            <w:pPr>
              <w:pStyle w:val="40"/>
              <w:spacing w:line="360" w:lineRule="auto"/>
              <w:rPr>
                <w:sz w:val="24"/>
              </w:rPr>
            </w:pPr>
          </w:p>
        </w:tc>
        <w:tc>
          <w:tcPr>
            <w:tcW w:w="802" w:type="pct"/>
            <w:tcBorders>
              <w:left w:val="single" w:color="000000" w:sz="6" w:space="0"/>
              <w:right w:val="single" w:color="000000" w:sz="6" w:space="0"/>
            </w:tcBorders>
          </w:tcPr>
          <w:p>
            <w:pPr>
              <w:pStyle w:val="40"/>
              <w:spacing w:line="360" w:lineRule="auto"/>
              <w:rPr>
                <w:sz w:val="24"/>
              </w:rPr>
            </w:pPr>
          </w:p>
        </w:tc>
        <w:tc>
          <w:tcPr>
            <w:tcW w:w="706" w:type="pct"/>
            <w:tcBorders>
              <w:left w:val="single" w:color="000000" w:sz="6" w:space="0"/>
              <w:right w:val="single" w:color="000000" w:sz="6" w:space="0"/>
            </w:tcBorders>
          </w:tcPr>
          <w:p>
            <w:pPr>
              <w:pStyle w:val="40"/>
              <w:spacing w:line="360" w:lineRule="auto"/>
              <w:rPr>
                <w:sz w:val="24"/>
              </w:rPr>
            </w:pPr>
          </w:p>
        </w:tc>
        <w:tc>
          <w:tcPr>
            <w:tcW w:w="765" w:type="pct"/>
            <w:tcBorders>
              <w:left w:val="single" w:color="000000" w:sz="6" w:space="0"/>
            </w:tcBorders>
          </w:tcPr>
          <w:p>
            <w:pPr>
              <w:pStyle w:val="40"/>
              <w:spacing w:line="360" w:lineRule="auto"/>
              <w:rPr>
                <w:sz w:val="24"/>
              </w:rPr>
            </w:pPr>
          </w:p>
        </w:tc>
        <w:tc>
          <w:tcPr>
            <w:tcW w:w="976" w:type="pct"/>
          </w:tcPr>
          <w:p>
            <w:pPr>
              <w:pStyle w:val="40"/>
              <w:spacing w:line="360" w:lineRule="auto"/>
              <w:rPr>
                <w:sz w:val="24"/>
              </w:rPr>
            </w:pPr>
          </w:p>
        </w:tc>
        <w:tc>
          <w:tcPr>
            <w:tcW w:w="438"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35" w:type="pct"/>
            <w:tcBorders>
              <w:right w:val="single" w:color="000000" w:sz="6" w:space="0"/>
            </w:tcBorders>
          </w:tcPr>
          <w:p>
            <w:pPr>
              <w:pStyle w:val="40"/>
              <w:spacing w:line="360" w:lineRule="auto"/>
              <w:rPr>
                <w:sz w:val="24"/>
              </w:rPr>
            </w:pPr>
          </w:p>
        </w:tc>
        <w:tc>
          <w:tcPr>
            <w:tcW w:w="874" w:type="pct"/>
            <w:tcBorders>
              <w:left w:val="single" w:color="000000" w:sz="6" w:space="0"/>
              <w:right w:val="single" w:color="000000" w:sz="6" w:space="0"/>
            </w:tcBorders>
          </w:tcPr>
          <w:p>
            <w:pPr>
              <w:pStyle w:val="40"/>
              <w:spacing w:line="360" w:lineRule="auto"/>
              <w:rPr>
                <w:sz w:val="24"/>
              </w:rPr>
            </w:pPr>
          </w:p>
        </w:tc>
        <w:tc>
          <w:tcPr>
            <w:tcW w:w="802" w:type="pct"/>
            <w:tcBorders>
              <w:left w:val="single" w:color="000000" w:sz="6" w:space="0"/>
              <w:right w:val="single" w:color="000000" w:sz="6" w:space="0"/>
            </w:tcBorders>
          </w:tcPr>
          <w:p>
            <w:pPr>
              <w:pStyle w:val="40"/>
              <w:spacing w:line="360" w:lineRule="auto"/>
              <w:rPr>
                <w:sz w:val="24"/>
              </w:rPr>
            </w:pPr>
          </w:p>
        </w:tc>
        <w:tc>
          <w:tcPr>
            <w:tcW w:w="706" w:type="pct"/>
            <w:tcBorders>
              <w:left w:val="single" w:color="000000" w:sz="6" w:space="0"/>
              <w:right w:val="single" w:color="000000" w:sz="6" w:space="0"/>
            </w:tcBorders>
          </w:tcPr>
          <w:p>
            <w:pPr>
              <w:pStyle w:val="40"/>
              <w:spacing w:line="360" w:lineRule="auto"/>
              <w:rPr>
                <w:sz w:val="24"/>
              </w:rPr>
            </w:pPr>
          </w:p>
        </w:tc>
        <w:tc>
          <w:tcPr>
            <w:tcW w:w="765" w:type="pct"/>
            <w:tcBorders>
              <w:left w:val="single" w:color="000000" w:sz="6" w:space="0"/>
            </w:tcBorders>
          </w:tcPr>
          <w:p>
            <w:pPr>
              <w:pStyle w:val="40"/>
              <w:spacing w:line="360" w:lineRule="auto"/>
              <w:rPr>
                <w:sz w:val="24"/>
              </w:rPr>
            </w:pPr>
          </w:p>
        </w:tc>
        <w:tc>
          <w:tcPr>
            <w:tcW w:w="976" w:type="pct"/>
          </w:tcPr>
          <w:p>
            <w:pPr>
              <w:pStyle w:val="40"/>
              <w:spacing w:line="360" w:lineRule="auto"/>
              <w:rPr>
                <w:sz w:val="24"/>
              </w:rPr>
            </w:pPr>
          </w:p>
        </w:tc>
        <w:tc>
          <w:tcPr>
            <w:tcW w:w="438" w:type="pct"/>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435" w:type="pct"/>
            <w:tcBorders>
              <w:right w:val="single" w:color="000000" w:sz="6" w:space="0"/>
            </w:tcBorders>
          </w:tcPr>
          <w:p>
            <w:pPr>
              <w:pStyle w:val="40"/>
              <w:spacing w:line="360" w:lineRule="auto"/>
              <w:rPr>
                <w:sz w:val="24"/>
              </w:rPr>
            </w:pPr>
          </w:p>
        </w:tc>
        <w:tc>
          <w:tcPr>
            <w:tcW w:w="874" w:type="pct"/>
            <w:tcBorders>
              <w:left w:val="single" w:color="000000" w:sz="6" w:space="0"/>
              <w:right w:val="single" w:color="000000" w:sz="6" w:space="0"/>
            </w:tcBorders>
          </w:tcPr>
          <w:p>
            <w:pPr>
              <w:pStyle w:val="40"/>
              <w:spacing w:line="360" w:lineRule="auto"/>
              <w:rPr>
                <w:sz w:val="24"/>
              </w:rPr>
            </w:pPr>
          </w:p>
        </w:tc>
        <w:tc>
          <w:tcPr>
            <w:tcW w:w="802" w:type="pct"/>
            <w:tcBorders>
              <w:left w:val="single" w:color="000000" w:sz="6" w:space="0"/>
              <w:right w:val="single" w:color="000000" w:sz="6" w:space="0"/>
            </w:tcBorders>
          </w:tcPr>
          <w:p>
            <w:pPr>
              <w:pStyle w:val="40"/>
              <w:spacing w:line="360" w:lineRule="auto"/>
              <w:rPr>
                <w:sz w:val="24"/>
              </w:rPr>
            </w:pPr>
          </w:p>
        </w:tc>
        <w:tc>
          <w:tcPr>
            <w:tcW w:w="706" w:type="pct"/>
            <w:tcBorders>
              <w:left w:val="single" w:color="000000" w:sz="6" w:space="0"/>
              <w:right w:val="single" w:color="000000" w:sz="6" w:space="0"/>
            </w:tcBorders>
          </w:tcPr>
          <w:p>
            <w:pPr>
              <w:pStyle w:val="40"/>
              <w:spacing w:line="360" w:lineRule="auto"/>
              <w:rPr>
                <w:sz w:val="24"/>
              </w:rPr>
            </w:pPr>
          </w:p>
        </w:tc>
        <w:tc>
          <w:tcPr>
            <w:tcW w:w="765" w:type="pct"/>
            <w:tcBorders>
              <w:left w:val="single" w:color="000000" w:sz="6" w:space="0"/>
            </w:tcBorders>
          </w:tcPr>
          <w:p>
            <w:pPr>
              <w:pStyle w:val="40"/>
              <w:spacing w:line="360" w:lineRule="auto"/>
              <w:rPr>
                <w:sz w:val="24"/>
              </w:rPr>
            </w:pPr>
          </w:p>
        </w:tc>
        <w:tc>
          <w:tcPr>
            <w:tcW w:w="976" w:type="pct"/>
          </w:tcPr>
          <w:p>
            <w:pPr>
              <w:pStyle w:val="40"/>
              <w:spacing w:line="360" w:lineRule="auto"/>
              <w:rPr>
                <w:sz w:val="24"/>
              </w:rPr>
            </w:pPr>
          </w:p>
        </w:tc>
        <w:tc>
          <w:tcPr>
            <w:tcW w:w="438" w:type="pct"/>
          </w:tcPr>
          <w:p>
            <w:pPr>
              <w:pStyle w:val="40"/>
              <w:spacing w:line="360" w:lineRule="auto"/>
              <w:rPr>
                <w:sz w:val="24"/>
              </w:rPr>
            </w:pPr>
          </w:p>
        </w:tc>
      </w:tr>
    </w:tbl>
    <w:p>
      <w:pPr>
        <w:pStyle w:val="2"/>
        <w:spacing w:before="86" w:line="360" w:lineRule="auto"/>
        <w:rPr>
          <w:rFonts w:ascii="宋体" w:hAnsi="宋体" w:cs="宋体"/>
        </w:rPr>
      </w:pPr>
    </w:p>
    <w:p>
      <w:pPr>
        <w:pStyle w:val="2"/>
        <w:spacing w:before="86" w:line="360" w:lineRule="auto"/>
        <w:rPr>
          <w:rFonts w:ascii="宋体" w:hAnsi="宋体" w:cs="宋体"/>
          <w:sz w:val="24"/>
          <w:szCs w:val="32"/>
        </w:rPr>
      </w:pPr>
      <w:r>
        <w:rPr>
          <w:rFonts w:hint="eastAsia" w:ascii="宋体" w:hAnsi="宋体" w:cs="宋体"/>
          <w:sz w:val="24"/>
          <w:szCs w:val="32"/>
        </w:rPr>
        <w:t>注：以上业绩需提供招标文件要求的有关书面证明材料。</w:t>
      </w:r>
    </w:p>
    <w:p>
      <w:pPr>
        <w:pStyle w:val="2"/>
        <w:spacing w:line="360" w:lineRule="auto"/>
        <w:rPr>
          <w:rFonts w:ascii="宋体" w:hAnsi="宋体" w:cs="宋体"/>
        </w:rPr>
      </w:pPr>
    </w:p>
    <w:p>
      <w:pPr>
        <w:pStyle w:val="2"/>
        <w:spacing w:before="48" w:line="360" w:lineRule="auto"/>
        <w:ind w:firstLine="420" w:firstLineChars="200"/>
        <w:rPr>
          <w:rFonts w:ascii="宋体" w:hAnsi="宋体" w:cs="宋体"/>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供应商名称：XXXX（单位盖章）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 XXXX</w:t>
      </w:r>
    </w:p>
    <w:p>
      <w:pPr>
        <w:rPr>
          <w:rFonts w:ascii="宋体" w:hAnsi="宋体" w:cs="宋体"/>
        </w:rPr>
      </w:pPr>
      <w:r>
        <w:rPr>
          <w:rFonts w:hint="eastAsia" w:ascii="宋体" w:hAnsi="宋体" w:cs="宋体"/>
        </w:rPr>
        <w:br w:type="page"/>
      </w:r>
    </w:p>
    <w:p>
      <w:pPr>
        <w:spacing w:before="240" w:beforeLines="100" w:after="240" w:afterLines="100" w:line="360" w:lineRule="auto"/>
        <w:jc w:val="center"/>
        <w:outlineLvl w:val="2"/>
        <w:rPr>
          <w:rFonts w:ascii="宋体" w:hAnsi="宋体" w:cs="宋体"/>
          <w:b/>
          <w:sz w:val="20"/>
        </w:rPr>
      </w:pPr>
      <w:bookmarkStart w:id="163" w:name="_Toc1597"/>
      <w:r>
        <w:rPr>
          <w:rFonts w:hint="eastAsia" w:ascii="宋体" w:hAnsi="宋体" w:cs="宋体"/>
          <w:b/>
          <w:sz w:val="32"/>
        </w:rPr>
        <w:t>九、供应商拟投入本项目人员情况表</w:t>
      </w:r>
      <w:bookmarkEnd w:id="163"/>
    </w:p>
    <w:p>
      <w:pPr>
        <w:pStyle w:val="2"/>
        <w:spacing w:before="9" w:line="360" w:lineRule="auto"/>
        <w:rPr>
          <w:rFonts w:ascii="宋体" w:hAnsi="宋体" w:cs="宋体"/>
          <w:sz w:val="6"/>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066"/>
        <w:gridCol w:w="1066"/>
        <w:gridCol w:w="1068"/>
        <w:gridCol w:w="1066"/>
        <w:gridCol w:w="1390"/>
        <w:gridCol w:w="977"/>
        <w:gridCol w:w="1111"/>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41" w:type="dxa"/>
            <w:vMerge w:val="restart"/>
            <w:vAlign w:val="center"/>
          </w:tcPr>
          <w:p>
            <w:pPr>
              <w:pStyle w:val="40"/>
              <w:spacing w:line="360" w:lineRule="auto"/>
              <w:jc w:val="center"/>
              <w:rPr>
                <w:sz w:val="24"/>
              </w:rPr>
            </w:pPr>
            <w:r>
              <w:rPr>
                <w:rFonts w:hint="eastAsia"/>
                <w:sz w:val="24"/>
              </w:rPr>
              <w:t>类别</w:t>
            </w:r>
          </w:p>
        </w:tc>
        <w:tc>
          <w:tcPr>
            <w:tcW w:w="1066" w:type="dxa"/>
            <w:vMerge w:val="restart"/>
            <w:vAlign w:val="center"/>
          </w:tcPr>
          <w:p>
            <w:pPr>
              <w:pStyle w:val="40"/>
              <w:spacing w:line="360" w:lineRule="auto"/>
              <w:jc w:val="center"/>
              <w:rPr>
                <w:sz w:val="24"/>
              </w:rPr>
            </w:pPr>
            <w:r>
              <w:rPr>
                <w:rFonts w:hint="eastAsia"/>
                <w:sz w:val="24"/>
              </w:rPr>
              <w:t>职务</w:t>
            </w:r>
          </w:p>
        </w:tc>
        <w:tc>
          <w:tcPr>
            <w:tcW w:w="1066" w:type="dxa"/>
            <w:vMerge w:val="restart"/>
            <w:vAlign w:val="center"/>
          </w:tcPr>
          <w:p>
            <w:pPr>
              <w:pStyle w:val="40"/>
              <w:spacing w:line="360" w:lineRule="auto"/>
              <w:jc w:val="center"/>
              <w:rPr>
                <w:sz w:val="24"/>
              </w:rPr>
            </w:pPr>
            <w:r>
              <w:rPr>
                <w:rFonts w:hint="eastAsia"/>
                <w:sz w:val="24"/>
              </w:rPr>
              <w:t>姓名</w:t>
            </w:r>
          </w:p>
        </w:tc>
        <w:tc>
          <w:tcPr>
            <w:tcW w:w="1068" w:type="dxa"/>
            <w:vMerge w:val="restart"/>
            <w:vAlign w:val="center"/>
          </w:tcPr>
          <w:p>
            <w:pPr>
              <w:pStyle w:val="40"/>
              <w:spacing w:line="360" w:lineRule="auto"/>
              <w:jc w:val="center"/>
              <w:rPr>
                <w:sz w:val="24"/>
              </w:rPr>
            </w:pPr>
            <w:r>
              <w:rPr>
                <w:rFonts w:hint="eastAsia"/>
                <w:sz w:val="24"/>
              </w:rPr>
              <w:t>职称</w:t>
            </w:r>
          </w:p>
        </w:tc>
        <w:tc>
          <w:tcPr>
            <w:tcW w:w="1066" w:type="dxa"/>
            <w:vMerge w:val="restart"/>
            <w:vAlign w:val="center"/>
          </w:tcPr>
          <w:p>
            <w:pPr>
              <w:pStyle w:val="40"/>
              <w:spacing w:line="360" w:lineRule="auto"/>
              <w:jc w:val="center"/>
              <w:rPr>
                <w:sz w:val="24"/>
              </w:rPr>
            </w:pPr>
            <w:r>
              <w:rPr>
                <w:rFonts w:hint="eastAsia"/>
                <w:sz w:val="24"/>
              </w:rPr>
              <w:t>常住地</w:t>
            </w:r>
          </w:p>
        </w:tc>
        <w:tc>
          <w:tcPr>
            <w:tcW w:w="4457" w:type="dxa"/>
            <w:gridSpan w:val="4"/>
          </w:tcPr>
          <w:p>
            <w:pPr>
              <w:pStyle w:val="40"/>
              <w:spacing w:before="107" w:line="360" w:lineRule="auto"/>
              <w:ind w:left="1025"/>
              <w:rPr>
                <w:sz w:val="24"/>
              </w:rPr>
            </w:pPr>
            <w:r>
              <w:rPr>
                <w:rFonts w:hint="eastAsia"/>
                <w:sz w:val="24"/>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41" w:type="dxa"/>
            <w:vMerge w:val="continue"/>
            <w:tcBorders>
              <w:top w:val="nil"/>
            </w:tcBorders>
          </w:tcPr>
          <w:p>
            <w:pPr>
              <w:spacing w:line="360" w:lineRule="auto"/>
              <w:rPr>
                <w:rFonts w:ascii="宋体" w:hAnsi="宋体" w:cs="宋体"/>
                <w:sz w:val="2"/>
                <w:szCs w:val="2"/>
              </w:rPr>
            </w:pPr>
          </w:p>
        </w:tc>
        <w:tc>
          <w:tcPr>
            <w:tcW w:w="1066" w:type="dxa"/>
            <w:vMerge w:val="continue"/>
            <w:tcBorders>
              <w:top w:val="nil"/>
            </w:tcBorders>
          </w:tcPr>
          <w:p>
            <w:pPr>
              <w:spacing w:line="360" w:lineRule="auto"/>
              <w:rPr>
                <w:rFonts w:ascii="宋体" w:hAnsi="宋体" w:cs="宋体"/>
                <w:sz w:val="2"/>
                <w:szCs w:val="2"/>
              </w:rPr>
            </w:pPr>
          </w:p>
        </w:tc>
        <w:tc>
          <w:tcPr>
            <w:tcW w:w="1066" w:type="dxa"/>
            <w:vMerge w:val="continue"/>
            <w:tcBorders>
              <w:top w:val="nil"/>
            </w:tcBorders>
          </w:tcPr>
          <w:p>
            <w:pPr>
              <w:spacing w:line="360" w:lineRule="auto"/>
              <w:rPr>
                <w:rFonts w:ascii="宋体" w:hAnsi="宋体" w:cs="宋体"/>
                <w:sz w:val="2"/>
                <w:szCs w:val="2"/>
              </w:rPr>
            </w:pPr>
          </w:p>
        </w:tc>
        <w:tc>
          <w:tcPr>
            <w:tcW w:w="1068" w:type="dxa"/>
            <w:vMerge w:val="continue"/>
            <w:tcBorders>
              <w:top w:val="nil"/>
            </w:tcBorders>
          </w:tcPr>
          <w:p>
            <w:pPr>
              <w:spacing w:line="360" w:lineRule="auto"/>
              <w:rPr>
                <w:rFonts w:ascii="宋体" w:hAnsi="宋体" w:cs="宋体"/>
                <w:sz w:val="2"/>
                <w:szCs w:val="2"/>
              </w:rPr>
            </w:pPr>
          </w:p>
        </w:tc>
        <w:tc>
          <w:tcPr>
            <w:tcW w:w="1066" w:type="dxa"/>
            <w:vMerge w:val="continue"/>
            <w:tcBorders>
              <w:top w:val="nil"/>
            </w:tcBorders>
          </w:tcPr>
          <w:p>
            <w:pPr>
              <w:spacing w:line="360" w:lineRule="auto"/>
              <w:rPr>
                <w:rFonts w:ascii="宋体" w:hAnsi="宋体" w:cs="宋体"/>
                <w:sz w:val="2"/>
                <w:szCs w:val="2"/>
              </w:rPr>
            </w:pPr>
          </w:p>
        </w:tc>
        <w:tc>
          <w:tcPr>
            <w:tcW w:w="1390" w:type="dxa"/>
          </w:tcPr>
          <w:p>
            <w:pPr>
              <w:pStyle w:val="40"/>
              <w:spacing w:before="107" w:line="360" w:lineRule="auto"/>
              <w:ind w:left="212"/>
              <w:rPr>
                <w:sz w:val="24"/>
              </w:rPr>
            </w:pPr>
            <w:r>
              <w:rPr>
                <w:rFonts w:hint="eastAsia"/>
                <w:sz w:val="24"/>
              </w:rPr>
              <w:t>证书名称</w:t>
            </w:r>
          </w:p>
        </w:tc>
        <w:tc>
          <w:tcPr>
            <w:tcW w:w="977" w:type="dxa"/>
          </w:tcPr>
          <w:p>
            <w:pPr>
              <w:pStyle w:val="40"/>
              <w:spacing w:before="107" w:line="360" w:lineRule="auto"/>
              <w:ind w:left="245"/>
              <w:rPr>
                <w:sz w:val="24"/>
              </w:rPr>
            </w:pPr>
            <w:r>
              <w:rPr>
                <w:rFonts w:hint="eastAsia"/>
                <w:sz w:val="24"/>
              </w:rPr>
              <w:t>级别</w:t>
            </w:r>
          </w:p>
        </w:tc>
        <w:tc>
          <w:tcPr>
            <w:tcW w:w="1111" w:type="dxa"/>
          </w:tcPr>
          <w:p>
            <w:pPr>
              <w:pStyle w:val="40"/>
              <w:spacing w:before="107" w:line="360" w:lineRule="auto"/>
              <w:ind w:left="312"/>
              <w:rPr>
                <w:sz w:val="24"/>
              </w:rPr>
            </w:pPr>
            <w:r>
              <w:rPr>
                <w:rFonts w:hint="eastAsia"/>
                <w:sz w:val="24"/>
              </w:rPr>
              <w:t>证号</w:t>
            </w:r>
          </w:p>
        </w:tc>
        <w:tc>
          <w:tcPr>
            <w:tcW w:w="979" w:type="dxa"/>
          </w:tcPr>
          <w:p>
            <w:pPr>
              <w:pStyle w:val="40"/>
              <w:spacing w:before="107" w:line="360" w:lineRule="auto"/>
              <w:ind w:left="247"/>
              <w:rPr>
                <w:sz w:val="24"/>
              </w:rPr>
            </w:pPr>
            <w:r>
              <w:rPr>
                <w:rFonts w:hint="eastAsia"/>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241" w:type="dxa"/>
            <w:vMerge w:val="restart"/>
            <w:vAlign w:val="center"/>
          </w:tcPr>
          <w:p>
            <w:pPr>
              <w:pStyle w:val="40"/>
              <w:spacing w:line="360" w:lineRule="auto"/>
              <w:jc w:val="center"/>
              <w:rPr>
                <w:sz w:val="24"/>
              </w:rPr>
            </w:pPr>
            <w:r>
              <w:rPr>
                <w:rFonts w:hint="eastAsia"/>
                <w:sz w:val="24"/>
              </w:rPr>
              <w:t>管理人员</w:t>
            </w: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vAlign w:val="center"/>
          </w:tcPr>
          <w:p>
            <w:pPr>
              <w:spacing w:line="360" w:lineRule="auto"/>
              <w:jc w:val="center"/>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vAlign w:val="center"/>
          </w:tcPr>
          <w:p>
            <w:pPr>
              <w:spacing w:line="360" w:lineRule="auto"/>
              <w:jc w:val="center"/>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restart"/>
            <w:vAlign w:val="center"/>
          </w:tcPr>
          <w:p>
            <w:pPr>
              <w:pStyle w:val="40"/>
              <w:spacing w:line="360" w:lineRule="auto"/>
              <w:jc w:val="center"/>
              <w:rPr>
                <w:sz w:val="24"/>
              </w:rPr>
            </w:pPr>
            <w:r>
              <w:rPr>
                <w:rFonts w:hint="eastAsia"/>
                <w:sz w:val="24"/>
              </w:rPr>
              <w:t>技术人员</w:t>
            </w: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vAlign w:val="center"/>
          </w:tcPr>
          <w:p>
            <w:pPr>
              <w:spacing w:line="360" w:lineRule="auto"/>
              <w:jc w:val="center"/>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vAlign w:val="center"/>
          </w:tcPr>
          <w:p>
            <w:pPr>
              <w:spacing w:line="360" w:lineRule="auto"/>
              <w:jc w:val="center"/>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241" w:type="dxa"/>
            <w:vMerge w:val="restart"/>
            <w:vAlign w:val="center"/>
          </w:tcPr>
          <w:p>
            <w:pPr>
              <w:pStyle w:val="40"/>
              <w:spacing w:before="177" w:line="360" w:lineRule="auto"/>
              <w:ind w:right="131"/>
              <w:jc w:val="center"/>
              <w:rPr>
                <w:sz w:val="24"/>
              </w:rPr>
            </w:pPr>
            <w:r>
              <w:rPr>
                <w:rFonts w:hint="eastAsia"/>
                <w:sz w:val="24"/>
              </w:rPr>
              <w:t>售后服务人员</w:t>
            </w: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tcPr>
          <w:p>
            <w:pPr>
              <w:spacing w:line="360" w:lineRule="auto"/>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241" w:type="dxa"/>
            <w:vMerge w:val="continue"/>
            <w:tcBorders>
              <w:top w:val="nil"/>
            </w:tcBorders>
          </w:tcPr>
          <w:p>
            <w:pPr>
              <w:spacing w:line="360" w:lineRule="auto"/>
              <w:rPr>
                <w:rFonts w:ascii="宋体" w:hAnsi="宋体" w:cs="宋体"/>
                <w:sz w:val="2"/>
                <w:szCs w:val="2"/>
              </w:rPr>
            </w:pPr>
          </w:p>
        </w:tc>
        <w:tc>
          <w:tcPr>
            <w:tcW w:w="1066" w:type="dxa"/>
          </w:tcPr>
          <w:p>
            <w:pPr>
              <w:pStyle w:val="40"/>
              <w:spacing w:line="360" w:lineRule="auto"/>
              <w:rPr>
                <w:sz w:val="24"/>
              </w:rPr>
            </w:pPr>
          </w:p>
        </w:tc>
        <w:tc>
          <w:tcPr>
            <w:tcW w:w="1066" w:type="dxa"/>
          </w:tcPr>
          <w:p>
            <w:pPr>
              <w:pStyle w:val="40"/>
              <w:spacing w:line="360" w:lineRule="auto"/>
              <w:rPr>
                <w:sz w:val="24"/>
              </w:rPr>
            </w:pPr>
          </w:p>
        </w:tc>
        <w:tc>
          <w:tcPr>
            <w:tcW w:w="1068" w:type="dxa"/>
          </w:tcPr>
          <w:p>
            <w:pPr>
              <w:pStyle w:val="40"/>
              <w:spacing w:line="360" w:lineRule="auto"/>
              <w:rPr>
                <w:sz w:val="24"/>
              </w:rPr>
            </w:pPr>
          </w:p>
        </w:tc>
        <w:tc>
          <w:tcPr>
            <w:tcW w:w="1066" w:type="dxa"/>
          </w:tcPr>
          <w:p>
            <w:pPr>
              <w:pStyle w:val="40"/>
              <w:spacing w:line="360" w:lineRule="auto"/>
              <w:rPr>
                <w:sz w:val="24"/>
              </w:rPr>
            </w:pPr>
          </w:p>
        </w:tc>
        <w:tc>
          <w:tcPr>
            <w:tcW w:w="1390" w:type="dxa"/>
          </w:tcPr>
          <w:p>
            <w:pPr>
              <w:pStyle w:val="40"/>
              <w:spacing w:line="360" w:lineRule="auto"/>
              <w:rPr>
                <w:sz w:val="24"/>
              </w:rPr>
            </w:pPr>
          </w:p>
        </w:tc>
        <w:tc>
          <w:tcPr>
            <w:tcW w:w="977" w:type="dxa"/>
          </w:tcPr>
          <w:p>
            <w:pPr>
              <w:pStyle w:val="40"/>
              <w:spacing w:line="360" w:lineRule="auto"/>
              <w:rPr>
                <w:sz w:val="24"/>
              </w:rPr>
            </w:pPr>
          </w:p>
        </w:tc>
        <w:tc>
          <w:tcPr>
            <w:tcW w:w="1111" w:type="dxa"/>
          </w:tcPr>
          <w:p>
            <w:pPr>
              <w:pStyle w:val="40"/>
              <w:spacing w:line="360" w:lineRule="auto"/>
              <w:rPr>
                <w:sz w:val="24"/>
              </w:rPr>
            </w:pPr>
          </w:p>
        </w:tc>
        <w:tc>
          <w:tcPr>
            <w:tcW w:w="979" w:type="dxa"/>
          </w:tcPr>
          <w:p>
            <w:pPr>
              <w:pStyle w:val="40"/>
              <w:spacing w:line="360" w:lineRule="auto"/>
              <w:rPr>
                <w:sz w:val="24"/>
              </w:rPr>
            </w:pPr>
          </w:p>
        </w:tc>
      </w:tr>
    </w:tbl>
    <w:p>
      <w:pPr>
        <w:pStyle w:val="2"/>
        <w:spacing w:line="360" w:lineRule="auto"/>
        <w:rPr>
          <w:rFonts w:ascii="宋体" w:hAnsi="宋体" w:cs="宋体"/>
        </w:rPr>
      </w:pPr>
    </w:p>
    <w:p>
      <w:pPr>
        <w:pStyle w:val="2"/>
        <w:spacing w:line="360" w:lineRule="auto"/>
        <w:rPr>
          <w:rFonts w:ascii="宋体" w:hAnsi="宋体" w:cs="宋体"/>
          <w:sz w:val="24"/>
          <w:szCs w:val="32"/>
        </w:rPr>
      </w:pPr>
      <w:r>
        <w:rPr>
          <w:rFonts w:hint="eastAsia" w:ascii="宋体" w:hAnsi="宋体" w:cs="宋体"/>
          <w:sz w:val="24"/>
          <w:szCs w:val="32"/>
        </w:rPr>
        <w:t>注：拟派人员必须注册在本单位，提供相关证明材料。</w:t>
      </w:r>
    </w:p>
    <w:p>
      <w:pPr>
        <w:pStyle w:val="2"/>
        <w:spacing w:before="6" w:line="360" w:lineRule="auto"/>
        <w:rPr>
          <w:rFonts w:ascii="宋体" w:hAnsi="宋体" w:cs="宋体"/>
          <w:sz w:val="30"/>
        </w:rPr>
      </w:pP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供应商名称：XXXX（单位盖章）</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法定代表人/单位负责人或授权代表（签字或盖章）：XXXX </w:t>
      </w:r>
    </w:p>
    <w:p>
      <w:pPr>
        <w:pStyle w:val="2"/>
        <w:spacing w:before="48" w:line="360" w:lineRule="auto"/>
        <w:ind w:firstLine="480" w:firstLineChars="200"/>
        <w:rPr>
          <w:rFonts w:ascii="宋体" w:hAnsi="宋体" w:cs="宋体"/>
          <w:sz w:val="24"/>
          <w:szCs w:val="32"/>
        </w:rPr>
      </w:pPr>
      <w:r>
        <w:rPr>
          <w:rFonts w:hint="eastAsia" w:ascii="宋体" w:hAnsi="宋体" w:cs="宋体"/>
          <w:sz w:val="24"/>
          <w:szCs w:val="32"/>
        </w:rPr>
        <w:t>投标日期: XXXX</w:t>
      </w:r>
    </w:p>
    <w:p>
      <w:pPr>
        <w:spacing w:line="360" w:lineRule="auto"/>
        <w:rPr>
          <w:rFonts w:ascii="宋体" w:hAnsi="宋体" w:cs="宋体"/>
        </w:rPr>
        <w:sectPr>
          <w:footerReference r:id="rId7" w:type="default"/>
          <w:pgSz w:w="11910" w:h="16840"/>
          <w:pgMar w:top="1440" w:right="1803" w:bottom="1440" w:left="1803" w:header="720" w:footer="720" w:gutter="0"/>
          <w:cols w:space="425" w:num="1"/>
        </w:sectPr>
      </w:pPr>
    </w:p>
    <w:p>
      <w:pPr>
        <w:widowControl/>
        <w:spacing w:line="360" w:lineRule="auto"/>
        <w:jc w:val="center"/>
        <w:outlineLvl w:val="2"/>
        <w:rPr>
          <w:rFonts w:ascii="宋体" w:hAnsi="宋体" w:cs="宋体"/>
          <w:b/>
          <w:sz w:val="32"/>
          <w:szCs w:val="32"/>
        </w:rPr>
      </w:pPr>
      <w:r>
        <w:rPr>
          <w:rFonts w:hint="eastAsia" w:ascii="宋体" w:hAnsi="宋体" w:cs="宋体"/>
          <w:b/>
          <w:sz w:val="32"/>
          <w:szCs w:val="32"/>
        </w:rPr>
        <w:t>十、中小企业声明函</w:t>
      </w:r>
    </w:p>
    <w:p>
      <w:pPr>
        <w:spacing w:line="360" w:lineRule="auto"/>
        <w:rPr>
          <w:rFonts w:ascii="宋体" w:hAnsi="宋体" w:cs="宋体"/>
          <w:sz w:val="24"/>
        </w:rPr>
      </w:pPr>
    </w:p>
    <w:p>
      <w:pPr>
        <w:wordWrap w:val="0"/>
        <w:spacing w:line="360" w:lineRule="auto"/>
        <w:ind w:firstLine="504" w:firstLineChars="200"/>
        <w:jc w:val="left"/>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采购活动，服务全部由符合政策要求的中小企业承接。相关企业（含联合体中的中小企业、签订分包意向协议的中小企业）的具体情况如下：</w:t>
      </w:r>
    </w:p>
    <w:p>
      <w:pPr>
        <w:wordWrap w:val="0"/>
        <w:spacing w:line="360" w:lineRule="auto"/>
        <w:ind w:firstLine="504" w:firstLineChars="200"/>
        <w:jc w:val="left"/>
        <w:rPr>
          <w:rFonts w:ascii="宋体" w:hAnsi="宋体" w:cs="宋体"/>
          <w:spacing w:val="6"/>
          <w:sz w:val="24"/>
        </w:rPr>
      </w:pPr>
      <w:r>
        <w:rPr>
          <w:rFonts w:hint="eastAsia" w:ascii="宋体" w:hAnsi="宋体" w:cs="宋体"/>
          <w:spacing w:val="6"/>
          <w:sz w:val="24"/>
          <w:u w:val="single"/>
        </w:rPr>
        <w:t>1.（标的名称）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u w:val="single"/>
        </w:rPr>
        <w:tab/>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firstLine="504" w:firstLineChars="200"/>
        <w:rPr>
          <w:rFonts w:ascii="宋体" w:hAnsi="宋体" w:cs="宋体"/>
          <w:spacing w:val="6"/>
          <w:sz w:val="24"/>
        </w:rPr>
      </w:pPr>
    </w:p>
    <w:p>
      <w:pPr>
        <w:spacing w:line="480" w:lineRule="auto"/>
        <w:ind w:firstLine="504" w:firstLineChars="200"/>
        <w:rPr>
          <w:rFonts w:ascii="宋体" w:hAnsi="宋体" w:cs="宋体"/>
          <w:spacing w:val="6"/>
          <w:sz w:val="24"/>
        </w:rPr>
      </w:pPr>
      <w:r>
        <w:rPr>
          <w:rFonts w:hint="eastAsia" w:ascii="宋体" w:hAnsi="宋体" w:cs="宋体"/>
          <w:spacing w:val="6"/>
          <w:sz w:val="24"/>
        </w:rPr>
        <w:t>企业名称（盖章）：</w:t>
      </w:r>
    </w:p>
    <w:p>
      <w:pPr>
        <w:spacing w:line="480" w:lineRule="auto"/>
        <w:ind w:firstLine="504" w:firstLineChars="200"/>
        <w:rPr>
          <w:rFonts w:ascii="宋体" w:hAnsi="宋体" w:cs="宋体"/>
          <w:sz w:val="24"/>
        </w:rPr>
      </w:pPr>
      <w:r>
        <w:rPr>
          <w:rFonts w:hint="eastAsia" w:ascii="宋体" w:hAnsi="宋体" w:cs="宋体"/>
          <w:spacing w:val="6"/>
          <w:sz w:val="24"/>
        </w:rPr>
        <w:t>日期：</w:t>
      </w:r>
    </w:p>
    <w:p>
      <w:pPr>
        <w:spacing w:after="120"/>
        <w:rPr>
          <w:rFonts w:ascii="宋体" w:hAnsi="宋体" w:cs="宋体"/>
          <w:kern w:val="0"/>
          <w:sz w:val="24"/>
          <w:szCs w:val="20"/>
        </w:rPr>
      </w:pPr>
    </w:p>
    <w:p>
      <w:pPr>
        <w:rPr>
          <w:rFonts w:ascii="宋体" w:hAnsi="宋体" w:cs="宋体"/>
        </w:rPr>
      </w:pPr>
    </w:p>
    <w:p>
      <w:pPr>
        <w:spacing w:after="120"/>
      </w:pPr>
    </w:p>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rPr>
        <w:sectPr>
          <w:footerReference r:id="rId8" w:type="default"/>
          <w:pgSz w:w="11910" w:h="16840"/>
          <w:pgMar w:top="1440" w:right="1803" w:bottom="1440" w:left="1803" w:header="720" w:footer="720" w:gutter="0"/>
          <w:cols w:space="425" w:num="1"/>
        </w:sectPr>
      </w:pPr>
      <w:r>
        <w:rPr>
          <w:rFonts w:hint="eastAsia" w:ascii="宋体" w:hAnsi="宋体" w:cs="宋体"/>
          <w:sz w:val="24"/>
        </w:rPr>
        <w:t>注：从业人员、营业收入、资产总额填报上一年度数据，无上一年度数据的新成立企业可不填报。</w:t>
      </w:r>
      <w:r>
        <w:rPr>
          <w:rFonts w:hint="eastAsia" w:ascii="宋体" w:hAnsi="宋体" w:cs="宋体"/>
          <w:b/>
          <w:kern w:val="0"/>
          <w:sz w:val="32"/>
          <w:szCs w:val="32"/>
        </w:rPr>
        <w:br w:type="page"/>
      </w:r>
    </w:p>
    <w:p>
      <w:pPr>
        <w:numPr>
          <w:ilvl w:val="0"/>
          <w:numId w:val="6"/>
        </w:numPr>
        <w:spacing w:line="360" w:lineRule="auto"/>
        <w:jc w:val="center"/>
        <w:outlineLvl w:val="2"/>
        <w:rPr>
          <w:rFonts w:ascii="宋体" w:hAnsi="宋体" w:cs="宋体"/>
          <w:b/>
          <w:kern w:val="0"/>
          <w:sz w:val="32"/>
          <w:szCs w:val="32"/>
        </w:rPr>
      </w:pPr>
      <w:r>
        <w:rPr>
          <w:rFonts w:hint="eastAsia" w:ascii="宋体" w:hAnsi="宋体" w:cs="宋体"/>
          <w:b/>
          <w:kern w:val="0"/>
          <w:sz w:val="32"/>
          <w:szCs w:val="32"/>
        </w:rPr>
        <w:t>残疾人福利性单位声明函</w:t>
      </w:r>
    </w:p>
    <w:p>
      <w:pPr>
        <w:pStyle w:val="2"/>
      </w:pPr>
    </w:p>
    <w:p>
      <w:pPr>
        <w:spacing w:line="360" w:lineRule="auto"/>
        <w:ind w:firstLine="504" w:firstLineChars="200"/>
        <w:rPr>
          <w:rFonts w:ascii="宋体" w:hAnsi="宋体" w:cs="宋体"/>
          <w:spacing w:val="6"/>
          <w:kern w:val="0"/>
          <w:sz w:val="24"/>
          <w:szCs w:val="20"/>
        </w:rPr>
      </w:pPr>
      <w:r>
        <w:rPr>
          <w:rFonts w:hint="eastAsia" w:ascii="宋体" w:hAnsi="宋体" w:cs="宋体"/>
          <w:spacing w:val="6"/>
          <w:kern w:val="0"/>
          <w:sz w:val="24"/>
          <w:szCs w:val="20"/>
        </w:rPr>
        <w:t>本单位郑重声明，根据《财政部 民政部 中国残疾人联合会关于促进残疾人就业政府采购政策的通知》（财库</w:t>
      </w:r>
      <w:r>
        <w:rPr>
          <w:rFonts w:hint="eastAsia" w:ascii="宋体" w:hAnsi="宋体" w:cs="宋体"/>
          <w:kern w:val="0"/>
          <w:sz w:val="24"/>
          <w:szCs w:val="20"/>
        </w:rPr>
        <w:t>〔2017〕141</w:t>
      </w:r>
      <w:r>
        <w:rPr>
          <w:rFonts w:hint="eastAsia" w:ascii="宋体" w:hAnsi="宋体" w:cs="宋体"/>
          <w:spacing w:val="6"/>
          <w:kern w:val="0"/>
          <w:sz w:val="24"/>
          <w:szCs w:val="2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kern w:val="0"/>
          <w:sz w:val="24"/>
          <w:szCs w:val="20"/>
        </w:rPr>
      </w:pPr>
      <w:r>
        <w:rPr>
          <w:rFonts w:hint="eastAsia" w:ascii="宋体" w:hAnsi="宋体" w:cs="宋体"/>
          <w:spacing w:val="6"/>
          <w:kern w:val="0"/>
          <w:sz w:val="24"/>
          <w:szCs w:val="20"/>
        </w:rPr>
        <w:t>本单位对上述声明的真实性负责。如有虚假，将依法承担相应责任。</w:t>
      </w:r>
    </w:p>
    <w:p>
      <w:pPr>
        <w:spacing w:line="360" w:lineRule="auto"/>
        <w:rPr>
          <w:rFonts w:ascii="宋体" w:hAnsi="宋体" w:cs="宋体"/>
          <w:spacing w:val="6"/>
          <w:kern w:val="0"/>
          <w:sz w:val="24"/>
          <w:szCs w:val="20"/>
        </w:rPr>
      </w:pPr>
    </w:p>
    <w:p>
      <w:pPr>
        <w:tabs>
          <w:tab w:val="left" w:pos="3955"/>
        </w:tabs>
        <w:autoSpaceDE w:val="0"/>
        <w:autoSpaceDN w:val="0"/>
        <w:spacing w:line="360" w:lineRule="auto"/>
        <w:ind w:firstLine="240" w:firstLineChars="100"/>
        <w:jc w:val="left"/>
        <w:rPr>
          <w:rFonts w:ascii="宋体" w:hAnsi="宋体" w:cs="宋体"/>
          <w:kern w:val="0"/>
          <w:sz w:val="24"/>
          <w:lang w:val="zh-CN" w:bidi="zh-CN"/>
        </w:rPr>
      </w:pPr>
      <w:r>
        <w:rPr>
          <w:rFonts w:hint="eastAsia" w:ascii="宋体" w:hAnsi="宋体" w:cs="宋体"/>
          <w:kern w:val="0"/>
          <w:sz w:val="24"/>
          <w:lang w:val="zh-CN" w:bidi="zh-CN"/>
        </w:rPr>
        <w:t>供应商名称</w:t>
      </w:r>
      <w:r>
        <w:rPr>
          <w:rFonts w:hint="eastAsia" w:ascii="宋体" w:hAnsi="宋体" w:cs="宋体"/>
          <w:kern w:val="0"/>
          <w:sz w:val="24"/>
          <w:u w:val="single"/>
          <w:lang w:val="zh-CN" w:bidi="zh-CN"/>
        </w:rPr>
        <w:t xml:space="preserve"> </w:t>
      </w:r>
      <w:r>
        <w:rPr>
          <w:rFonts w:hint="eastAsia" w:ascii="宋体" w:hAnsi="宋体" w:cs="宋体"/>
          <w:kern w:val="0"/>
          <w:sz w:val="24"/>
          <w:u w:val="single"/>
          <w:lang w:val="zh-CN" w:bidi="zh-CN"/>
        </w:rPr>
        <w:tab/>
      </w:r>
      <w:r>
        <w:rPr>
          <w:rFonts w:hint="eastAsia" w:ascii="宋体" w:hAnsi="宋体" w:cs="宋体"/>
          <w:kern w:val="0"/>
          <w:sz w:val="24"/>
          <w:lang w:val="zh-CN" w:bidi="zh-CN"/>
        </w:rPr>
        <w:t>（并加盖公章）</w:t>
      </w:r>
    </w:p>
    <w:p>
      <w:pPr>
        <w:tabs>
          <w:tab w:val="left" w:pos="7255"/>
        </w:tabs>
        <w:autoSpaceDE w:val="0"/>
        <w:autoSpaceDN w:val="0"/>
        <w:spacing w:line="360" w:lineRule="auto"/>
        <w:ind w:firstLine="240" w:firstLineChars="100"/>
        <w:jc w:val="left"/>
        <w:rPr>
          <w:rFonts w:ascii="宋体" w:hAnsi="宋体" w:cs="宋体"/>
          <w:kern w:val="0"/>
          <w:sz w:val="24"/>
          <w:lang w:val="zh-CN" w:bidi="zh-CN"/>
        </w:rPr>
      </w:pPr>
      <w:r>
        <w:rPr>
          <w:rFonts w:hint="eastAsia" w:ascii="宋体" w:hAnsi="宋体" w:cs="宋体"/>
          <w:kern w:val="0"/>
          <w:sz w:val="24"/>
          <w:lang w:val="zh-CN" w:bidi="zh-CN"/>
        </w:rPr>
        <w:t>供应商法人或委托代理人签字：</w:t>
      </w:r>
      <w:r>
        <w:rPr>
          <w:rFonts w:hint="eastAsia" w:ascii="宋体" w:hAnsi="宋体" w:cs="宋体"/>
          <w:kern w:val="0"/>
          <w:sz w:val="24"/>
          <w:u w:val="single"/>
          <w:lang w:val="zh-CN" w:bidi="zh-CN"/>
        </w:rPr>
        <w:t xml:space="preserve"> </w:t>
      </w:r>
      <w:r>
        <w:rPr>
          <w:rFonts w:hint="eastAsia" w:ascii="宋体" w:hAnsi="宋体" w:cs="宋体"/>
          <w:kern w:val="0"/>
          <w:sz w:val="24"/>
          <w:u w:val="single"/>
          <w:lang w:val="zh-CN" w:bidi="zh-CN"/>
        </w:rPr>
        <w:tab/>
      </w:r>
    </w:p>
    <w:p>
      <w:pPr>
        <w:tabs>
          <w:tab w:val="left" w:pos="1795"/>
          <w:tab w:val="left" w:pos="2395"/>
          <w:tab w:val="left" w:pos="2995"/>
        </w:tabs>
        <w:autoSpaceDE w:val="0"/>
        <w:autoSpaceDN w:val="0"/>
        <w:spacing w:line="360" w:lineRule="auto"/>
        <w:ind w:firstLine="240" w:firstLineChars="100"/>
        <w:jc w:val="left"/>
        <w:rPr>
          <w:rFonts w:ascii="宋体" w:hAnsi="宋体" w:cs="宋体"/>
          <w:kern w:val="0"/>
          <w:sz w:val="24"/>
          <w:lang w:val="zh-CN" w:bidi="zh-CN"/>
        </w:rPr>
      </w:pPr>
      <w:r>
        <w:rPr>
          <w:rFonts w:hint="eastAsia" w:ascii="宋体" w:hAnsi="宋体" w:cs="宋体"/>
          <w:kern w:val="0"/>
          <w:sz w:val="24"/>
          <w:lang w:val="zh-CN" w:bidi="zh-CN"/>
        </w:rPr>
        <w:t>日期：</w:t>
      </w:r>
      <w:r>
        <w:rPr>
          <w:rFonts w:hint="eastAsia" w:ascii="宋体" w:hAnsi="宋体" w:cs="宋体"/>
          <w:kern w:val="0"/>
          <w:sz w:val="24"/>
          <w:lang w:bidi="zh-CN"/>
        </w:rPr>
        <w:t xml:space="preserve">   </w:t>
      </w:r>
      <w:r>
        <w:rPr>
          <w:rFonts w:hint="eastAsia" w:ascii="宋体" w:hAnsi="宋体" w:cs="宋体"/>
          <w:kern w:val="0"/>
          <w:sz w:val="24"/>
          <w:lang w:val="zh-CN" w:bidi="zh-CN"/>
        </w:rPr>
        <w:t>年</w:t>
      </w:r>
      <w:r>
        <w:rPr>
          <w:rFonts w:hint="eastAsia" w:ascii="宋体" w:hAnsi="宋体" w:cs="宋体"/>
          <w:kern w:val="0"/>
          <w:sz w:val="24"/>
          <w:lang w:val="zh-CN" w:bidi="zh-CN"/>
        </w:rPr>
        <w:tab/>
      </w:r>
      <w:r>
        <w:rPr>
          <w:rFonts w:hint="eastAsia" w:ascii="宋体" w:hAnsi="宋体" w:cs="宋体"/>
          <w:kern w:val="0"/>
          <w:sz w:val="24"/>
          <w:lang w:bidi="zh-CN"/>
        </w:rPr>
        <w:t xml:space="preserve"> </w:t>
      </w:r>
      <w:r>
        <w:rPr>
          <w:rFonts w:hint="eastAsia" w:ascii="宋体" w:hAnsi="宋体" w:cs="宋体"/>
          <w:kern w:val="0"/>
          <w:sz w:val="24"/>
          <w:lang w:val="zh-CN" w:bidi="zh-CN"/>
        </w:rPr>
        <w:t>月</w:t>
      </w:r>
      <w:r>
        <w:rPr>
          <w:rFonts w:hint="eastAsia" w:ascii="宋体" w:hAnsi="宋体" w:cs="宋体"/>
          <w:kern w:val="0"/>
          <w:sz w:val="24"/>
          <w:lang w:val="zh-CN" w:bidi="zh-CN"/>
        </w:rPr>
        <w:tab/>
      </w:r>
      <w:r>
        <w:rPr>
          <w:rFonts w:hint="eastAsia" w:ascii="宋体" w:hAnsi="宋体" w:cs="宋体"/>
          <w:kern w:val="0"/>
          <w:sz w:val="24"/>
          <w:lang w:bidi="zh-CN"/>
        </w:rPr>
        <w:t xml:space="preserve"> </w:t>
      </w:r>
      <w:r>
        <w:rPr>
          <w:rFonts w:hint="eastAsia" w:ascii="宋体" w:hAnsi="宋体" w:cs="宋体"/>
          <w:kern w:val="0"/>
          <w:sz w:val="24"/>
          <w:lang w:val="zh-CN" w:bidi="zh-CN"/>
        </w:rPr>
        <w:t>日</w:t>
      </w:r>
    </w:p>
    <w:p>
      <w:pPr>
        <w:spacing w:line="360" w:lineRule="auto"/>
        <w:rPr>
          <w:rFonts w:ascii="宋体" w:hAnsi="宋体" w:cs="宋体"/>
          <w:kern w:val="0"/>
          <w:sz w:val="24"/>
          <w:szCs w:val="20"/>
        </w:rPr>
      </w:pPr>
    </w:p>
    <w:p>
      <w:pPr>
        <w:spacing w:after="120" w:line="360" w:lineRule="auto"/>
        <w:rPr>
          <w:rFonts w:ascii="宋体" w:hAnsi="宋体" w:cs="宋体"/>
          <w:kern w:val="0"/>
          <w:sz w:val="24"/>
          <w:szCs w:val="20"/>
        </w:rPr>
      </w:pPr>
    </w:p>
    <w:p>
      <w:pPr>
        <w:widowControl/>
        <w:spacing w:line="360" w:lineRule="auto"/>
        <w:rPr>
          <w:rFonts w:ascii="宋体" w:hAnsi="宋体" w:cs="宋体"/>
          <w:kern w:val="0"/>
          <w:sz w:val="34"/>
          <w:szCs w:val="21"/>
        </w:rPr>
      </w:pPr>
    </w:p>
    <w:p>
      <w:pPr>
        <w:spacing w:line="360" w:lineRule="auto"/>
        <w:rPr>
          <w:rFonts w:ascii="宋体" w:hAnsi="宋体" w:cs="宋体"/>
          <w:kern w:val="0"/>
          <w:sz w:val="24"/>
          <w:szCs w:val="20"/>
        </w:rPr>
      </w:pPr>
      <w:r>
        <w:rPr>
          <w:rFonts w:hint="eastAsia" w:ascii="宋体" w:hAnsi="宋体" w:cs="宋体"/>
          <w:kern w:val="0"/>
          <w:sz w:val="24"/>
          <w:szCs w:val="20"/>
        </w:rPr>
        <w:t>注：</w:t>
      </w:r>
    </w:p>
    <w:p>
      <w:pPr>
        <w:numPr>
          <w:ilvl w:val="0"/>
          <w:numId w:val="7"/>
        </w:numPr>
        <w:spacing w:line="360" w:lineRule="auto"/>
        <w:rPr>
          <w:rFonts w:ascii="宋体" w:hAnsi="宋体" w:cs="宋体"/>
          <w:kern w:val="0"/>
          <w:sz w:val="24"/>
          <w:szCs w:val="20"/>
        </w:rPr>
      </w:pPr>
      <w:r>
        <w:rPr>
          <w:rFonts w:hint="eastAsia" w:ascii="宋体" w:hAnsi="宋体" w:cs="宋体"/>
          <w:kern w:val="0"/>
          <w:sz w:val="24"/>
          <w:szCs w:val="20"/>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line="360" w:lineRule="auto"/>
        <w:rPr>
          <w:rFonts w:ascii="宋体" w:hAnsi="宋体" w:cs="宋体"/>
          <w:kern w:val="0"/>
          <w:sz w:val="24"/>
          <w:szCs w:val="20"/>
        </w:rPr>
      </w:pPr>
      <w:r>
        <w:rPr>
          <w:rFonts w:hint="eastAsia" w:ascii="宋体" w:hAnsi="宋体" w:cs="宋体"/>
          <w:kern w:val="0"/>
          <w:sz w:val="24"/>
          <w:szCs w:val="20"/>
        </w:rPr>
        <w:t>供应商为非残疾人福利性单位的，可不提供此声明。</w:t>
      </w:r>
    </w:p>
    <w:p>
      <w:pPr>
        <w:spacing w:after="120" w:line="360" w:lineRule="auto"/>
        <w:rPr>
          <w:rFonts w:ascii="宋体" w:hAnsi="宋体" w:cs="宋体"/>
          <w:kern w:val="0"/>
          <w:sz w:val="34"/>
          <w:szCs w:val="20"/>
        </w:rPr>
      </w:pPr>
      <w:r>
        <w:rPr>
          <w:rFonts w:hint="eastAsia" w:ascii="宋体" w:hAnsi="宋体" w:cs="宋体"/>
          <w:kern w:val="0"/>
          <w:sz w:val="24"/>
          <w:szCs w:val="20"/>
        </w:rPr>
        <w:t>3、未提供本声明函视为放弃享受相关政策，不作为无效磋商处理。</w:t>
      </w:r>
    </w:p>
    <w:p>
      <w:pPr>
        <w:rPr>
          <w:rFonts w:ascii="宋体" w:hAnsi="宋体" w:cs="宋体"/>
        </w:rPr>
      </w:pPr>
      <w:r>
        <w:rPr>
          <w:rFonts w:hint="eastAsia" w:ascii="宋体" w:hAnsi="宋体" w:cs="宋体"/>
        </w:rPr>
        <w:br w:type="page"/>
      </w:r>
    </w:p>
    <w:p>
      <w:pPr>
        <w:spacing w:line="360" w:lineRule="auto"/>
        <w:jc w:val="center"/>
        <w:outlineLvl w:val="2"/>
        <w:rPr>
          <w:rFonts w:ascii="宋体" w:hAnsi="宋体" w:cs="宋体"/>
          <w:b/>
          <w:kern w:val="0"/>
          <w:sz w:val="32"/>
          <w:szCs w:val="32"/>
        </w:rPr>
      </w:pPr>
      <w:bookmarkStart w:id="164" w:name="_Toc2706"/>
      <w:r>
        <w:rPr>
          <w:rFonts w:hint="eastAsia" w:ascii="宋体" w:hAnsi="宋体" w:cs="宋体"/>
          <w:b/>
          <w:kern w:val="0"/>
          <w:sz w:val="32"/>
          <w:szCs w:val="32"/>
        </w:rPr>
        <w:t>十二、监狱企业的证明文件</w:t>
      </w:r>
    </w:p>
    <w:p>
      <w:pPr>
        <w:spacing w:line="360" w:lineRule="auto"/>
        <w:rPr>
          <w:rFonts w:ascii="宋体" w:hAnsi="宋体" w:cs="宋体"/>
          <w:b/>
          <w:kern w:val="0"/>
          <w:sz w:val="32"/>
          <w:szCs w:val="32"/>
        </w:rPr>
      </w:pPr>
      <w:r>
        <w:rPr>
          <w:rFonts w:hint="eastAsia" w:ascii="宋体" w:hAnsi="宋体" w:cs="宋体"/>
          <w:b/>
          <w:kern w:val="0"/>
          <w:sz w:val="32"/>
          <w:szCs w:val="32"/>
        </w:rPr>
        <w:t>　</w:t>
      </w:r>
    </w:p>
    <w:p>
      <w:pPr>
        <w:spacing w:line="360" w:lineRule="auto"/>
        <w:rPr>
          <w:rFonts w:ascii="宋体" w:hAnsi="宋体" w:cs="宋体"/>
          <w:b/>
          <w:kern w:val="0"/>
          <w:sz w:val="32"/>
          <w:szCs w:val="32"/>
        </w:rPr>
      </w:pPr>
    </w:p>
    <w:p>
      <w:pPr>
        <w:spacing w:line="360" w:lineRule="auto"/>
        <w:ind w:firstLine="480" w:firstLineChars="200"/>
        <w:rPr>
          <w:rFonts w:ascii="宋体" w:hAnsi="宋体" w:cs="宋体"/>
          <w:bCs/>
          <w:kern w:val="0"/>
          <w:sz w:val="24"/>
        </w:rPr>
      </w:pPr>
      <w:r>
        <w:rPr>
          <w:rFonts w:hint="eastAsia" w:ascii="宋体" w:hAnsi="宋体" w:cs="宋体"/>
          <w:bCs/>
          <w:kern w:val="0"/>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rPr>
          <w:rFonts w:ascii="宋体" w:hAnsi="宋体" w:cs="宋体"/>
          <w:b/>
          <w:sz w:val="32"/>
        </w:rPr>
      </w:pPr>
      <w:r>
        <w:rPr>
          <w:rFonts w:hint="eastAsia" w:ascii="宋体" w:hAnsi="宋体" w:cs="宋体"/>
          <w:bCs/>
          <w:kern w:val="0"/>
          <w:sz w:val="24"/>
        </w:rPr>
        <w:t xml:space="preserve">   2、若未提供证明文件的则不享受监狱企业价格折扣。</w:t>
      </w:r>
      <w:r>
        <w:rPr>
          <w:rFonts w:hint="eastAsia" w:ascii="宋体" w:hAnsi="宋体" w:cs="宋体"/>
          <w:bCs/>
          <w:kern w:val="0"/>
          <w:sz w:val="28"/>
          <w:szCs w:val="28"/>
        </w:rPr>
        <w:br w:type="page"/>
      </w:r>
    </w:p>
    <w:p>
      <w:pPr>
        <w:spacing w:before="240" w:beforeLines="100" w:after="240" w:afterLines="100" w:line="360" w:lineRule="auto"/>
        <w:jc w:val="center"/>
        <w:outlineLvl w:val="2"/>
        <w:rPr>
          <w:rFonts w:ascii="宋体" w:hAnsi="宋体" w:cs="宋体"/>
          <w:b/>
          <w:sz w:val="32"/>
        </w:rPr>
      </w:pPr>
      <w:r>
        <w:rPr>
          <w:rFonts w:hint="eastAsia" w:ascii="宋体" w:hAnsi="宋体" w:cs="宋体"/>
          <w:b/>
          <w:sz w:val="32"/>
        </w:rPr>
        <w:t>十三、服务方案</w:t>
      </w:r>
      <w:bookmarkEnd w:id="164"/>
    </w:p>
    <w:p>
      <w:pPr>
        <w:pStyle w:val="2"/>
        <w:jc w:val="center"/>
        <w:rPr>
          <w:rFonts w:ascii="宋体" w:hAnsi="宋体" w:cs="宋体"/>
          <w:sz w:val="24"/>
          <w:szCs w:val="32"/>
        </w:rPr>
      </w:pPr>
      <w:r>
        <w:rPr>
          <w:rFonts w:hint="eastAsia" w:ascii="宋体" w:hAnsi="宋体" w:cs="宋体"/>
          <w:sz w:val="24"/>
          <w:szCs w:val="32"/>
        </w:rPr>
        <w:t>格式自拟</w:t>
      </w:r>
    </w:p>
    <w:p>
      <w:pPr>
        <w:rPr>
          <w:rFonts w:ascii="宋体" w:hAnsi="宋体" w:cs="宋体"/>
          <w:b/>
          <w:bCs/>
          <w:sz w:val="32"/>
          <w:szCs w:val="32"/>
        </w:rPr>
      </w:pPr>
      <w:r>
        <w:rPr>
          <w:rFonts w:hint="eastAsia" w:ascii="宋体" w:hAnsi="宋体" w:cs="宋体"/>
          <w:b/>
          <w:bCs/>
          <w:sz w:val="32"/>
          <w:szCs w:val="32"/>
        </w:rPr>
        <w:br w:type="page"/>
      </w:r>
    </w:p>
    <w:p>
      <w:pPr>
        <w:spacing w:before="240" w:beforeLines="100" w:after="240" w:afterLines="100" w:line="360" w:lineRule="auto"/>
        <w:jc w:val="center"/>
        <w:outlineLvl w:val="2"/>
        <w:rPr>
          <w:rFonts w:ascii="宋体" w:hAnsi="宋体" w:cs="宋体"/>
          <w:b/>
          <w:sz w:val="32"/>
        </w:rPr>
      </w:pPr>
      <w:bookmarkStart w:id="165" w:name="_Toc30455"/>
      <w:r>
        <w:rPr>
          <w:rFonts w:hint="eastAsia" w:ascii="宋体" w:hAnsi="宋体" w:cs="宋体"/>
          <w:b/>
          <w:sz w:val="32"/>
        </w:rPr>
        <w:t>十四、其他资料</w:t>
      </w:r>
      <w:bookmarkEnd w:id="165"/>
    </w:p>
    <w:p>
      <w:pPr>
        <w:rPr>
          <w:rFonts w:ascii="宋体" w:hAnsi="宋体" w:cs="宋体"/>
        </w:rPr>
      </w:pPr>
    </w:p>
    <w:p>
      <w:pPr>
        <w:pStyle w:val="36"/>
        <w:ind w:firstLine="480"/>
      </w:pPr>
      <w:r>
        <w:rPr>
          <w:rFonts w:hint="eastAsia"/>
        </w:rPr>
        <w:t>供应商按招标文件要求或根据自身情况提供其他资料，格式自拟。</w:t>
      </w:r>
    </w:p>
    <w:p>
      <w:pPr>
        <w:pStyle w:val="2"/>
        <w:rPr>
          <w:rFonts w:ascii="宋体" w:hAnsi="宋体" w:cs="宋体"/>
        </w:rPr>
        <w:sectPr>
          <w:pgSz w:w="11910" w:h="16840"/>
          <w:pgMar w:top="1440" w:right="1803" w:bottom="1440" w:left="1803" w:header="720" w:footer="720" w:gutter="0"/>
          <w:cols w:space="425" w:num="1"/>
        </w:sectPr>
      </w:pPr>
    </w:p>
    <w:p>
      <w:pPr>
        <w:pStyle w:val="3"/>
        <w:spacing w:before="240" w:beforeLines="100" w:after="240" w:afterLines="100" w:line="360" w:lineRule="auto"/>
        <w:jc w:val="center"/>
        <w:rPr>
          <w:rFonts w:ascii="宋体" w:hAnsi="宋体" w:cs="宋体"/>
          <w:sz w:val="32"/>
          <w:szCs w:val="32"/>
        </w:rPr>
      </w:pPr>
      <w:bookmarkStart w:id="166" w:name="_TOC_250003"/>
      <w:bookmarkEnd w:id="166"/>
      <w:bookmarkStart w:id="167" w:name="_Toc28383"/>
      <w:r>
        <w:rPr>
          <w:rFonts w:hint="eastAsia" w:ascii="宋体" w:hAnsi="宋体" w:cs="宋体"/>
          <w:sz w:val="32"/>
          <w:szCs w:val="32"/>
        </w:rPr>
        <w:t>第四章 供应商的资格、资质性及其他类似效力要求</w:t>
      </w:r>
      <w:bookmarkEnd w:id="167"/>
    </w:p>
    <w:bookmarkEnd w:id="149"/>
    <w:p>
      <w:pPr>
        <w:tabs>
          <w:tab w:val="left" w:pos="6684"/>
        </w:tabs>
        <w:spacing w:line="360" w:lineRule="auto"/>
        <w:outlineLvl w:val="1"/>
        <w:rPr>
          <w:rFonts w:ascii="宋体" w:hAnsi="宋体" w:cs="宋体"/>
          <w:sz w:val="24"/>
        </w:rPr>
      </w:pPr>
      <w:bookmarkStart w:id="168" w:name="_Toc22287"/>
      <w:bookmarkStart w:id="169" w:name="_Toc30758"/>
      <w:bookmarkStart w:id="170" w:name="_Toc18671"/>
      <w:bookmarkStart w:id="171" w:name="_Toc7060"/>
      <w:bookmarkStart w:id="172" w:name="_Toc28264"/>
      <w:bookmarkStart w:id="173" w:name="_Toc8359"/>
      <w:r>
        <w:rPr>
          <w:rFonts w:hint="eastAsia" w:ascii="宋体" w:hAnsi="宋体" w:cs="宋体"/>
          <w:b/>
          <w:bCs/>
          <w:sz w:val="28"/>
          <w:szCs w:val="28"/>
        </w:rPr>
        <w:t>一、供应商的资格、资质性及其他类似效力要求</w:t>
      </w:r>
      <w:bookmarkEnd w:id="168"/>
      <w:bookmarkEnd w:id="169"/>
      <w:bookmarkEnd w:id="170"/>
      <w:bookmarkEnd w:id="171"/>
      <w:bookmarkEnd w:id="172"/>
      <w:bookmarkEnd w:id="173"/>
      <w:r>
        <w:rPr>
          <w:rFonts w:hint="eastAsia" w:ascii="宋体" w:hAnsi="宋体" w:cs="宋体"/>
          <w:b/>
          <w:bCs/>
          <w:sz w:val="28"/>
          <w:szCs w:val="28"/>
        </w:rPr>
        <w:tab/>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（一）符合《中华人民共和国政府采购法》第二十二条第一款的相关规定：</w:t>
      </w:r>
    </w:p>
    <w:p>
      <w:pPr>
        <w:tabs>
          <w:tab w:val="left" w:pos="1134"/>
        </w:tabs>
        <w:spacing w:line="360" w:lineRule="auto"/>
        <w:ind w:firstLine="480"/>
        <w:jc w:val="left"/>
        <w:rPr>
          <w:rFonts w:ascii="宋体" w:hAnsi="宋体" w:cs="宋体"/>
          <w:bCs/>
          <w:sz w:val="24"/>
        </w:rPr>
      </w:pPr>
      <w:bookmarkStart w:id="174" w:name="_Toc7815"/>
      <w:bookmarkStart w:id="175" w:name="_Toc2763"/>
      <w:bookmarkStart w:id="176" w:name="_Toc30944"/>
      <w:bookmarkStart w:id="177" w:name="_Toc32750"/>
      <w:bookmarkStart w:id="178" w:name="_Toc22661"/>
      <w:r>
        <w:rPr>
          <w:rFonts w:hint="eastAsia" w:ascii="宋体" w:hAnsi="宋体" w:cs="宋体"/>
          <w:bCs/>
          <w:sz w:val="24"/>
        </w:rPr>
        <w:t>1、具有独立承担民事责任的能力；</w:t>
      </w:r>
    </w:p>
    <w:p>
      <w:pPr>
        <w:tabs>
          <w:tab w:val="left" w:pos="1134"/>
        </w:tabs>
        <w:spacing w:line="360" w:lineRule="auto"/>
        <w:ind w:firstLine="480"/>
        <w:jc w:val="left"/>
        <w:rPr>
          <w:rFonts w:ascii="宋体" w:hAnsi="宋体" w:cs="宋体"/>
          <w:bCs/>
          <w:sz w:val="24"/>
        </w:rPr>
      </w:pPr>
      <w:r>
        <w:rPr>
          <w:rFonts w:hint="eastAsia" w:ascii="宋体" w:hAnsi="宋体" w:cs="宋体"/>
          <w:bCs/>
          <w:sz w:val="24"/>
        </w:rPr>
        <w:t>2、具有良好的商业信誉和健全的财务会计制度；</w:t>
      </w:r>
    </w:p>
    <w:p>
      <w:pPr>
        <w:tabs>
          <w:tab w:val="left" w:pos="1134"/>
        </w:tabs>
        <w:spacing w:line="360" w:lineRule="auto"/>
        <w:ind w:firstLine="480"/>
        <w:jc w:val="left"/>
        <w:rPr>
          <w:rFonts w:ascii="宋体" w:hAnsi="宋体" w:cs="宋体"/>
          <w:bCs/>
          <w:sz w:val="24"/>
        </w:rPr>
      </w:pPr>
      <w:r>
        <w:rPr>
          <w:rFonts w:hint="eastAsia" w:ascii="宋体" w:hAnsi="宋体" w:cs="宋体"/>
          <w:bCs/>
          <w:sz w:val="24"/>
        </w:rPr>
        <w:t>3、具有履行合同所必须的设备和专业技术能力；</w:t>
      </w:r>
    </w:p>
    <w:p>
      <w:pPr>
        <w:tabs>
          <w:tab w:val="left" w:pos="1134"/>
        </w:tabs>
        <w:spacing w:line="360" w:lineRule="auto"/>
        <w:ind w:firstLine="480"/>
        <w:jc w:val="left"/>
        <w:rPr>
          <w:rFonts w:ascii="宋体" w:hAnsi="宋体" w:cs="宋体"/>
          <w:bCs/>
          <w:sz w:val="24"/>
        </w:rPr>
      </w:pPr>
      <w:r>
        <w:rPr>
          <w:rFonts w:hint="eastAsia" w:ascii="宋体" w:hAnsi="宋体" w:cs="宋体"/>
          <w:bCs/>
          <w:sz w:val="24"/>
        </w:rPr>
        <w:t>4、具有依法缴纳税收和社会保障资金的良好记录；</w:t>
      </w:r>
    </w:p>
    <w:p>
      <w:pPr>
        <w:tabs>
          <w:tab w:val="left" w:pos="1134"/>
        </w:tabs>
        <w:spacing w:line="360" w:lineRule="auto"/>
        <w:ind w:firstLine="480"/>
        <w:jc w:val="left"/>
        <w:rPr>
          <w:rFonts w:ascii="宋体" w:hAnsi="宋体" w:cs="宋体"/>
          <w:bCs/>
          <w:sz w:val="24"/>
        </w:rPr>
      </w:pPr>
      <w:r>
        <w:rPr>
          <w:rFonts w:hint="eastAsia" w:ascii="宋体" w:hAnsi="宋体" w:cs="宋体"/>
          <w:bCs/>
          <w:sz w:val="24"/>
        </w:rPr>
        <w:t>5、参加本次政府采购活动前三年内，在经营活动中没有重大违法记录；</w:t>
      </w:r>
    </w:p>
    <w:p>
      <w:pPr>
        <w:tabs>
          <w:tab w:val="left" w:pos="1134"/>
        </w:tabs>
        <w:spacing w:line="360" w:lineRule="auto"/>
        <w:ind w:firstLine="480" w:firstLineChars="200"/>
        <w:jc w:val="left"/>
        <w:rPr>
          <w:rFonts w:ascii="宋体" w:hAnsi="宋体" w:cs="宋体"/>
          <w:bCs/>
          <w:sz w:val="24"/>
        </w:rPr>
      </w:pPr>
      <w:r>
        <w:rPr>
          <w:rFonts w:hint="eastAsia" w:ascii="宋体" w:hAnsi="宋体" w:cs="宋体"/>
          <w:bCs/>
          <w:sz w:val="24"/>
        </w:rPr>
        <w:t>6、法律、行政法规规定的其他条件；</w:t>
      </w:r>
    </w:p>
    <w:p>
      <w:pPr>
        <w:tabs>
          <w:tab w:val="left" w:pos="1134"/>
        </w:tabs>
        <w:spacing w:line="360" w:lineRule="auto"/>
        <w:ind w:firstLine="480" w:firstLineChars="200"/>
        <w:jc w:val="left"/>
        <w:rPr>
          <w:rFonts w:ascii="宋体" w:hAnsi="宋体" w:cs="宋体"/>
          <w:bCs/>
          <w:sz w:val="24"/>
        </w:rPr>
      </w:pPr>
      <w:r>
        <w:rPr>
          <w:rFonts w:hint="eastAsia" w:ascii="宋体" w:hAnsi="宋体" w:cs="宋体"/>
          <w:bCs/>
          <w:sz w:val="24"/>
        </w:rPr>
        <w:t>7、本项目规定的特定条件：</w:t>
      </w:r>
    </w:p>
    <w:p>
      <w:pPr>
        <w:spacing w:line="360" w:lineRule="auto"/>
        <w:ind w:firstLine="480" w:firstLineChars="200"/>
        <w:rPr>
          <w:rFonts w:ascii="宋体" w:hAnsi="宋体" w:cs="宋体"/>
          <w:sz w:val="24"/>
        </w:rPr>
      </w:pPr>
      <w:r>
        <w:rPr>
          <w:rFonts w:hint="eastAsia" w:ascii="宋体" w:hAnsi="宋体" w:cs="宋体"/>
          <w:sz w:val="24"/>
        </w:rPr>
        <w:t>7.1供应商没有被列入失信被执行人、重大税收违法案件当事人名单、政府采购严重违法失信行为记录；</w:t>
      </w:r>
    </w:p>
    <w:p>
      <w:pPr>
        <w:spacing w:line="360" w:lineRule="auto"/>
        <w:ind w:firstLine="480" w:firstLineChars="200"/>
        <w:rPr>
          <w:rFonts w:ascii="宋体" w:hAnsi="宋体" w:cs="宋体"/>
          <w:sz w:val="24"/>
        </w:rPr>
      </w:pPr>
      <w:r>
        <w:rPr>
          <w:rFonts w:hint="eastAsia" w:ascii="宋体" w:hAnsi="宋体" w:cs="宋体"/>
          <w:sz w:val="24"/>
        </w:rPr>
        <w:t>注：采购人或采购代理机构将于投标截止时间前一个工作日在“信用中国”网站（www.creditchina.gov.cn）、“中国政府采购网”网站（www.ccgp.gov.cn）等渠道对供应商进行信用记录查询，并将查询记录存档。凡被列入失信被执行人、重大税收违法案件当事人名单、政府采购严重违法失信行为记录名单的，视为存在不良信用记录，参与本项目的将被视为无效投标。</w:t>
      </w:r>
    </w:p>
    <w:p>
      <w:pPr>
        <w:spacing w:line="360" w:lineRule="auto"/>
        <w:ind w:firstLine="480" w:firstLineChars="200"/>
        <w:rPr>
          <w:rFonts w:ascii="宋体" w:hAnsi="宋体" w:cs="宋体"/>
          <w:sz w:val="24"/>
        </w:rPr>
      </w:pPr>
      <w:r>
        <w:rPr>
          <w:rFonts w:hint="eastAsia" w:ascii="宋体" w:hAnsi="宋体" w:cs="宋体"/>
          <w:sz w:val="24"/>
        </w:rPr>
        <w:t>7.2本项目不允许联合体投标。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7.3供应商具备环保工程专业承包叁级及以上资质（在有效期内）；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7.4具备有效的《安全生产许可证》；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7.5供应商具备环境工程（水污染防治工程）专项设计乙级及以上资质（在有效期内）。</w:t>
      </w:r>
    </w:p>
    <w:p>
      <w:pPr>
        <w:spacing w:line="360" w:lineRule="auto"/>
        <w:rPr>
          <w:rFonts w:ascii="宋体" w:hAnsi="宋体" w:cs="宋体"/>
          <w:b/>
          <w:bCs/>
          <w:sz w:val="24"/>
        </w:rPr>
      </w:pPr>
      <w:r>
        <w:rPr>
          <w:rFonts w:hint="eastAsia" w:ascii="宋体" w:hAnsi="宋体" w:cs="宋体"/>
          <w:b/>
          <w:bCs/>
          <w:sz w:val="24"/>
        </w:rPr>
        <w:t>（二）资质要求：</w:t>
      </w:r>
      <w:bookmarkEnd w:id="174"/>
      <w:bookmarkEnd w:id="175"/>
      <w:bookmarkEnd w:id="176"/>
      <w:bookmarkEnd w:id="177"/>
      <w:bookmarkEnd w:id="178"/>
    </w:p>
    <w:p>
      <w:pPr>
        <w:spacing w:line="360" w:lineRule="auto"/>
        <w:ind w:firstLine="720" w:firstLineChars="300"/>
        <w:rPr>
          <w:rFonts w:ascii="宋体" w:hAnsi="宋体" w:cs="宋体"/>
          <w:sz w:val="24"/>
        </w:rPr>
      </w:pPr>
      <w:bookmarkStart w:id="179" w:name="_Toc5854"/>
      <w:bookmarkStart w:id="180" w:name="_Toc26403"/>
      <w:bookmarkStart w:id="181" w:name="_Toc19626"/>
      <w:bookmarkStart w:id="182" w:name="_Toc215"/>
      <w:bookmarkStart w:id="183" w:name="_Toc8668"/>
      <w:r>
        <w:rPr>
          <w:rFonts w:hint="eastAsia" w:ascii="宋体" w:hAnsi="宋体" w:cs="宋体"/>
          <w:sz w:val="24"/>
        </w:rPr>
        <w:t>无</w:t>
      </w:r>
      <w:bookmarkEnd w:id="179"/>
      <w:bookmarkEnd w:id="180"/>
    </w:p>
    <w:p>
      <w:pPr>
        <w:spacing w:line="360" w:lineRule="auto"/>
        <w:rPr>
          <w:rFonts w:ascii="宋体" w:hAnsi="宋体" w:cs="宋体"/>
          <w:sz w:val="24"/>
        </w:rPr>
      </w:pPr>
      <w:bookmarkStart w:id="184" w:name="_Toc11843"/>
      <w:bookmarkStart w:id="185" w:name="_Toc14347"/>
      <w:r>
        <w:rPr>
          <w:rFonts w:hint="eastAsia" w:ascii="宋体" w:hAnsi="宋体" w:cs="宋体"/>
          <w:b/>
          <w:bCs/>
          <w:sz w:val="24"/>
        </w:rPr>
        <w:t>（三）其他类似效力要求</w:t>
      </w:r>
      <w:r>
        <w:rPr>
          <w:rFonts w:hint="eastAsia" w:ascii="宋体" w:hAnsi="宋体" w:cs="宋体"/>
          <w:sz w:val="24"/>
        </w:rPr>
        <w:t>：</w:t>
      </w:r>
      <w:bookmarkEnd w:id="181"/>
      <w:bookmarkEnd w:id="182"/>
      <w:bookmarkEnd w:id="183"/>
      <w:bookmarkEnd w:id="184"/>
      <w:bookmarkEnd w:id="185"/>
    </w:p>
    <w:p>
      <w:pPr>
        <w:spacing w:line="360" w:lineRule="auto"/>
        <w:ind w:firstLine="720" w:firstLineChars="300"/>
        <w:rPr>
          <w:rFonts w:ascii="宋体" w:hAnsi="宋体" w:cs="宋体"/>
          <w:sz w:val="24"/>
        </w:rPr>
      </w:pPr>
      <w:r>
        <w:rPr>
          <w:rFonts w:hint="eastAsia" w:ascii="宋体" w:hAnsi="宋体" w:cs="宋体"/>
          <w:sz w:val="24"/>
        </w:rPr>
        <w:t>法定代表参加投标或合法授权的供应商代表参加投标。</w:t>
      </w:r>
    </w:p>
    <w:p>
      <w:pPr>
        <w:spacing w:line="360" w:lineRule="auto"/>
        <w:outlineLvl w:val="1"/>
        <w:rPr>
          <w:rFonts w:ascii="宋体" w:hAnsi="宋体" w:cs="宋体"/>
          <w:b/>
          <w:bCs/>
          <w:sz w:val="28"/>
          <w:szCs w:val="28"/>
        </w:rPr>
      </w:pPr>
      <w:bookmarkStart w:id="186" w:name="_Toc14256"/>
      <w:bookmarkStart w:id="187" w:name="_Toc2564"/>
      <w:bookmarkStart w:id="188" w:name="_Toc21502"/>
      <w:bookmarkStart w:id="189" w:name="_Toc22838"/>
      <w:bookmarkStart w:id="190" w:name="_Toc26766"/>
      <w:bookmarkStart w:id="191" w:name="_Toc23787"/>
      <w:r>
        <w:rPr>
          <w:rFonts w:hint="eastAsia" w:ascii="宋体" w:hAnsi="宋体" w:cs="宋体"/>
          <w:b/>
          <w:bCs/>
          <w:sz w:val="28"/>
          <w:szCs w:val="28"/>
        </w:rPr>
        <w:t>二、</w:t>
      </w:r>
      <w:bookmarkEnd w:id="186"/>
      <w:bookmarkEnd w:id="187"/>
      <w:bookmarkEnd w:id="188"/>
      <w:bookmarkEnd w:id="189"/>
      <w:bookmarkEnd w:id="190"/>
      <w:bookmarkEnd w:id="191"/>
      <w:r>
        <w:rPr>
          <w:rFonts w:hint="eastAsia" w:ascii="宋体" w:hAnsi="宋体" w:cs="宋体"/>
          <w:b/>
          <w:bCs/>
          <w:sz w:val="28"/>
          <w:szCs w:val="28"/>
        </w:rPr>
        <w:t>投标产品（如涉及）的资格、资信证明文件及其他类似效力要求</w:t>
      </w:r>
    </w:p>
    <w:p>
      <w:pPr>
        <w:spacing w:line="360" w:lineRule="auto"/>
        <w:ind w:firstLine="480" w:firstLineChars="200"/>
        <w:rPr>
          <w:rFonts w:ascii="宋体" w:hAnsi="宋体" w:cs="宋体"/>
          <w:sz w:val="24"/>
        </w:rPr>
      </w:pPr>
      <w:r>
        <w:rPr>
          <w:rFonts w:hint="eastAsia" w:ascii="宋体" w:hAnsi="宋体" w:cs="宋体"/>
          <w:sz w:val="24"/>
        </w:rPr>
        <w:t>1.按照规定获取了招标文件，属于实质性参加政府采购活动的供应商；</w:t>
      </w:r>
    </w:p>
    <w:p>
      <w:pPr>
        <w:spacing w:line="360" w:lineRule="auto"/>
        <w:ind w:firstLine="480" w:firstLineChars="200"/>
        <w:rPr>
          <w:rFonts w:ascii="宋体" w:hAnsi="宋体" w:cs="宋体"/>
          <w:sz w:val="24"/>
        </w:rPr>
      </w:pPr>
      <w:r>
        <w:rPr>
          <w:rFonts w:hint="eastAsia" w:ascii="宋体" w:hAnsi="宋体" w:cs="宋体"/>
          <w:sz w:val="24"/>
        </w:rPr>
        <w:t>2.授权参加本次采购活动的供应商代表证明材料。</w:t>
      </w:r>
    </w:p>
    <w:p>
      <w:pPr>
        <w:pStyle w:val="2"/>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四川省行政处罚听证程序规定》第四条“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p>
      <w:pPr>
        <w:spacing w:line="360" w:lineRule="auto"/>
        <w:ind w:firstLine="480" w:firstLineChars="200"/>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宋体" w:hAnsi="宋体" w:cs="宋体"/>
        </w:rPr>
      </w:pPr>
    </w:p>
    <w:p>
      <w:pPr>
        <w:keepNext/>
        <w:keepLines/>
        <w:spacing w:line="460" w:lineRule="exact"/>
        <w:jc w:val="center"/>
        <w:rPr>
          <w:rFonts w:ascii="宋体" w:hAnsi="宋体" w:cs="宋体"/>
          <w:sz w:val="36"/>
          <w:szCs w:val="36"/>
        </w:rPr>
      </w:pPr>
      <w:r>
        <w:rPr>
          <w:rFonts w:hint="eastAsia" w:ascii="宋体" w:hAnsi="宋体" w:cs="宋体"/>
          <w:sz w:val="36"/>
          <w:szCs w:val="36"/>
        </w:rPr>
        <w:br w:type="page"/>
      </w:r>
    </w:p>
    <w:p>
      <w:pPr>
        <w:spacing w:before="240" w:beforeLines="100" w:after="240" w:afterLines="100" w:line="360" w:lineRule="auto"/>
        <w:jc w:val="center"/>
        <w:outlineLvl w:val="0"/>
        <w:rPr>
          <w:rFonts w:ascii="宋体" w:hAnsi="宋体" w:cs="宋体"/>
          <w:b/>
          <w:bCs/>
          <w:sz w:val="32"/>
          <w:szCs w:val="32"/>
        </w:rPr>
      </w:pPr>
      <w:bookmarkStart w:id="192" w:name="_Toc25417"/>
      <w:r>
        <w:rPr>
          <w:rFonts w:hint="eastAsia" w:ascii="宋体" w:hAnsi="宋体" w:cs="宋体"/>
          <w:b/>
          <w:bCs/>
          <w:sz w:val="32"/>
          <w:szCs w:val="32"/>
        </w:rPr>
        <w:t>第五章 供应商应当提供的资格、资质性及其他类似效力要求的相关证明材料</w:t>
      </w:r>
      <w:bookmarkEnd w:id="192"/>
    </w:p>
    <w:p>
      <w:pPr>
        <w:spacing w:line="360" w:lineRule="auto"/>
        <w:outlineLvl w:val="1"/>
        <w:rPr>
          <w:rFonts w:ascii="宋体" w:hAnsi="宋体" w:cs="宋体"/>
          <w:b/>
          <w:bCs/>
          <w:sz w:val="28"/>
          <w:szCs w:val="28"/>
        </w:rPr>
      </w:pPr>
      <w:bookmarkStart w:id="193" w:name="_Toc22587"/>
      <w:bookmarkStart w:id="194" w:name="_Toc10721"/>
      <w:bookmarkStart w:id="195" w:name="_Toc23367"/>
      <w:bookmarkStart w:id="196" w:name="_Toc4460"/>
      <w:bookmarkStart w:id="197" w:name="_Toc22122"/>
      <w:r>
        <w:rPr>
          <w:rFonts w:hint="eastAsia" w:ascii="宋体" w:hAnsi="宋体" w:cs="宋体"/>
          <w:b/>
          <w:bCs/>
          <w:sz w:val="28"/>
          <w:szCs w:val="28"/>
        </w:rPr>
        <w:t>一、供应商的资格、资质性及其他类似效力要求的相关证明材料</w:t>
      </w:r>
      <w:bookmarkEnd w:id="193"/>
      <w:bookmarkEnd w:id="194"/>
      <w:bookmarkEnd w:id="195"/>
      <w:bookmarkEnd w:id="196"/>
      <w:bookmarkEnd w:id="197"/>
    </w:p>
    <w:p>
      <w:pPr>
        <w:spacing w:line="360" w:lineRule="auto"/>
        <w:rPr>
          <w:rFonts w:ascii="宋体" w:hAnsi="宋体" w:cs="宋体"/>
          <w:b/>
          <w:bCs/>
          <w:sz w:val="24"/>
        </w:rPr>
      </w:pPr>
      <w:bookmarkStart w:id="198" w:name="_Toc4541"/>
      <w:bookmarkStart w:id="199" w:name="_Toc17256"/>
      <w:bookmarkStart w:id="200" w:name="_Toc9694"/>
      <w:bookmarkStart w:id="201" w:name="_Toc22071"/>
      <w:r>
        <w:rPr>
          <w:rFonts w:hint="eastAsia" w:ascii="宋体" w:hAnsi="宋体" w:cs="宋体"/>
          <w:b/>
          <w:bCs/>
          <w:sz w:val="24"/>
        </w:rPr>
        <w:t>（一）供应商资格要求相关证明材料：</w:t>
      </w:r>
      <w:bookmarkEnd w:id="198"/>
      <w:bookmarkEnd w:id="199"/>
      <w:bookmarkEnd w:id="200"/>
      <w:bookmarkEnd w:id="201"/>
    </w:p>
    <w:p>
      <w:pPr>
        <w:tabs>
          <w:tab w:val="left" w:pos="851"/>
          <w:tab w:val="left" w:pos="993"/>
        </w:tabs>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1、符合《中华人民共和国政府采购法》第二十二条第一款的相关规定的证明材料：</w:t>
      </w:r>
    </w:p>
    <w:p>
      <w:pPr>
        <w:tabs>
          <w:tab w:val="left" w:pos="7665"/>
        </w:tabs>
        <w:spacing w:line="360" w:lineRule="auto"/>
        <w:ind w:firstLine="240" w:firstLineChars="100"/>
        <w:rPr>
          <w:rFonts w:ascii="宋体" w:hAnsi="宋体" w:cs="宋体"/>
          <w:bCs/>
          <w:sz w:val="24"/>
        </w:rPr>
      </w:pPr>
      <w:r>
        <w:rPr>
          <w:rFonts w:hint="eastAsia" w:ascii="宋体" w:hAnsi="宋体" w:cs="宋体"/>
          <w:sz w:val="24"/>
        </w:rPr>
        <w:t xml:space="preserve"> 1.1具有独立承担民事责任的能力需提供：</w:t>
      </w:r>
      <w:r>
        <w:rPr>
          <w:rFonts w:hint="eastAsia" w:ascii="宋体" w:hAnsi="宋体" w:cs="宋体"/>
          <w:bCs/>
          <w:sz w:val="24"/>
        </w:rPr>
        <w:t>（1）企业法人：提供“统一社会信用代码营业执照”复印件；（2）事业法人：提供“统一社会信用代码法人登记证书”复印件；（3）其他组织：提供“统一社会信用代码社会团体法人登记证书”复印件或“统一社会信用代码民办非企业单位登记证书”复印件或“统一社会信用代码基金会法人登记证书”复印件；（4）个体工商户：提供“统一社会信用代码营业执照”复印件 或“营业执照、税务登记证”复印件。</w:t>
      </w:r>
    </w:p>
    <w:p>
      <w:pPr>
        <w:tabs>
          <w:tab w:val="left" w:pos="7665"/>
        </w:tabs>
        <w:spacing w:line="360" w:lineRule="auto"/>
        <w:ind w:firstLine="554"/>
        <w:rPr>
          <w:rFonts w:ascii="宋体" w:hAnsi="宋体" w:cs="宋体"/>
          <w:sz w:val="24"/>
        </w:rPr>
      </w:pPr>
      <w:r>
        <w:rPr>
          <w:rFonts w:hint="eastAsia" w:ascii="宋体" w:hAnsi="宋体" w:cs="宋体"/>
          <w:sz w:val="24"/>
        </w:rPr>
        <w:t>注：以上证件提供正/副本均可。</w:t>
      </w:r>
    </w:p>
    <w:p>
      <w:pPr>
        <w:snapToGrid w:val="0"/>
        <w:spacing w:line="360" w:lineRule="auto"/>
        <w:rPr>
          <w:rFonts w:ascii="宋体" w:hAnsi="宋体" w:cs="宋体"/>
          <w:sz w:val="24"/>
        </w:rPr>
      </w:pPr>
      <w:r>
        <w:rPr>
          <w:rFonts w:hint="eastAsia" w:ascii="宋体" w:hAnsi="宋体" w:cs="宋体"/>
          <w:sz w:val="24"/>
        </w:rPr>
        <w:t xml:space="preserve">   1.2具有良好的商业信誉和健全的财务会计制度的证明材料：</w:t>
      </w:r>
    </w:p>
    <w:p>
      <w:pPr>
        <w:snapToGrid w:val="0"/>
        <w:spacing w:line="360" w:lineRule="auto"/>
        <w:ind w:firstLine="720" w:firstLineChars="300"/>
        <w:rPr>
          <w:rFonts w:ascii="宋体" w:hAnsi="宋体" w:cs="宋体"/>
          <w:sz w:val="24"/>
          <w:lang w:val="zh-CN" w:bidi="zh-CN"/>
        </w:rPr>
      </w:pPr>
      <w:r>
        <w:rPr>
          <w:rFonts w:hint="eastAsia" w:ascii="宋体" w:hAnsi="宋体" w:cs="宋体"/>
          <w:sz w:val="24"/>
        </w:rPr>
        <w:t>1.2.1具有良好的商业信誉提供：（</w:t>
      </w:r>
      <w:r>
        <w:rPr>
          <w:rFonts w:hint="eastAsia" w:ascii="宋体" w:hAnsi="宋体" w:cs="宋体"/>
          <w:sz w:val="24"/>
          <w:lang w:val="zh-CN" w:bidi="zh-CN"/>
        </w:rPr>
        <w:t>提供承诺函，具体格式详见第</w:t>
      </w:r>
      <w:r>
        <w:rPr>
          <w:rFonts w:hint="eastAsia" w:ascii="宋体" w:hAnsi="宋体" w:cs="宋体"/>
          <w:sz w:val="24"/>
          <w:lang w:bidi="zh-CN"/>
        </w:rPr>
        <w:t>三</w:t>
      </w:r>
      <w:r>
        <w:rPr>
          <w:rFonts w:hint="eastAsia" w:ascii="宋体" w:hAnsi="宋体" w:cs="宋体"/>
          <w:sz w:val="24"/>
          <w:lang w:val="zh-CN" w:bidi="zh-CN"/>
        </w:rPr>
        <w:t>章）</w:t>
      </w:r>
    </w:p>
    <w:p>
      <w:pPr>
        <w:autoSpaceDE w:val="0"/>
        <w:autoSpaceDN w:val="0"/>
        <w:spacing w:line="360" w:lineRule="auto"/>
        <w:ind w:firstLine="720" w:firstLineChars="300"/>
        <w:rPr>
          <w:rFonts w:ascii="宋体" w:hAnsi="宋体" w:cs="宋体"/>
          <w:sz w:val="24"/>
          <w:lang w:val="zh-CN" w:bidi="zh-CN"/>
        </w:rPr>
      </w:pPr>
      <w:r>
        <w:rPr>
          <w:rFonts w:hint="eastAsia" w:ascii="宋体" w:hAnsi="宋体" w:cs="宋体"/>
          <w:sz w:val="24"/>
        </w:rPr>
        <w:t>1.2.2具有健全的财务会计制度提供：</w:t>
      </w:r>
      <w:r>
        <w:rPr>
          <w:rFonts w:hint="eastAsia" w:ascii="宋体" w:hAnsi="宋体" w:cs="宋体"/>
          <w:spacing w:val="-6"/>
          <w:sz w:val="24"/>
          <w:lang w:val="zh-CN" w:bidi="zh-CN"/>
        </w:rPr>
        <w:t>{</w:t>
      </w:r>
      <w:r>
        <w:rPr>
          <w:rFonts w:hint="eastAsia" w:ascii="宋体" w:hAnsi="宋体" w:cs="宋体"/>
          <w:sz w:val="24"/>
          <w:lang w:val="zh-CN" w:bidi="zh-CN"/>
        </w:rPr>
        <w:t>注：</w:t>
      </w:r>
      <w:r>
        <w:rPr>
          <w:rFonts w:hint="eastAsia" w:ascii="宋体" w:hAnsi="宋体" w:cs="宋体"/>
          <w:color w:val="000000"/>
          <w:sz w:val="24"/>
          <w:lang w:val="zh-CN" w:bidi="zh-CN"/>
        </w:rPr>
        <w:t>①可提供2018年或2019年经财务审计后的审计报告复印件</w:t>
      </w:r>
      <w:r>
        <w:rPr>
          <w:rFonts w:hint="eastAsia" w:ascii="宋体" w:hAnsi="宋体" w:cs="宋体"/>
          <w:sz w:val="24"/>
          <w:lang w:val="zh-CN" w:bidi="zh-CN"/>
        </w:rPr>
        <w:t>（包含审计报告和审计报告中所涉及的财务报表和报表附注）；②也可提供2018年或2019年</w:t>
      </w:r>
      <w:r>
        <w:rPr>
          <w:rFonts w:hint="eastAsia" w:ascii="宋体" w:hAnsi="宋体" w:cs="宋体"/>
          <w:sz w:val="24"/>
          <w:lang w:bidi="zh-CN"/>
        </w:rPr>
        <w:t>供应商</w:t>
      </w:r>
      <w:r>
        <w:rPr>
          <w:rFonts w:hint="eastAsia" w:ascii="宋体" w:hAnsi="宋体" w:cs="宋体"/>
          <w:sz w:val="24"/>
          <w:lang w:val="zh-CN" w:bidi="zh-CN"/>
        </w:rPr>
        <w:t>内部的财务报表复印件（至少包含资产负债表和利润表）；③也可提供2018年或2019年其中一年内银行出具的有效资信证明；④</w:t>
      </w:r>
      <w:r>
        <w:rPr>
          <w:rFonts w:hint="eastAsia" w:ascii="宋体" w:hAnsi="宋体" w:cs="宋体"/>
          <w:sz w:val="24"/>
          <w:lang w:bidi="zh-CN"/>
        </w:rPr>
        <w:t>供应商</w:t>
      </w:r>
      <w:r>
        <w:rPr>
          <w:rFonts w:hint="eastAsia" w:ascii="宋体" w:hAnsi="宋体" w:cs="宋体"/>
          <w:sz w:val="24"/>
          <w:lang w:val="zh-CN" w:bidi="zh-CN"/>
        </w:rPr>
        <w:t>注册时间距</w:t>
      </w:r>
      <w:r>
        <w:rPr>
          <w:rFonts w:hint="eastAsia" w:ascii="宋体" w:hAnsi="宋体" w:cs="宋体"/>
          <w:sz w:val="24"/>
          <w:lang w:bidi="zh-CN"/>
        </w:rPr>
        <w:t>投标文件递交</w:t>
      </w:r>
      <w:r>
        <w:rPr>
          <w:rFonts w:hint="eastAsia" w:ascii="宋体" w:hAnsi="宋体" w:cs="宋体"/>
          <w:sz w:val="24"/>
          <w:lang w:val="zh-CN" w:bidi="zh-CN"/>
        </w:rPr>
        <w:t>时间不足一年的，也可提供在工商备案的公司章程复印件}</w:t>
      </w:r>
    </w:p>
    <w:p>
      <w:pPr>
        <w:snapToGrid w:val="0"/>
        <w:spacing w:line="360" w:lineRule="auto"/>
        <w:ind w:firstLine="480" w:firstLineChars="200"/>
        <w:rPr>
          <w:rFonts w:ascii="宋体" w:hAnsi="宋体" w:cs="宋体"/>
          <w:sz w:val="24"/>
        </w:rPr>
      </w:pPr>
      <w:r>
        <w:rPr>
          <w:rFonts w:hint="eastAsia" w:ascii="宋体" w:hAnsi="宋体" w:cs="宋体"/>
          <w:sz w:val="24"/>
        </w:rPr>
        <w:t>1.3具有履行合同所必需的设备和专业技术能力的证明材料（可提供承诺函，格式详见第三章）。</w:t>
      </w:r>
    </w:p>
    <w:p>
      <w:pPr>
        <w:snapToGrid w:val="0"/>
        <w:spacing w:line="360" w:lineRule="auto"/>
        <w:rPr>
          <w:rFonts w:ascii="宋体" w:hAnsi="宋体" w:cs="宋体"/>
          <w:sz w:val="24"/>
        </w:rPr>
      </w:pPr>
      <w:r>
        <w:rPr>
          <w:rFonts w:hint="eastAsia" w:ascii="宋体" w:hAnsi="宋体" w:cs="宋体"/>
          <w:sz w:val="24"/>
        </w:rPr>
        <w:t xml:space="preserve">    1.4有依法交纳税收和社会保障资金的良好记录的证明材料：</w:t>
      </w:r>
    </w:p>
    <w:p>
      <w:pPr>
        <w:snapToGrid w:val="0"/>
        <w:spacing w:line="360" w:lineRule="auto"/>
        <w:ind w:firstLine="480" w:firstLineChars="200"/>
        <w:rPr>
          <w:rFonts w:ascii="宋体" w:hAnsi="宋体" w:cs="宋体"/>
          <w:sz w:val="24"/>
        </w:rPr>
      </w:pPr>
      <w:r>
        <w:rPr>
          <w:rFonts w:hint="eastAsia" w:ascii="宋体" w:hAnsi="宋体" w:cs="宋体"/>
          <w:sz w:val="24"/>
        </w:rPr>
        <w:t>（1）缴纳税收证明材料（供应商可提供以下证明材料）：</w:t>
      </w:r>
    </w:p>
    <w:p>
      <w:pPr>
        <w:snapToGrid w:val="0"/>
        <w:spacing w:line="360" w:lineRule="auto"/>
        <w:ind w:firstLine="480" w:firstLineChars="200"/>
        <w:rPr>
          <w:rFonts w:ascii="宋体" w:hAnsi="宋体" w:cs="宋体"/>
          <w:sz w:val="24"/>
        </w:rPr>
      </w:pPr>
      <w:r>
        <w:rPr>
          <w:rFonts w:hint="eastAsia" w:ascii="宋体" w:hAnsi="宋体" w:cs="宋体"/>
          <w:sz w:val="24"/>
        </w:rPr>
        <w:t>①供应商提供2020年1月1号以后任意一月的缴纳税收的银行电子回单或者税务部门出具的纳税证明或完税证明或提供承诺函（注：原件或复印件或扫描件并加盖公章，承诺函格式详见第三章）；</w:t>
      </w:r>
    </w:p>
    <w:p>
      <w:pPr>
        <w:snapToGrid w:val="0"/>
        <w:spacing w:line="360" w:lineRule="auto"/>
        <w:ind w:firstLine="480" w:firstLineChars="200"/>
        <w:rPr>
          <w:rFonts w:ascii="宋体" w:hAnsi="宋体" w:cs="宋体"/>
          <w:sz w:val="24"/>
        </w:rPr>
      </w:pPr>
      <w:r>
        <w:rPr>
          <w:rFonts w:hint="eastAsia" w:ascii="宋体" w:hAnsi="宋体" w:cs="宋体"/>
          <w:sz w:val="24"/>
        </w:rPr>
        <w:t>（2）缴纳社会保障资金（供应商可提供以下证明材料）：</w:t>
      </w:r>
    </w:p>
    <w:p>
      <w:pPr>
        <w:snapToGrid w:val="0"/>
        <w:spacing w:line="360" w:lineRule="auto"/>
        <w:ind w:firstLine="480" w:firstLineChars="200"/>
        <w:rPr>
          <w:rFonts w:ascii="宋体" w:hAnsi="宋体" w:cs="宋体"/>
          <w:sz w:val="24"/>
        </w:rPr>
      </w:pPr>
      <w:r>
        <w:rPr>
          <w:rFonts w:hint="eastAsia" w:ascii="宋体" w:hAnsi="宋体" w:cs="宋体"/>
          <w:sz w:val="24"/>
        </w:rPr>
        <w:t>①供应商提供2020年1月1号以后任意一月社保缴纳的证明材料（注：缴纳的银行电子回单或以社保部门出具的为准（注：原件或复印件或扫描件并加盖公章）。</w:t>
      </w:r>
    </w:p>
    <w:p>
      <w:pPr>
        <w:snapToGrid w:val="0"/>
        <w:spacing w:line="360" w:lineRule="auto"/>
        <w:ind w:firstLine="480" w:firstLineChars="200"/>
        <w:rPr>
          <w:rFonts w:ascii="宋体" w:hAnsi="宋体" w:cs="宋体"/>
          <w:sz w:val="24"/>
        </w:rPr>
      </w:pPr>
      <w:r>
        <w:rPr>
          <w:rFonts w:hint="eastAsia" w:ascii="宋体" w:hAnsi="宋体" w:cs="宋体"/>
          <w:sz w:val="24"/>
        </w:rPr>
        <w:t>1.5参加政府采购活动前三年内，在经营活动中没有重大违法记录（</w:t>
      </w:r>
      <w:r>
        <w:rPr>
          <w:rFonts w:hint="eastAsia" w:ascii="宋体" w:hAnsi="宋体" w:cs="宋体"/>
          <w:bCs/>
          <w:sz w:val="24"/>
        </w:rPr>
        <w:t>提供承诺函，格式详见第三章）</w:t>
      </w:r>
      <w:r>
        <w:rPr>
          <w:rFonts w:hint="eastAsia" w:ascii="宋体" w:hAnsi="宋体" w:cs="宋体"/>
          <w:sz w:val="24"/>
        </w:rPr>
        <w:t>。</w:t>
      </w:r>
    </w:p>
    <w:p>
      <w:pPr>
        <w:autoSpaceDE w:val="0"/>
        <w:autoSpaceDN w:val="0"/>
        <w:spacing w:line="360" w:lineRule="auto"/>
        <w:ind w:firstLine="480" w:firstLineChars="200"/>
        <w:jc w:val="left"/>
        <w:rPr>
          <w:rFonts w:ascii="宋体" w:hAnsi="宋体" w:cs="宋体"/>
          <w:sz w:val="24"/>
          <w:lang w:val="zh-CN" w:bidi="zh-CN"/>
        </w:rPr>
      </w:pPr>
      <w:r>
        <w:rPr>
          <w:rFonts w:hint="eastAsia" w:ascii="宋体" w:hAnsi="宋体" w:cs="宋体"/>
          <w:sz w:val="24"/>
        </w:rPr>
        <w:t>1.6符合法律、行政法规规定的其他条件的证明材料</w:t>
      </w:r>
      <w:r>
        <w:rPr>
          <w:rFonts w:hint="eastAsia" w:ascii="宋体" w:hAnsi="宋体" w:cs="宋体"/>
          <w:sz w:val="24"/>
          <w:lang w:val="zh-CN" w:bidi="zh-CN"/>
        </w:rPr>
        <w:t>（提供承诺函，具体格式详见第</w:t>
      </w:r>
      <w:r>
        <w:rPr>
          <w:rFonts w:hint="eastAsia" w:ascii="宋体" w:hAnsi="宋体" w:cs="宋体"/>
          <w:sz w:val="24"/>
          <w:lang w:bidi="zh-CN"/>
        </w:rPr>
        <w:t>三</w:t>
      </w:r>
      <w:r>
        <w:rPr>
          <w:rFonts w:hint="eastAsia" w:ascii="宋体" w:hAnsi="宋体" w:cs="宋体"/>
          <w:sz w:val="24"/>
          <w:lang w:val="zh-CN" w:bidi="zh-CN"/>
        </w:rPr>
        <w:t>章）。</w:t>
      </w:r>
    </w:p>
    <w:p>
      <w:pPr>
        <w:spacing w:line="360" w:lineRule="auto"/>
        <w:rPr>
          <w:rFonts w:ascii="宋体" w:hAnsi="宋体" w:cs="宋体"/>
          <w:sz w:val="24"/>
        </w:rPr>
      </w:pPr>
      <w:r>
        <w:rPr>
          <w:rFonts w:hint="eastAsia" w:ascii="宋体" w:hAnsi="宋体" w:cs="宋体"/>
          <w:sz w:val="24"/>
        </w:rPr>
        <w:t>2、本项目规定的特定条件证明材料：</w:t>
      </w:r>
    </w:p>
    <w:p>
      <w:pPr>
        <w:tabs>
          <w:tab w:val="left" w:pos="7665"/>
        </w:tabs>
        <w:spacing w:line="360" w:lineRule="auto"/>
        <w:ind w:firstLine="480" w:firstLineChars="200"/>
        <w:rPr>
          <w:rFonts w:ascii="宋体" w:hAnsi="宋体" w:cs="宋体"/>
          <w:sz w:val="24"/>
        </w:rPr>
      </w:pPr>
      <w:r>
        <w:rPr>
          <w:rFonts w:hint="eastAsia" w:ascii="宋体" w:hAnsi="宋体" w:cs="宋体"/>
          <w:sz w:val="24"/>
        </w:rPr>
        <w:t>2.1供应商不得为“信用中国”网站（www.creditchina.gov.cn）、“中国政府采购网”网站（www.ccgp.gov.cn）等网站中列入失信被执行人名单、重大税收违法案件当事人名单、政府采购严重违法失信行为记录名单中的供应商 (处罚决定规定的时间和地域范围内）（说明:采购人、采购代理机构在对投标文件进行资格性审查阶段将通过“信用中国”网站（www.creditchina.gov.cn）、“中国政府采购网”网站（www.ccgp.gov.cn）等渠道查询已购买招标文件的供应商在投标截止之日前的信用记录并保存信用记录结果网页截图，拒绝列入失信被执行人名单、重大税收违法案件当事人名单、政府采购严重违法失信行为记录名单中的供应商参加本项目的采购活动。</w:t>
      </w:r>
      <w:r>
        <w:rPr>
          <w:rFonts w:hint="eastAsia" w:ascii="宋体" w:hAnsi="宋体" w:cs="宋体"/>
          <w:kern w:val="0"/>
          <w:sz w:val="24"/>
        </w:rPr>
        <w:t>企业参与投标时无需对此条进行响应，由采购人、采购代理机构查询</w:t>
      </w:r>
      <w:r>
        <w:rPr>
          <w:rFonts w:hint="eastAsia" w:ascii="宋体" w:hAnsi="宋体" w:cs="宋体"/>
          <w:sz w:val="24"/>
        </w:rPr>
        <w:t>供应商</w:t>
      </w:r>
      <w:r>
        <w:rPr>
          <w:rFonts w:hint="eastAsia" w:ascii="宋体" w:hAnsi="宋体" w:cs="宋体"/>
          <w:kern w:val="0"/>
          <w:sz w:val="24"/>
        </w:rPr>
        <w:t>的信用记录并保存信用记录结果网页截图。非企业参与投标时由</w:t>
      </w:r>
      <w:r>
        <w:rPr>
          <w:rFonts w:hint="eastAsia" w:ascii="宋体" w:hAnsi="宋体" w:cs="宋体"/>
          <w:sz w:val="24"/>
        </w:rPr>
        <w:t>供应商</w:t>
      </w:r>
      <w:r>
        <w:rPr>
          <w:rFonts w:hint="eastAsia" w:ascii="宋体" w:hAnsi="宋体" w:cs="宋体"/>
          <w:kern w:val="0"/>
          <w:sz w:val="24"/>
        </w:rPr>
        <w:t>在投标文件中自行提供承诺函，格式详见第三章</w:t>
      </w:r>
      <w:r>
        <w:rPr>
          <w:rFonts w:hint="eastAsia" w:ascii="宋体" w:hAnsi="宋体" w:cs="宋体"/>
          <w:sz w:val="24"/>
        </w:rPr>
        <w:t>）</w:t>
      </w:r>
    </w:p>
    <w:p>
      <w:pPr>
        <w:tabs>
          <w:tab w:val="left" w:pos="7665"/>
        </w:tabs>
        <w:spacing w:line="360" w:lineRule="auto"/>
        <w:ind w:firstLine="480" w:firstLineChars="200"/>
        <w:rPr>
          <w:rFonts w:ascii="宋体" w:hAnsi="宋体" w:cs="宋体"/>
          <w:sz w:val="24"/>
          <w:lang w:val="zh-CN"/>
        </w:rPr>
      </w:pPr>
      <w:r>
        <w:rPr>
          <w:rFonts w:hint="eastAsia" w:ascii="宋体" w:hAnsi="宋体" w:cs="宋体"/>
          <w:sz w:val="24"/>
        </w:rPr>
        <w:t>2.2 本项目不允许联合体投标</w:t>
      </w:r>
      <w:r>
        <w:rPr>
          <w:rFonts w:hint="eastAsia" w:ascii="宋体" w:hAnsi="宋体" w:cs="宋体"/>
          <w:sz w:val="24"/>
          <w:lang w:val="zh-CN"/>
        </w:rPr>
        <w:t>（提供承诺函，具体格式详见第</w:t>
      </w:r>
      <w:r>
        <w:rPr>
          <w:rFonts w:hint="eastAsia" w:ascii="宋体" w:hAnsi="宋体" w:cs="宋体"/>
          <w:sz w:val="24"/>
        </w:rPr>
        <w:t>三</w:t>
      </w:r>
      <w:r>
        <w:rPr>
          <w:rFonts w:hint="eastAsia" w:ascii="宋体" w:hAnsi="宋体" w:cs="宋体"/>
          <w:sz w:val="24"/>
          <w:lang w:val="zh-CN"/>
        </w:rPr>
        <w:t>章）。</w:t>
      </w:r>
    </w:p>
    <w:p>
      <w:pPr>
        <w:tabs>
          <w:tab w:val="left" w:pos="766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2.3供应商具备环保工程专业承包叁级及以上资质（在有效期内，提供证书复印件并加盖公章）；</w:t>
      </w:r>
    </w:p>
    <w:p>
      <w:pPr>
        <w:tabs>
          <w:tab w:val="left" w:pos="766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2.4具备有效的《安全生产许可证》（提供复印件并加盖公章）；</w:t>
      </w:r>
    </w:p>
    <w:p>
      <w:pPr>
        <w:tabs>
          <w:tab w:val="left" w:pos="766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2.5供应商具备环境工程（水污染防治工程）专项设计乙级及以上资质（在有效期内，提供证书复印件并加盖公章）。</w:t>
      </w:r>
    </w:p>
    <w:p>
      <w:pPr>
        <w:spacing w:line="360" w:lineRule="auto"/>
        <w:rPr>
          <w:rFonts w:ascii="宋体" w:hAnsi="宋体" w:cs="宋体"/>
          <w:b/>
          <w:bCs/>
          <w:sz w:val="24"/>
        </w:rPr>
      </w:pPr>
      <w:bookmarkStart w:id="202" w:name="_Toc11830"/>
      <w:bookmarkStart w:id="203" w:name="_Toc28520"/>
      <w:bookmarkStart w:id="204" w:name="_Toc27754"/>
      <w:bookmarkStart w:id="205" w:name="_Toc12098"/>
      <w:r>
        <w:rPr>
          <w:rFonts w:hint="eastAsia" w:ascii="宋体" w:hAnsi="宋体" w:cs="宋体"/>
          <w:b/>
          <w:bCs/>
          <w:sz w:val="24"/>
        </w:rPr>
        <w:t>（二）资质要求相关证明材料：</w:t>
      </w:r>
      <w:bookmarkEnd w:id="202"/>
      <w:bookmarkEnd w:id="203"/>
      <w:bookmarkEnd w:id="204"/>
      <w:bookmarkEnd w:id="205"/>
    </w:p>
    <w:p>
      <w:pPr>
        <w:spacing w:line="360" w:lineRule="auto"/>
        <w:jc w:val="left"/>
        <w:rPr>
          <w:rFonts w:ascii="宋体" w:hAnsi="宋体" w:cs="宋体"/>
          <w:b/>
          <w:sz w:val="24"/>
        </w:rPr>
      </w:pPr>
      <w:r>
        <w:rPr>
          <w:rFonts w:hint="eastAsia" w:ascii="宋体" w:hAnsi="宋体" w:cs="宋体"/>
          <w:sz w:val="24"/>
        </w:rPr>
        <w:t xml:space="preserve">    无</w:t>
      </w:r>
    </w:p>
    <w:p>
      <w:pPr>
        <w:spacing w:line="360" w:lineRule="auto"/>
        <w:rPr>
          <w:rFonts w:ascii="宋体" w:hAnsi="宋体" w:cs="宋体"/>
          <w:b/>
          <w:bCs/>
          <w:sz w:val="24"/>
        </w:rPr>
      </w:pPr>
      <w:bookmarkStart w:id="206" w:name="_Toc7227"/>
      <w:bookmarkStart w:id="207" w:name="_Toc11630"/>
      <w:bookmarkStart w:id="208" w:name="_Toc16615"/>
      <w:bookmarkStart w:id="209" w:name="_Toc836"/>
      <w:r>
        <w:rPr>
          <w:rFonts w:hint="eastAsia" w:ascii="宋体" w:hAnsi="宋体" w:cs="宋体"/>
          <w:b/>
          <w:bCs/>
          <w:sz w:val="24"/>
        </w:rPr>
        <w:t>（三）其他类似效力要求相关证明材料：</w:t>
      </w:r>
      <w:bookmarkEnd w:id="206"/>
      <w:bookmarkEnd w:id="207"/>
      <w:bookmarkEnd w:id="208"/>
      <w:bookmarkEnd w:id="209"/>
    </w:p>
    <w:p>
      <w:pPr>
        <w:spacing w:line="360" w:lineRule="auto"/>
        <w:ind w:firstLine="480" w:firstLineChars="200"/>
        <w:rPr>
          <w:rFonts w:ascii="宋体" w:hAnsi="宋体" w:cs="宋体"/>
          <w:sz w:val="24"/>
        </w:rPr>
      </w:pPr>
      <w:bookmarkStart w:id="210" w:name="_Toc8159"/>
      <w:bookmarkStart w:id="211" w:name="_Toc28950"/>
      <w:bookmarkStart w:id="212" w:name="_Toc27795"/>
      <w:bookmarkStart w:id="213" w:name="_Toc841"/>
      <w:r>
        <w:rPr>
          <w:rFonts w:hint="eastAsia" w:ascii="宋体" w:hAnsi="宋体" w:cs="宋体"/>
          <w:sz w:val="24"/>
        </w:rPr>
        <w:t>1.法定代表人身份证复印件或护照复印件［注：①法定代表人身份证复印件（在有效期内、两面均应复印）或护照复印件（法定代表人为外籍人士的，按此提供）；</w:t>
      </w:r>
    </w:p>
    <w:p>
      <w:pPr>
        <w:spacing w:line="360" w:lineRule="auto"/>
        <w:ind w:firstLine="480" w:firstLineChars="200"/>
        <w:rPr>
          <w:rFonts w:ascii="宋体" w:hAnsi="宋体" w:cs="宋体"/>
          <w:sz w:val="24"/>
        </w:rPr>
      </w:pPr>
      <w:r>
        <w:rPr>
          <w:rFonts w:hint="eastAsia" w:ascii="宋体" w:hAnsi="宋体" w:cs="宋体"/>
          <w:sz w:val="24"/>
        </w:rPr>
        <w:t>2.代理人身份证复印件（身份证两面均应复印）（注：①在有效期内；②由供应商法定代表人签署所有投标文件并参加投标的，则可不提供）。</w:t>
      </w:r>
    </w:p>
    <w:p>
      <w:pPr>
        <w:spacing w:line="360" w:lineRule="auto"/>
        <w:ind w:firstLine="480" w:firstLineChars="200"/>
        <w:rPr>
          <w:rFonts w:ascii="宋体" w:hAnsi="宋体" w:cs="宋体"/>
          <w:sz w:val="24"/>
        </w:rPr>
      </w:pPr>
      <w:r>
        <w:rPr>
          <w:rFonts w:hint="eastAsia" w:ascii="宋体" w:hAnsi="宋体" w:cs="宋体"/>
          <w:sz w:val="24"/>
        </w:rPr>
        <w:t>3.法人授权书原件（注：①非法定代表人签署所有投标文件并参加投标的适用；②非独立法人机构提供相应的负责人授权书原件。）</w:t>
      </w:r>
    </w:p>
    <w:p>
      <w:pPr>
        <w:spacing w:line="360" w:lineRule="auto"/>
        <w:outlineLvl w:val="1"/>
        <w:rPr>
          <w:rFonts w:ascii="宋体" w:hAnsi="宋体" w:cs="宋体"/>
          <w:b/>
          <w:bCs/>
          <w:sz w:val="28"/>
          <w:szCs w:val="28"/>
        </w:rPr>
      </w:pPr>
      <w:r>
        <w:rPr>
          <w:rFonts w:hint="eastAsia" w:ascii="宋体" w:hAnsi="宋体" w:cs="宋体"/>
          <w:b/>
          <w:bCs/>
          <w:sz w:val="28"/>
          <w:szCs w:val="28"/>
        </w:rPr>
        <w:t>二、投标产品的资格、资质性及其他类似效力要求的相关证明材料</w:t>
      </w:r>
      <w:bookmarkEnd w:id="210"/>
      <w:bookmarkEnd w:id="211"/>
      <w:bookmarkEnd w:id="212"/>
      <w:bookmarkEnd w:id="213"/>
    </w:p>
    <w:p>
      <w:pPr>
        <w:pStyle w:val="2"/>
        <w:spacing w:after="0" w:line="360" w:lineRule="auto"/>
        <w:ind w:firstLine="480" w:firstLineChars="200"/>
        <w:rPr>
          <w:rFonts w:ascii="宋体" w:hAnsi="宋体" w:cs="宋体"/>
          <w:sz w:val="24"/>
        </w:rPr>
      </w:pPr>
      <w:r>
        <w:rPr>
          <w:rFonts w:hint="eastAsia" w:ascii="宋体" w:hAnsi="宋体" w:cs="宋体"/>
          <w:sz w:val="24"/>
        </w:rPr>
        <w:t>无。</w:t>
      </w:r>
    </w:p>
    <w:p>
      <w:pPr>
        <w:snapToGrid w:val="0"/>
        <w:spacing w:line="360" w:lineRule="auto"/>
        <w:ind w:firstLine="480" w:firstLineChars="200"/>
        <w:rPr>
          <w:rFonts w:ascii="宋体" w:hAnsi="宋体" w:cs="宋体"/>
          <w:sz w:val="24"/>
        </w:rPr>
      </w:pPr>
      <w:r>
        <w:rPr>
          <w:rFonts w:hint="eastAsia" w:ascii="宋体" w:hAnsi="宋体" w:cs="宋体"/>
          <w:sz w:val="24"/>
        </w:rPr>
        <w:t>注：</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1、供应商提供的以上资格证明材料为复印件的，包含对原件扫描、复印、影印等方式复制的材料；且应加盖供应商公章。复印件所在页按要求加盖公章或复印件为多页但至少有一页按要求加盖公章的，视为满足复印件加盖公章的要求。 </w:t>
      </w:r>
    </w:p>
    <w:p>
      <w:pPr>
        <w:snapToGrid w:val="0"/>
        <w:spacing w:line="360" w:lineRule="auto"/>
        <w:ind w:firstLine="482" w:firstLineChars="200"/>
        <w:rPr>
          <w:rFonts w:ascii="宋体" w:hAnsi="宋体" w:cs="宋体"/>
          <w:sz w:val="24"/>
        </w:rPr>
        <w:sectPr>
          <w:footerReference r:id="rId9" w:type="default"/>
          <w:pgSz w:w="11907" w:h="16840"/>
          <w:pgMar w:top="1440" w:right="1800" w:bottom="1440" w:left="1800" w:header="851" w:footer="992" w:gutter="0"/>
          <w:cols w:space="720" w:num="1"/>
          <w:docGrid w:linePitch="312" w:charSpace="0"/>
        </w:sectPr>
      </w:pPr>
      <w:r>
        <w:rPr>
          <w:rFonts w:hint="eastAsia" w:ascii="宋体" w:hAnsi="宋体" w:cs="宋体"/>
          <w:b/>
          <w:bCs/>
          <w:sz w:val="24"/>
        </w:rPr>
        <w:t xml:space="preserve">2、本项目在评标时进行资格审查。供应商应在投标文件中按招标文件的规定和要求附上所有的资格证明文件，并在必要时提供原件备查。若提供的资格证明文件不全或不实，将导致其投标或中标资格被取消。 </w:t>
      </w:r>
      <w:r>
        <w:rPr>
          <w:rFonts w:hint="eastAsia" w:ascii="宋体" w:hAnsi="宋体" w:cs="宋体"/>
          <w:sz w:val="24"/>
        </w:rPr>
        <w:t xml:space="preserve"> </w:t>
      </w:r>
    </w:p>
    <w:p>
      <w:pPr>
        <w:spacing w:line="460" w:lineRule="exact"/>
        <w:jc w:val="center"/>
        <w:outlineLvl w:val="0"/>
        <w:rPr>
          <w:rFonts w:ascii="宋体" w:hAnsi="宋体" w:cs="宋体"/>
          <w:b/>
          <w:bCs/>
          <w:sz w:val="32"/>
          <w:szCs w:val="32"/>
        </w:rPr>
      </w:pPr>
      <w:bookmarkStart w:id="214" w:name="_Toc21665"/>
      <w:bookmarkStart w:id="215" w:name="_Toc423001639"/>
      <w:bookmarkStart w:id="216" w:name="_Toc26655"/>
      <w:bookmarkStart w:id="217" w:name="_Toc217446093"/>
      <w:r>
        <w:rPr>
          <w:rFonts w:hint="eastAsia" w:ascii="宋体" w:hAnsi="宋体" w:cs="宋体"/>
          <w:b/>
          <w:bCs/>
          <w:sz w:val="32"/>
          <w:szCs w:val="32"/>
        </w:rPr>
        <w:t>第六章 采购项目技术、</w:t>
      </w:r>
      <w:bookmarkEnd w:id="214"/>
      <w:bookmarkEnd w:id="215"/>
      <w:r>
        <w:rPr>
          <w:rFonts w:hint="eastAsia" w:ascii="宋体" w:hAnsi="宋体" w:cs="宋体"/>
          <w:b/>
          <w:bCs/>
          <w:sz w:val="32"/>
          <w:szCs w:val="32"/>
        </w:rPr>
        <w:t>商务及其他要求</w:t>
      </w:r>
      <w:bookmarkEnd w:id="216"/>
    </w:p>
    <w:p>
      <w:pPr>
        <w:pStyle w:val="24"/>
        <w:rPr>
          <w:rFonts w:hAnsi="宋体" w:cs="宋体"/>
          <w:b/>
          <w:bCs/>
          <w:sz w:val="32"/>
          <w:szCs w:val="32"/>
        </w:rPr>
      </w:pPr>
    </w:p>
    <w:p>
      <w:pPr>
        <w:pStyle w:val="4"/>
        <w:spacing w:before="0" w:after="0" w:line="360" w:lineRule="auto"/>
        <w:rPr>
          <w:rFonts w:ascii="宋体" w:hAnsi="宋体" w:eastAsia="宋体" w:cs="宋体"/>
          <w:bCs w:val="0"/>
          <w:color w:val="000000"/>
          <w:sz w:val="28"/>
          <w:szCs w:val="28"/>
        </w:rPr>
      </w:pPr>
      <w:bookmarkStart w:id="218" w:name="_Toc11807"/>
      <w:r>
        <w:rPr>
          <w:rFonts w:hint="eastAsia" w:ascii="宋体" w:hAnsi="宋体" w:eastAsia="宋体" w:cs="宋体"/>
          <w:bCs w:val="0"/>
          <w:color w:val="000000"/>
          <w:sz w:val="28"/>
          <w:szCs w:val="28"/>
        </w:rPr>
        <w:t>一、项目概况</w:t>
      </w:r>
      <w:bookmarkEnd w:id="218"/>
    </w:p>
    <w:p>
      <w:pPr>
        <w:spacing w:line="360" w:lineRule="auto"/>
        <w:ind w:firstLine="482" w:firstLineChars="200"/>
        <w:outlineLvl w:val="2"/>
        <w:rPr>
          <w:rFonts w:ascii="宋体" w:hAnsi="宋体" w:cs="宋体"/>
          <w:color w:val="000000"/>
          <w:sz w:val="24"/>
        </w:rPr>
      </w:pPr>
      <w:r>
        <w:rPr>
          <w:rFonts w:hint="eastAsia" w:ascii="宋体" w:hAnsi="宋体" w:cs="宋体"/>
          <w:b/>
          <w:bCs/>
          <w:color w:val="000000"/>
          <w:sz w:val="24"/>
        </w:rPr>
        <w:t>1、项目名称：</w:t>
      </w:r>
      <w:r>
        <w:rPr>
          <w:rFonts w:hint="eastAsia" w:ascii="宋体" w:hAnsi="宋体" w:cs="宋体"/>
          <w:color w:val="000000"/>
          <w:sz w:val="24"/>
        </w:rPr>
        <w:t>成都高新区天润路毛家桥污水溢流临时应急处理（一级A标）服务项目。</w:t>
      </w:r>
    </w:p>
    <w:p>
      <w:pPr>
        <w:spacing w:line="360" w:lineRule="auto"/>
        <w:ind w:firstLine="482" w:firstLineChars="200"/>
        <w:outlineLvl w:val="2"/>
        <w:rPr>
          <w:rFonts w:ascii="宋体" w:hAnsi="宋体" w:cs="宋体"/>
          <w:b/>
          <w:bCs/>
          <w:color w:val="000000"/>
          <w:sz w:val="24"/>
        </w:rPr>
      </w:pPr>
      <w:r>
        <w:rPr>
          <w:rFonts w:hint="eastAsia" w:ascii="宋体" w:hAnsi="宋体" w:cs="宋体"/>
          <w:b/>
          <w:bCs/>
          <w:color w:val="000000"/>
          <w:sz w:val="24"/>
        </w:rPr>
        <w:t>2、项目业主：</w:t>
      </w:r>
      <w:r>
        <w:rPr>
          <w:rFonts w:hint="eastAsia" w:ascii="宋体" w:hAnsi="宋体" w:cs="宋体"/>
          <w:color w:val="000000"/>
          <w:sz w:val="24"/>
        </w:rPr>
        <w:t>成都高新技术产业开发区生态环境和城市管理局。</w:t>
      </w:r>
    </w:p>
    <w:bookmarkEnd w:id="217"/>
    <w:p>
      <w:pPr>
        <w:spacing w:line="360" w:lineRule="auto"/>
        <w:outlineLvl w:val="1"/>
        <w:rPr>
          <w:rFonts w:ascii="宋体" w:hAnsi="宋体" w:cs="宋体"/>
          <w:b/>
          <w:color w:val="000000"/>
          <w:kern w:val="44"/>
          <w:sz w:val="28"/>
          <w:szCs w:val="28"/>
        </w:rPr>
      </w:pPr>
      <w:bookmarkStart w:id="219" w:name="_Toc30082"/>
      <w:r>
        <w:rPr>
          <w:rFonts w:hint="eastAsia" w:ascii="宋体" w:hAnsi="宋体" w:cs="宋体"/>
          <w:b/>
          <w:color w:val="000000"/>
          <w:kern w:val="44"/>
          <w:sz w:val="28"/>
          <w:szCs w:val="28"/>
        </w:rPr>
        <w:t>二、服务内容及要求</w:t>
      </w:r>
      <w:bookmarkEnd w:id="219"/>
    </w:p>
    <w:p>
      <w:pPr>
        <w:snapToGrid w:val="0"/>
        <w:spacing w:line="360" w:lineRule="auto"/>
        <w:ind w:firstLine="482" w:firstLineChars="200"/>
        <w:textAlignment w:val="baseline"/>
        <w:outlineLvl w:val="2"/>
        <w:rPr>
          <w:rFonts w:ascii="宋体" w:hAnsi="宋体" w:cs="宋体"/>
          <w:bCs/>
          <w:sz w:val="24"/>
        </w:rPr>
      </w:pPr>
      <w:r>
        <w:rPr>
          <w:rFonts w:hint="eastAsia" w:ascii="宋体" w:hAnsi="宋体" w:cs="宋体"/>
          <w:b/>
          <w:bCs/>
          <w:sz w:val="24"/>
        </w:rPr>
        <w:t>（一）服务内容：在成都高新区西部园区天润路与西源大道交汇处（电子科技大学清水河校区临时游园内）提供污水处理服务，</w:t>
      </w:r>
      <w:r>
        <w:rPr>
          <w:rFonts w:hint="eastAsia" w:ascii="宋体" w:hAnsi="宋体" w:cs="宋体"/>
          <w:sz w:val="24"/>
        </w:rPr>
        <w:t>供应商提供污水处理设备和运营服务，</w:t>
      </w:r>
      <w:r>
        <w:rPr>
          <w:rFonts w:hint="eastAsia" w:ascii="宋体" w:hAnsi="宋体" w:cs="宋体"/>
          <w:color w:val="C00000"/>
          <w:sz w:val="24"/>
          <w:lang w:eastAsia="zh-Hans"/>
        </w:rPr>
        <w:t>含整套系统除臭设施</w:t>
      </w:r>
      <w:r>
        <w:rPr>
          <w:rFonts w:hint="eastAsia" w:ascii="宋体" w:hAnsi="宋体" w:cs="宋体"/>
          <w:color w:val="C00000"/>
          <w:sz w:val="24"/>
        </w:rPr>
        <w:t>（</w:t>
      </w:r>
      <w:r>
        <w:rPr>
          <w:rFonts w:hint="eastAsia" w:ascii="宋体" w:hAnsi="宋体" w:cs="宋体"/>
          <w:color w:val="C00000"/>
          <w:sz w:val="24"/>
          <w:lang w:val="en-US" w:eastAsia="zh-CN"/>
        </w:rPr>
        <w:t>注：除臭</w:t>
      </w:r>
      <w:r>
        <w:rPr>
          <w:rFonts w:hint="eastAsia" w:ascii="宋体" w:hAnsi="宋体" w:cs="宋体"/>
          <w:color w:val="C00000"/>
          <w:sz w:val="24"/>
        </w:rPr>
        <w:t>达到《城镇污水处理厂污染物排放标准》(GB18918—2002)一级A标准要求）</w:t>
      </w:r>
      <w:r>
        <w:rPr>
          <w:rFonts w:hint="eastAsia" w:ascii="宋体" w:hAnsi="宋体" w:cs="宋体"/>
          <w:color w:val="C00000"/>
          <w:sz w:val="24"/>
          <w:lang w:eastAsia="zh-Hans"/>
        </w:rPr>
        <w:t>。</w:t>
      </w:r>
      <w:r>
        <w:rPr>
          <w:rFonts w:hint="eastAsia" w:ascii="宋体" w:hAnsi="宋体" w:cs="宋体"/>
          <w:sz w:val="24"/>
        </w:rPr>
        <w:t>并负责场地整理、安装、调试、运行、维护等。在服务期内，负责对采购人指定范围内的污水进行处理，在进水水质满足设计进水水质条件下，保证出水水质主要指标达到《城镇污水处理厂污染物排放标准》（GB18918-2002）的一级A标。本项目</w:t>
      </w:r>
      <w:r>
        <w:rPr>
          <w:rFonts w:hint="eastAsia" w:ascii="宋体" w:hAnsi="宋体" w:cs="宋体"/>
          <w:bCs/>
          <w:sz w:val="24"/>
        </w:rPr>
        <w:t>采用租赁设备+运营服务模式，设备所有权属于中标人，设备由中标</w:t>
      </w:r>
      <w:r>
        <w:rPr>
          <w:rFonts w:hint="eastAsia" w:ascii="宋体" w:hAnsi="宋体" w:cs="宋体"/>
          <w:sz w:val="24"/>
        </w:rPr>
        <w:t>供应商</w:t>
      </w:r>
      <w:r>
        <w:rPr>
          <w:rFonts w:hint="eastAsia" w:ascii="宋体" w:hAnsi="宋体" w:cs="宋体"/>
          <w:bCs/>
          <w:sz w:val="24"/>
        </w:rPr>
        <w:t>负责安装和运营维护。运营服务期2年，期满后由中标</w:t>
      </w:r>
      <w:r>
        <w:rPr>
          <w:rFonts w:hint="eastAsia" w:ascii="宋体" w:hAnsi="宋体" w:cs="宋体"/>
          <w:sz w:val="24"/>
        </w:rPr>
        <w:t>供应商</w:t>
      </w:r>
      <w:r>
        <w:rPr>
          <w:rFonts w:hint="eastAsia" w:ascii="宋体" w:hAnsi="宋体" w:cs="宋体"/>
          <w:bCs/>
          <w:sz w:val="24"/>
        </w:rPr>
        <w:t>负责将污水处理设备进行拆除，拆除费用由供应商自行承担。</w:t>
      </w:r>
    </w:p>
    <w:p>
      <w:pPr>
        <w:snapToGrid w:val="0"/>
        <w:spacing w:line="360" w:lineRule="auto"/>
        <w:ind w:firstLine="482" w:firstLineChars="200"/>
        <w:jc w:val="left"/>
        <w:textAlignment w:val="baseline"/>
        <w:outlineLvl w:val="2"/>
        <w:rPr>
          <w:rFonts w:ascii="宋体" w:hAnsi="宋体" w:cs="宋体"/>
          <w:b/>
          <w:bCs/>
          <w:color w:val="FF0000"/>
          <w:sz w:val="24"/>
        </w:rPr>
      </w:pPr>
      <w:r>
        <w:rPr>
          <w:rFonts w:hint="eastAsia" w:ascii="宋体" w:hAnsi="宋体" w:cs="宋体"/>
          <w:b/>
          <w:bCs/>
          <w:color w:val="FF0000"/>
          <w:sz w:val="24"/>
        </w:rPr>
        <w:t>（二）设计进、出水水质要求</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（1）设计进水水质（单位：mg/L）</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419"/>
        <w:gridCol w:w="1419"/>
        <w:gridCol w:w="1419"/>
        <w:gridCol w:w="141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COD</w:t>
            </w:r>
            <w:r>
              <w:rPr>
                <w:rFonts w:hint="eastAsia" w:ascii="宋体" w:hAnsi="宋体" w:cs="宋体"/>
                <w:bCs/>
                <w:sz w:val="24"/>
                <w:vertAlign w:val="subscript"/>
              </w:rPr>
              <w:t>cr</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BOD</w:t>
            </w:r>
            <w:r>
              <w:rPr>
                <w:rFonts w:hint="eastAsia" w:ascii="宋体" w:hAnsi="宋体" w:cs="宋体"/>
                <w:bCs/>
                <w:sz w:val="24"/>
                <w:vertAlign w:val="subscript"/>
              </w:rPr>
              <w:t>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TN</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TP</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SS</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NH</w:t>
            </w:r>
            <w:r>
              <w:rPr>
                <w:rFonts w:hint="eastAsia" w:ascii="宋体" w:hAnsi="宋体" w:cs="宋体"/>
                <w:bCs/>
                <w:sz w:val="24"/>
                <w:vertAlign w:val="subscript"/>
              </w:rPr>
              <w:t>3</w:t>
            </w:r>
            <w:r>
              <w:rPr>
                <w:rFonts w:hint="eastAsia" w:ascii="宋体" w:hAnsi="宋体" w:cs="宋体"/>
                <w:bCs/>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≤300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≤25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≤3</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≤150</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≤20</w:t>
            </w:r>
          </w:p>
        </w:tc>
      </w:tr>
    </w:tbl>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（2）设计出水水质（单位：mg/L）</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419"/>
        <w:gridCol w:w="1419"/>
        <w:gridCol w:w="1419"/>
        <w:gridCol w:w="141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COD</w:t>
            </w:r>
            <w:r>
              <w:rPr>
                <w:rFonts w:hint="eastAsia" w:ascii="宋体" w:hAnsi="宋体" w:cs="宋体"/>
                <w:bCs/>
                <w:sz w:val="24"/>
                <w:vertAlign w:val="subscript"/>
              </w:rPr>
              <w:t>cr</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BOD</w:t>
            </w:r>
            <w:r>
              <w:rPr>
                <w:rFonts w:hint="eastAsia" w:ascii="宋体" w:hAnsi="宋体" w:cs="宋体"/>
                <w:bCs/>
                <w:sz w:val="24"/>
                <w:vertAlign w:val="subscript"/>
              </w:rPr>
              <w:t>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TN</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TP</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SS</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NH</w:t>
            </w:r>
            <w:r>
              <w:rPr>
                <w:rFonts w:hint="eastAsia" w:ascii="宋体" w:hAnsi="宋体" w:cs="宋体"/>
                <w:bCs/>
                <w:sz w:val="24"/>
                <w:vertAlign w:val="subscript"/>
              </w:rPr>
              <w:t>3</w:t>
            </w:r>
            <w:r>
              <w:rPr>
                <w:rFonts w:hint="eastAsia" w:ascii="宋体" w:hAnsi="宋体" w:cs="宋体"/>
                <w:bCs/>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≤50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≤0.5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≤10</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≤5（8）</w:t>
            </w:r>
          </w:p>
        </w:tc>
      </w:tr>
    </w:tbl>
    <w:p>
      <w:pPr>
        <w:snapToGrid w:val="0"/>
        <w:spacing w:line="360" w:lineRule="auto"/>
        <w:ind w:firstLine="480" w:firstLineChars="200"/>
        <w:textAlignment w:val="baseline"/>
        <w:rPr>
          <w:rFonts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）本项目出水水质执行：《城镇污水处理厂污染物排放标准》(GB18918—2002)一级A标准。</w:t>
      </w:r>
    </w:p>
    <w:p>
      <w:pPr>
        <w:snapToGrid w:val="0"/>
        <w:spacing w:line="360" w:lineRule="auto"/>
        <w:ind w:firstLine="482" w:firstLineChars="200"/>
        <w:jc w:val="left"/>
        <w:textAlignment w:val="baseline"/>
        <w:outlineLvl w:val="2"/>
        <w:rPr>
          <w:rFonts w:ascii="宋体" w:hAnsi="宋体" w:cs="宋体"/>
          <w:b/>
          <w:bCs/>
          <w:sz w:val="24"/>
        </w:rPr>
      </w:pPr>
      <w:r>
        <w:rPr>
          <w:rFonts w:hint="eastAsia" w:ascii="宋体" w:hAnsi="宋体" w:cs="宋体"/>
          <w:b/>
          <w:bCs/>
          <w:sz w:val="24"/>
        </w:rPr>
        <w:t>（三）建设地点：成都高新区西部园区天润路与西源大道交汇处东北角地块。</w:t>
      </w:r>
    </w:p>
    <w:p>
      <w:pPr>
        <w:pStyle w:val="2"/>
        <w:spacing w:after="0" w:line="360" w:lineRule="auto"/>
        <w:ind w:firstLine="482" w:firstLineChars="200"/>
        <w:outlineLvl w:val="2"/>
        <w:rPr>
          <w:rFonts w:ascii="宋体" w:hAnsi="宋体" w:cs="宋体"/>
          <w:b/>
          <w:bCs/>
          <w:sz w:val="24"/>
        </w:rPr>
      </w:pPr>
      <w:r>
        <w:rPr>
          <w:rFonts w:hint="eastAsia" w:ascii="宋体" w:hAnsi="宋体" w:cs="宋体"/>
          <w:b/>
          <w:bCs/>
          <w:sz w:val="24"/>
        </w:rPr>
        <w:t>（四）技术服务要求：</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rPr>
        <w:t>1、供应商应提供符合要求的一体化污水处理设施设备，工艺路线按照采购方提供的相关设计资料为准</w:t>
      </w:r>
      <w:r>
        <w:rPr>
          <w:rFonts w:hint="eastAsia" w:ascii="宋体" w:hAnsi="宋体" w:cs="宋体"/>
          <w:sz w:val="24"/>
          <w:highlight w:val="none"/>
        </w:rPr>
        <w:t>，</w:t>
      </w:r>
      <w:r>
        <w:rPr>
          <w:rFonts w:hint="eastAsia" w:ascii="宋体" w:hAnsi="宋体" w:eastAsia="宋体" w:cs="宋体"/>
          <w:b w:val="0"/>
          <w:bCs w:val="0"/>
          <w:kern w:val="0"/>
          <w:sz w:val="24"/>
          <w:szCs w:val="24"/>
          <w:highlight w:val="none"/>
          <w:lang w:val="en-US" w:eastAsia="zh-CN"/>
        </w:rPr>
        <w:t>须编制项目深化设计方案，</w:t>
      </w:r>
      <w:r>
        <w:rPr>
          <w:rFonts w:hint="eastAsia" w:ascii="宋体" w:hAnsi="宋体" w:cs="宋体"/>
          <w:sz w:val="24"/>
          <w:highlight w:val="none"/>
        </w:rPr>
        <w:t>必须确保出水水质达标。完成本次采购所需的取水排水、污水处理设施设备安装及必须配套的电力、给水、土建和房屋等建设。本项目所有运营费用均由运营单位承担。</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供应商应具备该项目投资、建设和运营管理的相应能力，严格按照污水处理设施运行规范要求开展污水处理工作，建立完备的检测、记录、存档和报告制度，制订污水处理运营管理应急预案，确保紧急情况下污水的妥善处置，否则承担相应的法律责任。</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3、该项目用地由采购人负责无偿提供。</w:t>
      </w:r>
    </w:p>
    <w:p>
      <w:pPr>
        <w:pStyle w:val="2"/>
        <w:spacing w:after="0"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4、该项目运营期人员基本配置要求：正副厂长各1人、行政人员2人、化验人员2人、机电维修2人、操作人员（运行操作、设备维修、污泥处理、车辆驾驶等）12人、保安人员4人，总计24人。</w:t>
      </w:r>
      <w:r>
        <w:rPr>
          <w:rFonts w:hint="eastAsia" w:ascii="宋体" w:hAnsi="宋体" w:cs="宋体"/>
          <w:sz w:val="24"/>
          <w:highlight w:val="none"/>
          <w:lang w:val="en-US" w:eastAsia="zh-CN"/>
        </w:rPr>
        <w:t>前述人员应提供相应的证明材料。（实质性要求）</w:t>
      </w:r>
    </w:p>
    <w:p>
      <w:pPr>
        <w:snapToGrid w:val="0"/>
        <w:spacing w:line="360" w:lineRule="auto"/>
        <w:ind w:firstLine="480" w:firstLineChars="200"/>
        <w:textAlignment w:val="baseline"/>
        <w:outlineLvl w:val="2"/>
        <w:rPr>
          <w:rFonts w:ascii="宋体" w:hAnsi="宋体" w:cs="宋体"/>
          <w:sz w:val="24"/>
        </w:rPr>
      </w:pPr>
      <w:r>
        <w:rPr>
          <w:rFonts w:hint="eastAsia" w:ascii="宋体" w:hAnsi="宋体" w:cs="宋体"/>
          <w:sz w:val="24"/>
        </w:rPr>
        <w:t>（五）其他服务要求</w:t>
      </w:r>
    </w:p>
    <w:p>
      <w:pPr>
        <w:widowControl/>
        <w:spacing w:line="360" w:lineRule="auto"/>
        <w:ind w:firstLine="480" w:firstLineChars="200"/>
        <w:jc w:val="left"/>
        <w:rPr>
          <w:rFonts w:ascii="宋体" w:hAnsi="宋体" w:cs="宋体"/>
          <w:sz w:val="24"/>
        </w:rPr>
      </w:pPr>
      <w:r>
        <w:rPr>
          <w:rFonts w:hint="eastAsia" w:ascii="宋体" w:hAnsi="宋体" w:cs="宋体"/>
          <w:sz w:val="24"/>
        </w:rPr>
        <w:t>1、供应商应每日按相关规范要求对进出水水质进行监测，每月汇总上报采购人或行业行政主管部门，行业行政主管部门每月将对出水水质进行监督性监测，如监测结果不达标，行业行政主管部门将按照国家相关法规予以处罚，</w:t>
      </w:r>
      <w:r>
        <w:rPr>
          <w:rFonts w:hint="eastAsia" w:ascii="宋体" w:hAnsi="宋体" w:cs="宋体"/>
          <w:color w:val="000000"/>
          <w:kern w:val="0"/>
          <w:sz w:val="24"/>
          <w:lang w:bidi="ar"/>
        </w:rPr>
        <w:t>处罚罚金由供应商承担</w:t>
      </w:r>
      <w:r>
        <w:rPr>
          <w:rFonts w:hint="eastAsia" w:ascii="宋体" w:hAnsi="宋体" w:cs="宋体"/>
          <w:sz w:val="24"/>
        </w:rPr>
        <w:t xml:space="preserve"> ，</w:t>
      </w:r>
      <w:r>
        <w:rPr>
          <w:rFonts w:hint="eastAsia" w:ascii="宋体" w:hAnsi="宋体" w:cs="宋体"/>
          <w:color w:val="000000"/>
          <w:kern w:val="0"/>
          <w:sz w:val="24"/>
          <w:lang w:bidi="ar"/>
        </w:rPr>
        <w:t>同时采购人将此违法情况视为违约，并对供应商处以每次2万元的违约金，违约金在当月污水处理服务费中扣减。</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2、在运营期内，在进水水质符合设计进水水质要求且进水量有保障时，供应商需满负荷运转并同时达到设计出水水质标准，否则扣除当日污水处理服务费并需向采购人支付贰仟元每日的违约金。</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在进水水质阶段性（30分钟以上）超过设计进水水质（任意一项指标超过设计指标即为进水水质超标）时，供应商需在30分钟内向采购人口头报告，1个小时内向采购人书面报告，并在不破坏生化系统的情况下处理来水，在进水水质高于设计进水水质标准20%时，供应商不承担出水超标的责任。</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4、该项目设计处理能力为2万吨/天，运行期内月份日平均污水处理量低于40%（即8000吨/天）污水处理结算量按照40%（即8000吨/天）进行结算。运行期内月份日平均污水处理量等于或大于40%（即8000吨/天）污水处理结算量按照实际处理量结算。</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5、该项目附近区域未出现污水冒溢时，供应商在保证生化系统正常运行前提下适当处理污水，污水处理量原则上不超过设计处理能力的40%。</w:t>
      </w:r>
    </w:p>
    <w:p>
      <w:pPr>
        <w:pStyle w:val="18"/>
        <w:spacing w:before="0" w:after="0" w:line="360" w:lineRule="auto"/>
        <w:ind w:firstLine="480" w:firstLineChars="200"/>
        <w:jc w:val="left"/>
        <w:outlineLvl w:val="9"/>
        <w:rPr>
          <w:rFonts w:ascii="宋体" w:hAnsi="宋体" w:cs="宋体"/>
          <w:b w:val="0"/>
          <w:bCs w:val="0"/>
          <w:sz w:val="24"/>
          <w:szCs w:val="24"/>
        </w:rPr>
      </w:pPr>
      <w:bookmarkStart w:id="220" w:name="_Toc19046"/>
      <w:bookmarkStart w:id="221" w:name="_Toc19385"/>
      <w:bookmarkStart w:id="222" w:name="_Toc17446"/>
      <w:r>
        <w:rPr>
          <w:rFonts w:hint="eastAsia" w:ascii="宋体" w:hAnsi="宋体" w:cs="宋体"/>
          <w:b w:val="0"/>
          <w:bCs w:val="0"/>
          <w:sz w:val="24"/>
          <w:szCs w:val="24"/>
        </w:rPr>
        <w:t>6、在该项目运营过程中，</w:t>
      </w:r>
      <w:bookmarkEnd w:id="220"/>
      <w:bookmarkEnd w:id="221"/>
      <w:bookmarkEnd w:id="222"/>
      <w:r>
        <w:rPr>
          <w:rFonts w:hint="eastAsia" w:ascii="宋体" w:hAnsi="宋体" w:cs="宋体"/>
          <w:b w:val="0"/>
          <w:bCs w:val="0"/>
          <w:sz w:val="24"/>
          <w:szCs w:val="24"/>
        </w:rPr>
        <w:t>因供应商运营管理不当等造成的质量、安全、环境事故，其责任均由供应商自行承担（供应商须在投标文件中单独提供责任承担承诺函，并加盖供应商公章和法定代表人/单位负责人签字）。</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7、</w:t>
      </w:r>
      <w:r>
        <w:rPr>
          <w:rFonts w:hint="eastAsia" w:ascii="宋体" w:hAnsi="宋体" w:cs="宋体"/>
          <w:sz w:val="24"/>
        </w:rPr>
        <w:t>在该项目运营过程中，</w:t>
      </w:r>
      <w:r>
        <w:rPr>
          <w:rFonts w:hint="eastAsia" w:ascii="宋体" w:hAnsi="宋体" w:cs="宋体"/>
          <w:color w:val="000000"/>
          <w:kern w:val="0"/>
          <w:sz w:val="24"/>
          <w:lang w:bidi="ar"/>
        </w:rPr>
        <w:t>供应商应做好污水处理相关设施或设备的运行维护，确保污水处理设施正常达标运行。</w:t>
      </w:r>
    </w:p>
    <w:p>
      <w:pPr>
        <w:widowControl/>
        <w:spacing w:line="360" w:lineRule="auto"/>
        <w:ind w:firstLine="480" w:firstLineChars="200"/>
        <w:jc w:val="left"/>
        <w:rPr>
          <w:rFonts w:ascii="宋体" w:hAnsi="宋体" w:cs="宋体"/>
          <w:sz w:val="24"/>
        </w:rPr>
      </w:pPr>
      <w:r>
        <w:rPr>
          <w:rFonts w:hint="eastAsia" w:ascii="宋体" w:hAnsi="宋体" w:cs="宋体"/>
          <w:sz w:val="24"/>
        </w:rPr>
        <w:t>8、在该项目运营过程中，</w:t>
      </w:r>
      <w:r>
        <w:rPr>
          <w:rFonts w:hint="eastAsia" w:ascii="宋体" w:hAnsi="宋体" w:cs="宋体"/>
          <w:color w:val="000000"/>
          <w:kern w:val="0"/>
          <w:sz w:val="24"/>
          <w:lang w:bidi="ar"/>
        </w:rPr>
        <w:t>供应商应无条件接受考核，考核标准在合同中约定（供应商须在投标文件中单独提供无条件接受考核的承诺函，并加盖</w:t>
      </w:r>
      <w:r>
        <w:rPr>
          <w:rFonts w:hint="eastAsia" w:ascii="宋体" w:hAnsi="宋体" w:cs="宋体"/>
          <w:sz w:val="24"/>
        </w:rPr>
        <w:t>供应商</w:t>
      </w:r>
      <w:r>
        <w:rPr>
          <w:rFonts w:hint="eastAsia" w:ascii="宋体" w:hAnsi="宋体" w:cs="宋体"/>
          <w:color w:val="000000"/>
          <w:kern w:val="0"/>
          <w:sz w:val="24"/>
          <w:lang w:bidi="ar"/>
        </w:rPr>
        <w:t xml:space="preserve">公章和法定代表人/单位负责人签字）。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9、供应商如不履行中标法定责任，采购人将保留追责权利，追究供应商造成的损失和责任。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10、供应商应保证所提供的服务不会侵犯任何第三方的专利权、商标权、著作权，否则承担相应的法律责任。 </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11、</w:t>
      </w:r>
      <w:r>
        <w:rPr>
          <w:rFonts w:hint="eastAsia" w:ascii="宋体" w:hAnsi="宋体" w:cs="宋体"/>
          <w:sz w:val="24"/>
        </w:rPr>
        <w:t>在该项目运营过程中，供应商必须按照国家相关法定要求规范处理污水，若私自</w:t>
      </w:r>
      <w:r>
        <w:rPr>
          <w:rFonts w:hint="eastAsia" w:ascii="宋体" w:hAnsi="宋体" w:cs="宋体"/>
          <w:color w:val="000000"/>
          <w:kern w:val="0"/>
          <w:sz w:val="24"/>
          <w:lang w:bidi="ar"/>
        </w:rPr>
        <w:t xml:space="preserve">停产偷排污水，将按国家相关法律规定予以处罚。 </w:t>
      </w:r>
    </w:p>
    <w:p>
      <w:pPr>
        <w:pStyle w:val="2"/>
        <w:spacing w:after="0" w:line="360" w:lineRule="auto"/>
        <w:ind w:firstLine="480" w:firstLineChars="200"/>
        <w:rPr>
          <w:rFonts w:ascii="宋体" w:hAnsi="宋体" w:cs="宋体"/>
          <w:sz w:val="24"/>
        </w:rPr>
      </w:pPr>
      <w:r>
        <w:rPr>
          <w:rFonts w:hint="eastAsia" w:ascii="宋体" w:hAnsi="宋体" w:cs="宋体"/>
          <w:sz w:val="24"/>
        </w:rPr>
        <w:t>12、供应商在运营期满后需在3个月内拆除场内的所有设施设备（除土建构筑物以外），费用自行承担。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pPr>
      <w:r>
        <w:rPr>
          <w:rFonts w:hint="eastAsia" w:ascii="宋体" w:hAnsi="宋体" w:cs="宋体"/>
          <w:sz w:val="24"/>
        </w:rPr>
        <w:t>13、供应商需将污泥运至具有处理能力和处理资质的处理厂进行无害化处理</w:t>
      </w:r>
      <w:r>
        <w:rPr>
          <w:rFonts w:hint="eastAsia" w:ascii="宋体" w:hAnsi="宋体" w:cs="宋体"/>
          <w:sz w:val="24"/>
          <w:highlight w:val="none"/>
        </w:rPr>
        <w:t>。</w:t>
      </w:r>
      <w:r>
        <w:rPr>
          <w:rFonts w:hint="eastAsia" w:ascii="宋体" w:hAnsi="宋体" w:eastAsia="宋体" w:cs="宋体"/>
          <w:b w:val="0"/>
          <w:bCs w:val="0"/>
          <w:kern w:val="0"/>
          <w:sz w:val="24"/>
          <w:szCs w:val="24"/>
          <w:highlight w:val="none"/>
          <w:lang w:val="en-US" w:eastAsia="zh-CN"/>
        </w:rPr>
        <w:t>（供应商须单独提供承诺函，并在项目建成投运前将与第三方污泥处理企业的委托处理合同或协议交采购人备案）</w:t>
      </w:r>
    </w:p>
    <w:p>
      <w:pPr>
        <w:spacing w:line="360" w:lineRule="auto"/>
        <w:outlineLvl w:val="1"/>
        <w:rPr>
          <w:rFonts w:ascii="宋体" w:hAnsi="宋体" w:cs="宋体"/>
          <w:b/>
          <w:color w:val="000000"/>
          <w:kern w:val="44"/>
          <w:sz w:val="28"/>
          <w:szCs w:val="28"/>
        </w:rPr>
      </w:pPr>
      <w:bookmarkStart w:id="223" w:name="_Toc5514"/>
      <w:r>
        <w:rPr>
          <w:rFonts w:hint="eastAsia" w:ascii="宋体" w:hAnsi="宋体" w:cs="宋体"/>
          <w:b/>
          <w:color w:val="000000"/>
          <w:kern w:val="44"/>
          <w:sz w:val="28"/>
          <w:szCs w:val="28"/>
        </w:rPr>
        <w:t>三、商务要求</w:t>
      </w:r>
      <w:bookmarkEnd w:id="223"/>
    </w:p>
    <w:p>
      <w:pPr>
        <w:pStyle w:val="8"/>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（一）履约时间</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1.建设期：该项目须于合同签订后50天内建成投运并达标运行。本项目是市政污水处理应急民生环保项目，未按规定的时间投运，需向采购人支付10万元/天的违约金，违约金在后期污水处理服务费中扣减。</w:t>
      </w:r>
    </w:p>
    <w:p>
      <w:pPr>
        <w:pStyle w:val="8"/>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2.运营期：本项目运营维护服务期限为二年，污水处理设备安装调试完毕后，自出水达标</w:t>
      </w:r>
      <w:r>
        <w:rPr>
          <w:rFonts w:hint="eastAsia" w:ascii="宋体" w:hAnsi="宋体" w:cs="宋体"/>
          <w:color w:val="000000" w:themeColor="text1"/>
          <w:sz w:val="24"/>
          <w:highlight w:val="none"/>
          <w:lang w:val="en-US" w:eastAsia="zh-CN"/>
          <w14:textFill>
            <w14:solidFill>
              <w14:schemeClr w14:val="tx1"/>
            </w14:solidFill>
          </w14:textFill>
        </w:rPr>
        <w:t>且经有资质的第三方专业机构</w:t>
      </w:r>
      <w:r>
        <w:rPr>
          <w:rFonts w:hint="eastAsia" w:ascii="宋体" w:hAnsi="宋体" w:cs="宋体"/>
          <w:color w:val="000000" w:themeColor="text1"/>
          <w:sz w:val="24"/>
          <w:highlight w:val="none"/>
          <w14:textFill>
            <w14:solidFill>
              <w14:schemeClr w14:val="tx1"/>
            </w14:solidFill>
          </w14:textFill>
        </w:rPr>
        <w:t>检测合格之日起为起算日。</w:t>
      </w:r>
    </w:p>
    <w:p>
      <w:pPr>
        <w:pStyle w:val="8"/>
        <w:spacing w:line="360" w:lineRule="auto"/>
        <w:ind w:firstLine="480"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（二）履约保证金</w:t>
      </w:r>
    </w:p>
    <w:p>
      <w:pPr>
        <w:pStyle w:val="8"/>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按采购合同总金额的10%计取，具体详见供应商须知附表。</w:t>
      </w:r>
    </w:p>
    <w:p>
      <w:pPr>
        <w:pStyle w:val="8"/>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（三）报价要求 </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本项目采取总价报价的方式（</w:t>
      </w:r>
      <w:r>
        <w:rPr>
          <w:rFonts w:hint="eastAsia" w:ascii="宋体" w:hAnsi="宋体" w:cs="宋体"/>
          <w:color w:val="000000"/>
          <w:kern w:val="0"/>
          <w:sz w:val="24"/>
          <w:lang w:bidi="ar"/>
        </w:rPr>
        <w:t>即供应商完成污水处理设施建设所投入的建设和运营涉及的所有费用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kern w:val="0"/>
          <w:sz w:val="24"/>
          <w:lang w:bidi="ar"/>
        </w:rPr>
        <w:t xml:space="preserve">供应商可自行实地考察，充分考虑所有不确定因素，并对所产生的费用和投标结果承担责任。 </w:t>
      </w:r>
    </w:p>
    <w:p>
      <w:pPr>
        <w:pStyle w:val="8"/>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（四）付款方式和条件 </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1.本项目污水处理费按月支付，污水处理基准单价为中标总价/365天/（2万吨/天），在月度考核合格的前提下，根据实际处理量*基准单价进行支付。</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2.供应商在次月10日前将上月污水处理相关报表（运行月报、水质检测报告、付款申请表及相关发票票据）报送采购人，采购人在考核合格后月底前支付上月污水处理服务费。</w:t>
      </w:r>
    </w:p>
    <w:p>
      <w:pPr>
        <w:pStyle w:val="8"/>
        <w:numPr>
          <w:ilvl w:val="0"/>
          <w:numId w:val="8"/>
        </w:numPr>
        <w:spacing w:line="360" w:lineRule="auto"/>
        <w:ind w:firstLine="480"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履约验收</w:t>
      </w:r>
    </w:p>
    <w:p>
      <w:pPr>
        <w:spacing w:line="360" w:lineRule="auto"/>
        <w:ind w:firstLine="480" w:firstLineChars="200"/>
        <w:rPr>
          <w:rFonts w:ascii="宋体" w:hAnsi="宋体" w:cs="宋体"/>
          <w:sz w:val="24"/>
        </w:rPr>
      </w:pPr>
      <w:r>
        <w:rPr>
          <w:rFonts w:hint="eastAsia" w:ascii="宋体" w:hAnsi="宋体" w:cs="宋体"/>
          <w:sz w:val="24"/>
        </w:rPr>
        <w:t>项目验收时，参照《财政部关于进一步加强政府采购需求和履约验收管理的指导意见》（财库〔2016〕205号）等相关规定要求进行验收。整体项目符合国家及行业强制性标准、招标文件要求、投标文件的响应及承诺、合同的要求。如果以上标准有不一致的，以较高标准为准。</w:t>
      </w:r>
    </w:p>
    <w:p>
      <w:pPr>
        <w:pStyle w:val="8"/>
        <w:numPr>
          <w:ilvl w:val="0"/>
          <w:numId w:val="8"/>
        </w:numPr>
        <w:spacing w:line="360" w:lineRule="auto"/>
        <w:ind w:firstLine="482" w:firstLineChars="200"/>
        <w:rPr>
          <w:rFonts w:ascii="宋体" w:hAnsi="宋体" w:cs="宋体"/>
          <w:b/>
          <w:bCs/>
          <w:sz w:val="24"/>
        </w:rPr>
      </w:pPr>
      <w:r>
        <w:rPr>
          <w:rFonts w:hint="eastAsia" w:ascii="宋体" w:hAnsi="宋体" w:cs="宋体"/>
          <w:b/>
          <w:bCs/>
          <w:sz w:val="24"/>
        </w:rPr>
        <w:br w:type="page"/>
      </w:r>
    </w:p>
    <w:p>
      <w:pPr>
        <w:spacing w:line="360" w:lineRule="auto"/>
        <w:jc w:val="center"/>
        <w:outlineLvl w:val="0"/>
        <w:rPr>
          <w:rFonts w:ascii="宋体" w:hAnsi="宋体" w:cs="宋体"/>
          <w:b/>
          <w:bCs/>
          <w:sz w:val="32"/>
          <w:szCs w:val="32"/>
        </w:rPr>
      </w:pPr>
      <w:bookmarkStart w:id="224" w:name="_Toc7336"/>
      <w:r>
        <w:rPr>
          <w:rFonts w:hint="eastAsia" w:ascii="宋体" w:hAnsi="宋体" w:cs="宋体"/>
          <w:b/>
          <w:bCs/>
          <w:sz w:val="32"/>
          <w:szCs w:val="32"/>
        </w:rPr>
        <w:t>第七章 评标方法</w:t>
      </w:r>
      <w:bookmarkEnd w:id="224"/>
    </w:p>
    <w:p>
      <w:pPr>
        <w:keepNext/>
        <w:tabs>
          <w:tab w:val="left" w:pos="360"/>
        </w:tabs>
        <w:snapToGrid w:val="0"/>
        <w:spacing w:line="360" w:lineRule="auto"/>
        <w:jc w:val="left"/>
        <w:outlineLvl w:val="1"/>
        <w:rPr>
          <w:rFonts w:ascii="宋体" w:hAnsi="宋体" w:cs="宋体"/>
          <w:b/>
          <w:sz w:val="28"/>
          <w:szCs w:val="28"/>
        </w:rPr>
      </w:pPr>
      <w:bookmarkStart w:id="225" w:name="_Toc494198620"/>
      <w:bookmarkStart w:id="226" w:name="_Toc30665"/>
      <w:bookmarkStart w:id="227" w:name="_Toc2059"/>
      <w:bookmarkStart w:id="228" w:name="_Toc5815"/>
      <w:bookmarkStart w:id="229" w:name="_Toc9002"/>
      <w:bookmarkStart w:id="230" w:name="_Toc10588"/>
      <w:bookmarkStart w:id="231" w:name="_TOC_250000"/>
      <w:r>
        <w:rPr>
          <w:rFonts w:hint="eastAsia" w:ascii="宋体" w:hAnsi="宋体" w:cs="宋体"/>
          <w:b/>
          <w:sz w:val="28"/>
          <w:szCs w:val="28"/>
        </w:rPr>
        <w:t>一、总则</w:t>
      </w:r>
      <w:bookmarkEnd w:id="225"/>
      <w:bookmarkEnd w:id="226"/>
      <w:bookmarkEnd w:id="227"/>
      <w:bookmarkEnd w:id="228"/>
      <w:bookmarkEnd w:id="229"/>
      <w:bookmarkEnd w:id="230"/>
    </w:p>
    <w:p>
      <w:pPr>
        <w:tabs>
          <w:tab w:val="left" w:pos="1405"/>
        </w:tabs>
        <w:spacing w:line="360" w:lineRule="auto"/>
        <w:ind w:firstLine="464" w:firstLineChars="200"/>
        <w:jc w:val="left"/>
        <w:rPr>
          <w:rFonts w:ascii="宋体" w:hAnsi="宋体" w:cs="宋体"/>
          <w:sz w:val="24"/>
          <w:lang w:val="zh-CN" w:bidi="zh-CN"/>
        </w:rPr>
      </w:pPr>
      <w:bookmarkStart w:id="232" w:name="_Toc2796"/>
      <w:bookmarkStart w:id="233" w:name="_Toc8638"/>
      <w:bookmarkStart w:id="234" w:name="_Toc15930"/>
      <w:bookmarkStart w:id="235" w:name="_Toc494198949"/>
      <w:bookmarkStart w:id="236" w:name="_Toc496605655"/>
      <w:bookmarkStart w:id="237" w:name="_Toc494198623"/>
      <w:r>
        <w:rPr>
          <w:rFonts w:hint="eastAsia" w:ascii="宋体" w:hAnsi="宋体" w:cs="宋体"/>
          <w:spacing w:val="-4"/>
          <w:sz w:val="24"/>
          <w:lang w:bidi="zh-CN"/>
        </w:rPr>
        <w:t>1、</w:t>
      </w:r>
      <w:r>
        <w:rPr>
          <w:rFonts w:hint="eastAsia" w:ascii="宋体" w:hAnsi="宋体" w:cs="宋体"/>
          <w:spacing w:val="-4"/>
          <w:sz w:val="24"/>
          <w:lang w:val="zh-CN" w:bidi="zh-CN"/>
        </w:rPr>
        <w:t>根据《中华人民共和国政府采购法》、《中华人民共和国政府采购法实施条例》、《政府采购货物和服务招标投标管理办法》（财政部令第 87 号）等法律规章，结合采购项目特点制定本评标办法。</w:t>
      </w:r>
    </w:p>
    <w:p>
      <w:pPr>
        <w:tabs>
          <w:tab w:val="left" w:pos="1405"/>
        </w:tabs>
        <w:spacing w:line="360" w:lineRule="auto"/>
        <w:ind w:firstLine="464" w:firstLineChars="200"/>
        <w:jc w:val="left"/>
        <w:rPr>
          <w:rFonts w:ascii="宋体" w:hAnsi="宋体" w:cs="宋体"/>
          <w:sz w:val="24"/>
          <w:lang w:val="zh-CN" w:bidi="zh-CN"/>
        </w:rPr>
      </w:pPr>
      <w:r>
        <w:rPr>
          <w:rFonts w:hint="eastAsia" w:ascii="宋体" w:hAnsi="宋体" w:cs="宋体"/>
          <w:spacing w:val="-4"/>
          <w:sz w:val="24"/>
          <w:lang w:bidi="zh-CN"/>
        </w:rPr>
        <w:t>2、</w:t>
      </w:r>
      <w:r>
        <w:rPr>
          <w:rFonts w:hint="eastAsia" w:ascii="宋体" w:hAnsi="宋体" w:cs="宋体"/>
          <w:spacing w:val="-4"/>
          <w:sz w:val="24"/>
          <w:lang w:val="zh-CN" w:bidi="zh-CN"/>
        </w:rPr>
        <w:t>公开招标采购项目开标结束后，采购人或者采购代理机构应当依法对供应商的资格</w:t>
      </w:r>
      <w:r>
        <w:rPr>
          <w:rFonts w:hint="eastAsia" w:ascii="宋体" w:hAnsi="宋体" w:cs="宋体"/>
          <w:sz w:val="24"/>
          <w:lang w:val="zh-CN" w:bidi="zh-CN"/>
        </w:rPr>
        <w:t>进行审查。</w:t>
      </w:r>
    </w:p>
    <w:p>
      <w:pPr>
        <w:spacing w:line="360" w:lineRule="auto"/>
        <w:ind w:firstLine="480" w:firstLineChars="200"/>
        <w:rPr>
          <w:rFonts w:ascii="宋体" w:hAnsi="宋体" w:cs="宋体"/>
          <w:bCs/>
          <w:sz w:val="24"/>
        </w:rPr>
      </w:pPr>
      <w:r>
        <w:rPr>
          <w:rFonts w:hint="eastAsia" w:ascii="宋体" w:hAnsi="宋体" w:cs="宋体"/>
          <w:sz w:val="24"/>
        </w:rPr>
        <w:t>合格供应商不足三家的，不得评标。</w:t>
      </w:r>
    </w:p>
    <w:p>
      <w:pPr>
        <w:keepNext/>
        <w:tabs>
          <w:tab w:val="left" w:pos="360"/>
        </w:tabs>
        <w:snapToGrid w:val="0"/>
        <w:spacing w:line="360" w:lineRule="auto"/>
        <w:ind w:firstLine="480" w:firstLineChars="200"/>
        <w:jc w:val="left"/>
        <w:rPr>
          <w:rFonts w:ascii="宋体" w:hAnsi="宋体" w:cs="宋体"/>
          <w:bCs/>
          <w:sz w:val="24"/>
        </w:rPr>
      </w:pPr>
      <w:r>
        <w:rPr>
          <w:rFonts w:hint="eastAsia" w:ascii="宋体" w:hAnsi="宋体" w:cs="宋体"/>
          <w:bCs/>
          <w:sz w:val="24"/>
        </w:rPr>
        <w:t>采购人或者采购代理机构负责组织评标工作，并履行下列职责：</w:t>
      </w:r>
      <w:bookmarkEnd w:id="232"/>
      <w:bookmarkEnd w:id="233"/>
      <w:bookmarkEnd w:id="234"/>
      <w:bookmarkEnd w:id="235"/>
      <w:bookmarkEnd w:id="236"/>
      <w:bookmarkEnd w:id="237"/>
    </w:p>
    <w:p>
      <w:pPr>
        <w:snapToGrid w:val="0"/>
        <w:spacing w:line="360" w:lineRule="auto"/>
        <w:ind w:firstLine="480" w:firstLineChars="200"/>
        <w:rPr>
          <w:rFonts w:ascii="宋体" w:hAnsi="宋体" w:cs="宋体"/>
          <w:bCs/>
          <w:sz w:val="24"/>
        </w:rPr>
      </w:pPr>
      <w:r>
        <w:rPr>
          <w:rFonts w:hint="eastAsia" w:ascii="宋体" w:hAnsi="宋体" w:cs="宋体"/>
          <w:bCs/>
          <w:sz w:val="24"/>
        </w:rPr>
        <w:t>（一）核对评审专家身份和采购人代表授权函，对评审专家在政府采购活动中的职责履行情况予以记录，并及时将有关违法违规行为向财政部门报告；</w:t>
      </w:r>
    </w:p>
    <w:p>
      <w:pPr>
        <w:snapToGrid w:val="0"/>
        <w:spacing w:line="360" w:lineRule="auto"/>
        <w:ind w:firstLine="480" w:firstLineChars="200"/>
        <w:rPr>
          <w:rFonts w:ascii="宋体" w:hAnsi="宋体" w:cs="宋体"/>
          <w:bCs/>
          <w:sz w:val="24"/>
        </w:rPr>
      </w:pPr>
      <w:r>
        <w:rPr>
          <w:rFonts w:hint="eastAsia" w:ascii="宋体" w:hAnsi="宋体" w:cs="宋体"/>
          <w:bCs/>
          <w:sz w:val="24"/>
        </w:rPr>
        <w:t>（二）宣布评标纪律；</w:t>
      </w:r>
    </w:p>
    <w:p>
      <w:pPr>
        <w:snapToGrid w:val="0"/>
        <w:spacing w:line="360" w:lineRule="auto"/>
        <w:ind w:firstLine="480" w:firstLineChars="200"/>
        <w:rPr>
          <w:rFonts w:ascii="宋体" w:hAnsi="宋体" w:cs="宋体"/>
          <w:bCs/>
          <w:sz w:val="24"/>
        </w:rPr>
      </w:pPr>
      <w:r>
        <w:rPr>
          <w:rFonts w:hint="eastAsia" w:ascii="宋体" w:hAnsi="宋体" w:cs="宋体"/>
          <w:bCs/>
          <w:sz w:val="24"/>
        </w:rPr>
        <w:t>（三）公布供应商名单，告知评审专家应当回避的情形；</w:t>
      </w:r>
    </w:p>
    <w:p>
      <w:pPr>
        <w:snapToGrid w:val="0"/>
        <w:spacing w:line="360" w:lineRule="auto"/>
        <w:ind w:firstLine="480" w:firstLineChars="200"/>
        <w:rPr>
          <w:rFonts w:ascii="宋体" w:hAnsi="宋体" w:cs="宋体"/>
          <w:bCs/>
          <w:sz w:val="24"/>
        </w:rPr>
      </w:pPr>
      <w:r>
        <w:rPr>
          <w:rFonts w:hint="eastAsia" w:ascii="宋体" w:hAnsi="宋体" w:cs="宋体"/>
          <w:bCs/>
          <w:sz w:val="24"/>
        </w:rPr>
        <w:t>（四）组织评标委员会推选评标组长，采购人代表不得担任组长；</w:t>
      </w:r>
    </w:p>
    <w:p>
      <w:pPr>
        <w:snapToGrid w:val="0"/>
        <w:spacing w:line="360" w:lineRule="auto"/>
        <w:ind w:firstLine="480" w:firstLineChars="200"/>
        <w:rPr>
          <w:rFonts w:ascii="宋体" w:hAnsi="宋体" w:cs="宋体"/>
          <w:bCs/>
          <w:sz w:val="24"/>
        </w:rPr>
      </w:pPr>
      <w:r>
        <w:rPr>
          <w:rFonts w:hint="eastAsia" w:ascii="宋体" w:hAnsi="宋体" w:cs="宋体"/>
          <w:bCs/>
          <w:sz w:val="24"/>
        </w:rPr>
        <w:t>（五）在评标期间采取必要的通讯管理措施，保证评标活动不受外界干扰；</w:t>
      </w:r>
    </w:p>
    <w:p>
      <w:pPr>
        <w:snapToGrid w:val="0"/>
        <w:spacing w:line="360" w:lineRule="auto"/>
        <w:ind w:firstLine="480" w:firstLineChars="200"/>
        <w:rPr>
          <w:rFonts w:ascii="宋体" w:hAnsi="宋体" w:cs="宋体"/>
          <w:bCs/>
          <w:sz w:val="24"/>
        </w:rPr>
      </w:pPr>
      <w:r>
        <w:rPr>
          <w:rFonts w:hint="eastAsia" w:ascii="宋体" w:hAnsi="宋体" w:cs="宋体"/>
          <w:bCs/>
          <w:sz w:val="24"/>
        </w:rPr>
        <w:t>（六）根据评标委员会的要求介绍政府采购相关政策法规、招标文件；</w:t>
      </w:r>
    </w:p>
    <w:p>
      <w:pPr>
        <w:snapToGrid w:val="0"/>
        <w:spacing w:line="360" w:lineRule="auto"/>
        <w:ind w:firstLine="480" w:firstLineChars="200"/>
        <w:rPr>
          <w:rFonts w:ascii="宋体" w:hAnsi="宋体" w:cs="宋体"/>
          <w:bCs/>
          <w:sz w:val="24"/>
        </w:rPr>
      </w:pPr>
      <w:r>
        <w:rPr>
          <w:rFonts w:hint="eastAsia" w:ascii="宋体" w:hAnsi="宋体" w:cs="宋体"/>
          <w:bCs/>
          <w:sz w:val="24"/>
        </w:rPr>
        <w:t>（七）维护评标秩序，监督评标委员会依照招标文件规定的评标程序、方法和标准进行独立评审，及时制止和纠正采购人代表、评审专家的倾向性言论或者违法违规行为；</w:t>
      </w:r>
    </w:p>
    <w:p>
      <w:pPr>
        <w:snapToGrid w:val="0"/>
        <w:spacing w:line="360" w:lineRule="auto"/>
        <w:ind w:firstLine="480" w:firstLineChars="200"/>
        <w:rPr>
          <w:rFonts w:ascii="宋体" w:hAnsi="宋体" w:cs="宋体"/>
          <w:bCs/>
          <w:sz w:val="24"/>
        </w:rPr>
      </w:pPr>
      <w:r>
        <w:rPr>
          <w:rFonts w:hint="eastAsia" w:ascii="宋体" w:hAnsi="宋体" w:cs="宋体"/>
          <w:bCs/>
          <w:sz w:val="24"/>
        </w:rPr>
        <w:t>（八）核对评标结果，有中华人民共和国财政部令第87号--政府采购货物和服务招标投标管理办法第六十四条规定情形的，要求评标委员会复核或者书面说明理由，评标委员会拒绝的，应予记录并向本级财政部门报告；</w:t>
      </w:r>
    </w:p>
    <w:p>
      <w:pPr>
        <w:snapToGrid w:val="0"/>
        <w:spacing w:line="360" w:lineRule="auto"/>
        <w:ind w:firstLine="480" w:firstLineChars="200"/>
        <w:rPr>
          <w:rFonts w:ascii="宋体" w:hAnsi="宋体" w:cs="宋体"/>
          <w:bCs/>
          <w:sz w:val="24"/>
        </w:rPr>
      </w:pPr>
      <w:r>
        <w:rPr>
          <w:rFonts w:hint="eastAsia" w:ascii="宋体" w:hAnsi="宋体" w:cs="宋体"/>
          <w:bCs/>
          <w:sz w:val="24"/>
        </w:rPr>
        <w:t>（九）评审工作完成后，按照规定向评审专家支付劳务报酬和异地评审差旅费，不得向评审专家以外的其他人员支付评审劳务报酬；</w:t>
      </w:r>
    </w:p>
    <w:p>
      <w:pPr>
        <w:snapToGrid w:val="0"/>
        <w:spacing w:line="360" w:lineRule="auto"/>
        <w:ind w:firstLine="480" w:firstLineChars="200"/>
        <w:rPr>
          <w:rFonts w:ascii="宋体" w:hAnsi="宋体" w:cs="宋体"/>
          <w:bCs/>
          <w:sz w:val="24"/>
        </w:rPr>
      </w:pPr>
      <w:r>
        <w:rPr>
          <w:rFonts w:hint="eastAsia" w:ascii="宋体" w:hAnsi="宋体" w:cs="宋体"/>
          <w:bCs/>
          <w:sz w:val="24"/>
        </w:rPr>
        <w:t>（十）处理与评标有关的其他事项。</w:t>
      </w:r>
      <w:bookmarkStart w:id="238" w:name="_Toc494198624"/>
      <w:bookmarkStart w:id="239" w:name="_Toc496605656"/>
      <w:bookmarkStart w:id="240" w:name="_Toc494198950"/>
      <w:bookmarkStart w:id="241" w:name="_Toc32703"/>
    </w:p>
    <w:p>
      <w:pPr>
        <w:snapToGrid w:val="0"/>
        <w:spacing w:line="360" w:lineRule="auto"/>
        <w:ind w:firstLine="480" w:firstLineChars="200"/>
        <w:rPr>
          <w:rFonts w:ascii="宋体" w:hAnsi="宋体" w:cs="宋体"/>
          <w:bCs/>
          <w:sz w:val="24"/>
        </w:rPr>
      </w:pPr>
      <w:r>
        <w:rPr>
          <w:rFonts w:hint="eastAsia" w:ascii="宋体" w:hAnsi="宋体" w:cs="宋体"/>
          <w:bCs/>
          <w:sz w:val="24"/>
        </w:rPr>
        <w:t>3、采购人可以在评标前说明项目背景和采购需求，说明内容不得含有歧视性、倾向性意见，不得超出招标文件所述范围。说明应当提交书面材料，并随招标文件一并存档。</w:t>
      </w:r>
      <w:bookmarkEnd w:id="238"/>
      <w:bookmarkEnd w:id="239"/>
      <w:bookmarkEnd w:id="240"/>
      <w:bookmarkEnd w:id="241"/>
      <w:bookmarkStart w:id="242" w:name="_Toc475005615"/>
      <w:bookmarkStart w:id="243" w:name="_Toc496605657"/>
      <w:bookmarkStart w:id="244" w:name="_Toc15305"/>
      <w:bookmarkStart w:id="245" w:name="_Toc482094362"/>
      <w:bookmarkStart w:id="246" w:name="_Toc466896284"/>
      <w:bookmarkStart w:id="247" w:name="_Toc477425570"/>
      <w:bookmarkStart w:id="248" w:name="_Toc494198625"/>
      <w:bookmarkStart w:id="249" w:name="_Toc494198951"/>
      <w:bookmarkStart w:id="250" w:name="_Toc476748790"/>
      <w:bookmarkStart w:id="251" w:name="_Toc466292934"/>
    </w:p>
    <w:p>
      <w:pPr>
        <w:snapToGrid w:val="0"/>
        <w:spacing w:line="360" w:lineRule="auto"/>
        <w:ind w:firstLine="480" w:firstLineChars="200"/>
        <w:rPr>
          <w:rFonts w:ascii="宋体" w:hAnsi="宋体" w:cs="宋体"/>
          <w:bCs/>
          <w:sz w:val="24"/>
        </w:rPr>
      </w:pPr>
      <w:r>
        <w:rPr>
          <w:rFonts w:hint="eastAsia" w:ascii="宋体" w:hAnsi="宋体" w:cs="宋体"/>
          <w:bCs/>
          <w:sz w:val="24"/>
        </w:rPr>
        <w:t>4、评标工作由采购代理机构负责组织，具体评标事务由依法组建的评标委员会负责。评标委员会由采购人代表和有关技术、经济等方面的专家组成。</w:t>
      </w:r>
      <w:bookmarkEnd w:id="242"/>
      <w:bookmarkEnd w:id="243"/>
      <w:bookmarkEnd w:id="244"/>
      <w:bookmarkEnd w:id="245"/>
      <w:bookmarkEnd w:id="246"/>
      <w:bookmarkEnd w:id="247"/>
      <w:bookmarkEnd w:id="248"/>
      <w:bookmarkEnd w:id="249"/>
      <w:bookmarkEnd w:id="250"/>
      <w:bookmarkEnd w:id="251"/>
      <w:bookmarkStart w:id="252" w:name="_Toc477425571"/>
      <w:bookmarkStart w:id="253" w:name="_Toc1013"/>
      <w:bookmarkStart w:id="254" w:name="_Toc466292935"/>
      <w:bookmarkStart w:id="255" w:name="_Toc476748791"/>
      <w:bookmarkStart w:id="256" w:name="_Toc494198952"/>
      <w:bookmarkStart w:id="257" w:name="_Toc475005616"/>
      <w:bookmarkStart w:id="258" w:name="_Toc482094363"/>
      <w:bookmarkStart w:id="259" w:name="_Toc494198626"/>
      <w:bookmarkStart w:id="260" w:name="_Toc466896285"/>
      <w:bookmarkStart w:id="261" w:name="_Toc496605658"/>
    </w:p>
    <w:p>
      <w:pPr>
        <w:snapToGrid w:val="0"/>
        <w:spacing w:line="360" w:lineRule="auto"/>
        <w:ind w:firstLine="480" w:firstLineChars="200"/>
        <w:rPr>
          <w:rFonts w:ascii="宋体" w:hAnsi="宋体" w:cs="宋体"/>
          <w:bCs/>
          <w:sz w:val="24"/>
        </w:rPr>
      </w:pPr>
      <w:r>
        <w:rPr>
          <w:rFonts w:hint="eastAsia" w:ascii="宋体" w:hAnsi="宋体" w:cs="宋体"/>
          <w:bCs/>
          <w:sz w:val="24"/>
        </w:rPr>
        <w:t>5、评标工作应遵循公平、公正、科学及择优的原则，并以相同的评标程序和标准对待所有的供应商。</w:t>
      </w:r>
      <w:bookmarkEnd w:id="252"/>
      <w:bookmarkEnd w:id="253"/>
      <w:bookmarkEnd w:id="254"/>
      <w:bookmarkEnd w:id="255"/>
      <w:bookmarkEnd w:id="256"/>
      <w:bookmarkEnd w:id="257"/>
      <w:bookmarkEnd w:id="258"/>
      <w:bookmarkEnd w:id="259"/>
      <w:bookmarkEnd w:id="260"/>
      <w:bookmarkEnd w:id="261"/>
    </w:p>
    <w:p>
      <w:pPr>
        <w:keepNext/>
        <w:tabs>
          <w:tab w:val="left" w:pos="360"/>
        </w:tabs>
        <w:spacing w:line="360" w:lineRule="auto"/>
        <w:ind w:firstLine="480" w:firstLineChars="200"/>
        <w:jc w:val="left"/>
        <w:rPr>
          <w:rFonts w:ascii="宋体" w:hAnsi="宋体" w:cs="宋体"/>
          <w:bCs/>
          <w:sz w:val="24"/>
        </w:rPr>
      </w:pPr>
      <w:bookmarkStart w:id="262" w:name="_Toc31557"/>
      <w:bookmarkStart w:id="263" w:name="_Toc21875"/>
      <w:bookmarkStart w:id="264" w:name="_Toc7664"/>
      <w:bookmarkStart w:id="265" w:name="_Toc494198627"/>
      <w:bookmarkStart w:id="266" w:name="_Toc494198953"/>
      <w:bookmarkStart w:id="267" w:name="_Toc496605659"/>
      <w:r>
        <w:rPr>
          <w:rFonts w:hint="eastAsia" w:ascii="宋体" w:hAnsi="宋体" w:cs="宋体"/>
          <w:bCs/>
          <w:sz w:val="24"/>
        </w:rPr>
        <w:t>6、评标委员会负责具体评标事务，并独立履行下列职责：</w:t>
      </w:r>
      <w:bookmarkEnd w:id="262"/>
      <w:bookmarkEnd w:id="263"/>
      <w:bookmarkEnd w:id="264"/>
      <w:bookmarkEnd w:id="265"/>
      <w:bookmarkEnd w:id="266"/>
      <w:bookmarkEnd w:id="267"/>
    </w:p>
    <w:p>
      <w:pPr>
        <w:spacing w:line="360" w:lineRule="auto"/>
        <w:ind w:firstLine="480" w:firstLineChars="200"/>
        <w:rPr>
          <w:rFonts w:ascii="宋体" w:hAnsi="宋体" w:cs="宋体"/>
          <w:bCs/>
          <w:sz w:val="24"/>
        </w:rPr>
      </w:pPr>
      <w:r>
        <w:rPr>
          <w:rFonts w:hint="eastAsia" w:ascii="宋体" w:hAnsi="宋体" w:cs="宋体"/>
          <w:bCs/>
          <w:sz w:val="24"/>
        </w:rPr>
        <w:t>（一）审查、评价投标文件是否符合招标文件的商务、技术等实质性要求；</w:t>
      </w:r>
    </w:p>
    <w:p>
      <w:pPr>
        <w:spacing w:line="360" w:lineRule="auto"/>
        <w:ind w:firstLine="480" w:firstLineChars="200"/>
        <w:rPr>
          <w:rFonts w:ascii="宋体" w:hAnsi="宋体" w:cs="宋体"/>
          <w:bCs/>
          <w:sz w:val="24"/>
        </w:rPr>
      </w:pPr>
      <w:r>
        <w:rPr>
          <w:rFonts w:hint="eastAsia" w:ascii="宋体" w:hAnsi="宋体" w:cs="宋体"/>
          <w:bCs/>
          <w:sz w:val="24"/>
        </w:rPr>
        <w:t>（二）要求供应商对投标文件有关事项作出澄清或者说明；</w:t>
      </w:r>
    </w:p>
    <w:p>
      <w:pPr>
        <w:spacing w:line="360" w:lineRule="auto"/>
        <w:ind w:firstLine="480" w:firstLineChars="200"/>
        <w:rPr>
          <w:rFonts w:ascii="宋体" w:hAnsi="宋体" w:cs="宋体"/>
          <w:bCs/>
          <w:sz w:val="24"/>
        </w:rPr>
      </w:pPr>
      <w:r>
        <w:rPr>
          <w:rFonts w:hint="eastAsia" w:ascii="宋体" w:hAnsi="宋体" w:cs="宋体"/>
          <w:bCs/>
          <w:sz w:val="24"/>
        </w:rPr>
        <w:t>（三）对投标文件进行比较和评价；</w:t>
      </w:r>
    </w:p>
    <w:p>
      <w:pPr>
        <w:spacing w:line="360" w:lineRule="auto"/>
        <w:ind w:firstLine="480" w:firstLineChars="200"/>
        <w:rPr>
          <w:rFonts w:ascii="宋体" w:hAnsi="宋体" w:cs="宋体"/>
          <w:bCs/>
          <w:sz w:val="24"/>
        </w:rPr>
      </w:pPr>
      <w:r>
        <w:rPr>
          <w:rFonts w:hint="eastAsia" w:ascii="宋体" w:hAnsi="宋体" w:cs="宋体"/>
          <w:bCs/>
          <w:sz w:val="24"/>
        </w:rPr>
        <w:t>（四）确定中标候选人名单直接确定中标人；</w:t>
      </w:r>
    </w:p>
    <w:p>
      <w:pPr>
        <w:spacing w:line="360" w:lineRule="auto"/>
        <w:ind w:firstLine="480" w:firstLineChars="200"/>
        <w:rPr>
          <w:rFonts w:ascii="宋体" w:hAnsi="宋体" w:cs="宋体"/>
          <w:bCs/>
          <w:sz w:val="24"/>
        </w:rPr>
      </w:pPr>
      <w:r>
        <w:rPr>
          <w:rFonts w:hint="eastAsia" w:ascii="宋体" w:hAnsi="宋体" w:cs="宋体"/>
          <w:bCs/>
          <w:sz w:val="24"/>
        </w:rPr>
        <w:t>（五）向采购人、采购代理机构或者有关部门报告评标中发现的违法行为。</w:t>
      </w:r>
    </w:p>
    <w:p>
      <w:pPr>
        <w:keepNext/>
        <w:tabs>
          <w:tab w:val="left" w:pos="360"/>
        </w:tabs>
        <w:spacing w:line="360" w:lineRule="auto"/>
        <w:ind w:firstLine="480" w:firstLineChars="200"/>
        <w:jc w:val="left"/>
        <w:rPr>
          <w:rFonts w:ascii="宋体" w:hAnsi="宋体" w:cs="宋体"/>
          <w:bCs/>
          <w:sz w:val="24"/>
        </w:rPr>
      </w:pPr>
      <w:bookmarkStart w:id="268" w:name="_Toc466896287"/>
      <w:bookmarkStart w:id="269" w:name="_Toc16714"/>
      <w:bookmarkStart w:id="270" w:name="_Toc476748793"/>
      <w:bookmarkStart w:id="271" w:name="_Toc466292937"/>
      <w:bookmarkStart w:id="272" w:name="_Toc496605660"/>
      <w:bookmarkStart w:id="273" w:name="_Toc475005618"/>
      <w:bookmarkStart w:id="274" w:name="_Toc482094365"/>
      <w:bookmarkStart w:id="275" w:name="_Toc494198954"/>
      <w:bookmarkStart w:id="276" w:name="_Toc22138"/>
      <w:bookmarkStart w:id="277" w:name="_Toc6091"/>
      <w:bookmarkStart w:id="278" w:name="_Toc477425573"/>
      <w:bookmarkStart w:id="279" w:name="_Toc494198628"/>
      <w:r>
        <w:rPr>
          <w:rFonts w:hint="eastAsia" w:ascii="宋体" w:hAnsi="宋体" w:cs="宋体"/>
          <w:bCs/>
          <w:sz w:val="24"/>
        </w:rPr>
        <w:t>7、评标过程独立、保密。供应商非法干预评标过程的行为将导致其投标文件作为无效处理。</w:t>
      </w:r>
      <w:bookmarkEnd w:id="268"/>
      <w:bookmarkEnd w:id="269"/>
      <w:bookmarkEnd w:id="270"/>
      <w:bookmarkEnd w:id="271"/>
      <w:bookmarkEnd w:id="272"/>
      <w:bookmarkEnd w:id="273"/>
      <w:bookmarkEnd w:id="274"/>
      <w:bookmarkEnd w:id="275"/>
      <w:bookmarkEnd w:id="276"/>
      <w:bookmarkEnd w:id="277"/>
      <w:bookmarkEnd w:id="278"/>
      <w:bookmarkEnd w:id="279"/>
    </w:p>
    <w:p>
      <w:pPr>
        <w:keepNext/>
        <w:tabs>
          <w:tab w:val="left" w:pos="360"/>
        </w:tabs>
        <w:spacing w:line="360" w:lineRule="auto"/>
        <w:ind w:firstLine="480" w:firstLineChars="200"/>
        <w:jc w:val="left"/>
        <w:rPr>
          <w:rFonts w:ascii="宋体" w:hAnsi="宋体" w:cs="宋体"/>
          <w:bCs/>
          <w:sz w:val="24"/>
        </w:rPr>
      </w:pPr>
      <w:bookmarkStart w:id="280" w:name="_Toc466896288"/>
      <w:bookmarkStart w:id="281" w:name="_Toc494198955"/>
      <w:bookmarkStart w:id="282" w:name="_Toc2945"/>
      <w:bookmarkStart w:id="283" w:name="_Toc466292938"/>
      <w:bookmarkStart w:id="284" w:name="_Toc9483"/>
      <w:bookmarkStart w:id="285" w:name="_Toc482094366"/>
      <w:bookmarkStart w:id="286" w:name="_Toc477425574"/>
      <w:bookmarkStart w:id="287" w:name="_Toc476748794"/>
      <w:bookmarkStart w:id="288" w:name="_Toc2234"/>
      <w:bookmarkStart w:id="289" w:name="_Toc496605661"/>
      <w:bookmarkStart w:id="290" w:name="_Toc494198629"/>
      <w:bookmarkStart w:id="291" w:name="_Toc475005619"/>
      <w:r>
        <w:rPr>
          <w:rFonts w:hint="eastAsia" w:ascii="宋体" w:hAnsi="宋体" w:cs="宋体"/>
          <w:bCs/>
          <w:sz w:val="24"/>
        </w:rPr>
        <w:t>8、评标委员会评价投标文件的响应性，对于供应商而言，除评标委员会要求其澄清、说明或者更正而提供的资料外，仅依据投标文件本身的内容，而不寻求外部的证据。</w:t>
      </w:r>
      <w:bookmarkEnd w:id="280"/>
      <w:bookmarkEnd w:id="281"/>
      <w:bookmarkEnd w:id="282"/>
      <w:bookmarkEnd w:id="283"/>
      <w:bookmarkEnd w:id="284"/>
      <w:bookmarkEnd w:id="285"/>
      <w:bookmarkEnd w:id="286"/>
      <w:bookmarkEnd w:id="287"/>
      <w:bookmarkEnd w:id="288"/>
      <w:bookmarkEnd w:id="289"/>
      <w:bookmarkEnd w:id="290"/>
      <w:bookmarkEnd w:id="291"/>
    </w:p>
    <w:p>
      <w:pPr>
        <w:keepNext/>
        <w:tabs>
          <w:tab w:val="left" w:pos="360"/>
        </w:tabs>
        <w:spacing w:line="360" w:lineRule="auto"/>
        <w:jc w:val="left"/>
        <w:outlineLvl w:val="1"/>
        <w:rPr>
          <w:rFonts w:ascii="宋体" w:hAnsi="宋体" w:cs="宋体"/>
          <w:b/>
          <w:sz w:val="28"/>
          <w:szCs w:val="28"/>
        </w:rPr>
      </w:pPr>
      <w:bookmarkStart w:id="292" w:name="_Toc31203"/>
      <w:bookmarkStart w:id="293" w:name="_Toc494198630"/>
      <w:bookmarkStart w:id="294" w:name="_Toc29628"/>
      <w:bookmarkStart w:id="295" w:name="_Toc323824972"/>
      <w:bookmarkStart w:id="296" w:name="_Toc11599"/>
      <w:bookmarkStart w:id="297" w:name="_Toc22086"/>
      <w:bookmarkStart w:id="298" w:name="_Toc30123"/>
      <w:r>
        <w:rPr>
          <w:rFonts w:hint="eastAsia" w:ascii="宋体" w:hAnsi="宋体" w:cs="宋体"/>
          <w:b/>
          <w:sz w:val="28"/>
          <w:szCs w:val="28"/>
        </w:rPr>
        <w:t>二、评标方法</w:t>
      </w:r>
      <w:bookmarkEnd w:id="292"/>
      <w:bookmarkEnd w:id="293"/>
      <w:bookmarkEnd w:id="294"/>
      <w:bookmarkEnd w:id="295"/>
      <w:bookmarkEnd w:id="296"/>
      <w:bookmarkEnd w:id="297"/>
      <w:bookmarkEnd w:id="298"/>
    </w:p>
    <w:p>
      <w:pPr>
        <w:adjustRightInd w:val="0"/>
        <w:spacing w:line="360" w:lineRule="auto"/>
        <w:ind w:firstLine="480" w:firstLineChars="200"/>
        <w:rPr>
          <w:rFonts w:ascii="宋体" w:hAnsi="宋体" w:cs="宋体"/>
          <w:bCs/>
          <w:sz w:val="24"/>
        </w:rPr>
      </w:pPr>
      <w:r>
        <w:rPr>
          <w:rFonts w:hint="eastAsia" w:ascii="宋体" w:hAnsi="宋体" w:cs="宋体"/>
          <w:bCs/>
          <w:sz w:val="24"/>
        </w:rPr>
        <w:t>本项目评标方法为：综合评分法。</w:t>
      </w:r>
    </w:p>
    <w:p>
      <w:pPr>
        <w:keepNext/>
        <w:tabs>
          <w:tab w:val="left" w:pos="360"/>
        </w:tabs>
        <w:spacing w:line="360" w:lineRule="auto"/>
        <w:jc w:val="left"/>
        <w:outlineLvl w:val="1"/>
        <w:rPr>
          <w:rFonts w:ascii="宋体" w:hAnsi="宋体" w:cs="宋体"/>
          <w:b/>
          <w:sz w:val="28"/>
          <w:szCs w:val="28"/>
        </w:rPr>
      </w:pPr>
      <w:bookmarkStart w:id="299" w:name="_Toc30903"/>
      <w:bookmarkStart w:id="300" w:name="_Toc31576"/>
      <w:bookmarkStart w:id="301" w:name="_Toc29522"/>
      <w:bookmarkStart w:id="302" w:name="_Toc323824973"/>
      <w:bookmarkStart w:id="303" w:name="_Toc31447"/>
      <w:bookmarkStart w:id="304" w:name="_Toc29439"/>
      <w:bookmarkStart w:id="305" w:name="_Toc494198631"/>
      <w:r>
        <w:rPr>
          <w:rFonts w:hint="eastAsia" w:ascii="宋体" w:hAnsi="宋体" w:cs="宋体"/>
          <w:b/>
          <w:sz w:val="28"/>
          <w:szCs w:val="28"/>
        </w:rPr>
        <w:t>三、评标程序</w:t>
      </w:r>
      <w:bookmarkEnd w:id="299"/>
      <w:bookmarkEnd w:id="300"/>
      <w:bookmarkEnd w:id="301"/>
      <w:bookmarkEnd w:id="302"/>
      <w:bookmarkEnd w:id="303"/>
      <w:bookmarkEnd w:id="304"/>
      <w:bookmarkEnd w:id="305"/>
    </w:p>
    <w:p>
      <w:pPr>
        <w:pStyle w:val="41"/>
        <w:tabs>
          <w:tab w:val="left" w:pos="1120"/>
        </w:tabs>
        <w:spacing w:line="360" w:lineRule="auto"/>
        <w:ind w:left="0" w:firstLine="482" w:firstLineChars="200"/>
        <w:rPr>
          <w:b/>
          <w:bCs/>
          <w:sz w:val="24"/>
        </w:rPr>
      </w:pPr>
      <w:r>
        <w:rPr>
          <w:rFonts w:hint="eastAsia"/>
          <w:b/>
          <w:bCs/>
          <w:sz w:val="24"/>
          <w:lang w:val="en-US"/>
        </w:rPr>
        <w:t>1、</w:t>
      </w:r>
      <w:r>
        <w:rPr>
          <w:rFonts w:hint="eastAsia"/>
          <w:b/>
          <w:bCs/>
          <w:sz w:val="24"/>
        </w:rPr>
        <w:t>熟悉和理解招标文件和停止评标。</w:t>
      </w:r>
    </w:p>
    <w:p>
      <w:pPr>
        <w:pStyle w:val="41"/>
        <w:tabs>
          <w:tab w:val="left" w:pos="1120"/>
        </w:tabs>
        <w:spacing w:line="360" w:lineRule="auto"/>
        <w:ind w:left="0" w:firstLine="482" w:firstLineChars="200"/>
        <w:rPr>
          <w:sz w:val="24"/>
        </w:rPr>
      </w:pPr>
      <w:r>
        <w:rPr>
          <w:rFonts w:hint="eastAsia"/>
          <w:b/>
          <w:bCs/>
          <w:sz w:val="24"/>
          <w:lang w:val="en-US"/>
        </w:rPr>
        <w:t>1.1</w:t>
      </w:r>
      <w:r>
        <w:rPr>
          <w:rFonts w:hint="eastAsia"/>
          <w:spacing w:val="-4"/>
          <w:sz w:val="24"/>
        </w:rPr>
        <w:t>评标委员会正式评标前，应当对招标文件进行熟悉和理解，内容主要包括招标文件</w:t>
      </w:r>
      <w:r>
        <w:rPr>
          <w:rFonts w:hint="eastAsia"/>
          <w:spacing w:val="-8"/>
          <w:sz w:val="24"/>
        </w:rPr>
        <w:t>中供应商资格条件要求、采购项目技术、服务和商务要求、评标方法和标准以及可能涉及签订</w:t>
      </w:r>
      <w:r>
        <w:rPr>
          <w:rFonts w:hint="eastAsia"/>
          <w:sz w:val="24"/>
        </w:rPr>
        <w:t>政府采购合同的内容等。</w:t>
      </w:r>
    </w:p>
    <w:p>
      <w:pPr>
        <w:pStyle w:val="41"/>
        <w:tabs>
          <w:tab w:val="left" w:pos="1120"/>
        </w:tabs>
        <w:spacing w:line="360" w:lineRule="auto"/>
        <w:ind w:left="0" w:firstLine="482" w:firstLineChars="200"/>
        <w:rPr>
          <w:sz w:val="24"/>
        </w:rPr>
      </w:pPr>
      <w:r>
        <w:rPr>
          <w:rFonts w:hint="eastAsia"/>
          <w:b/>
          <w:bCs/>
          <w:sz w:val="24"/>
          <w:lang w:val="en-US"/>
        </w:rPr>
        <w:t>1.2</w:t>
      </w:r>
      <w:r>
        <w:rPr>
          <w:rFonts w:hint="eastAsia"/>
          <w:spacing w:val="-3"/>
          <w:sz w:val="24"/>
        </w:rPr>
        <w:t>评标委员会熟悉和理解招标文件以及评标过程中，发现本招标文件有下列情形之一</w:t>
      </w:r>
      <w:r>
        <w:rPr>
          <w:rFonts w:hint="eastAsia"/>
          <w:sz w:val="24"/>
        </w:rPr>
        <w:t>的，评标委员会应当停止评标：</w:t>
      </w:r>
    </w:p>
    <w:p>
      <w:pPr>
        <w:pStyle w:val="41"/>
        <w:tabs>
          <w:tab w:val="left" w:pos="1120"/>
        </w:tabs>
        <w:spacing w:line="360" w:lineRule="auto"/>
        <w:ind w:left="0" w:firstLineChars="200"/>
        <w:rPr>
          <w:sz w:val="24"/>
        </w:rPr>
      </w:pPr>
      <w:r>
        <w:rPr>
          <w:rFonts w:hint="eastAsia"/>
          <w:sz w:val="24"/>
        </w:rPr>
        <w:t>（</w:t>
      </w:r>
      <w:r>
        <w:rPr>
          <w:rFonts w:hint="eastAsia"/>
          <w:sz w:val="24"/>
          <w:lang w:val="en-US"/>
        </w:rPr>
        <w:t>1</w:t>
      </w:r>
      <w:r>
        <w:rPr>
          <w:rFonts w:hint="eastAsia"/>
          <w:sz w:val="24"/>
        </w:rPr>
        <w:t>）招标文件的规定存在歧义、重大缺陷的；</w:t>
      </w:r>
    </w:p>
    <w:p>
      <w:pPr>
        <w:pStyle w:val="41"/>
        <w:tabs>
          <w:tab w:val="left" w:pos="1120"/>
        </w:tabs>
        <w:spacing w:line="360" w:lineRule="auto"/>
        <w:ind w:left="0" w:firstLineChars="200"/>
        <w:rPr>
          <w:sz w:val="24"/>
        </w:rPr>
      </w:pPr>
      <w:r>
        <w:rPr>
          <w:rFonts w:hint="eastAsia"/>
          <w:sz w:val="24"/>
        </w:rPr>
        <w:t>（</w:t>
      </w:r>
      <w:r>
        <w:rPr>
          <w:rFonts w:hint="eastAsia"/>
          <w:sz w:val="24"/>
          <w:lang w:val="en-US"/>
        </w:rPr>
        <w:t>2</w:t>
      </w:r>
      <w:r>
        <w:rPr>
          <w:rFonts w:hint="eastAsia"/>
          <w:sz w:val="24"/>
        </w:rPr>
        <w:t>）招标文件明显以不合理条件对供应商实行差别待遇或者歧视待遇的；</w:t>
      </w:r>
    </w:p>
    <w:p>
      <w:pPr>
        <w:pStyle w:val="41"/>
        <w:tabs>
          <w:tab w:val="left" w:pos="1120"/>
        </w:tabs>
        <w:spacing w:line="360" w:lineRule="auto"/>
        <w:ind w:left="0" w:firstLine="476" w:firstLineChars="200"/>
        <w:rPr>
          <w:sz w:val="24"/>
        </w:rPr>
      </w:pPr>
      <w:r>
        <w:rPr>
          <w:rFonts w:hint="eastAsia"/>
          <w:spacing w:val="-1"/>
          <w:sz w:val="24"/>
        </w:rPr>
        <w:t>（</w:t>
      </w:r>
      <w:r>
        <w:rPr>
          <w:rFonts w:hint="eastAsia"/>
          <w:spacing w:val="-1"/>
          <w:sz w:val="24"/>
          <w:lang w:val="en-US"/>
        </w:rPr>
        <w:t>3</w:t>
      </w:r>
      <w:r>
        <w:rPr>
          <w:rFonts w:hint="eastAsia"/>
          <w:spacing w:val="-1"/>
          <w:sz w:val="24"/>
        </w:rPr>
        <w:t>）采购项目属于国家规定的优先、强制采购范围，但是招标文件未依法体现优先、强</w:t>
      </w:r>
      <w:r>
        <w:rPr>
          <w:rFonts w:hint="eastAsia"/>
          <w:sz w:val="24"/>
        </w:rPr>
        <w:t>制采购相关规定的；</w:t>
      </w:r>
    </w:p>
    <w:p>
      <w:pPr>
        <w:pStyle w:val="41"/>
        <w:tabs>
          <w:tab w:val="left" w:pos="1120"/>
        </w:tabs>
        <w:spacing w:line="360" w:lineRule="auto"/>
        <w:ind w:left="0" w:firstLine="476" w:firstLineChars="200"/>
        <w:rPr>
          <w:sz w:val="24"/>
        </w:rPr>
      </w:pPr>
      <w:r>
        <w:rPr>
          <w:rFonts w:hint="eastAsia"/>
          <w:spacing w:val="-1"/>
          <w:sz w:val="24"/>
        </w:rPr>
        <w:t>（</w:t>
      </w:r>
      <w:r>
        <w:rPr>
          <w:rFonts w:hint="eastAsia"/>
          <w:spacing w:val="-1"/>
          <w:sz w:val="24"/>
          <w:lang w:val="en-US"/>
        </w:rPr>
        <w:t>4</w:t>
      </w:r>
      <w:r>
        <w:rPr>
          <w:rFonts w:hint="eastAsia"/>
          <w:spacing w:val="-1"/>
          <w:sz w:val="24"/>
        </w:rPr>
        <w:t>）采购项目属于政府采购促进中小企业发展的范围，但是招标文件未依法体现促进中</w:t>
      </w:r>
      <w:r>
        <w:rPr>
          <w:rFonts w:hint="eastAsia"/>
          <w:sz w:val="24"/>
        </w:rPr>
        <w:t>小企业发展相关规定的；</w:t>
      </w:r>
    </w:p>
    <w:p>
      <w:pPr>
        <w:pStyle w:val="41"/>
        <w:tabs>
          <w:tab w:val="left" w:pos="1120"/>
        </w:tabs>
        <w:spacing w:line="360" w:lineRule="auto"/>
        <w:ind w:left="0" w:firstLine="476" w:firstLineChars="200"/>
        <w:rPr>
          <w:sz w:val="24"/>
        </w:rPr>
      </w:pPr>
      <w:r>
        <w:rPr>
          <w:rFonts w:hint="eastAsia"/>
          <w:spacing w:val="-1"/>
          <w:sz w:val="24"/>
        </w:rPr>
        <w:t>（</w:t>
      </w:r>
      <w:r>
        <w:rPr>
          <w:rFonts w:hint="eastAsia"/>
          <w:spacing w:val="-1"/>
          <w:sz w:val="24"/>
          <w:lang w:val="en-US"/>
        </w:rPr>
        <w:t>5</w:t>
      </w:r>
      <w:r>
        <w:rPr>
          <w:rFonts w:hint="eastAsia"/>
          <w:spacing w:val="-1"/>
          <w:sz w:val="24"/>
        </w:rPr>
        <w:t>）招标文件规定的评标方法是综合评分法、最低评标价法之外的评标方法，或者虽然</w:t>
      </w:r>
      <w:r>
        <w:rPr>
          <w:rFonts w:hint="eastAsia"/>
          <w:sz w:val="24"/>
        </w:rPr>
        <w:t>名称为综合评分法、最低评标价法，但实际上不符合国家规定；</w:t>
      </w:r>
    </w:p>
    <w:p>
      <w:pPr>
        <w:pStyle w:val="41"/>
        <w:tabs>
          <w:tab w:val="left" w:pos="1120"/>
        </w:tabs>
        <w:spacing w:line="360" w:lineRule="auto"/>
        <w:ind w:left="0" w:firstLineChars="200"/>
        <w:rPr>
          <w:sz w:val="24"/>
        </w:rPr>
      </w:pPr>
      <w:r>
        <w:rPr>
          <w:rFonts w:hint="eastAsia"/>
          <w:sz w:val="24"/>
        </w:rPr>
        <w:t>（</w:t>
      </w:r>
      <w:r>
        <w:rPr>
          <w:rFonts w:hint="eastAsia"/>
          <w:sz w:val="24"/>
          <w:lang w:val="en-US"/>
        </w:rPr>
        <w:t>6</w:t>
      </w:r>
      <w:r>
        <w:rPr>
          <w:rFonts w:hint="eastAsia"/>
          <w:sz w:val="24"/>
        </w:rPr>
        <w:t>）招标文件将供应商的资格条件列为评分因素的；</w:t>
      </w:r>
    </w:p>
    <w:p>
      <w:pPr>
        <w:pStyle w:val="41"/>
        <w:tabs>
          <w:tab w:val="left" w:pos="1120"/>
        </w:tabs>
        <w:spacing w:line="360" w:lineRule="auto"/>
        <w:ind w:left="0" w:firstLineChars="200"/>
        <w:rPr>
          <w:sz w:val="24"/>
        </w:rPr>
      </w:pPr>
      <w:r>
        <w:rPr>
          <w:rFonts w:hint="eastAsia"/>
          <w:sz w:val="24"/>
        </w:rPr>
        <w:t>（</w:t>
      </w:r>
      <w:r>
        <w:rPr>
          <w:rFonts w:hint="eastAsia"/>
          <w:sz w:val="24"/>
          <w:lang w:val="en-US"/>
        </w:rPr>
        <w:t>7</w:t>
      </w:r>
      <w:r>
        <w:rPr>
          <w:rFonts w:hint="eastAsia"/>
          <w:sz w:val="24"/>
        </w:rPr>
        <w:t>）招标文件有违反国家其他有关强制性规定的情形。</w:t>
      </w:r>
    </w:p>
    <w:p>
      <w:pPr>
        <w:pStyle w:val="41"/>
        <w:tabs>
          <w:tab w:val="left" w:pos="1120"/>
        </w:tabs>
        <w:spacing w:line="360" w:lineRule="auto"/>
        <w:ind w:left="0" w:firstLine="464" w:firstLineChars="200"/>
        <w:rPr>
          <w:sz w:val="24"/>
        </w:rPr>
      </w:pPr>
      <w:r>
        <w:rPr>
          <w:rFonts w:hint="eastAsia"/>
          <w:spacing w:val="-4"/>
          <w:sz w:val="24"/>
          <w:lang w:val="en-US"/>
        </w:rPr>
        <w:t>1.3</w:t>
      </w:r>
      <w:r>
        <w:rPr>
          <w:rFonts w:hint="eastAsia"/>
          <w:spacing w:val="-4"/>
          <w:sz w:val="24"/>
        </w:rPr>
        <w:t>评标委员会发现招标文件存在歧义、重大缺陷导致评标工作无法进行，或者招标文</w:t>
      </w:r>
      <w:r>
        <w:rPr>
          <w:rFonts w:hint="eastAsia"/>
          <w:spacing w:val="-6"/>
          <w:sz w:val="24"/>
        </w:rPr>
        <w:t>件内容违反国家有关强制性规定的，应当停止评标工作，与采购人或者采购代理机构沟通并作</w:t>
      </w:r>
      <w:r>
        <w:rPr>
          <w:rFonts w:hint="eastAsia"/>
          <w:spacing w:val="-10"/>
          <w:sz w:val="24"/>
        </w:rPr>
        <w:t>书面记录。除本条规定和评标中因评标委员会成员缺席、回避或者健康等特殊原因导致评标委</w:t>
      </w:r>
      <w:r>
        <w:rPr>
          <w:rFonts w:hint="eastAsia"/>
          <w:spacing w:val="-6"/>
          <w:sz w:val="24"/>
        </w:rPr>
        <w:t>员会组成不符合规定且无法及时补足的情形外，评标委员会成员不得以任何方式和理由停止评</w:t>
      </w:r>
      <w:r>
        <w:rPr>
          <w:rFonts w:hint="eastAsia"/>
          <w:sz w:val="24"/>
        </w:rPr>
        <w:t>标。</w:t>
      </w:r>
    </w:p>
    <w:p>
      <w:pPr>
        <w:pStyle w:val="41"/>
        <w:tabs>
          <w:tab w:val="left" w:pos="1120"/>
        </w:tabs>
        <w:spacing w:line="360" w:lineRule="auto"/>
        <w:ind w:left="0" w:firstLineChars="200"/>
        <w:rPr>
          <w:sz w:val="24"/>
        </w:rPr>
      </w:pPr>
      <w:r>
        <w:rPr>
          <w:rFonts w:hint="eastAsia"/>
          <w:sz w:val="24"/>
          <w:lang w:val="en-US"/>
        </w:rPr>
        <w:t>2、</w:t>
      </w:r>
      <w:r>
        <w:rPr>
          <w:rFonts w:hint="eastAsia"/>
          <w:sz w:val="24"/>
        </w:rPr>
        <w:t>资格性检查。</w:t>
      </w:r>
    </w:p>
    <w:p>
      <w:pPr>
        <w:pStyle w:val="41"/>
        <w:tabs>
          <w:tab w:val="left" w:pos="1360"/>
        </w:tabs>
        <w:spacing w:line="360" w:lineRule="auto"/>
        <w:ind w:left="0" w:firstLine="456" w:firstLineChars="200"/>
        <w:rPr>
          <w:sz w:val="24"/>
        </w:rPr>
      </w:pPr>
      <w:r>
        <w:rPr>
          <w:rFonts w:hint="eastAsia"/>
          <w:spacing w:val="-6"/>
          <w:sz w:val="24"/>
          <w:lang w:val="en-US"/>
        </w:rPr>
        <w:t>2.1</w:t>
      </w:r>
      <w:r>
        <w:rPr>
          <w:rFonts w:hint="eastAsia"/>
          <w:spacing w:val="-6"/>
          <w:sz w:val="24"/>
        </w:rPr>
        <w:t>开标结束后，采购人或者采购代理机构应依据法律法规和本招标文件的规定，对投标文件是否按照规定要求提供资格性证明材料、是否按照规定交纳投标保证金、是否属于禁止</w:t>
      </w:r>
      <w:r>
        <w:rPr>
          <w:rFonts w:hint="eastAsia"/>
          <w:sz w:val="24"/>
        </w:rPr>
        <w:t>参加投标的供应商等进行审查，以确定供应商是否具备投标资格。</w:t>
      </w:r>
    </w:p>
    <w:p>
      <w:pPr>
        <w:pStyle w:val="41"/>
        <w:tabs>
          <w:tab w:val="left" w:pos="1420"/>
        </w:tabs>
        <w:spacing w:line="360" w:lineRule="auto"/>
        <w:ind w:left="0" w:firstLine="444" w:firstLineChars="200"/>
        <w:rPr>
          <w:sz w:val="24"/>
        </w:rPr>
      </w:pPr>
      <w:r>
        <w:rPr>
          <w:rFonts w:hint="eastAsia"/>
          <w:spacing w:val="-9"/>
          <w:sz w:val="24"/>
          <w:lang w:val="en-US"/>
        </w:rPr>
        <w:t>2.2</w:t>
      </w:r>
      <w:r>
        <w:rPr>
          <w:rFonts w:hint="eastAsia"/>
          <w:spacing w:val="-9"/>
          <w:sz w:val="24"/>
        </w:rPr>
        <w:t>资格审查结束后，采购人或者采购代理机构应及时对资格性审查结果进行复核，对</w:t>
      </w:r>
      <w:r>
        <w:rPr>
          <w:rFonts w:hint="eastAsia"/>
          <w:sz w:val="24"/>
        </w:rPr>
        <w:t>资格性审查错误进行及时纠正并记录。</w:t>
      </w:r>
    </w:p>
    <w:p>
      <w:pPr>
        <w:pStyle w:val="41"/>
        <w:tabs>
          <w:tab w:val="left" w:pos="1120"/>
        </w:tabs>
        <w:spacing w:line="360" w:lineRule="auto"/>
        <w:ind w:left="0" w:firstLineChars="200"/>
        <w:rPr>
          <w:sz w:val="24"/>
        </w:rPr>
      </w:pPr>
      <w:r>
        <w:rPr>
          <w:rFonts w:hint="eastAsia"/>
          <w:sz w:val="24"/>
          <w:lang w:val="en-US"/>
        </w:rPr>
        <w:t>3、</w:t>
      </w:r>
      <w:r>
        <w:rPr>
          <w:rFonts w:hint="eastAsia"/>
          <w:sz w:val="24"/>
        </w:rPr>
        <w:t>符合性检查。</w:t>
      </w:r>
    </w:p>
    <w:p>
      <w:pPr>
        <w:pStyle w:val="41"/>
        <w:tabs>
          <w:tab w:val="left" w:pos="1360"/>
        </w:tabs>
        <w:spacing w:line="360" w:lineRule="auto"/>
        <w:ind w:left="0" w:firstLine="468" w:firstLineChars="200"/>
        <w:rPr>
          <w:sz w:val="24"/>
        </w:rPr>
      </w:pPr>
      <w:r>
        <w:rPr>
          <w:rFonts w:hint="eastAsia"/>
          <w:spacing w:val="-3"/>
          <w:sz w:val="24"/>
          <w:lang w:val="en-US"/>
        </w:rPr>
        <w:t>3.1</w:t>
      </w:r>
      <w:r>
        <w:rPr>
          <w:rFonts w:hint="eastAsia"/>
          <w:spacing w:val="-3"/>
          <w:sz w:val="24"/>
        </w:rPr>
        <w:t>评标委员会依据本招标文件的实质性要求，对符合资格的投标文件进行审查，以确</w:t>
      </w:r>
      <w:r>
        <w:rPr>
          <w:rFonts w:hint="eastAsia"/>
          <w:sz w:val="24"/>
        </w:rPr>
        <w:t>定其是否满足本招标文件的实质性要求。本项目符合性审查事项仅限于本招标文件的明确规</w:t>
      </w:r>
      <w:r>
        <w:rPr>
          <w:rFonts w:hint="eastAsia"/>
          <w:spacing w:val="-15"/>
          <w:sz w:val="24"/>
        </w:rPr>
        <w:t>定。投标文件是否满足招标文件的实质性要求，必须以本招标文件的明确规定作为依据，否则，</w:t>
      </w:r>
      <w:r>
        <w:rPr>
          <w:rFonts w:hint="eastAsia"/>
          <w:sz w:val="24"/>
        </w:rPr>
        <w:t>不能对投标文件作为无效处理，评标委员会不得臆测符合性审查事项。</w:t>
      </w:r>
    </w:p>
    <w:p>
      <w:pPr>
        <w:pStyle w:val="41"/>
        <w:tabs>
          <w:tab w:val="left" w:pos="1360"/>
        </w:tabs>
        <w:spacing w:line="360" w:lineRule="auto"/>
        <w:ind w:left="0" w:firstLine="468" w:firstLineChars="200"/>
        <w:rPr>
          <w:sz w:val="24"/>
        </w:rPr>
      </w:pPr>
      <w:r>
        <w:rPr>
          <w:rFonts w:hint="eastAsia"/>
          <w:spacing w:val="-3"/>
          <w:sz w:val="24"/>
          <w:lang w:val="en-US"/>
        </w:rPr>
        <w:t>3.2</w:t>
      </w:r>
      <w:r>
        <w:rPr>
          <w:rFonts w:hint="eastAsia"/>
          <w:spacing w:val="-3"/>
          <w:sz w:val="24"/>
        </w:rPr>
        <w:t>投标文件</w:t>
      </w:r>
      <w:r>
        <w:rPr>
          <w:rFonts w:hint="eastAsia"/>
          <w:sz w:val="24"/>
        </w:rPr>
        <w:t>（包括单独递交的开标一览表</w:t>
      </w:r>
      <w:r>
        <w:rPr>
          <w:rFonts w:hint="eastAsia"/>
          <w:spacing w:val="-12"/>
          <w:sz w:val="24"/>
        </w:rPr>
        <w:t>）</w:t>
      </w:r>
      <w:r>
        <w:rPr>
          <w:rFonts w:hint="eastAsia"/>
          <w:spacing w:val="-3"/>
          <w:sz w:val="24"/>
        </w:rPr>
        <w:t>有下列情形的，本项目不作为实质性要求</w:t>
      </w:r>
      <w:r>
        <w:rPr>
          <w:rFonts w:hint="eastAsia"/>
          <w:sz w:val="24"/>
        </w:rPr>
        <w:t>进行规定，即不作为符合性审查事项，不得作为无效投标处理：</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）存在个别地方（</w:t>
      </w:r>
      <w:r>
        <w:rPr>
          <w:rFonts w:hint="eastAsia"/>
          <w:spacing w:val="-13"/>
          <w:sz w:val="24"/>
        </w:rPr>
        <w:t xml:space="preserve">不超过 </w:t>
      </w:r>
      <w:r>
        <w:rPr>
          <w:rFonts w:hint="eastAsia"/>
          <w:sz w:val="24"/>
        </w:rPr>
        <w:t>2</w:t>
      </w:r>
      <w:r>
        <w:rPr>
          <w:rFonts w:hint="eastAsia"/>
          <w:spacing w:val="-27"/>
          <w:sz w:val="24"/>
        </w:rPr>
        <w:t xml:space="preserve"> 个</w:t>
      </w:r>
      <w:r>
        <w:rPr>
          <w:rFonts w:hint="eastAsia"/>
          <w:sz w:val="24"/>
        </w:rPr>
        <w:t>）</w:t>
      </w:r>
      <w:r>
        <w:rPr>
          <w:rFonts w:hint="eastAsia"/>
          <w:spacing w:val="-1"/>
          <w:sz w:val="24"/>
        </w:rPr>
        <w:t>没有法定代表人签字，但有法定代表人的私人印章或</w:t>
      </w:r>
      <w:r>
        <w:rPr>
          <w:rFonts w:hint="eastAsia"/>
          <w:sz w:val="24"/>
        </w:rPr>
        <w:t>者授权代理人签字的；</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）除招标文件明确要求加盖单位(法人)公章的以外，其他地方以相关专用章加盖的；</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）以骑缝章的形式代替投标文件内容逐页盖章的（</w:t>
      </w:r>
      <w:r>
        <w:rPr>
          <w:rFonts w:hint="eastAsia"/>
          <w:spacing w:val="-1"/>
          <w:sz w:val="24"/>
        </w:rPr>
        <w:t>但是骑缝章模糊不清，印章名称无</w:t>
      </w:r>
      <w:r>
        <w:rPr>
          <w:rFonts w:hint="eastAsia"/>
          <w:sz w:val="24"/>
        </w:rPr>
        <w:t>法辨认的除外）；</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）其他不影响采购项目实质性要求的情形。</w:t>
      </w:r>
    </w:p>
    <w:p>
      <w:pPr>
        <w:pStyle w:val="41"/>
        <w:tabs>
          <w:tab w:val="left" w:pos="1360"/>
        </w:tabs>
        <w:spacing w:line="360" w:lineRule="auto"/>
        <w:ind w:left="0" w:firstLine="464" w:firstLineChars="200"/>
        <w:rPr>
          <w:sz w:val="24"/>
        </w:rPr>
      </w:pPr>
      <w:r>
        <w:rPr>
          <w:rFonts w:hint="eastAsia"/>
          <w:spacing w:val="-4"/>
          <w:sz w:val="24"/>
          <w:lang w:val="en-US"/>
        </w:rPr>
        <w:t>3.3</w:t>
      </w:r>
      <w:r>
        <w:rPr>
          <w:rFonts w:hint="eastAsia"/>
          <w:spacing w:val="-4"/>
          <w:sz w:val="24"/>
        </w:rPr>
        <w:t>除政府采购法律制度规定的情形外，本项目供应商或者其投标文件有下列情形之一</w:t>
      </w:r>
      <w:r>
        <w:rPr>
          <w:rFonts w:hint="eastAsia"/>
          <w:sz w:val="24"/>
        </w:rPr>
        <w:t>的，作为无效投标处理：</w:t>
      </w:r>
    </w:p>
    <w:p>
      <w:pPr>
        <w:pStyle w:val="41"/>
        <w:tabs>
          <w:tab w:val="left" w:pos="1360"/>
        </w:tabs>
        <w:spacing w:line="360" w:lineRule="auto"/>
        <w:ind w:left="0" w:firstLineChars="200"/>
        <w:rPr>
          <w:sz w:val="24"/>
        </w:rPr>
      </w:pPr>
      <w:r>
        <w:rPr>
          <w:rFonts w:hint="eastAsia"/>
          <w:sz w:val="24"/>
          <w:lang w:val="en-US"/>
        </w:rPr>
        <w:t>3.3.1</w:t>
      </w:r>
      <w:r>
        <w:rPr>
          <w:rFonts w:hint="eastAsia"/>
          <w:sz w:val="24"/>
        </w:rPr>
        <w:t>资格性审查阶段</w:t>
      </w:r>
    </w:p>
    <w:p>
      <w:pPr>
        <w:pStyle w:val="41"/>
        <w:tabs>
          <w:tab w:val="left" w:pos="1360"/>
        </w:tabs>
        <w:spacing w:line="360" w:lineRule="auto"/>
        <w:ind w:left="0" w:firstLineChars="200"/>
        <w:rPr>
          <w:sz w:val="24"/>
        </w:rPr>
      </w:pPr>
      <w:r>
        <w:rPr>
          <w:rFonts w:hint="eastAsia"/>
          <w:sz w:val="24"/>
          <w:lang w:val="en-US"/>
        </w:rPr>
        <w:t>3.3.1.1</w:t>
      </w:r>
      <w:r>
        <w:rPr>
          <w:rFonts w:hint="eastAsia"/>
          <w:sz w:val="24"/>
        </w:rPr>
        <w:t>按照招标文件规定应交未交或未按要求交纳投标保证金的；</w:t>
      </w:r>
    </w:p>
    <w:p>
      <w:pPr>
        <w:pStyle w:val="41"/>
        <w:tabs>
          <w:tab w:val="left" w:pos="1360"/>
        </w:tabs>
        <w:spacing w:line="360" w:lineRule="auto"/>
        <w:ind w:left="0" w:firstLineChars="200"/>
        <w:rPr>
          <w:sz w:val="24"/>
        </w:rPr>
      </w:pPr>
      <w:r>
        <w:rPr>
          <w:rFonts w:hint="eastAsia"/>
          <w:sz w:val="24"/>
          <w:lang w:val="en-US"/>
        </w:rPr>
        <w:t>3.3.1.2</w:t>
      </w:r>
      <w:r>
        <w:rPr>
          <w:rFonts w:hint="eastAsia"/>
          <w:sz w:val="24"/>
        </w:rPr>
        <w:t>属于禁止参加投标的</w:t>
      </w:r>
      <w:r>
        <w:rPr>
          <w:rFonts w:hint="eastAsia"/>
          <w:sz w:val="24"/>
          <w:lang w:val="en-US"/>
        </w:rPr>
        <w:t>供应商</w:t>
      </w:r>
      <w:r>
        <w:rPr>
          <w:rFonts w:hint="eastAsia"/>
          <w:sz w:val="24"/>
        </w:rPr>
        <w:t>的；</w:t>
      </w:r>
    </w:p>
    <w:p>
      <w:pPr>
        <w:pStyle w:val="41"/>
        <w:tabs>
          <w:tab w:val="left" w:pos="1360"/>
        </w:tabs>
        <w:spacing w:line="360" w:lineRule="auto"/>
        <w:ind w:left="0" w:firstLineChars="200"/>
        <w:rPr>
          <w:sz w:val="24"/>
        </w:rPr>
      </w:pPr>
      <w:r>
        <w:rPr>
          <w:rFonts w:hint="eastAsia"/>
          <w:sz w:val="24"/>
          <w:lang w:val="en-US"/>
        </w:rPr>
        <w:t>3.3.1.3</w:t>
      </w:r>
      <w:r>
        <w:rPr>
          <w:rFonts w:hint="eastAsia"/>
          <w:spacing w:val="-1"/>
          <w:sz w:val="24"/>
        </w:rPr>
        <w:t>供应商、投标产品的资格资质条件及提供的证明材料等未满足招标文件第五章“供应商</w:t>
      </w:r>
      <w:r>
        <w:rPr>
          <w:rFonts w:hint="eastAsia"/>
          <w:sz w:val="24"/>
          <w:lang w:val="en-US"/>
        </w:rPr>
        <w:t>应当提供的</w:t>
      </w:r>
      <w:r>
        <w:rPr>
          <w:rFonts w:hint="eastAsia"/>
          <w:sz w:val="24"/>
        </w:rPr>
        <w:t>资格、资质性</w:t>
      </w:r>
      <w:r>
        <w:rPr>
          <w:rFonts w:hint="eastAsia"/>
          <w:sz w:val="24"/>
          <w:lang w:val="en-US"/>
        </w:rPr>
        <w:t>及</w:t>
      </w:r>
      <w:r>
        <w:rPr>
          <w:rFonts w:hint="eastAsia"/>
          <w:sz w:val="24"/>
        </w:rPr>
        <w:t>其他类似效力要求</w:t>
      </w:r>
      <w:r>
        <w:rPr>
          <w:rFonts w:hint="eastAsia"/>
          <w:sz w:val="24"/>
          <w:lang w:val="en-US"/>
        </w:rPr>
        <w:t>的</w:t>
      </w:r>
      <w:r>
        <w:rPr>
          <w:rFonts w:hint="eastAsia"/>
          <w:sz w:val="24"/>
        </w:rPr>
        <w:t>相关证明材料”的；</w:t>
      </w:r>
    </w:p>
    <w:p>
      <w:pPr>
        <w:pStyle w:val="41"/>
        <w:tabs>
          <w:tab w:val="left" w:pos="1360"/>
        </w:tabs>
        <w:spacing w:line="360" w:lineRule="auto"/>
        <w:ind w:left="0" w:firstLineChars="200"/>
        <w:rPr>
          <w:sz w:val="24"/>
        </w:rPr>
      </w:pPr>
      <w:r>
        <w:rPr>
          <w:rFonts w:hint="eastAsia"/>
          <w:sz w:val="24"/>
          <w:lang w:val="en-US"/>
        </w:rPr>
        <w:t>3.3.1.4</w:t>
      </w:r>
      <w:r>
        <w:rPr>
          <w:rFonts w:hint="eastAsia"/>
          <w:spacing w:val="-3"/>
          <w:sz w:val="24"/>
        </w:rPr>
        <w:t xml:space="preserve">未满足招标文件第二章供应商须知总则第 </w:t>
      </w:r>
      <w:r>
        <w:rPr>
          <w:rFonts w:hint="eastAsia"/>
          <w:sz w:val="24"/>
        </w:rPr>
        <w:t>5</w:t>
      </w:r>
      <w:r>
        <w:rPr>
          <w:rFonts w:hint="eastAsia"/>
          <w:spacing w:val="-9"/>
          <w:sz w:val="24"/>
        </w:rPr>
        <w:t xml:space="preserve"> 款中“充分、公平竞争保障措施”要</w:t>
      </w:r>
      <w:r>
        <w:rPr>
          <w:rFonts w:hint="eastAsia"/>
          <w:sz w:val="24"/>
        </w:rPr>
        <w:t>求的；</w:t>
      </w:r>
    </w:p>
    <w:p>
      <w:pPr>
        <w:pStyle w:val="41"/>
        <w:tabs>
          <w:tab w:val="left" w:pos="1360"/>
        </w:tabs>
        <w:spacing w:line="360" w:lineRule="auto"/>
        <w:ind w:left="0" w:firstLineChars="200"/>
        <w:rPr>
          <w:sz w:val="24"/>
        </w:rPr>
      </w:pPr>
      <w:r>
        <w:rPr>
          <w:rFonts w:hint="eastAsia"/>
          <w:sz w:val="24"/>
          <w:lang w:val="en-US"/>
        </w:rPr>
        <w:t>3.3.1.5</w:t>
      </w:r>
      <w:r>
        <w:rPr>
          <w:rFonts w:hint="eastAsia"/>
          <w:spacing w:val="-1"/>
          <w:sz w:val="24"/>
        </w:rPr>
        <w:t>不符合法律、法规、规章规定的资格性要求的。</w:t>
      </w:r>
    </w:p>
    <w:p>
      <w:pPr>
        <w:pStyle w:val="41"/>
        <w:tabs>
          <w:tab w:val="left" w:pos="1301"/>
        </w:tabs>
        <w:spacing w:line="360" w:lineRule="auto"/>
        <w:ind w:left="0" w:firstLineChars="200"/>
        <w:rPr>
          <w:sz w:val="24"/>
        </w:rPr>
      </w:pPr>
      <w:r>
        <w:rPr>
          <w:rFonts w:hint="eastAsia"/>
          <w:sz w:val="24"/>
          <w:lang w:val="en-US"/>
        </w:rPr>
        <w:t>3.3.2</w:t>
      </w:r>
      <w:r>
        <w:rPr>
          <w:rFonts w:hint="eastAsia"/>
          <w:sz w:val="24"/>
        </w:rPr>
        <w:t>符合性审查阶段</w:t>
      </w:r>
    </w:p>
    <w:p>
      <w:pPr>
        <w:pStyle w:val="41"/>
        <w:tabs>
          <w:tab w:val="left" w:pos="1301"/>
        </w:tabs>
        <w:spacing w:line="360" w:lineRule="auto"/>
        <w:ind w:left="0" w:firstLineChars="200"/>
        <w:rPr>
          <w:sz w:val="24"/>
        </w:rPr>
      </w:pPr>
      <w:r>
        <w:rPr>
          <w:rFonts w:hint="eastAsia"/>
          <w:sz w:val="24"/>
          <w:lang w:val="en-US"/>
        </w:rPr>
        <w:t>3.3.2.1</w:t>
      </w:r>
      <w:r>
        <w:rPr>
          <w:rFonts w:hint="eastAsia"/>
          <w:sz w:val="24"/>
        </w:rPr>
        <w:t>投标报价超过招标文件规定的预算金额或者最高限价；</w:t>
      </w:r>
    </w:p>
    <w:p>
      <w:pPr>
        <w:pStyle w:val="41"/>
        <w:tabs>
          <w:tab w:val="left" w:pos="1301"/>
        </w:tabs>
        <w:spacing w:line="360" w:lineRule="auto"/>
        <w:ind w:left="0" w:firstLineChars="200"/>
        <w:rPr>
          <w:sz w:val="24"/>
        </w:rPr>
      </w:pPr>
      <w:r>
        <w:rPr>
          <w:rFonts w:hint="eastAsia"/>
          <w:sz w:val="24"/>
          <w:lang w:val="en-US"/>
        </w:rPr>
        <w:t>3.3.2.2</w:t>
      </w:r>
      <w:r>
        <w:rPr>
          <w:rFonts w:hint="eastAsia"/>
          <w:sz w:val="24"/>
        </w:rPr>
        <w:t>未按照招标文件规定要求制作（如投标文件中附有外文资料，没有对应翻译成中文</w:t>
      </w:r>
      <w:r>
        <w:rPr>
          <w:rFonts w:hint="eastAsia"/>
          <w:spacing w:val="-3"/>
          <w:sz w:val="24"/>
        </w:rPr>
        <w:t>或故意错误翻译的；制作为活页</w:t>
      </w:r>
      <w:r>
        <w:rPr>
          <w:rFonts w:hint="eastAsia"/>
          <w:spacing w:val="-20"/>
          <w:sz w:val="24"/>
        </w:rPr>
        <w:t>）</w:t>
      </w:r>
      <w:r>
        <w:rPr>
          <w:rFonts w:hint="eastAsia"/>
          <w:spacing w:val="-10"/>
          <w:sz w:val="24"/>
        </w:rPr>
        <w:t>、签署、盖章的</w:t>
      </w:r>
      <w:r>
        <w:rPr>
          <w:rFonts w:hint="eastAsia"/>
          <w:spacing w:val="-3"/>
          <w:sz w:val="24"/>
        </w:rPr>
        <w:t>（</w:t>
      </w:r>
      <w:r>
        <w:rPr>
          <w:rFonts w:hint="eastAsia"/>
          <w:spacing w:val="-1"/>
          <w:sz w:val="24"/>
        </w:rPr>
        <w:t>有招标文件评标程序中所列评定为不影响</w:t>
      </w:r>
      <w:r>
        <w:rPr>
          <w:rFonts w:hint="eastAsia"/>
          <w:sz w:val="24"/>
        </w:rPr>
        <w:t>整个投标文件有效性和采购活动公平竞争下列情形的除外）；</w:t>
      </w:r>
    </w:p>
    <w:p>
      <w:pPr>
        <w:pStyle w:val="41"/>
        <w:tabs>
          <w:tab w:val="left" w:pos="1301"/>
        </w:tabs>
        <w:spacing w:line="360" w:lineRule="auto"/>
        <w:ind w:left="0" w:firstLineChars="200"/>
        <w:rPr>
          <w:sz w:val="24"/>
        </w:rPr>
      </w:pPr>
      <w:r>
        <w:rPr>
          <w:rFonts w:hint="eastAsia"/>
          <w:sz w:val="24"/>
          <w:lang w:val="en-US"/>
        </w:rPr>
        <w:t>3.3.2.3</w:t>
      </w:r>
      <w:r>
        <w:rPr>
          <w:rFonts w:hint="eastAsia"/>
          <w:sz w:val="24"/>
        </w:rPr>
        <w:t>投标文件组成明显不符合招标文件的规定要求，影响评标委员会评判的；</w:t>
      </w:r>
    </w:p>
    <w:p>
      <w:pPr>
        <w:pStyle w:val="41"/>
        <w:tabs>
          <w:tab w:val="left" w:pos="1301"/>
        </w:tabs>
        <w:spacing w:line="360" w:lineRule="auto"/>
        <w:ind w:left="0" w:firstLineChars="200"/>
        <w:rPr>
          <w:sz w:val="24"/>
        </w:rPr>
      </w:pPr>
      <w:r>
        <w:rPr>
          <w:rFonts w:hint="eastAsia"/>
          <w:sz w:val="24"/>
          <w:lang w:val="en-US"/>
        </w:rPr>
        <w:t>3.3.2.4</w:t>
      </w:r>
      <w:r>
        <w:rPr>
          <w:rFonts w:hint="eastAsia"/>
          <w:spacing w:val="-2"/>
          <w:sz w:val="24"/>
        </w:rPr>
        <w:t>投标文件的格式、语言、计量单位、报价货币、知识产权、投标有效期、投标函、</w:t>
      </w:r>
      <w:r>
        <w:rPr>
          <w:rFonts w:hint="eastAsia"/>
          <w:sz w:val="24"/>
        </w:rPr>
        <w:t>诚信情况等不符合招标文件的规定，影响评标委员会评判的；</w:t>
      </w:r>
    </w:p>
    <w:p>
      <w:pPr>
        <w:pStyle w:val="41"/>
        <w:tabs>
          <w:tab w:val="left" w:pos="1301"/>
        </w:tabs>
        <w:spacing w:line="360" w:lineRule="auto"/>
        <w:ind w:left="0" w:firstLineChars="200"/>
        <w:rPr>
          <w:sz w:val="24"/>
        </w:rPr>
      </w:pPr>
      <w:r>
        <w:rPr>
          <w:rFonts w:hint="eastAsia"/>
          <w:sz w:val="24"/>
          <w:lang w:val="en-US"/>
        </w:rPr>
        <w:t>3.3.2.5</w:t>
      </w:r>
      <w:r>
        <w:rPr>
          <w:rFonts w:hint="eastAsia"/>
          <w:spacing w:val="-2"/>
          <w:sz w:val="24"/>
        </w:rPr>
        <w:t>招标文件有明确要求，但投标文件未载明或者载明的采购项目履约时间、方式、数</w:t>
      </w:r>
      <w:r>
        <w:rPr>
          <w:rFonts w:hint="eastAsia"/>
          <w:sz w:val="24"/>
        </w:rPr>
        <w:t>量与招标文件要求不一致的；</w:t>
      </w:r>
    </w:p>
    <w:p>
      <w:pPr>
        <w:pStyle w:val="41"/>
        <w:tabs>
          <w:tab w:val="left" w:pos="1301"/>
        </w:tabs>
        <w:spacing w:line="360" w:lineRule="auto"/>
        <w:ind w:left="0" w:firstLineChars="200"/>
        <w:rPr>
          <w:sz w:val="24"/>
        </w:rPr>
      </w:pPr>
      <w:r>
        <w:rPr>
          <w:rFonts w:hint="eastAsia"/>
          <w:sz w:val="24"/>
          <w:lang w:val="en-US"/>
        </w:rPr>
        <w:t>3.3.2.6</w:t>
      </w:r>
      <w:r>
        <w:rPr>
          <w:rFonts w:hint="eastAsia"/>
          <w:spacing w:val="-1"/>
          <w:sz w:val="24"/>
        </w:rPr>
        <w:t>串通投标的：①不同供应商的投标文件由同一单位或者个人编制；②不同供应商委</w:t>
      </w:r>
      <w:r>
        <w:rPr>
          <w:rFonts w:hint="eastAsia"/>
          <w:spacing w:val="-7"/>
          <w:sz w:val="24"/>
        </w:rPr>
        <w:t>托同一单位或者个人办理投标事宜；③不同供应商的投标文件载明的项目管理成员或者联系人</w:t>
      </w:r>
      <w:r>
        <w:rPr>
          <w:rFonts w:hint="eastAsia"/>
          <w:spacing w:val="-10"/>
          <w:sz w:val="24"/>
        </w:rPr>
        <w:t>员为同一人；④不同供应商的投标文件异常一致或者投标报价呈规律性差异；⑤不同供应商的</w:t>
      </w:r>
      <w:r>
        <w:rPr>
          <w:rFonts w:hint="eastAsia"/>
          <w:sz w:val="24"/>
        </w:rPr>
        <w:t>投标文件相互混装；⑥不同供应商的投标保证金从同一单位或者个人的账户转出。</w:t>
      </w:r>
    </w:p>
    <w:p>
      <w:pPr>
        <w:pStyle w:val="41"/>
        <w:tabs>
          <w:tab w:val="left" w:pos="1301"/>
        </w:tabs>
        <w:spacing w:line="360" w:lineRule="auto"/>
        <w:ind w:left="0" w:firstLineChars="200"/>
        <w:rPr>
          <w:sz w:val="24"/>
        </w:rPr>
      </w:pPr>
      <w:r>
        <w:rPr>
          <w:rFonts w:hint="eastAsia"/>
          <w:sz w:val="24"/>
          <w:lang w:val="en-US"/>
        </w:rPr>
        <w:t>3.3.2.7</w:t>
      </w:r>
      <w:r>
        <w:rPr>
          <w:rFonts w:hint="eastAsia"/>
          <w:sz w:val="24"/>
        </w:rPr>
        <w:t>报价低于成本价的书面说明不能证明其报价合理性的；</w:t>
      </w:r>
    </w:p>
    <w:p>
      <w:pPr>
        <w:pStyle w:val="41"/>
        <w:tabs>
          <w:tab w:val="left" w:pos="1301"/>
        </w:tabs>
        <w:spacing w:line="360" w:lineRule="auto"/>
        <w:ind w:left="0" w:firstLineChars="200"/>
        <w:rPr>
          <w:spacing w:val="-2"/>
          <w:sz w:val="24"/>
        </w:rPr>
      </w:pPr>
      <w:r>
        <w:rPr>
          <w:rFonts w:hint="eastAsia"/>
          <w:sz w:val="24"/>
          <w:lang w:val="en-US"/>
        </w:rPr>
        <w:t>3.3.2.8</w:t>
      </w:r>
      <w:r>
        <w:rPr>
          <w:rFonts w:hint="eastAsia"/>
          <w:spacing w:val="-2"/>
          <w:sz w:val="24"/>
        </w:rPr>
        <w:t>招标文件规定的其他实质性内容。</w:t>
      </w:r>
    </w:p>
    <w:p>
      <w:pPr>
        <w:pStyle w:val="41"/>
        <w:tabs>
          <w:tab w:val="left" w:pos="1301"/>
        </w:tabs>
        <w:spacing w:line="360" w:lineRule="auto"/>
        <w:ind w:left="0" w:firstLine="472" w:firstLineChars="200"/>
        <w:rPr>
          <w:sz w:val="24"/>
        </w:rPr>
      </w:pPr>
      <w:r>
        <w:rPr>
          <w:rFonts w:hint="eastAsia"/>
          <w:spacing w:val="-2"/>
          <w:sz w:val="24"/>
          <w:lang w:val="en-US"/>
        </w:rPr>
        <w:t>3.3.3</w:t>
      </w:r>
      <w:r>
        <w:rPr>
          <w:rFonts w:hint="eastAsia"/>
          <w:sz w:val="24"/>
        </w:rPr>
        <w:t>其他情形</w:t>
      </w:r>
    </w:p>
    <w:p>
      <w:pPr>
        <w:pStyle w:val="41"/>
        <w:tabs>
          <w:tab w:val="left" w:pos="1301"/>
        </w:tabs>
        <w:spacing w:line="360" w:lineRule="auto"/>
        <w:ind w:left="0" w:firstLine="472" w:firstLineChars="200"/>
        <w:rPr>
          <w:sz w:val="24"/>
        </w:rPr>
      </w:pPr>
      <w:r>
        <w:rPr>
          <w:rFonts w:hint="eastAsia"/>
          <w:spacing w:val="-2"/>
          <w:sz w:val="24"/>
          <w:lang w:val="en-US"/>
        </w:rPr>
        <w:t>3.3.3.1</w:t>
      </w:r>
      <w:r>
        <w:rPr>
          <w:rFonts w:hint="eastAsia"/>
          <w:sz w:val="24"/>
        </w:rPr>
        <w:t>供应商以他人的名义投标或出现弄虚作假投标情形；</w:t>
      </w:r>
    </w:p>
    <w:p>
      <w:pPr>
        <w:pStyle w:val="41"/>
        <w:tabs>
          <w:tab w:val="left" w:pos="1301"/>
        </w:tabs>
        <w:spacing w:line="360" w:lineRule="auto"/>
        <w:ind w:left="0" w:firstLine="472" w:firstLineChars="200"/>
        <w:rPr>
          <w:sz w:val="24"/>
        </w:rPr>
      </w:pPr>
      <w:r>
        <w:rPr>
          <w:rFonts w:hint="eastAsia"/>
          <w:spacing w:val="-2"/>
          <w:sz w:val="24"/>
          <w:lang w:val="en-US"/>
        </w:rPr>
        <w:t>3.3.3.2</w:t>
      </w:r>
      <w:r>
        <w:rPr>
          <w:rFonts w:hint="eastAsia"/>
          <w:sz w:val="24"/>
        </w:rPr>
        <w:t>法律、法规规定的其他情形。</w:t>
      </w:r>
    </w:p>
    <w:p>
      <w:pPr>
        <w:pStyle w:val="41"/>
        <w:tabs>
          <w:tab w:val="left" w:pos="1301"/>
        </w:tabs>
        <w:spacing w:line="360" w:lineRule="auto"/>
        <w:ind w:left="0" w:firstLine="456" w:firstLineChars="200"/>
        <w:rPr>
          <w:sz w:val="24"/>
        </w:rPr>
      </w:pPr>
      <w:r>
        <w:rPr>
          <w:rFonts w:hint="eastAsia"/>
          <w:spacing w:val="-6"/>
          <w:sz w:val="24"/>
          <w:lang w:val="en-US"/>
        </w:rPr>
        <w:t>4、</w:t>
      </w:r>
      <w:r>
        <w:rPr>
          <w:rFonts w:hint="eastAsia"/>
          <w:spacing w:val="-6"/>
          <w:sz w:val="24"/>
        </w:rPr>
        <w:t>比较与评价。按招标文件中规定的评标方法和标准，对未作无效投标处理的投标文件</w:t>
      </w:r>
      <w:r>
        <w:rPr>
          <w:rFonts w:hint="eastAsia"/>
          <w:sz w:val="24"/>
        </w:rPr>
        <w:t>进行技术、服务、商务等方面评估，综合比较与评价。</w:t>
      </w:r>
    </w:p>
    <w:p>
      <w:pPr>
        <w:pStyle w:val="41"/>
        <w:tabs>
          <w:tab w:val="left" w:pos="1301"/>
        </w:tabs>
        <w:spacing w:line="360" w:lineRule="auto"/>
        <w:ind w:left="0" w:firstLine="456" w:firstLineChars="200"/>
        <w:rPr>
          <w:sz w:val="24"/>
        </w:rPr>
      </w:pPr>
      <w:r>
        <w:rPr>
          <w:rFonts w:hint="eastAsia"/>
          <w:spacing w:val="-6"/>
          <w:sz w:val="24"/>
          <w:lang w:val="en-US"/>
        </w:rPr>
        <w:t>5、</w:t>
      </w:r>
      <w:r>
        <w:rPr>
          <w:rFonts w:hint="eastAsia"/>
          <w:spacing w:val="-6"/>
          <w:sz w:val="24"/>
        </w:rPr>
        <w:t>复核。评分汇总结束后，评标委员会应当进行复核，特别要对拟推荐为中标候选</w:t>
      </w:r>
      <w:r>
        <w:rPr>
          <w:rFonts w:hint="eastAsia"/>
          <w:spacing w:val="-6"/>
          <w:sz w:val="24"/>
          <w:lang w:val="en-US"/>
        </w:rPr>
        <w:t>人</w:t>
      </w:r>
      <w:r>
        <w:rPr>
          <w:rFonts w:hint="eastAsia"/>
          <w:sz w:val="24"/>
        </w:rPr>
        <w:t>的、报价最低的、投标文件被认定为无效的进行重点复核。</w:t>
      </w:r>
    </w:p>
    <w:p>
      <w:pPr>
        <w:pStyle w:val="41"/>
        <w:tabs>
          <w:tab w:val="left" w:pos="1301"/>
        </w:tabs>
        <w:spacing w:line="360" w:lineRule="auto"/>
        <w:ind w:left="0" w:firstLine="400" w:firstLineChars="200"/>
        <w:rPr>
          <w:sz w:val="24"/>
        </w:rPr>
      </w:pPr>
      <w:r>
        <w:rPr>
          <w:rFonts w:hint="eastAsia"/>
          <w:spacing w:val="-20"/>
          <w:sz w:val="24"/>
          <w:lang w:val="en-US"/>
        </w:rPr>
        <w:t>6、</w:t>
      </w:r>
      <w:r>
        <w:rPr>
          <w:rFonts w:hint="eastAsia"/>
          <w:spacing w:val="-20"/>
          <w:sz w:val="24"/>
        </w:rPr>
        <w:t xml:space="preserve">推荐 </w:t>
      </w:r>
      <w:r>
        <w:rPr>
          <w:rFonts w:hint="eastAsia"/>
          <w:sz w:val="24"/>
        </w:rPr>
        <w:t>1-3</w:t>
      </w:r>
      <w:r>
        <w:rPr>
          <w:rFonts w:hint="eastAsia"/>
          <w:spacing w:val="-12"/>
          <w:sz w:val="24"/>
        </w:rPr>
        <w:t xml:space="preserve"> 名中标候选</w:t>
      </w:r>
      <w:r>
        <w:rPr>
          <w:rFonts w:hint="eastAsia"/>
          <w:spacing w:val="-12"/>
          <w:sz w:val="24"/>
          <w:lang w:val="en-US"/>
        </w:rPr>
        <w:t>人</w:t>
      </w:r>
      <w:r>
        <w:rPr>
          <w:rFonts w:hint="eastAsia"/>
          <w:spacing w:val="-12"/>
          <w:sz w:val="24"/>
        </w:rPr>
        <w:t>。中标候选</w:t>
      </w:r>
      <w:r>
        <w:rPr>
          <w:rFonts w:hint="eastAsia"/>
          <w:spacing w:val="-12"/>
          <w:sz w:val="24"/>
          <w:lang w:val="en-US"/>
        </w:rPr>
        <w:t>人</w:t>
      </w:r>
      <w:r>
        <w:rPr>
          <w:rFonts w:hint="eastAsia"/>
          <w:spacing w:val="-12"/>
          <w:sz w:val="24"/>
        </w:rPr>
        <w:t>应当排序。采用最低评标价法的，评标</w:t>
      </w:r>
      <w:r>
        <w:rPr>
          <w:rFonts w:hint="eastAsia"/>
          <w:spacing w:val="-6"/>
          <w:sz w:val="24"/>
        </w:rPr>
        <w:t>结果按投标报价由低到高顺序排列；投标报价相同的并列，投标文件满足招标文件全部实质性要求且投标报价最低的供应商为</w:t>
      </w:r>
      <w:r>
        <w:rPr>
          <w:rFonts w:hint="eastAsia"/>
          <w:spacing w:val="-12"/>
          <w:sz w:val="24"/>
        </w:rPr>
        <w:t>中标候选</w:t>
      </w:r>
      <w:r>
        <w:rPr>
          <w:rFonts w:hint="eastAsia"/>
          <w:spacing w:val="-12"/>
          <w:sz w:val="24"/>
          <w:lang w:val="en-US"/>
        </w:rPr>
        <w:t>人</w:t>
      </w:r>
      <w:r>
        <w:rPr>
          <w:rFonts w:hint="eastAsia"/>
          <w:spacing w:val="-6"/>
          <w:sz w:val="24"/>
        </w:rPr>
        <w:t>；报价相同且满足招标文件全部实质性要求的</w:t>
      </w:r>
      <w:r>
        <w:rPr>
          <w:rFonts w:hint="eastAsia"/>
          <w:spacing w:val="-10"/>
          <w:sz w:val="24"/>
        </w:rPr>
        <w:t>并列，由采购人自主采取公平、择优的方式选择中标</w:t>
      </w:r>
      <w:r>
        <w:rPr>
          <w:rFonts w:hint="eastAsia"/>
          <w:spacing w:val="-10"/>
          <w:sz w:val="24"/>
          <w:lang w:val="en-US"/>
        </w:rPr>
        <w:t>人</w:t>
      </w:r>
      <w:r>
        <w:rPr>
          <w:rFonts w:hint="eastAsia"/>
          <w:spacing w:val="-10"/>
          <w:sz w:val="24"/>
        </w:rPr>
        <w:t>。采用综合评分法的，评标结果按</w:t>
      </w:r>
      <w:r>
        <w:rPr>
          <w:rFonts w:hint="eastAsia"/>
          <w:spacing w:val="-7"/>
          <w:sz w:val="24"/>
        </w:rPr>
        <w:t>评审后得分由高到低顺序排列；得分相同的，按投标报价由低到高顺序排列；得分且投标报价</w:t>
      </w:r>
      <w:r>
        <w:rPr>
          <w:rFonts w:hint="eastAsia"/>
          <w:spacing w:val="-11"/>
          <w:sz w:val="24"/>
        </w:rPr>
        <w:t>相同的并列，投标文件满足招标文件全部实质性要求且按照评审因素的服务方案评审得分最高</w:t>
      </w:r>
      <w:r>
        <w:rPr>
          <w:rFonts w:hint="eastAsia"/>
          <w:spacing w:val="-9"/>
          <w:sz w:val="24"/>
        </w:rPr>
        <w:t>的</w:t>
      </w:r>
      <w:r>
        <w:rPr>
          <w:rFonts w:hint="eastAsia"/>
          <w:spacing w:val="-9"/>
          <w:sz w:val="24"/>
          <w:lang w:val="en-US"/>
        </w:rPr>
        <w:t>供应商</w:t>
      </w:r>
      <w:r>
        <w:rPr>
          <w:rFonts w:hint="eastAsia"/>
          <w:spacing w:val="-9"/>
          <w:sz w:val="24"/>
        </w:rPr>
        <w:t>为</w:t>
      </w:r>
      <w:r>
        <w:rPr>
          <w:rFonts w:hint="eastAsia"/>
          <w:spacing w:val="-12"/>
          <w:sz w:val="24"/>
        </w:rPr>
        <w:t>中标候选</w:t>
      </w:r>
      <w:r>
        <w:rPr>
          <w:rFonts w:hint="eastAsia"/>
          <w:spacing w:val="-12"/>
          <w:sz w:val="24"/>
          <w:lang w:val="en-US"/>
        </w:rPr>
        <w:t>人</w:t>
      </w:r>
      <w:r>
        <w:rPr>
          <w:rFonts w:hint="eastAsia"/>
          <w:spacing w:val="-9"/>
          <w:sz w:val="24"/>
        </w:rPr>
        <w:t>；报价相同且满足招标文件全部实质性要求且按照评审因素的服务方案</w:t>
      </w:r>
      <w:r>
        <w:rPr>
          <w:rFonts w:hint="eastAsia"/>
          <w:sz w:val="24"/>
        </w:rPr>
        <w:t>评审得分也相同的并列，由采购人自主采取公平、择优的方式选择</w:t>
      </w:r>
      <w:r>
        <w:rPr>
          <w:rFonts w:hint="eastAsia"/>
          <w:spacing w:val="-12"/>
          <w:sz w:val="24"/>
        </w:rPr>
        <w:t>中标候选</w:t>
      </w:r>
      <w:r>
        <w:rPr>
          <w:rFonts w:hint="eastAsia"/>
          <w:spacing w:val="-12"/>
          <w:sz w:val="24"/>
          <w:lang w:val="en-US"/>
        </w:rPr>
        <w:t>人</w:t>
      </w:r>
      <w:r>
        <w:rPr>
          <w:rFonts w:hint="eastAsia"/>
          <w:sz w:val="24"/>
        </w:rPr>
        <w:t>。</w:t>
      </w:r>
    </w:p>
    <w:p>
      <w:pPr>
        <w:pStyle w:val="41"/>
        <w:tabs>
          <w:tab w:val="left" w:pos="1301"/>
        </w:tabs>
        <w:spacing w:line="360" w:lineRule="auto"/>
        <w:ind w:left="0" w:firstLine="464" w:firstLineChars="200"/>
        <w:rPr>
          <w:sz w:val="24"/>
        </w:rPr>
      </w:pPr>
      <w:r>
        <w:rPr>
          <w:rFonts w:hint="eastAsia"/>
          <w:spacing w:val="-4"/>
          <w:sz w:val="24"/>
        </w:rPr>
        <w:t>评标委员会可推荐的</w:t>
      </w:r>
      <w:r>
        <w:rPr>
          <w:rFonts w:hint="eastAsia"/>
          <w:spacing w:val="-12"/>
          <w:sz w:val="24"/>
        </w:rPr>
        <w:t>中标候选</w:t>
      </w:r>
      <w:r>
        <w:rPr>
          <w:rFonts w:hint="eastAsia"/>
          <w:spacing w:val="-12"/>
          <w:sz w:val="24"/>
          <w:lang w:val="en-US"/>
        </w:rPr>
        <w:t>人</w:t>
      </w:r>
      <w:r>
        <w:rPr>
          <w:rFonts w:hint="eastAsia"/>
          <w:spacing w:val="-4"/>
          <w:sz w:val="24"/>
        </w:rPr>
        <w:t>数量不能满足招标文件规定的数量的，只有在获得采</w:t>
      </w:r>
      <w:r>
        <w:rPr>
          <w:rFonts w:hint="eastAsia"/>
          <w:spacing w:val="-1"/>
          <w:sz w:val="24"/>
        </w:rPr>
        <w:t>购人书面同意后，可以根据实际情况推荐中标候选</w:t>
      </w:r>
      <w:r>
        <w:rPr>
          <w:rFonts w:hint="eastAsia"/>
          <w:spacing w:val="-1"/>
          <w:sz w:val="24"/>
          <w:lang w:val="en-US"/>
        </w:rPr>
        <w:t>人</w:t>
      </w:r>
      <w:r>
        <w:rPr>
          <w:rFonts w:hint="eastAsia"/>
          <w:spacing w:val="-1"/>
          <w:sz w:val="24"/>
        </w:rPr>
        <w:t>。未获得采购人的书面同意,评标委</w:t>
      </w:r>
      <w:r>
        <w:rPr>
          <w:rFonts w:hint="eastAsia"/>
          <w:sz w:val="24"/>
        </w:rPr>
        <w:t>员会不得在招标文件规定之外推荐</w:t>
      </w:r>
      <w:r>
        <w:rPr>
          <w:rFonts w:hint="eastAsia"/>
          <w:spacing w:val="-12"/>
          <w:sz w:val="24"/>
        </w:rPr>
        <w:t>中标候选</w:t>
      </w:r>
      <w:r>
        <w:rPr>
          <w:rFonts w:hint="eastAsia"/>
          <w:spacing w:val="-12"/>
          <w:sz w:val="24"/>
          <w:lang w:val="en-US"/>
        </w:rPr>
        <w:t>人</w:t>
      </w:r>
      <w:r>
        <w:rPr>
          <w:rFonts w:hint="eastAsia"/>
          <w:sz w:val="24"/>
        </w:rPr>
        <w:t>，否则，采购人可以不予认可。</w:t>
      </w:r>
    </w:p>
    <w:p>
      <w:pPr>
        <w:pStyle w:val="41"/>
        <w:tabs>
          <w:tab w:val="left" w:pos="1120"/>
        </w:tabs>
        <w:spacing w:line="360" w:lineRule="auto"/>
        <w:ind w:left="0" w:firstLine="452" w:firstLineChars="200"/>
        <w:rPr>
          <w:sz w:val="24"/>
        </w:rPr>
      </w:pPr>
      <w:r>
        <w:rPr>
          <w:rFonts w:hint="eastAsia"/>
          <w:spacing w:val="-7"/>
          <w:sz w:val="24"/>
          <w:lang w:val="en-US"/>
        </w:rPr>
        <w:t>7、</w:t>
      </w:r>
      <w:r>
        <w:rPr>
          <w:rFonts w:hint="eastAsia"/>
          <w:spacing w:val="-7"/>
          <w:sz w:val="24"/>
        </w:rPr>
        <w:t>出具评标报告。评标委员会根据全体评标成员签字的原始评标记录和评标结果编写评</w:t>
      </w:r>
      <w:r>
        <w:rPr>
          <w:rFonts w:hint="eastAsia"/>
          <w:sz w:val="24"/>
        </w:rPr>
        <w:t>标报告。评标报告应当包括以下内容：</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）招标公告刊登的媒体名称、开标日期和地点；</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）供应商名单和评标委员会成员名单；</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）评标方法和标准；</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）开标记录和评标情况及说明，包括无效供应商名单及原因；</w:t>
      </w:r>
    </w:p>
    <w:p>
      <w:pPr>
        <w:pStyle w:val="41"/>
        <w:tabs>
          <w:tab w:val="left" w:pos="1301"/>
        </w:tabs>
        <w:spacing w:line="360" w:lineRule="auto"/>
        <w:ind w:left="0" w:firstLineChars="200"/>
        <w:rPr>
          <w:sz w:val="24"/>
        </w:rPr>
      </w:pPr>
      <w:r>
        <w:rPr>
          <w:rFonts w:hint="eastAsia"/>
          <w:sz w:val="24"/>
        </w:rPr>
        <w:t>（</w:t>
      </w:r>
      <w:r>
        <w:rPr>
          <w:rFonts w:hint="eastAsia"/>
          <w:sz w:val="24"/>
          <w:lang w:val="en-US"/>
        </w:rPr>
        <w:t>5</w:t>
      </w:r>
      <w:r>
        <w:rPr>
          <w:rFonts w:hint="eastAsia"/>
          <w:sz w:val="24"/>
        </w:rPr>
        <w:t>）评标结果，确定的中标候选人名单或者经采购人委托直接确定的中标人；</w:t>
      </w:r>
    </w:p>
    <w:p>
      <w:pPr>
        <w:pStyle w:val="41"/>
        <w:tabs>
          <w:tab w:val="left" w:pos="1301"/>
        </w:tabs>
        <w:spacing w:line="360" w:lineRule="auto"/>
        <w:ind w:left="0" w:firstLineChars="200"/>
        <w:rPr>
          <w:sz w:val="24"/>
        </w:rPr>
      </w:pPr>
      <w:r>
        <w:rPr>
          <w:rFonts w:hint="eastAsia"/>
          <w:sz w:val="24"/>
        </w:rPr>
        <w:t>（</w:t>
      </w:r>
      <w:r>
        <w:rPr>
          <w:rFonts w:hint="eastAsia"/>
          <w:sz w:val="24"/>
          <w:lang w:val="en-US"/>
        </w:rPr>
        <w:t>6</w:t>
      </w:r>
      <w:r>
        <w:rPr>
          <w:rFonts w:hint="eastAsia"/>
          <w:sz w:val="24"/>
        </w:rPr>
        <w:t>）</w:t>
      </w:r>
      <w:r>
        <w:rPr>
          <w:rFonts w:hint="eastAsia"/>
          <w:spacing w:val="-2"/>
          <w:sz w:val="24"/>
        </w:rPr>
        <w:t>其他需要说明的情况，包括评标过程中供应商根据评标委员会要求进行的澄清、说</w:t>
      </w:r>
      <w:r>
        <w:rPr>
          <w:rFonts w:hint="eastAsia"/>
          <w:sz w:val="24"/>
        </w:rPr>
        <w:t>明或者补正，评标委员会成员的更换等；</w:t>
      </w:r>
    </w:p>
    <w:p>
      <w:pPr>
        <w:pStyle w:val="41"/>
        <w:tabs>
          <w:tab w:val="left" w:pos="1301"/>
        </w:tabs>
        <w:spacing w:line="360" w:lineRule="auto"/>
        <w:ind w:left="0" w:firstLineChars="200"/>
        <w:rPr>
          <w:sz w:val="24"/>
        </w:rPr>
      </w:pPr>
      <w:r>
        <w:rPr>
          <w:rFonts w:hint="eastAsia"/>
          <w:sz w:val="24"/>
        </w:rPr>
        <w:t>（</w:t>
      </w:r>
      <w:r>
        <w:rPr>
          <w:rFonts w:hint="eastAsia"/>
          <w:sz w:val="24"/>
          <w:lang w:val="en-US"/>
        </w:rPr>
        <w:t>7</w:t>
      </w:r>
      <w:r>
        <w:rPr>
          <w:rFonts w:hint="eastAsia"/>
          <w:sz w:val="24"/>
        </w:rPr>
        <w:t>）</w:t>
      </w:r>
      <w:r>
        <w:rPr>
          <w:rFonts w:hint="eastAsia"/>
          <w:spacing w:val="-1"/>
          <w:sz w:val="24"/>
        </w:rPr>
        <w:t>报价最高的供应商为中标候选人的，评标委员会应当对其报价的合理性予以特别说</w:t>
      </w:r>
      <w:r>
        <w:rPr>
          <w:rFonts w:hint="eastAsia"/>
          <w:sz w:val="24"/>
        </w:rPr>
        <w:t>明。</w:t>
      </w:r>
    </w:p>
    <w:p>
      <w:pPr>
        <w:pStyle w:val="2"/>
        <w:spacing w:after="0" w:line="360" w:lineRule="auto"/>
        <w:ind w:firstLine="456" w:firstLineChars="200"/>
        <w:rPr>
          <w:rFonts w:ascii="宋体" w:hAnsi="宋体" w:cs="宋体"/>
          <w:sz w:val="24"/>
        </w:rPr>
      </w:pPr>
      <w:r>
        <w:rPr>
          <w:rFonts w:hint="eastAsia" w:ascii="宋体" w:hAnsi="宋体" w:cs="宋体"/>
          <w:spacing w:val="-6"/>
          <w:sz w:val="24"/>
        </w:rPr>
        <w:t>评标委员会成员应当在评标报告中签字确认，对评标过程和结果有不同意见的，应当在评标报告中写明并说明理由。签字但未写明不同意见或者未说明理由的，视同无意见。拒不签字</w:t>
      </w:r>
      <w:r>
        <w:rPr>
          <w:rFonts w:hint="eastAsia" w:ascii="宋体" w:hAnsi="宋体" w:cs="宋体"/>
          <w:sz w:val="24"/>
        </w:rPr>
        <w:t>又未另行书面说明其不同意见和理由的，视同同意评标结果。</w:t>
      </w:r>
    </w:p>
    <w:p>
      <w:pPr>
        <w:pStyle w:val="41"/>
        <w:tabs>
          <w:tab w:val="left" w:pos="1120"/>
        </w:tabs>
        <w:spacing w:line="360" w:lineRule="auto"/>
        <w:ind w:left="0" w:firstLine="456" w:firstLineChars="200"/>
        <w:rPr>
          <w:spacing w:val="-6"/>
          <w:sz w:val="24"/>
        </w:rPr>
      </w:pPr>
      <w:r>
        <w:rPr>
          <w:rFonts w:hint="eastAsia"/>
          <w:spacing w:val="-6"/>
          <w:sz w:val="24"/>
          <w:lang w:val="en-US"/>
        </w:rPr>
        <w:t>8、</w:t>
      </w:r>
      <w:r>
        <w:rPr>
          <w:rFonts w:hint="eastAsia"/>
          <w:spacing w:val="-6"/>
          <w:sz w:val="24"/>
        </w:rPr>
        <w:t>评标争议处理规则。评标委员会在评审过程中，对于资格性审查、符合性审查、对</w:t>
      </w:r>
      <w:r>
        <w:rPr>
          <w:rFonts w:hint="eastAsia"/>
          <w:spacing w:val="-6"/>
          <w:sz w:val="24"/>
          <w:lang w:val="en-US"/>
        </w:rPr>
        <w:t>供应商的</w:t>
      </w:r>
      <w:r>
        <w:rPr>
          <w:rFonts w:hint="eastAsia"/>
          <w:spacing w:val="-5"/>
          <w:sz w:val="24"/>
        </w:rPr>
        <w:t>投标文件做无效投标处理及其他需要共同认定的事项存在争议的，应当以少数服从多数的</w:t>
      </w:r>
      <w:r>
        <w:rPr>
          <w:rFonts w:hint="eastAsia"/>
          <w:spacing w:val="-10"/>
          <w:sz w:val="24"/>
        </w:rPr>
        <w:t>原则做出结论，但不得违背法律法规和招标文件规定。有不同意见的评标委员会成员认为认定</w:t>
      </w:r>
      <w:r>
        <w:rPr>
          <w:rFonts w:hint="eastAsia"/>
          <w:spacing w:val="-6"/>
          <w:sz w:val="24"/>
        </w:rPr>
        <w:t>过程和结果不符合法律法规或者招标文件规定的，应当及时向招标采购单位书面反映。招标采购单位收到书面反映后，应当书面报告采购项目同级财政部门依法处理。</w:t>
      </w:r>
    </w:p>
    <w:p>
      <w:pPr>
        <w:pStyle w:val="41"/>
        <w:tabs>
          <w:tab w:val="left" w:pos="1120"/>
        </w:tabs>
        <w:spacing w:line="360" w:lineRule="auto"/>
        <w:ind w:left="0" w:firstLineChars="200"/>
        <w:rPr>
          <w:sz w:val="24"/>
        </w:rPr>
      </w:pPr>
      <w:r>
        <w:rPr>
          <w:rFonts w:hint="eastAsia"/>
          <w:sz w:val="24"/>
          <w:lang w:val="en-US"/>
        </w:rPr>
        <w:t>9、供应商</w:t>
      </w:r>
      <w:r>
        <w:rPr>
          <w:rFonts w:hint="eastAsia"/>
          <w:sz w:val="24"/>
        </w:rPr>
        <w:t>应当书面澄清、说明或者更正。</w:t>
      </w:r>
    </w:p>
    <w:p>
      <w:pPr>
        <w:pStyle w:val="41"/>
        <w:tabs>
          <w:tab w:val="left" w:pos="1360"/>
        </w:tabs>
        <w:spacing w:line="360" w:lineRule="auto"/>
        <w:ind w:left="0" w:firstLine="460" w:firstLineChars="200"/>
        <w:rPr>
          <w:sz w:val="24"/>
        </w:rPr>
      </w:pPr>
      <w:r>
        <w:rPr>
          <w:rFonts w:hint="eastAsia"/>
          <w:spacing w:val="-5"/>
          <w:sz w:val="24"/>
          <w:lang w:val="en-US"/>
        </w:rPr>
        <w:t>9.1</w:t>
      </w:r>
      <w:r>
        <w:rPr>
          <w:rFonts w:hint="eastAsia"/>
          <w:spacing w:val="-5"/>
          <w:sz w:val="24"/>
        </w:rPr>
        <w:t>在评标过程中，</w:t>
      </w:r>
      <w:r>
        <w:rPr>
          <w:rFonts w:hint="eastAsia"/>
          <w:spacing w:val="-5"/>
          <w:sz w:val="24"/>
          <w:lang w:val="en-US"/>
        </w:rPr>
        <w:t>供应商的</w:t>
      </w:r>
      <w:r>
        <w:rPr>
          <w:rFonts w:hint="eastAsia"/>
          <w:spacing w:val="-5"/>
          <w:sz w:val="24"/>
        </w:rPr>
        <w:t>投标文件实质性符合招标文件要求的前提下，评标委员会对</w:t>
      </w:r>
      <w:r>
        <w:rPr>
          <w:rFonts w:hint="eastAsia"/>
          <w:spacing w:val="-8"/>
          <w:sz w:val="24"/>
        </w:rPr>
        <w:t>投标文件中含义不明确、同类问题表述不一致或者有明显文字和计算错误的内容，应当以书面</w:t>
      </w:r>
      <w:r>
        <w:rPr>
          <w:rFonts w:hint="eastAsia"/>
          <w:spacing w:val="-12"/>
          <w:sz w:val="24"/>
        </w:rPr>
        <w:t>形式</w:t>
      </w:r>
      <w:r>
        <w:rPr>
          <w:rFonts w:hint="eastAsia"/>
          <w:sz w:val="24"/>
        </w:rPr>
        <w:t>（须由评标委员会全体成员签字</w:t>
      </w:r>
      <w:r>
        <w:rPr>
          <w:rFonts w:hint="eastAsia"/>
          <w:spacing w:val="-24"/>
          <w:sz w:val="24"/>
        </w:rPr>
        <w:t>）</w:t>
      </w:r>
      <w:r>
        <w:rPr>
          <w:rFonts w:hint="eastAsia"/>
          <w:spacing w:val="-4"/>
          <w:sz w:val="24"/>
        </w:rPr>
        <w:t>要求</w:t>
      </w:r>
      <w:r>
        <w:rPr>
          <w:rFonts w:hint="eastAsia"/>
          <w:spacing w:val="-4"/>
          <w:sz w:val="24"/>
          <w:lang w:val="en-US"/>
        </w:rPr>
        <w:t>供应商</w:t>
      </w:r>
      <w:r>
        <w:rPr>
          <w:rFonts w:hint="eastAsia"/>
          <w:spacing w:val="-4"/>
          <w:sz w:val="24"/>
        </w:rPr>
        <w:t>作出必要的书面澄清、说明或者更正，并给</w:t>
      </w:r>
      <w:r>
        <w:rPr>
          <w:rFonts w:hint="eastAsia"/>
          <w:sz w:val="24"/>
        </w:rPr>
        <w:t>予</w:t>
      </w:r>
      <w:r>
        <w:rPr>
          <w:rFonts w:hint="eastAsia"/>
          <w:sz w:val="24"/>
          <w:lang w:val="en-US"/>
        </w:rPr>
        <w:t>供应商</w:t>
      </w:r>
      <w:r>
        <w:rPr>
          <w:rFonts w:hint="eastAsia"/>
          <w:sz w:val="24"/>
        </w:rPr>
        <w:t>必要的反馈时间。</w:t>
      </w:r>
    </w:p>
    <w:p>
      <w:pPr>
        <w:pStyle w:val="41"/>
        <w:tabs>
          <w:tab w:val="left" w:pos="1360"/>
        </w:tabs>
        <w:spacing w:line="360" w:lineRule="auto"/>
        <w:ind w:left="0" w:firstLine="460" w:firstLineChars="200"/>
        <w:rPr>
          <w:sz w:val="24"/>
        </w:rPr>
      </w:pPr>
      <w:r>
        <w:rPr>
          <w:rFonts w:hint="eastAsia"/>
          <w:spacing w:val="-5"/>
          <w:sz w:val="24"/>
          <w:lang w:val="en-US"/>
        </w:rPr>
        <w:t>9.2</w:t>
      </w:r>
      <w:r>
        <w:rPr>
          <w:rFonts w:hint="eastAsia"/>
          <w:sz w:val="24"/>
          <w:lang w:val="en-US"/>
        </w:rPr>
        <w:t>供应商</w:t>
      </w:r>
      <w:r>
        <w:rPr>
          <w:rFonts w:hint="eastAsia"/>
          <w:spacing w:val="-4"/>
          <w:sz w:val="24"/>
        </w:rPr>
        <w:t>应当书面澄清、说明或者更正，并加盖公章或由其法定代表人或者代理人签</w:t>
      </w:r>
      <w:r>
        <w:rPr>
          <w:rFonts w:hint="eastAsia"/>
          <w:spacing w:val="-11"/>
          <w:sz w:val="24"/>
        </w:rPr>
        <w:t>字确认，否则无效。澄清、说明或者更正不影响投标文件的效力，有效的澄清、说明或者更正</w:t>
      </w:r>
      <w:r>
        <w:rPr>
          <w:rFonts w:hint="eastAsia"/>
          <w:sz w:val="24"/>
        </w:rPr>
        <w:t>材料，是投标文件的组成部分。</w:t>
      </w:r>
    </w:p>
    <w:p>
      <w:pPr>
        <w:pStyle w:val="41"/>
        <w:tabs>
          <w:tab w:val="left" w:pos="1360"/>
        </w:tabs>
        <w:spacing w:line="360" w:lineRule="auto"/>
        <w:ind w:left="0" w:firstLine="460" w:firstLineChars="200"/>
        <w:rPr>
          <w:sz w:val="24"/>
        </w:rPr>
      </w:pPr>
      <w:r>
        <w:rPr>
          <w:rFonts w:hint="eastAsia"/>
          <w:spacing w:val="-5"/>
          <w:sz w:val="24"/>
          <w:lang w:val="en-US"/>
        </w:rPr>
        <w:t>9.3</w:t>
      </w:r>
      <w:r>
        <w:rPr>
          <w:rFonts w:hint="eastAsia"/>
          <w:spacing w:val="-4"/>
          <w:sz w:val="24"/>
        </w:rPr>
        <w:t>评标委员会要求</w:t>
      </w:r>
      <w:r>
        <w:rPr>
          <w:rFonts w:hint="eastAsia"/>
          <w:sz w:val="24"/>
          <w:lang w:val="en-US"/>
        </w:rPr>
        <w:t>供应商</w:t>
      </w:r>
      <w:r>
        <w:rPr>
          <w:rFonts w:hint="eastAsia"/>
          <w:spacing w:val="-4"/>
          <w:sz w:val="24"/>
        </w:rPr>
        <w:t>澄清、说明或者更正，不得超出招标文件的范围，不得以此</w:t>
      </w:r>
      <w:r>
        <w:rPr>
          <w:rFonts w:hint="eastAsia"/>
          <w:sz w:val="24"/>
        </w:rPr>
        <w:t>让</w:t>
      </w:r>
      <w:r>
        <w:rPr>
          <w:rFonts w:hint="eastAsia"/>
          <w:sz w:val="24"/>
          <w:lang w:val="en-US"/>
        </w:rPr>
        <w:t>供应商</w:t>
      </w:r>
      <w:r>
        <w:rPr>
          <w:rFonts w:hint="eastAsia"/>
          <w:sz w:val="24"/>
        </w:rPr>
        <w:t>实质改变投标文件的内容，不得影响</w:t>
      </w:r>
      <w:r>
        <w:rPr>
          <w:rFonts w:hint="eastAsia"/>
          <w:sz w:val="24"/>
          <w:lang w:val="en-US"/>
        </w:rPr>
        <w:t>供应商</w:t>
      </w:r>
      <w:r>
        <w:rPr>
          <w:rFonts w:hint="eastAsia"/>
          <w:sz w:val="24"/>
        </w:rPr>
        <w:t>公平竞争。本项目下列内容不得澄清：</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）按财政部规定应当在评标时不予承认的投标文件内容事项；</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）投标文件中已经明确的内容事项；</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）投标文件未提供的材料。</w:t>
      </w:r>
    </w:p>
    <w:p>
      <w:pPr>
        <w:pStyle w:val="41"/>
        <w:tabs>
          <w:tab w:val="left" w:pos="1420"/>
        </w:tabs>
        <w:spacing w:line="360" w:lineRule="auto"/>
        <w:ind w:left="0" w:firstLine="460" w:firstLineChars="200"/>
        <w:rPr>
          <w:sz w:val="24"/>
        </w:rPr>
      </w:pPr>
      <w:r>
        <w:rPr>
          <w:rFonts w:hint="eastAsia"/>
          <w:spacing w:val="-5"/>
          <w:sz w:val="24"/>
          <w:lang w:val="en-US"/>
        </w:rPr>
        <w:t>9.4</w:t>
      </w:r>
      <w:r>
        <w:rPr>
          <w:rFonts w:hint="eastAsia"/>
          <w:spacing w:val="-15"/>
          <w:sz w:val="24"/>
        </w:rPr>
        <w:t>本项目采购过程中，投标文件出现下列情况的，不需要</w:t>
      </w:r>
      <w:r>
        <w:rPr>
          <w:rFonts w:hint="eastAsia"/>
          <w:sz w:val="24"/>
          <w:lang w:val="en-US"/>
        </w:rPr>
        <w:t>供应商</w:t>
      </w:r>
      <w:r>
        <w:rPr>
          <w:rFonts w:hint="eastAsia"/>
          <w:spacing w:val="-15"/>
          <w:sz w:val="24"/>
        </w:rPr>
        <w:t xml:space="preserve">澄清、说明或者更正， </w:t>
      </w:r>
      <w:r>
        <w:rPr>
          <w:rFonts w:hint="eastAsia"/>
          <w:sz w:val="24"/>
        </w:rPr>
        <w:t>按照以下原则处理：</w:t>
      </w:r>
    </w:p>
    <w:p>
      <w:pPr>
        <w:pStyle w:val="41"/>
        <w:tabs>
          <w:tab w:val="left" w:pos="1301"/>
        </w:tabs>
        <w:spacing w:line="360" w:lineRule="auto"/>
        <w:ind w:left="0" w:firstLine="476" w:firstLineChars="200"/>
        <w:rPr>
          <w:sz w:val="24"/>
        </w:rPr>
      </w:pPr>
      <w:r>
        <w:rPr>
          <w:rFonts w:hint="eastAsia"/>
          <w:spacing w:val="-1"/>
          <w:sz w:val="24"/>
        </w:rPr>
        <w:t>（</w:t>
      </w:r>
      <w:r>
        <w:rPr>
          <w:rFonts w:hint="eastAsia"/>
          <w:spacing w:val="-1"/>
          <w:sz w:val="24"/>
          <w:lang w:val="en-US"/>
        </w:rPr>
        <w:t>1</w:t>
      </w:r>
      <w:r>
        <w:rPr>
          <w:rFonts w:hint="eastAsia"/>
          <w:spacing w:val="-1"/>
          <w:sz w:val="24"/>
        </w:rPr>
        <w:t>）投标文件中开标一览表</w:t>
      </w:r>
      <w:r>
        <w:rPr>
          <w:rFonts w:hint="eastAsia"/>
          <w:sz w:val="24"/>
        </w:rPr>
        <w:t>（报价表）</w:t>
      </w:r>
      <w:r>
        <w:rPr>
          <w:rFonts w:hint="eastAsia"/>
          <w:spacing w:val="-1"/>
          <w:sz w:val="24"/>
        </w:rPr>
        <w:t>内容与投标文件中相应内容不一致的，以开标一</w:t>
      </w:r>
      <w:r>
        <w:rPr>
          <w:rFonts w:hint="eastAsia"/>
          <w:sz w:val="24"/>
        </w:rPr>
        <w:t>览表（报价表）为准；</w:t>
      </w:r>
    </w:p>
    <w:p>
      <w:pPr>
        <w:pStyle w:val="41"/>
        <w:tabs>
          <w:tab w:val="left" w:pos="1301"/>
        </w:tabs>
        <w:spacing w:line="360" w:lineRule="auto"/>
        <w:ind w:left="0" w:firstLine="476" w:firstLineChars="200"/>
        <w:rPr>
          <w:sz w:val="24"/>
        </w:rPr>
      </w:pPr>
      <w:r>
        <w:rPr>
          <w:rFonts w:hint="eastAsia"/>
          <w:spacing w:val="-1"/>
          <w:sz w:val="24"/>
        </w:rPr>
        <w:t>（</w:t>
      </w:r>
      <w:r>
        <w:rPr>
          <w:rFonts w:hint="eastAsia"/>
          <w:spacing w:val="-1"/>
          <w:sz w:val="24"/>
          <w:lang w:val="en-US"/>
        </w:rPr>
        <w:t>2</w:t>
      </w:r>
      <w:r>
        <w:rPr>
          <w:rFonts w:hint="eastAsia"/>
          <w:spacing w:val="-1"/>
          <w:sz w:val="24"/>
        </w:rPr>
        <w:t>）大写金额和小写金额不一致的，以大写金额为准，但大写金额出现文字错误，导致</w:t>
      </w:r>
      <w:r>
        <w:rPr>
          <w:rFonts w:hint="eastAsia"/>
          <w:sz w:val="24"/>
        </w:rPr>
        <w:t>金额无法判断的除外；</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）单价金额小数点或百分比有明显错位的，以开标一览表的总价为准，并修改单价；</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）总价金额与按单价汇总金额不一致的，以单价金额计算结果为准；</w:t>
      </w:r>
    </w:p>
    <w:p>
      <w:pPr>
        <w:pStyle w:val="41"/>
        <w:tabs>
          <w:tab w:val="left" w:pos="1301"/>
        </w:tabs>
        <w:spacing w:line="360" w:lineRule="auto"/>
        <w:ind w:left="0" w:firstLineChars="200"/>
        <w:rPr>
          <w:sz w:val="24"/>
        </w:rPr>
      </w:pPr>
      <w:r>
        <w:rPr>
          <w:rFonts w:hint="eastAsia"/>
          <w:sz w:val="24"/>
        </w:rPr>
        <w:t>（</w:t>
      </w:r>
      <w:r>
        <w:rPr>
          <w:rFonts w:hint="eastAsia"/>
          <w:sz w:val="24"/>
          <w:lang w:val="en-US"/>
        </w:rPr>
        <w:t>5</w:t>
      </w:r>
      <w:r>
        <w:rPr>
          <w:rFonts w:hint="eastAsia"/>
          <w:sz w:val="24"/>
        </w:rPr>
        <w:t>）对不同语言文本投标文件的解释发生异议的，以中文文本为准。</w:t>
      </w:r>
    </w:p>
    <w:p>
      <w:pPr>
        <w:pStyle w:val="2"/>
        <w:spacing w:after="0" w:line="360" w:lineRule="auto"/>
        <w:ind w:firstLine="480" w:firstLineChars="200"/>
        <w:rPr>
          <w:rFonts w:ascii="宋体" w:hAnsi="宋体" w:cs="宋体"/>
          <w:sz w:val="24"/>
        </w:rPr>
      </w:pPr>
      <w:r>
        <w:rPr>
          <w:rFonts w:hint="eastAsia" w:ascii="宋体" w:hAnsi="宋体" w:cs="宋体"/>
          <w:sz w:val="24"/>
        </w:rPr>
        <w:t>（1）-（4）同时出现两种以上不一致的，按照前款规定的顺序修正。修正后的报价采用</w:t>
      </w:r>
      <w:r>
        <w:rPr>
          <w:rFonts w:hint="eastAsia" w:ascii="宋体" w:hAnsi="宋体" w:cs="宋体"/>
          <w:spacing w:val="-7"/>
          <w:sz w:val="24"/>
        </w:rPr>
        <w:t>书面形式由供应商确认，并加盖公章，或者由法定代表人或其授权代表签字后产生约束力，供应商</w:t>
      </w:r>
      <w:r>
        <w:rPr>
          <w:rFonts w:hint="eastAsia" w:ascii="宋体" w:hAnsi="宋体" w:cs="宋体"/>
          <w:sz w:val="24"/>
        </w:rPr>
        <w:t>不确认或修正后的价格超过采购预算或者项目最高限价的，其投标无效。</w:t>
      </w:r>
    </w:p>
    <w:p>
      <w:pPr>
        <w:pStyle w:val="2"/>
        <w:spacing w:after="0" w:line="360" w:lineRule="auto"/>
        <w:ind w:firstLine="480" w:firstLineChars="200"/>
        <w:rPr>
          <w:rFonts w:ascii="宋体" w:hAnsi="宋体" w:cs="宋体"/>
          <w:sz w:val="24"/>
        </w:rPr>
      </w:pPr>
      <w:r>
        <w:rPr>
          <w:rFonts w:hint="eastAsia" w:ascii="宋体" w:hAnsi="宋体" w:cs="宋体"/>
          <w:sz w:val="24"/>
        </w:rPr>
        <w:t>注：评标委员会当积极履行澄清、说明或者更正的职责，不得滥用权力。供应商的投标文件可以要求澄清、说明或者更正的，不得未经澄清、说明或者更正而直接作无效投标处理。</w:t>
      </w:r>
    </w:p>
    <w:p>
      <w:pPr>
        <w:pStyle w:val="2"/>
        <w:spacing w:after="0" w:line="360" w:lineRule="auto"/>
        <w:ind w:firstLine="480" w:firstLineChars="200"/>
        <w:rPr>
          <w:rFonts w:ascii="宋体" w:hAnsi="宋体" w:cs="宋体"/>
          <w:sz w:val="24"/>
        </w:rPr>
      </w:pPr>
      <w:r>
        <w:rPr>
          <w:rFonts w:hint="eastAsia" w:ascii="宋体" w:hAnsi="宋体" w:cs="宋体"/>
          <w:sz w:val="24"/>
        </w:rPr>
        <w:t>10.低价投标处理。</w:t>
      </w:r>
    </w:p>
    <w:p>
      <w:pPr>
        <w:pStyle w:val="2"/>
        <w:spacing w:after="0" w:line="360" w:lineRule="auto"/>
        <w:ind w:firstLine="452" w:firstLineChars="200"/>
        <w:rPr>
          <w:rFonts w:ascii="宋体" w:hAnsi="宋体" w:cs="宋体"/>
          <w:spacing w:val="-7"/>
          <w:sz w:val="24"/>
        </w:rPr>
      </w:pPr>
      <w:r>
        <w:rPr>
          <w:rFonts w:hint="eastAsia" w:ascii="宋体" w:hAnsi="宋体" w:cs="宋体"/>
          <w:spacing w:val="-7"/>
          <w:sz w:val="24"/>
        </w:rPr>
        <w:t>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有可能影响产品质量或者不能诚信履约的，评标委员会应当要求其在评标现场合理的时间内提供成本构成书面说明，并提交相关证明材料。供应商书面说明应当按照国家财务会计制度的规定要求，逐项就供应商提供的货物的主营业务成本（应根据供应商企业类型予以区别）、税金及附加、管理费用、财务费用等成本构成事项详细陈述。</w:t>
      </w:r>
    </w:p>
    <w:p>
      <w:pPr>
        <w:pStyle w:val="2"/>
        <w:spacing w:after="0" w:line="360" w:lineRule="auto"/>
        <w:ind w:firstLine="480" w:firstLineChars="200"/>
        <w:rPr>
          <w:rFonts w:ascii="宋体" w:hAnsi="宋体" w:cs="宋体"/>
          <w:sz w:val="24"/>
        </w:rPr>
      </w:pPr>
      <w:r>
        <w:rPr>
          <w:rFonts w:hint="eastAsia" w:ascii="宋体" w:hAnsi="宋体" w:cs="宋体"/>
          <w:sz w:val="24"/>
        </w:rPr>
        <w:t>供应商书面说明应当加盖公章或者由其法定代表人或者代理人签字确认，否则无效。</w:t>
      </w:r>
    </w:p>
    <w:p>
      <w:pPr>
        <w:pStyle w:val="2"/>
        <w:spacing w:after="0" w:line="360" w:lineRule="auto"/>
        <w:ind w:firstLine="452" w:firstLineChars="200"/>
        <w:rPr>
          <w:rFonts w:ascii="宋体" w:hAnsi="宋体" w:cs="宋体"/>
          <w:spacing w:val="-7"/>
          <w:sz w:val="24"/>
        </w:rPr>
      </w:pPr>
      <w:r>
        <w:rPr>
          <w:rFonts w:hint="eastAsia" w:ascii="宋体" w:hAnsi="宋体" w:cs="宋体"/>
          <w:spacing w:val="-7"/>
          <w:sz w:val="24"/>
        </w:rPr>
        <w:t>供应商提供书面说明后，评标委员会应当结合采购项目采购需求、专业实际情况、供应商财务状况报告、与其他供应商比较情况等就供应商书面说明进行审查评价。供应商逾期提供、拒绝或者变相拒绝提供有效书面说明或者书面说明不能证明其报价合理性的，评标委员会应当将其投标文件作为无效处理。</w:t>
      </w:r>
    </w:p>
    <w:p>
      <w:pPr>
        <w:pStyle w:val="2"/>
        <w:spacing w:after="0" w:line="360" w:lineRule="auto"/>
        <w:ind w:firstLine="480" w:firstLineChars="200"/>
        <w:rPr>
          <w:rFonts w:ascii="宋体" w:hAnsi="宋体" w:cs="宋体"/>
          <w:sz w:val="24"/>
        </w:rPr>
      </w:pPr>
      <w:r>
        <w:rPr>
          <w:rFonts w:hint="eastAsia" w:ascii="宋体" w:hAnsi="宋体" w:cs="宋体"/>
          <w:sz w:val="24"/>
        </w:rPr>
        <w:t>11、招标采购单位现场复核评标结果。</w:t>
      </w:r>
    </w:p>
    <w:p>
      <w:pPr>
        <w:pStyle w:val="2"/>
        <w:spacing w:after="0" w:line="360" w:lineRule="auto"/>
        <w:ind w:firstLine="480" w:firstLineChars="200"/>
        <w:rPr>
          <w:rFonts w:ascii="宋体" w:hAnsi="宋体" w:cs="宋体"/>
          <w:sz w:val="24"/>
        </w:rPr>
      </w:pPr>
      <w:r>
        <w:rPr>
          <w:rFonts w:hint="eastAsia" w:ascii="宋体" w:hAnsi="宋体" w:cs="宋体"/>
          <w:sz w:val="24"/>
        </w:rPr>
        <w:t>11.1评标结果汇总完成后，招标采购单位应当组织2名以上的本单位工作人员，在采购</w:t>
      </w:r>
      <w:r>
        <w:rPr>
          <w:rFonts w:hint="eastAsia" w:ascii="宋体" w:hAnsi="宋体" w:cs="宋体"/>
          <w:spacing w:val="-7"/>
          <w:sz w:val="24"/>
        </w:rPr>
        <w:t>现场监督人员的监督之下，依据有关的法律制度和采购文件对评标结果进行复核，出具复核报</w:t>
      </w:r>
      <w:r>
        <w:rPr>
          <w:rFonts w:hint="eastAsia" w:ascii="宋体" w:hAnsi="宋体" w:cs="宋体"/>
          <w:sz w:val="24"/>
        </w:rPr>
        <w:t>告。除下列情形外，任何人不得修改评标结果：</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）分值汇总计算错误的；</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）分项评分超出评分标准范围的；</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）评标委员会成员对客观评审因素评分不一致的；</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）经评标委员会认定评分畸高、畸低的。</w:t>
      </w:r>
    </w:p>
    <w:p>
      <w:pPr>
        <w:pStyle w:val="41"/>
        <w:tabs>
          <w:tab w:val="left" w:pos="1301"/>
        </w:tabs>
        <w:spacing w:line="360" w:lineRule="auto"/>
        <w:ind w:left="0" w:firstLineChars="200"/>
        <w:rPr>
          <w:sz w:val="24"/>
        </w:rPr>
      </w:pPr>
      <w:r>
        <w:rPr>
          <w:rFonts w:hint="eastAsia"/>
          <w:sz w:val="24"/>
        </w:rPr>
        <w:t>评标报告签署前，经复核发现存在以上情形之一的，评标委员会应当当场修改评标结果， 并在评标报告中记载；评标报告签署后，采购人或者采购代理机构发现存在以上情形之一的， 应当组织原评标委员会进行重新评审，重新评审改变评标结果的，书面报告本级财政部门。</w:t>
      </w:r>
    </w:p>
    <w:p>
      <w:pPr>
        <w:pStyle w:val="41"/>
        <w:tabs>
          <w:tab w:val="left" w:pos="1301"/>
        </w:tabs>
        <w:spacing w:line="360" w:lineRule="auto"/>
        <w:ind w:left="0" w:firstLine="452" w:firstLineChars="200"/>
        <w:rPr>
          <w:sz w:val="24"/>
        </w:rPr>
      </w:pPr>
      <w:r>
        <w:rPr>
          <w:rFonts w:hint="eastAsia"/>
          <w:spacing w:val="-7"/>
          <w:sz w:val="24"/>
        </w:rPr>
        <w:t>供应商对本条第一款情形提出质疑的，采购人或者采购代理机构可以组织原评标委员会进</w:t>
      </w:r>
      <w:r>
        <w:rPr>
          <w:rFonts w:hint="eastAsia"/>
          <w:sz w:val="24"/>
        </w:rPr>
        <w:t>行重新评审，重新评审改变评标结果的，应当书面报告本级财政部门。</w:t>
      </w:r>
    </w:p>
    <w:p>
      <w:pPr>
        <w:pStyle w:val="41"/>
        <w:tabs>
          <w:tab w:val="left" w:pos="1301"/>
        </w:tabs>
        <w:spacing w:line="360" w:lineRule="auto"/>
        <w:ind w:left="0" w:firstLineChars="200"/>
        <w:rPr>
          <w:sz w:val="24"/>
        </w:rPr>
      </w:pPr>
      <w:r>
        <w:rPr>
          <w:rFonts w:hint="eastAsia"/>
          <w:sz w:val="24"/>
        </w:rPr>
        <w:t>有下列情形之一的，不得修改评标结果或者重新评标：</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）评标委员会已经出具评标报告并且离开评标现场的；</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）招标采购单位现场复核时，复核工作人员数量不足的；</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）招标采购单位现场复核时，没有采购监督人员现场监督的；</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）招标采购单位现场复核内容超出规定范围的；</w:t>
      </w:r>
    </w:p>
    <w:p>
      <w:pPr>
        <w:pStyle w:val="41"/>
        <w:tabs>
          <w:tab w:val="left" w:pos="1301"/>
        </w:tabs>
        <w:spacing w:line="360" w:lineRule="auto"/>
        <w:ind w:left="0" w:firstLineChars="200"/>
        <w:rPr>
          <w:sz w:val="24"/>
        </w:rPr>
      </w:pPr>
      <w:r>
        <w:rPr>
          <w:rFonts w:hint="eastAsia"/>
          <w:sz w:val="24"/>
        </w:rPr>
        <w:t>（</w:t>
      </w:r>
      <w:r>
        <w:rPr>
          <w:rFonts w:hint="eastAsia"/>
          <w:sz w:val="24"/>
          <w:lang w:val="en-US"/>
        </w:rPr>
        <w:t>5</w:t>
      </w:r>
      <w:r>
        <w:rPr>
          <w:rFonts w:hint="eastAsia"/>
          <w:sz w:val="24"/>
        </w:rPr>
        <w:t>）招标采购单位未提供书面建议的。</w:t>
      </w:r>
    </w:p>
    <w:p>
      <w:pPr>
        <w:spacing w:line="360" w:lineRule="auto"/>
        <w:outlineLvl w:val="1"/>
        <w:rPr>
          <w:rFonts w:ascii="宋体" w:hAnsi="宋体" w:cs="宋体"/>
          <w:b/>
          <w:sz w:val="28"/>
        </w:rPr>
      </w:pPr>
      <w:bookmarkStart w:id="306" w:name="_Toc23827"/>
      <w:r>
        <w:rPr>
          <w:rFonts w:hint="eastAsia" w:ascii="宋体" w:hAnsi="宋体" w:cs="宋体"/>
          <w:b/>
          <w:sz w:val="28"/>
        </w:rPr>
        <w:t>四、评标细则及标准</w:t>
      </w:r>
      <w:bookmarkEnd w:id="306"/>
    </w:p>
    <w:p>
      <w:pPr>
        <w:spacing w:line="360" w:lineRule="auto"/>
        <w:ind w:firstLine="480" w:firstLineChars="200"/>
        <w:rPr>
          <w:rFonts w:ascii="宋体" w:hAnsi="宋体" w:cs="宋体"/>
          <w:sz w:val="24"/>
        </w:rPr>
      </w:pPr>
      <w:r>
        <w:rPr>
          <w:rFonts w:hint="eastAsia" w:ascii="宋体" w:hAnsi="宋体" w:cs="宋体"/>
          <w:sz w:val="24"/>
        </w:rPr>
        <w:t>1、本次综合评分的因素是：报价、履约能力、服务方案、人员、扶持不发达地区和少数民族地区、投标文件的规范性。</w:t>
      </w:r>
    </w:p>
    <w:p>
      <w:pPr>
        <w:spacing w:line="360" w:lineRule="auto"/>
        <w:ind w:firstLine="480" w:firstLineChars="200"/>
        <w:rPr>
          <w:rFonts w:ascii="宋体" w:hAnsi="宋体" w:cs="宋体"/>
          <w:sz w:val="24"/>
          <w:lang w:val="zh-CN" w:bidi="zh-CN"/>
        </w:rPr>
      </w:pPr>
      <w:r>
        <w:rPr>
          <w:rFonts w:hint="eastAsia" w:ascii="宋体" w:hAnsi="宋体" w:cs="宋体"/>
          <w:sz w:val="24"/>
        </w:rPr>
        <w:t>2、</w:t>
      </w:r>
      <w:r>
        <w:rPr>
          <w:rFonts w:hint="eastAsia" w:ascii="宋体" w:hAnsi="宋体" w:cs="宋体"/>
          <w:sz w:val="24"/>
          <w:lang w:val="zh-CN" w:bidi="zh-CN"/>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w:t>
      </w:r>
    </w:p>
    <w:p>
      <w:pPr>
        <w:spacing w:line="360" w:lineRule="auto"/>
        <w:ind w:firstLine="480" w:firstLineChars="200"/>
        <w:rPr>
          <w:rFonts w:ascii="宋体" w:hAnsi="宋体" w:cs="宋体"/>
          <w:sz w:val="24"/>
        </w:rPr>
      </w:pPr>
      <w:r>
        <w:rPr>
          <w:rFonts w:hint="eastAsia" w:ascii="宋体" w:hAnsi="宋体" w:cs="宋体"/>
          <w:sz w:val="24"/>
          <w:lang w:bidi="zh-CN"/>
        </w:rPr>
        <w:t>3、</w:t>
      </w:r>
      <w:r>
        <w:rPr>
          <w:rFonts w:hint="eastAsia" w:ascii="宋体" w:hAnsi="宋体" w:cs="宋体"/>
          <w:sz w:val="24"/>
        </w:rPr>
        <w:t>综合评分明细表</w:t>
      </w:r>
    </w:p>
    <w:p>
      <w:pPr>
        <w:spacing w:line="360" w:lineRule="auto"/>
        <w:ind w:firstLine="482" w:firstLineChars="200"/>
        <w:jc w:val="both"/>
        <w:rPr>
          <w:rFonts w:hint="eastAsia" w:ascii="宋体" w:hAnsi="宋体" w:cs="宋体"/>
          <w:sz w:val="24"/>
        </w:rPr>
      </w:pPr>
      <w:r>
        <w:rPr>
          <w:rFonts w:hint="eastAsia" w:ascii="宋体" w:hAnsi="宋体" w:cs="宋体"/>
          <w:b/>
          <w:bCs/>
          <w:sz w:val="24"/>
        </w:rPr>
        <w:t>3.1</w:t>
      </w:r>
      <w:r>
        <w:rPr>
          <w:rFonts w:hint="eastAsia" w:ascii="宋体" w:hAnsi="宋体" w:cs="宋体"/>
          <w:sz w:val="24"/>
        </w:rPr>
        <w:t>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rPr>
      </w:pPr>
      <w:r>
        <w:rPr>
          <w:rFonts w:hint="eastAsia" w:ascii="宋体" w:hAnsi="宋体" w:cs="宋体"/>
          <w:b/>
          <w:bCs/>
          <w:sz w:val="24"/>
        </w:rPr>
        <w:t>3.2</w:t>
      </w:r>
      <w:r>
        <w:rPr>
          <w:rFonts w:hint="eastAsia" w:ascii="宋体" w:hAnsi="宋体" w:cs="宋体"/>
          <w:sz w:val="24"/>
        </w:rPr>
        <w:t>综合评分明细表</w:t>
      </w:r>
    </w:p>
    <w:p>
      <w:pPr>
        <w:spacing w:line="360" w:lineRule="auto"/>
        <w:ind w:firstLine="480" w:firstLineChars="200"/>
        <w:rPr>
          <w:rFonts w:ascii="宋体" w:hAnsi="宋体" w:cs="宋体"/>
          <w:sz w:val="24"/>
        </w:rPr>
      </w:pPr>
    </w:p>
    <w:tbl>
      <w:tblPr>
        <w:tblStyle w:val="20"/>
        <w:tblpPr w:leftFromText="180" w:rightFromText="180" w:vertAnchor="text" w:horzAnchor="page" w:tblpXSpec="center" w:tblpY="824"/>
        <w:tblOverlap w:val="never"/>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7"/>
        <w:gridCol w:w="1178"/>
        <w:gridCol w:w="750"/>
        <w:gridCol w:w="458"/>
        <w:gridCol w:w="5787"/>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jc w:val="center"/>
        </w:trPr>
        <w:tc>
          <w:tcPr>
            <w:tcW w:w="557"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评 分 因 素及权重</w:t>
            </w:r>
          </w:p>
        </w:tc>
        <w:tc>
          <w:tcPr>
            <w:tcW w:w="750"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分值</w:t>
            </w:r>
          </w:p>
        </w:tc>
        <w:tc>
          <w:tcPr>
            <w:tcW w:w="6245" w:type="dxa"/>
            <w:gridSpan w:val="2"/>
            <w:noWrap/>
            <w:vAlign w:val="center"/>
          </w:tcPr>
          <w:p>
            <w:pPr>
              <w:spacing w:line="360" w:lineRule="auto"/>
              <w:jc w:val="center"/>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评分标准</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1" w:hRule="atLeast"/>
          <w:jc w:val="center"/>
        </w:trPr>
        <w:tc>
          <w:tcPr>
            <w:tcW w:w="557"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报价20%</w:t>
            </w:r>
          </w:p>
        </w:tc>
        <w:tc>
          <w:tcPr>
            <w:tcW w:w="75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20分</w:t>
            </w:r>
          </w:p>
        </w:tc>
        <w:tc>
          <w:tcPr>
            <w:tcW w:w="6245" w:type="dxa"/>
            <w:gridSpan w:val="2"/>
            <w:noWrap/>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满足招标文件要求且投标价格最低的投标报价为评标基准价，其价格分为满分。其他供应商的价格分，统一按照下列公式计算：投标报价得分=(评标基准价÷投标报价)*20。</w:t>
            </w:r>
          </w:p>
          <w:p>
            <w:pPr>
              <w:rPr>
                <w:rFonts w:hint="eastAsia"/>
                <w:lang w:val="en-US" w:eastAsia="zh-CN"/>
              </w:rPr>
            </w:pPr>
          </w:p>
          <w:p>
            <w:pPr>
              <w:spacing w:line="360" w:lineRule="auto"/>
              <w:ind w:left="42" w:leftChars="20"/>
              <w:rPr>
                <w:rFonts w:ascii="宋体" w:hAnsi="宋体" w:cs="宋体"/>
                <w:sz w:val="24"/>
              </w:rPr>
            </w:pPr>
            <w:r>
              <w:rPr>
                <w:rFonts w:hint="eastAsia" w:ascii="宋体" w:hAnsi="宋体" w:cs="宋体"/>
                <w:b w:val="0"/>
                <w:bCs w:val="0"/>
                <w:sz w:val="24"/>
              </w:rPr>
              <w:t>注：</w:t>
            </w:r>
            <w:r>
              <w:rPr>
                <w:rFonts w:hint="eastAsia" w:ascii="宋体" w:hAnsi="宋体" w:cs="宋体"/>
                <w:sz w:val="24"/>
              </w:rPr>
              <w:t>1、根据财政部、工业和信息化部《关于印发〈政府采购促进中小企业发展</w:t>
            </w:r>
            <w:r>
              <w:rPr>
                <w:rFonts w:hint="eastAsia" w:ascii="宋体" w:hAnsi="宋体" w:cs="宋体"/>
                <w:sz w:val="24"/>
                <w:lang w:val="en-US" w:eastAsia="zh-CN"/>
              </w:rPr>
              <w:t>管理</w:t>
            </w:r>
            <w:r>
              <w:rPr>
                <w:rFonts w:hint="eastAsia" w:ascii="宋体" w:hAnsi="宋体" w:cs="宋体"/>
                <w:sz w:val="24"/>
              </w:rPr>
              <w:t>办法〉的通知》（财库[2020]46号）规定，对符合规定的小型、微型企业报价给予其10%的价格扣除，用扣除后的价格参与评审（如所有供应商均满足价格扣除条件的，则不必扣除）。</w:t>
            </w:r>
          </w:p>
          <w:p>
            <w:pPr>
              <w:spacing w:line="360" w:lineRule="auto"/>
              <w:ind w:left="42" w:leftChars="20"/>
              <w:rPr>
                <w:rFonts w:ascii="宋体" w:hAnsi="宋体" w:cs="宋体"/>
                <w:sz w:val="24"/>
              </w:rPr>
            </w:pPr>
            <w:r>
              <w:rPr>
                <w:rFonts w:hint="eastAsia" w:ascii="宋体" w:hAnsi="宋体" w:cs="宋体"/>
                <w:sz w:val="24"/>
              </w:rPr>
              <w:t>2、根据《政府采购支持监狱企业发展有关问题的通知》（财库[2014]68号）文件规定，监狱企业视同小型、微型企业，享受评审中价格扣除的政府采购政策；监狱企业参与采购的给予其10%的价格扣除，用扣除后的价格参与评审；监狱企业参加政府采购活动时，应当提供由省级以上监狱管理局、戒毒管理局（含新疆生产建设兵团）出具的属于监狱企业的证明文件。</w:t>
            </w:r>
          </w:p>
          <w:p>
            <w:pPr>
              <w:spacing w:line="360" w:lineRule="auto"/>
              <w:ind w:left="42" w:leftChars="20"/>
              <w:rPr>
                <w:rFonts w:ascii="宋体" w:hAnsi="宋体" w:cs="宋体"/>
                <w:sz w:val="24"/>
              </w:rPr>
            </w:pPr>
            <w:r>
              <w:rPr>
                <w:rFonts w:hint="eastAsia" w:ascii="宋体" w:hAnsi="宋体" w:cs="宋体"/>
                <w:sz w:val="24"/>
              </w:rPr>
              <w:t>3、根据《关于促进残疾人就业政府采购政策的通知》（财库〔2017〕141号）规定，残疾人福利性单位视同小型、微型企业。残疾人福利性单位属于小型、微型企业的，不重复享受政策。</w:t>
            </w:r>
          </w:p>
          <w:p>
            <w:pPr>
              <w:pStyle w:val="2"/>
            </w:pPr>
            <w:r>
              <w:rPr>
                <w:rFonts w:hint="eastAsia" w:ascii="宋体" w:hAnsi="宋体" w:cs="宋体"/>
                <w:sz w:val="24"/>
              </w:rPr>
              <w:t>注：提供虚假《中小企业声明函》的，按提供虚假材料谋取成交予以处理。</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557"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sz w:val="24"/>
              </w:rPr>
              <w:t>履约能力1</w:t>
            </w:r>
            <w:r>
              <w:rPr>
                <w:rFonts w:hint="eastAsia" w:ascii="宋体" w:hAnsi="宋体" w:cs="宋体"/>
                <w:sz w:val="24"/>
                <w:lang w:val="en-US" w:eastAsia="zh-CN"/>
              </w:rPr>
              <w:t>7</w:t>
            </w:r>
            <w:r>
              <w:rPr>
                <w:rFonts w:hint="eastAsia" w:ascii="宋体" w:hAnsi="宋体" w:cs="宋体"/>
                <w:sz w:val="24"/>
              </w:rPr>
              <w:t>%</w:t>
            </w:r>
          </w:p>
        </w:tc>
        <w:tc>
          <w:tcPr>
            <w:tcW w:w="750" w:type="dxa"/>
            <w:noWrap/>
            <w:vAlign w:val="center"/>
          </w:tcPr>
          <w:p>
            <w:pPr>
              <w:spacing w:line="360" w:lineRule="auto"/>
              <w:rPr>
                <w:rFonts w:ascii="宋体" w:hAnsi="宋体" w:cs="宋体"/>
                <w:color w:val="000000"/>
                <w:sz w:val="24"/>
              </w:rPr>
            </w:pPr>
            <w:r>
              <w:rPr>
                <w:rFonts w:hint="eastAsia" w:ascii="宋体" w:hAnsi="宋体" w:cs="宋体"/>
                <w:sz w:val="24"/>
                <w:lang w:val="en-US" w:eastAsia="zh-CN"/>
              </w:rPr>
              <w:t>17</w:t>
            </w:r>
            <w:r>
              <w:rPr>
                <w:rFonts w:hint="eastAsia" w:ascii="宋体" w:hAnsi="宋体" w:cs="宋体"/>
                <w:sz w:val="24"/>
              </w:rPr>
              <w:t>分</w:t>
            </w:r>
          </w:p>
        </w:tc>
        <w:tc>
          <w:tcPr>
            <w:tcW w:w="6245" w:type="dxa"/>
            <w:gridSpan w:val="2"/>
            <w:noWrap/>
            <w:vAlign w:val="center"/>
          </w:tcPr>
          <w:p>
            <w:pPr>
              <w:widowControl/>
              <w:spacing w:line="360" w:lineRule="auto"/>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供应商每提供1个</w:t>
            </w:r>
            <w:r>
              <w:rPr>
                <w:rFonts w:hint="eastAsia" w:ascii="宋体" w:hAnsi="宋体" w:cs="宋体"/>
                <w:color w:val="000000"/>
                <w:sz w:val="24"/>
                <w:highlight w:val="none"/>
                <w:lang w:val="en-US" w:eastAsia="zh-CN"/>
              </w:rPr>
              <w:t>自</w:t>
            </w:r>
            <w:r>
              <w:rPr>
                <w:rFonts w:hint="eastAsia" w:ascii="宋体" w:hAnsi="宋体" w:cs="宋体"/>
                <w:color w:val="000000"/>
                <w:sz w:val="24"/>
                <w:highlight w:val="none"/>
              </w:rPr>
              <w:t>2018年1月以来</w:t>
            </w:r>
            <w:r>
              <w:rPr>
                <w:rFonts w:hint="eastAsia" w:ascii="宋体" w:hAnsi="宋体" w:cs="宋体"/>
                <w:color w:val="000000"/>
                <w:sz w:val="24"/>
                <w:highlight w:val="none"/>
                <w:lang w:val="en-US" w:eastAsia="zh-CN"/>
              </w:rPr>
              <w:t>的</w:t>
            </w:r>
            <w:r>
              <w:rPr>
                <w:rFonts w:hint="eastAsia" w:ascii="宋体" w:hAnsi="宋体" w:cs="宋体"/>
                <w:color w:val="000000" w:themeColor="text1"/>
                <w:sz w:val="24"/>
                <w:highlight w:val="none"/>
                <w14:textFill>
                  <w14:solidFill>
                    <w14:schemeClr w14:val="tx1"/>
                  </w14:solidFill>
                </w14:textFill>
              </w:rPr>
              <w:t>污水处理建设或运营项目类似业绩</w:t>
            </w:r>
            <w:r>
              <w:rPr>
                <w:rFonts w:hint="eastAsia" w:ascii="宋体" w:hAnsi="宋体" w:cs="宋体"/>
                <w:color w:val="000000"/>
                <w:sz w:val="24"/>
                <w:highlight w:val="none"/>
              </w:rPr>
              <w:t>得3分，本项最高得12分。</w:t>
            </w:r>
          </w:p>
          <w:p>
            <w:pPr>
              <w:widowControl/>
              <w:spacing w:line="360" w:lineRule="auto"/>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供应商具有质量管理体系认证得1分、环境管理体系认证得1分、职业健康安全管理体系认证得1分，本项最多得3分。</w:t>
            </w:r>
          </w:p>
          <w:p>
            <w:pPr>
              <w:widowControl/>
              <w:spacing w:line="360" w:lineRule="auto"/>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、供应商具有污水处理相关的证书，每</w:t>
            </w:r>
            <w:r>
              <w:rPr>
                <w:rFonts w:hint="eastAsia" w:ascii="宋体" w:hAnsi="宋体" w:cs="宋体"/>
                <w:sz w:val="24"/>
                <w:highlight w:val="none"/>
                <w:lang w:val="en-US" w:eastAsia="zh-CN"/>
              </w:rPr>
              <w:t>提供</w:t>
            </w:r>
            <w:r>
              <w:rPr>
                <w:rFonts w:hint="eastAsia" w:ascii="宋体" w:hAnsi="宋体" w:cs="宋体"/>
                <w:sz w:val="24"/>
                <w:highlight w:val="none"/>
              </w:rPr>
              <w:t>1</w:t>
            </w:r>
            <w:r>
              <w:rPr>
                <w:rFonts w:hint="eastAsia" w:ascii="宋体" w:hAnsi="宋体" w:cs="宋体"/>
                <w:sz w:val="24"/>
                <w:highlight w:val="none"/>
                <w:lang w:val="en-US" w:eastAsia="zh-CN"/>
              </w:rPr>
              <w:t>个得</w:t>
            </w:r>
            <w:r>
              <w:rPr>
                <w:rFonts w:hint="eastAsia" w:ascii="宋体" w:hAnsi="宋体" w:cs="宋体"/>
                <w:sz w:val="24"/>
                <w:highlight w:val="none"/>
              </w:rPr>
              <w:t>1分，本项最多得2分。</w:t>
            </w:r>
          </w:p>
          <w:p>
            <w:pPr>
              <w:autoSpaceDE w:val="0"/>
              <w:autoSpaceDN w:val="0"/>
              <w:adjustRightInd w:val="0"/>
              <w:spacing w:line="360" w:lineRule="auto"/>
              <w:rPr>
                <w:rFonts w:ascii="宋体" w:hAnsi="宋体" w:cs="宋体"/>
                <w:color w:val="000000"/>
                <w:sz w:val="24"/>
                <w:highlight w:val="none"/>
              </w:rPr>
            </w:pPr>
            <w:r>
              <w:rPr>
                <w:rFonts w:hint="eastAsia" w:ascii="宋体" w:hAnsi="宋体" w:cs="宋体"/>
                <w:sz w:val="24"/>
                <w:highlight w:val="none"/>
              </w:rPr>
              <w:t>注：</w:t>
            </w:r>
            <w:r>
              <w:rPr>
                <w:rFonts w:hint="eastAsia" w:ascii="宋体" w:hAnsi="宋体" w:eastAsia="宋体" w:cs="宋体"/>
                <w:color w:val="000000"/>
                <w:sz w:val="24"/>
                <w:highlight w:val="none"/>
                <w:lang w:val="en-US" w:eastAsia="zh-CN"/>
              </w:rPr>
              <w:t>以合同签订时间为准，</w:t>
            </w:r>
            <w:r>
              <w:rPr>
                <w:rFonts w:hint="eastAsia" w:ascii="宋体" w:hAnsi="宋体" w:eastAsia="宋体" w:cs="宋体"/>
                <w:color w:val="000000"/>
                <w:sz w:val="24"/>
                <w:highlight w:val="none"/>
              </w:rPr>
              <w:t>提供合同</w:t>
            </w:r>
            <w:r>
              <w:rPr>
                <w:rFonts w:hint="eastAsia" w:ascii="宋体" w:hAnsi="宋体" w:eastAsia="宋体" w:cs="宋体"/>
                <w:color w:val="000000"/>
                <w:sz w:val="24"/>
                <w:highlight w:val="none"/>
                <w:lang w:val="en-US" w:eastAsia="zh-CN"/>
              </w:rPr>
              <w:t>/协议</w:t>
            </w:r>
            <w:r>
              <w:rPr>
                <w:rFonts w:hint="eastAsia" w:ascii="宋体" w:hAnsi="宋体" w:eastAsia="宋体" w:cs="宋体"/>
                <w:color w:val="000000"/>
                <w:sz w:val="24"/>
                <w:highlight w:val="none"/>
              </w:rPr>
              <w:t>或中标/成交通知书复印件</w:t>
            </w:r>
            <w:r>
              <w:rPr>
                <w:rFonts w:hint="eastAsia" w:ascii="宋体" w:hAnsi="宋体" w:eastAsia="宋体" w:cs="宋体"/>
                <w:color w:val="000000"/>
                <w:sz w:val="24"/>
                <w:highlight w:val="none"/>
                <w:lang w:eastAsia="zh-CN"/>
              </w:rPr>
              <w:t>、第三方专业</w:t>
            </w:r>
            <w:r>
              <w:rPr>
                <w:rFonts w:hint="eastAsia" w:ascii="宋体" w:hAnsi="宋体" w:eastAsia="宋体" w:cs="宋体"/>
                <w:color w:val="000000"/>
                <w:sz w:val="24"/>
                <w:highlight w:val="none"/>
                <w:lang w:val="en-US" w:eastAsia="zh-CN"/>
              </w:rPr>
              <w:t>机构</w:t>
            </w:r>
            <w:r>
              <w:rPr>
                <w:rFonts w:hint="eastAsia" w:ascii="宋体" w:hAnsi="宋体" w:eastAsia="宋体" w:cs="宋体"/>
                <w:color w:val="000000"/>
                <w:sz w:val="24"/>
                <w:highlight w:val="none"/>
                <w:lang w:eastAsia="zh-CN"/>
              </w:rPr>
              <w:t>检测</w:t>
            </w:r>
            <w:r>
              <w:rPr>
                <w:rFonts w:hint="eastAsia" w:ascii="宋体" w:hAnsi="宋体" w:eastAsia="宋体" w:cs="宋体"/>
                <w:color w:val="000000"/>
                <w:sz w:val="24"/>
                <w:highlight w:val="none"/>
                <w:lang w:val="en-US" w:eastAsia="zh-CN"/>
              </w:rPr>
              <w:t>的</w:t>
            </w:r>
            <w:r>
              <w:rPr>
                <w:rFonts w:hint="eastAsia" w:ascii="宋体" w:hAnsi="宋体" w:eastAsia="宋体" w:cs="宋体"/>
                <w:color w:val="000000"/>
                <w:sz w:val="24"/>
                <w:highlight w:val="none"/>
                <w:lang w:eastAsia="zh-CN"/>
              </w:rPr>
              <w:t>出水水质检测报告（</w:t>
            </w:r>
            <w:r>
              <w:rPr>
                <w:rFonts w:hint="eastAsia" w:ascii="宋体" w:hAnsi="宋体" w:eastAsia="宋体" w:cs="宋体"/>
                <w:color w:val="000000"/>
                <w:sz w:val="24"/>
                <w:highlight w:val="none"/>
                <w:lang w:val="en-US" w:eastAsia="zh-CN"/>
              </w:rPr>
              <w:t>加</w:t>
            </w:r>
            <w:r>
              <w:rPr>
                <w:rFonts w:hint="eastAsia" w:ascii="宋体" w:hAnsi="宋体" w:eastAsia="宋体" w:cs="宋体"/>
                <w:color w:val="000000"/>
                <w:sz w:val="24"/>
                <w:highlight w:val="none"/>
                <w:lang w:eastAsia="zh-CN"/>
              </w:rPr>
              <w:t>盖CMC章）</w:t>
            </w:r>
            <w:r>
              <w:rPr>
                <w:rFonts w:hint="eastAsia" w:ascii="宋体" w:hAnsi="宋体" w:eastAsia="宋体" w:cs="宋体"/>
                <w:color w:val="000000"/>
                <w:sz w:val="24"/>
                <w:highlight w:val="none"/>
              </w:rPr>
              <w:t>并加盖供应商公章</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提供</w:t>
            </w:r>
            <w:r>
              <w:rPr>
                <w:rFonts w:hint="eastAsia" w:ascii="宋体" w:hAnsi="宋体" w:eastAsia="宋体" w:cs="宋体"/>
                <w:sz w:val="24"/>
                <w:highlight w:val="none"/>
              </w:rPr>
              <w:t>相关证书复印件并加盖公章（证书须在有效期内）。</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557" w:type="dxa"/>
            <w:vMerge w:val="restart"/>
            <w:noWrap/>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178" w:type="dxa"/>
            <w:vMerge w:val="restart"/>
            <w:noWrap/>
            <w:vAlign w:val="center"/>
          </w:tcPr>
          <w:p>
            <w:pPr>
              <w:spacing w:line="360" w:lineRule="auto"/>
              <w:jc w:val="center"/>
              <w:rPr>
                <w:rFonts w:ascii="宋体" w:hAnsi="宋体" w:cs="宋体"/>
                <w:color w:val="000000"/>
                <w:sz w:val="24"/>
              </w:rPr>
            </w:pPr>
            <w:r>
              <w:rPr>
                <w:rFonts w:hint="eastAsia" w:ascii="宋体" w:hAnsi="宋体" w:cs="宋体"/>
                <w:sz w:val="24"/>
              </w:rPr>
              <w:t>服务方案47%</w:t>
            </w:r>
          </w:p>
        </w:tc>
        <w:tc>
          <w:tcPr>
            <w:tcW w:w="750" w:type="dxa"/>
            <w:vMerge w:val="restart"/>
            <w:noWrap/>
            <w:vAlign w:val="center"/>
          </w:tcPr>
          <w:p>
            <w:pPr>
              <w:spacing w:line="360" w:lineRule="auto"/>
              <w:jc w:val="center"/>
              <w:rPr>
                <w:rFonts w:ascii="宋体" w:hAnsi="宋体" w:cs="宋体"/>
                <w:color w:val="000000"/>
                <w:sz w:val="24"/>
              </w:rPr>
            </w:pPr>
          </w:p>
        </w:tc>
        <w:tc>
          <w:tcPr>
            <w:tcW w:w="458"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w w:val="90"/>
                <w:sz w:val="24"/>
              </w:rPr>
              <w:t>工艺技术深化    9分</w:t>
            </w:r>
          </w:p>
        </w:tc>
        <w:tc>
          <w:tcPr>
            <w:tcW w:w="5787"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根据采购人提供的设计方案，供应商须编制项目深化设计方案。方案内容包括但不限于：①工艺方案、②技术可行性分析、③设备选型和设施主要设计参数。本项满分9分。</w:t>
            </w:r>
          </w:p>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以上方案涉及内容每有一项缺失或存在重大缺陷的扣3分；每有一项描述不清晰完整或不能满足采购需求的扣1.5分；本项扣完为止。不提供不得分。</w:t>
            </w:r>
          </w:p>
        </w:tc>
        <w:tc>
          <w:tcPr>
            <w:tcW w:w="740" w:type="dxa"/>
            <w:vMerge w:val="restart"/>
            <w:noWrap/>
            <w:vAlign w:val="center"/>
          </w:tcPr>
          <w:p>
            <w:pPr>
              <w:spacing w:line="360" w:lineRule="auto"/>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557" w:type="dxa"/>
            <w:vMerge w:val="continue"/>
            <w:noWrap/>
            <w:vAlign w:val="center"/>
          </w:tcPr>
          <w:p>
            <w:pPr>
              <w:autoSpaceDE w:val="0"/>
              <w:autoSpaceDN w:val="0"/>
              <w:adjustRightInd w:val="0"/>
              <w:spacing w:line="360" w:lineRule="auto"/>
              <w:rPr>
                <w:rFonts w:ascii="宋体" w:hAnsi="宋体" w:cs="宋体"/>
              </w:rPr>
            </w:pPr>
          </w:p>
        </w:tc>
        <w:tc>
          <w:tcPr>
            <w:tcW w:w="1178" w:type="dxa"/>
            <w:vMerge w:val="continue"/>
            <w:noWrap/>
            <w:vAlign w:val="center"/>
          </w:tcPr>
          <w:p>
            <w:pPr>
              <w:autoSpaceDE w:val="0"/>
              <w:autoSpaceDN w:val="0"/>
              <w:adjustRightInd w:val="0"/>
              <w:spacing w:line="360" w:lineRule="auto"/>
              <w:rPr>
                <w:rFonts w:ascii="宋体" w:hAnsi="宋体" w:cs="宋体"/>
              </w:rPr>
            </w:pPr>
          </w:p>
        </w:tc>
        <w:tc>
          <w:tcPr>
            <w:tcW w:w="750" w:type="dxa"/>
            <w:vMerge w:val="continue"/>
            <w:noWrap/>
            <w:vAlign w:val="center"/>
          </w:tcPr>
          <w:p>
            <w:pPr>
              <w:autoSpaceDE w:val="0"/>
              <w:autoSpaceDN w:val="0"/>
              <w:adjustRightInd w:val="0"/>
              <w:spacing w:line="360" w:lineRule="auto"/>
              <w:rPr>
                <w:rFonts w:ascii="宋体" w:hAnsi="宋体" w:cs="宋体"/>
              </w:rPr>
            </w:pPr>
          </w:p>
        </w:tc>
        <w:tc>
          <w:tcPr>
            <w:tcW w:w="458" w:type="dxa"/>
            <w:noWrap/>
            <w:vAlign w:val="center"/>
          </w:tcPr>
          <w:p>
            <w:pPr>
              <w:autoSpaceDE w:val="0"/>
              <w:autoSpaceDN w:val="0"/>
              <w:adjustRightInd w:val="0"/>
              <w:spacing w:line="360" w:lineRule="auto"/>
              <w:jc w:val="center"/>
              <w:rPr>
                <w:rFonts w:ascii="宋体" w:hAnsi="宋体" w:cs="宋体"/>
                <w:color w:val="000000"/>
                <w:w w:val="90"/>
                <w:sz w:val="24"/>
              </w:rPr>
            </w:pPr>
            <w:r>
              <w:rPr>
                <w:rFonts w:hint="eastAsia" w:ascii="宋体" w:hAnsi="宋体" w:cs="宋体"/>
                <w:color w:val="000000"/>
                <w:w w:val="90"/>
                <w:sz w:val="24"/>
              </w:rPr>
              <w:t>施工组织方案12分</w:t>
            </w:r>
          </w:p>
          <w:p>
            <w:pPr>
              <w:autoSpaceDE w:val="0"/>
              <w:autoSpaceDN w:val="0"/>
              <w:adjustRightInd w:val="0"/>
              <w:spacing w:line="360" w:lineRule="auto"/>
              <w:rPr>
                <w:rFonts w:ascii="宋体" w:hAnsi="宋体" w:cs="宋体"/>
              </w:rPr>
            </w:pPr>
          </w:p>
        </w:tc>
        <w:tc>
          <w:tcPr>
            <w:tcW w:w="5787"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供应商应根据本项目建设要求，对资源配置、工程进度、技术措施、质量管理、安全管理、环境保护管理进行合理安排，制定相应的管理方案。包含但不限于：①施工措施、②工程进度、③技术措施、④质量管理、⑤安全管理、⑥环境保护管理；本项满分12分。</w:t>
            </w:r>
          </w:p>
          <w:p>
            <w:pPr>
              <w:autoSpaceDE w:val="0"/>
              <w:autoSpaceDN w:val="0"/>
              <w:adjustRightInd w:val="0"/>
              <w:spacing w:line="360" w:lineRule="auto"/>
              <w:rPr>
                <w:rFonts w:ascii="宋体" w:hAnsi="宋体" w:cs="宋体"/>
              </w:rPr>
            </w:pPr>
            <w:r>
              <w:rPr>
                <w:rFonts w:hint="eastAsia" w:ascii="宋体" w:hAnsi="宋体" w:cs="宋体"/>
                <w:color w:val="000000"/>
                <w:sz w:val="24"/>
              </w:rPr>
              <w:t>以上方案涉及内容每有一项缺失或存在重大缺陷的扣2分；每有一项描述不清晰完整或不能满足采购需求的扣1分；本项扣完为止。不提供不得分。</w:t>
            </w:r>
          </w:p>
        </w:tc>
        <w:tc>
          <w:tcPr>
            <w:tcW w:w="740" w:type="dxa"/>
            <w:vMerge w:val="continue"/>
            <w:noWrap/>
            <w:vAlign w:val="center"/>
          </w:tcPr>
          <w:p>
            <w:pPr>
              <w:autoSpaceDE w:val="0"/>
              <w:autoSpaceDN w:val="0"/>
              <w:adjustRightInd w:val="0"/>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557" w:type="dxa"/>
            <w:vMerge w:val="continue"/>
            <w:noWrap/>
            <w:vAlign w:val="center"/>
          </w:tcPr>
          <w:p>
            <w:pPr>
              <w:autoSpaceDE w:val="0"/>
              <w:autoSpaceDN w:val="0"/>
              <w:adjustRightInd w:val="0"/>
              <w:spacing w:line="360" w:lineRule="auto"/>
              <w:rPr>
                <w:rFonts w:ascii="宋体" w:hAnsi="宋体" w:cs="宋体"/>
              </w:rPr>
            </w:pPr>
          </w:p>
        </w:tc>
        <w:tc>
          <w:tcPr>
            <w:tcW w:w="1178" w:type="dxa"/>
            <w:vMerge w:val="continue"/>
            <w:noWrap/>
            <w:vAlign w:val="center"/>
          </w:tcPr>
          <w:p>
            <w:pPr>
              <w:autoSpaceDE w:val="0"/>
              <w:autoSpaceDN w:val="0"/>
              <w:adjustRightInd w:val="0"/>
              <w:spacing w:line="360" w:lineRule="auto"/>
              <w:rPr>
                <w:rFonts w:ascii="宋体" w:hAnsi="宋体" w:cs="宋体"/>
              </w:rPr>
            </w:pPr>
          </w:p>
        </w:tc>
        <w:tc>
          <w:tcPr>
            <w:tcW w:w="750" w:type="dxa"/>
            <w:vMerge w:val="continue"/>
            <w:noWrap/>
            <w:vAlign w:val="center"/>
          </w:tcPr>
          <w:p>
            <w:pPr>
              <w:autoSpaceDE w:val="0"/>
              <w:autoSpaceDN w:val="0"/>
              <w:adjustRightInd w:val="0"/>
              <w:spacing w:line="360" w:lineRule="auto"/>
              <w:rPr>
                <w:rFonts w:ascii="宋体" w:hAnsi="宋体" w:cs="宋体"/>
              </w:rPr>
            </w:pPr>
          </w:p>
        </w:tc>
        <w:tc>
          <w:tcPr>
            <w:tcW w:w="458" w:type="dxa"/>
            <w:noWrap/>
            <w:vAlign w:val="center"/>
          </w:tcPr>
          <w:p>
            <w:pPr>
              <w:autoSpaceDE w:val="0"/>
              <w:autoSpaceDN w:val="0"/>
              <w:adjustRightInd w:val="0"/>
              <w:spacing w:line="360" w:lineRule="auto"/>
              <w:jc w:val="center"/>
              <w:rPr>
                <w:rFonts w:ascii="宋体" w:hAnsi="宋体" w:cs="宋体"/>
                <w:color w:val="000000"/>
                <w:w w:val="90"/>
                <w:sz w:val="24"/>
              </w:rPr>
            </w:pPr>
            <w:r>
              <w:rPr>
                <w:rFonts w:hint="eastAsia" w:ascii="宋体" w:hAnsi="宋体" w:cs="宋体"/>
                <w:color w:val="000000"/>
                <w:w w:val="90"/>
                <w:sz w:val="24"/>
              </w:rPr>
              <w:t>运营管理方案20分</w:t>
            </w:r>
          </w:p>
          <w:p>
            <w:pPr>
              <w:autoSpaceDE w:val="0"/>
              <w:autoSpaceDN w:val="0"/>
              <w:adjustRightInd w:val="0"/>
              <w:spacing w:line="360" w:lineRule="auto"/>
              <w:rPr>
                <w:rFonts w:ascii="宋体" w:hAnsi="宋体" w:cs="宋体"/>
              </w:rPr>
            </w:pPr>
          </w:p>
        </w:tc>
        <w:tc>
          <w:tcPr>
            <w:tcW w:w="5787"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供应商须编制本项目的</w:t>
            </w:r>
            <w:r>
              <w:rPr>
                <w:rFonts w:hint="eastAsia" w:ascii="宋体" w:hAnsi="宋体" w:cs="宋体"/>
                <w:color w:val="000000"/>
                <w:w w:val="90"/>
                <w:sz w:val="24"/>
              </w:rPr>
              <w:t>运营</w:t>
            </w:r>
            <w:r>
              <w:rPr>
                <w:rFonts w:hint="eastAsia" w:ascii="宋体" w:hAnsi="宋体" w:cs="宋体"/>
                <w:color w:val="000000"/>
                <w:sz w:val="24"/>
              </w:rPr>
              <w:t>管理方案，内容包括但不限于：①资源配置、②管理制度、③运营维护、④质量保障、⑤安全保障。本项满分20分。</w:t>
            </w:r>
          </w:p>
          <w:p>
            <w:pPr>
              <w:autoSpaceDE w:val="0"/>
              <w:autoSpaceDN w:val="0"/>
              <w:adjustRightInd w:val="0"/>
              <w:spacing w:line="360" w:lineRule="auto"/>
              <w:rPr>
                <w:rFonts w:ascii="宋体" w:hAnsi="宋体" w:cs="宋体"/>
              </w:rPr>
            </w:pPr>
            <w:r>
              <w:rPr>
                <w:rFonts w:hint="eastAsia" w:ascii="宋体" w:hAnsi="宋体" w:cs="宋体"/>
                <w:color w:val="000000"/>
                <w:sz w:val="24"/>
              </w:rPr>
              <w:t>以上方案涉及内容每有一项缺失或存在重大缺陷的扣4分；每有一项描述不清晰完整或不能满足采购需求的扣2分；本项扣完为止。不提供不得分。</w:t>
            </w:r>
          </w:p>
        </w:tc>
        <w:tc>
          <w:tcPr>
            <w:tcW w:w="740" w:type="dxa"/>
            <w:vMerge w:val="continue"/>
            <w:noWrap/>
            <w:vAlign w:val="center"/>
          </w:tcPr>
          <w:p>
            <w:pPr>
              <w:autoSpaceDE w:val="0"/>
              <w:autoSpaceDN w:val="0"/>
              <w:adjustRightInd w:val="0"/>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557" w:type="dxa"/>
            <w:vMerge w:val="continue"/>
            <w:noWrap/>
            <w:vAlign w:val="center"/>
          </w:tcPr>
          <w:p>
            <w:pPr>
              <w:autoSpaceDE w:val="0"/>
              <w:autoSpaceDN w:val="0"/>
              <w:adjustRightInd w:val="0"/>
              <w:spacing w:line="360" w:lineRule="auto"/>
              <w:rPr>
                <w:rFonts w:ascii="宋体" w:hAnsi="宋体" w:cs="宋体"/>
              </w:rPr>
            </w:pPr>
          </w:p>
        </w:tc>
        <w:tc>
          <w:tcPr>
            <w:tcW w:w="1178" w:type="dxa"/>
            <w:vMerge w:val="continue"/>
            <w:noWrap/>
            <w:vAlign w:val="center"/>
          </w:tcPr>
          <w:p>
            <w:pPr>
              <w:autoSpaceDE w:val="0"/>
              <w:autoSpaceDN w:val="0"/>
              <w:adjustRightInd w:val="0"/>
              <w:spacing w:line="360" w:lineRule="auto"/>
              <w:rPr>
                <w:rFonts w:ascii="宋体" w:hAnsi="宋体" w:cs="宋体"/>
              </w:rPr>
            </w:pPr>
          </w:p>
        </w:tc>
        <w:tc>
          <w:tcPr>
            <w:tcW w:w="750" w:type="dxa"/>
            <w:vMerge w:val="continue"/>
            <w:noWrap/>
            <w:vAlign w:val="center"/>
          </w:tcPr>
          <w:p>
            <w:pPr>
              <w:autoSpaceDE w:val="0"/>
              <w:autoSpaceDN w:val="0"/>
              <w:adjustRightInd w:val="0"/>
              <w:spacing w:line="360" w:lineRule="auto"/>
              <w:rPr>
                <w:rFonts w:ascii="宋体" w:hAnsi="宋体" w:cs="宋体"/>
              </w:rPr>
            </w:pPr>
          </w:p>
        </w:tc>
        <w:tc>
          <w:tcPr>
            <w:tcW w:w="458" w:type="dxa"/>
            <w:noWrap/>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应急措施</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6分</w:t>
            </w:r>
          </w:p>
          <w:p>
            <w:pPr>
              <w:autoSpaceDE w:val="0"/>
              <w:autoSpaceDN w:val="0"/>
              <w:adjustRightInd w:val="0"/>
              <w:spacing w:line="360" w:lineRule="auto"/>
              <w:rPr>
                <w:rFonts w:ascii="宋体" w:hAnsi="宋体" w:cs="宋体"/>
              </w:rPr>
            </w:pPr>
          </w:p>
        </w:tc>
        <w:tc>
          <w:tcPr>
            <w:tcW w:w="5787" w:type="dxa"/>
            <w:noWrap/>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供应商应充分考虑项目风险情况，制定应急预案，包括但不限于：①安全事故预案、②防洪预案、③环境污染事故预案等。本项满分6分。</w:t>
            </w:r>
          </w:p>
          <w:p>
            <w:pPr>
              <w:autoSpaceDE w:val="0"/>
              <w:autoSpaceDN w:val="0"/>
              <w:adjustRightInd w:val="0"/>
              <w:spacing w:line="360" w:lineRule="auto"/>
              <w:rPr>
                <w:rFonts w:ascii="宋体" w:hAnsi="宋体" w:cs="宋体"/>
              </w:rPr>
            </w:pPr>
            <w:r>
              <w:rPr>
                <w:rFonts w:hint="eastAsia" w:ascii="宋体" w:hAnsi="宋体" w:cs="宋体"/>
                <w:color w:val="000000"/>
                <w:sz w:val="24"/>
              </w:rPr>
              <w:t>以上方案涉及内容每有一项缺失或存在重大缺陷的扣2分；每有一项描述不清晰完整或不能满足采购需求的扣1分；本项扣完为止。不提供不得分。</w:t>
            </w:r>
          </w:p>
        </w:tc>
        <w:tc>
          <w:tcPr>
            <w:tcW w:w="740" w:type="dxa"/>
            <w:vMerge w:val="continue"/>
            <w:noWrap/>
            <w:vAlign w:val="center"/>
          </w:tcPr>
          <w:p>
            <w:pPr>
              <w:autoSpaceDE w:val="0"/>
              <w:autoSpaceDN w:val="0"/>
              <w:adjustRightInd w:val="0"/>
              <w:spacing w:line="360" w:lineRule="auto"/>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dxa"/>
            <w:noWrap/>
            <w:vAlign w:val="center"/>
          </w:tcPr>
          <w:p>
            <w:pPr>
              <w:spacing w:line="360" w:lineRule="auto"/>
              <w:ind w:firstLine="120" w:firstLineChars="50"/>
              <w:jc w:val="center"/>
              <w:rPr>
                <w:rFonts w:ascii="宋体" w:hAnsi="宋体" w:cs="宋体"/>
                <w:color w:val="000000"/>
                <w:sz w:val="24"/>
              </w:rPr>
            </w:pPr>
            <w:r>
              <w:rPr>
                <w:rFonts w:hint="eastAsia" w:ascii="宋体" w:hAnsi="宋体" w:cs="宋体"/>
                <w:sz w:val="24"/>
              </w:rPr>
              <w:t>4</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sz w:val="24"/>
              </w:rPr>
              <w:t>人员13%</w:t>
            </w:r>
          </w:p>
        </w:tc>
        <w:tc>
          <w:tcPr>
            <w:tcW w:w="750" w:type="dxa"/>
            <w:noWrap/>
            <w:vAlign w:val="center"/>
          </w:tcPr>
          <w:p>
            <w:pPr>
              <w:spacing w:line="360" w:lineRule="auto"/>
              <w:rPr>
                <w:rFonts w:ascii="宋体" w:hAnsi="宋体" w:cs="宋体"/>
                <w:color w:val="000000"/>
                <w:sz w:val="24"/>
                <w:highlight w:val="none"/>
              </w:rPr>
            </w:pPr>
            <w:r>
              <w:rPr>
                <w:rFonts w:hint="eastAsia" w:ascii="宋体" w:hAnsi="宋体" w:cs="宋体"/>
                <w:sz w:val="24"/>
                <w:highlight w:val="none"/>
              </w:rPr>
              <w:t>13分</w:t>
            </w:r>
          </w:p>
        </w:tc>
        <w:tc>
          <w:tcPr>
            <w:tcW w:w="6245" w:type="dxa"/>
            <w:gridSpan w:val="2"/>
            <w:noWrap/>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拟派本项目人员：</w:t>
            </w:r>
          </w:p>
          <w:p>
            <w:pPr>
              <w:widowControl/>
              <w:numPr>
                <w:ilvl w:val="0"/>
                <w:numId w:val="9"/>
              </w:numPr>
              <w:spacing w:line="360" w:lineRule="auto"/>
              <w:jc w:val="left"/>
              <w:rPr>
                <w:rFonts w:hint="eastAsia" w:ascii="宋体" w:hAnsi="宋体" w:eastAsia="宋体" w:cs="宋体"/>
                <w:sz w:val="24"/>
                <w:highlight w:val="none"/>
                <w:lang w:val="en-US" w:eastAsia="zh-CN"/>
              </w:rPr>
            </w:pPr>
            <w:r>
              <w:rPr>
                <w:rFonts w:hint="eastAsia" w:ascii="宋体" w:hAnsi="宋体" w:cs="宋体"/>
                <w:sz w:val="24"/>
                <w:highlight w:val="none"/>
              </w:rPr>
              <w:t>施工期项目负责人：具有市政工程专业二级或以上注册建造师证书，</w:t>
            </w:r>
            <w:r>
              <w:rPr>
                <w:rFonts w:hint="eastAsia" w:ascii="宋体" w:hAnsi="宋体" w:cs="宋体"/>
                <w:sz w:val="24"/>
                <w:highlight w:val="none"/>
                <w:lang w:val="en-US" w:eastAsia="zh-CN"/>
              </w:rPr>
              <w:t>同</w:t>
            </w:r>
            <w:r>
              <w:rPr>
                <w:rFonts w:hint="eastAsia" w:ascii="宋体" w:hAnsi="宋体" w:eastAsia="宋体" w:cs="宋体"/>
                <w:sz w:val="24"/>
                <w:highlight w:val="none"/>
              </w:rPr>
              <w:t>时具有安全</w:t>
            </w:r>
            <w:r>
              <w:rPr>
                <w:rFonts w:hint="eastAsia" w:ascii="宋体" w:hAnsi="宋体" w:eastAsia="宋体" w:cs="宋体"/>
                <w:sz w:val="24"/>
                <w:highlight w:val="none"/>
                <w:lang w:val="en-US" w:eastAsia="zh-CN"/>
              </w:rPr>
              <w:t>考核合格</w:t>
            </w:r>
            <w:r>
              <w:rPr>
                <w:rFonts w:hint="eastAsia" w:ascii="宋体" w:hAnsi="宋体" w:eastAsia="宋体" w:cs="宋体"/>
                <w:sz w:val="24"/>
                <w:highlight w:val="none"/>
              </w:rPr>
              <w:t>B证书、</w:t>
            </w:r>
            <w:r>
              <w:rPr>
                <w:rFonts w:hint="eastAsia" w:ascii="宋体" w:hAnsi="宋体" w:eastAsia="宋体" w:cs="宋体"/>
                <w:sz w:val="24"/>
                <w:highlight w:val="none"/>
                <w:lang w:val="en-US" w:eastAsia="zh-CN"/>
              </w:rPr>
              <w:t>环保工程相关专业或市政工程相关专业或给排水相关专业中级或以上职称得3分</w:t>
            </w:r>
            <w:r>
              <w:rPr>
                <w:rFonts w:hint="eastAsia" w:ascii="宋体" w:hAnsi="宋体" w:cs="宋体"/>
                <w:sz w:val="24"/>
                <w:highlight w:val="none"/>
                <w:lang w:val="en-US" w:eastAsia="zh-CN"/>
              </w:rPr>
              <w:t>。</w:t>
            </w:r>
          </w:p>
          <w:p>
            <w:pPr>
              <w:widowControl/>
              <w:numPr>
                <w:ilvl w:val="0"/>
                <w:numId w:val="0"/>
              </w:numPr>
              <w:spacing w:line="360" w:lineRule="auto"/>
              <w:jc w:val="left"/>
              <w:rPr>
                <w:rFonts w:ascii="宋体" w:hAnsi="宋体" w:cs="宋体"/>
                <w:sz w:val="24"/>
                <w:highlight w:val="none"/>
              </w:rPr>
            </w:pPr>
            <w:r>
              <w:rPr>
                <w:rFonts w:hint="eastAsia" w:ascii="宋体" w:hAnsi="宋体" w:cs="宋体"/>
                <w:sz w:val="24"/>
                <w:highlight w:val="none"/>
              </w:rPr>
              <w:t>2、施工期技术负责人：具有市政工程或环保工程相关专业中级职称得2分，高级或以上得3分,本项最多得3分。</w:t>
            </w:r>
          </w:p>
          <w:p>
            <w:pPr>
              <w:widowControl/>
              <w:spacing w:line="360" w:lineRule="auto"/>
              <w:jc w:val="left"/>
              <w:rPr>
                <w:rFonts w:ascii="宋体" w:hAnsi="宋体" w:cs="宋体"/>
                <w:sz w:val="24"/>
                <w:highlight w:val="none"/>
              </w:rPr>
            </w:pPr>
            <w:r>
              <w:rPr>
                <w:rFonts w:hint="eastAsia" w:ascii="宋体" w:hAnsi="宋体" w:cs="宋体"/>
                <w:sz w:val="24"/>
                <w:highlight w:val="none"/>
              </w:rPr>
              <w:t>3、运营期项目负责人：具有环保工程相关专业中级职称得2分，高级或以上得3分,本项最多得3分。</w:t>
            </w:r>
          </w:p>
          <w:p>
            <w:pPr>
              <w:widowControl/>
              <w:spacing w:line="360" w:lineRule="auto"/>
              <w:jc w:val="left"/>
              <w:rPr>
                <w:rFonts w:ascii="宋体" w:hAnsi="宋体" w:cs="宋体"/>
                <w:sz w:val="24"/>
                <w:highlight w:val="none"/>
              </w:rPr>
            </w:pPr>
            <w:r>
              <w:rPr>
                <w:rFonts w:hint="eastAsia" w:ascii="宋体" w:hAnsi="宋体" w:cs="宋体"/>
                <w:sz w:val="24"/>
                <w:highlight w:val="none"/>
              </w:rPr>
              <w:t>4、运营管理生产人员：</w:t>
            </w:r>
            <w:r>
              <w:rPr>
                <w:rFonts w:hint="eastAsia" w:ascii="宋体" w:hAnsi="宋体" w:eastAsia="宋体" w:cs="宋体"/>
                <w:sz w:val="24"/>
                <w:highlight w:val="none"/>
              </w:rPr>
              <w:t>满足</w:t>
            </w:r>
            <w:r>
              <w:rPr>
                <w:rFonts w:hint="eastAsia" w:ascii="宋体" w:hAnsi="宋体" w:eastAsia="宋体" w:cs="宋体"/>
                <w:sz w:val="24"/>
                <w:highlight w:val="none"/>
                <w:lang w:val="en-US" w:eastAsia="zh-CN"/>
              </w:rPr>
              <w:t>运营期人员</w:t>
            </w:r>
            <w:r>
              <w:rPr>
                <w:rFonts w:hint="eastAsia" w:ascii="宋体" w:hAnsi="宋体" w:eastAsia="宋体" w:cs="宋体"/>
                <w:sz w:val="24"/>
                <w:highlight w:val="none"/>
              </w:rPr>
              <w:t>基</w:t>
            </w:r>
            <w:r>
              <w:rPr>
                <w:rFonts w:hint="eastAsia" w:ascii="宋体" w:hAnsi="宋体" w:eastAsia="宋体" w:cs="宋体"/>
                <w:sz w:val="24"/>
                <w:highlight w:val="none"/>
                <w:lang w:val="en-US" w:eastAsia="zh-CN"/>
              </w:rPr>
              <w:t>本</w:t>
            </w:r>
            <w:r>
              <w:rPr>
                <w:rFonts w:hint="eastAsia" w:ascii="宋体" w:hAnsi="宋体" w:eastAsia="宋体" w:cs="宋体"/>
                <w:sz w:val="24"/>
                <w:highlight w:val="none"/>
              </w:rPr>
              <w:t>配置上，</w:t>
            </w:r>
            <w:r>
              <w:rPr>
                <w:rFonts w:hint="eastAsia" w:ascii="宋体" w:hAnsi="宋体" w:cs="宋体"/>
                <w:sz w:val="24"/>
                <w:highlight w:val="none"/>
              </w:rPr>
              <w:t>每增加一人得1分，最多得4分。</w:t>
            </w:r>
          </w:p>
          <w:p>
            <w:pPr>
              <w:widowControl/>
              <w:spacing w:line="360" w:lineRule="auto"/>
              <w:jc w:val="left"/>
              <w:rPr>
                <w:rFonts w:ascii="宋体" w:hAnsi="宋体" w:cs="宋体"/>
                <w:color w:val="000000"/>
                <w:sz w:val="24"/>
                <w:highlight w:val="none"/>
              </w:rPr>
            </w:pPr>
            <w:r>
              <w:rPr>
                <w:rFonts w:hint="eastAsia" w:ascii="宋体" w:hAnsi="宋体" w:cs="宋体"/>
                <w:sz w:val="24"/>
                <w:highlight w:val="none"/>
              </w:rPr>
              <w:t>注：上述人员须为供应商本单位人员（须提供相应的证明材料），提供相应有效的证书复印件并加盖供应商公章。</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jc w:val="center"/>
        </w:trPr>
        <w:tc>
          <w:tcPr>
            <w:tcW w:w="557" w:type="dxa"/>
            <w:noWrap/>
            <w:vAlign w:val="center"/>
          </w:tcPr>
          <w:p>
            <w:pPr>
              <w:spacing w:line="360" w:lineRule="auto"/>
              <w:ind w:firstLine="28"/>
              <w:jc w:val="center"/>
              <w:rPr>
                <w:rFonts w:hint="eastAsia" w:ascii="宋体" w:hAnsi="宋体" w:eastAsia="宋体" w:cs="宋体"/>
                <w:color w:val="000000"/>
                <w:sz w:val="24"/>
                <w:lang w:eastAsia="zh-CN"/>
              </w:rPr>
            </w:pPr>
            <w:r>
              <w:rPr>
                <w:rFonts w:hint="eastAsia" w:ascii="宋体" w:hAnsi="宋体" w:cs="宋体"/>
                <w:sz w:val="24"/>
                <w:lang w:val="en-US" w:eastAsia="zh-CN"/>
              </w:rPr>
              <w:t>5</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bCs/>
                <w:sz w:val="24"/>
              </w:rPr>
              <w:t>扶持不发达地区和少数民族地区1%</w:t>
            </w:r>
          </w:p>
        </w:tc>
        <w:tc>
          <w:tcPr>
            <w:tcW w:w="750" w:type="dxa"/>
            <w:noWrap/>
            <w:vAlign w:val="center"/>
          </w:tcPr>
          <w:p>
            <w:pPr>
              <w:spacing w:line="360" w:lineRule="auto"/>
              <w:jc w:val="center"/>
              <w:rPr>
                <w:rFonts w:ascii="宋体" w:hAnsi="宋体" w:cs="宋体"/>
                <w:color w:val="000000"/>
                <w:sz w:val="24"/>
              </w:rPr>
            </w:pPr>
            <w:r>
              <w:rPr>
                <w:rFonts w:hint="eastAsia" w:ascii="宋体" w:hAnsi="宋体" w:cs="宋体"/>
                <w:kern w:val="0"/>
                <w:sz w:val="24"/>
              </w:rPr>
              <w:t>1分</w:t>
            </w:r>
          </w:p>
        </w:tc>
        <w:tc>
          <w:tcPr>
            <w:tcW w:w="6245" w:type="dxa"/>
            <w:gridSpan w:val="2"/>
            <w:noWrap/>
            <w:vAlign w:val="center"/>
          </w:tcPr>
          <w:p>
            <w:pPr>
              <w:spacing w:line="360" w:lineRule="auto"/>
              <w:jc w:val="left"/>
              <w:rPr>
                <w:rFonts w:ascii="宋体" w:hAnsi="宋体" w:cs="宋体"/>
                <w:sz w:val="24"/>
              </w:rPr>
            </w:pPr>
            <w:r>
              <w:rPr>
                <w:rFonts w:hint="eastAsia" w:ascii="宋体" w:hAnsi="宋体" w:cs="宋体"/>
                <w:sz w:val="24"/>
              </w:rPr>
              <w:t>供应商企业注册地在不发达地区或少数民族地区的得1分。</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7" w:type="dxa"/>
            <w:noWrap/>
            <w:vAlign w:val="center"/>
          </w:tcPr>
          <w:p>
            <w:pPr>
              <w:spacing w:line="360" w:lineRule="auto"/>
              <w:ind w:firstLine="28"/>
              <w:jc w:val="center"/>
              <w:rPr>
                <w:rFonts w:hint="eastAsia" w:ascii="宋体" w:hAnsi="宋体" w:eastAsia="宋体" w:cs="宋体"/>
                <w:color w:val="000000"/>
                <w:sz w:val="24"/>
                <w:lang w:eastAsia="zh-CN"/>
              </w:rPr>
            </w:pPr>
            <w:r>
              <w:rPr>
                <w:rFonts w:hint="eastAsia" w:ascii="宋体" w:hAnsi="宋体" w:cs="宋体"/>
                <w:sz w:val="24"/>
                <w:lang w:val="en-US" w:eastAsia="zh-CN"/>
              </w:rPr>
              <w:t>6</w:t>
            </w:r>
          </w:p>
        </w:tc>
        <w:tc>
          <w:tcPr>
            <w:tcW w:w="1178" w:type="dxa"/>
            <w:noWrap/>
            <w:vAlign w:val="center"/>
          </w:tcPr>
          <w:p>
            <w:pPr>
              <w:spacing w:line="360" w:lineRule="auto"/>
              <w:jc w:val="center"/>
              <w:rPr>
                <w:rFonts w:ascii="宋体" w:hAnsi="宋体" w:cs="宋体"/>
                <w:color w:val="000000"/>
                <w:sz w:val="24"/>
              </w:rPr>
            </w:pPr>
            <w:r>
              <w:rPr>
                <w:rFonts w:hint="eastAsia" w:ascii="宋体" w:hAnsi="宋体" w:cs="宋体"/>
                <w:sz w:val="24"/>
              </w:rPr>
              <w:t>投标文件的规范性2%</w:t>
            </w:r>
          </w:p>
        </w:tc>
        <w:tc>
          <w:tcPr>
            <w:tcW w:w="750" w:type="dxa"/>
            <w:noWrap/>
            <w:vAlign w:val="center"/>
          </w:tcPr>
          <w:p>
            <w:pPr>
              <w:spacing w:line="360" w:lineRule="auto"/>
              <w:ind w:firstLine="120" w:firstLineChars="50"/>
              <w:rPr>
                <w:rFonts w:ascii="宋体" w:hAnsi="宋体" w:cs="宋体"/>
                <w:color w:val="000000"/>
                <w:sz w:val="24"/>
              </w:rPr>
            </w:pPr>
            <w:r>
              <w:rPr>
                <w:rFonts w:hint="eastAsia" w:ascii="宋体" w:hAnsi="宋体" w:cs="宋体"/>
                <w:sz w:val="24"/>
              </w:rPr>
              <w:t>2分</w:t>
            </w:r>
          </w:p>
        </w:tc>
        <w:tc>
          <w:tcPr>
            <w:tcW w:w="6245" w:type="dxa"/>
            <w:gridSpan w:val="2"/>
            <w:noWrap/>
            <w:vAlign w:val="center"/>
          </w:tcPr>
          <w:p>
            <w:pPr>
              <w:spacing w:line="360" w:lineRule="auto"/>
              <w:rPr>
                <w:rFonts w:ascii="宋体" w:hAnsi="宋体" w:cs="宋体"/>
                <w:color w:val="000000"/>
                <w:sz w:val="24"/>
              </w:rPr>
            </w:pPr>
            <w:r>
              <w:rPr>
                <w:rFonts w:hint="eastAsia" w:ascii="宋体" w:hAnsi="宋体" w:cs="宋体"/>
                <w:sz w:val="24"/>
              </w:rPr>
              <w:t>投标文件制作规范，没有偏差情形的得2分；有一项细微偏差扣0.5分，直至该项分值扣完为止。</w:t>
            </w:r>
          </w:p>
        </w:tc>
        <w:tc>
          <w:tcPr>
            <w:tcW w:w="740" w:type="dxa"/>
            <w:noWrap/>
            <w:vAlign w:val="center"/>
          </w:tcPr>
          <w:p>
            <w:pPr>
              <w:spacing w:line="360" w:lineRule="auto"/>
              <w:jc w:val="center"/>
              <w:rPr>
                <w:rFonts w:ascii="宋体" w:hAnsi="宋体" w:cs="宋体"/>
                <w:color w:val="000000"/>
                <w:sz w:val="24"/>
              </w:rPr>
            </w:pPr>
            <w:r>
              <w:rPr>
                <w:rFonts w:hint="eastAsia" w:ascii="宋体" w:hAnsi="宋体" w:cs="宋体"/>
                <w:color w:val="000000"/>
                <w:sz w:val="24"/>
              </w:rPr>
              <w:t>共同评分因素</w:t>
            </w:r>
          </w:p>
        </w:tc>
      </w:tr>
    </w:tbl>
    <w:p>
      <w:pPr>
        <w:spacing w:line="360" w:lineRule="auto"/>
        <w:rPr>
          <w:rFonts w:ascii="宋体" w:hAnsi="宋体" w:cs="宋体"/>
          <w:sz w:val="24"/>
        </w:rPr>
      </w:pPr>
      <w:r>
        <w:rPr>
          <w:rFonts w:hint="eastAsia" w:ascii="宋体" w:hAnsi="宋体" w:cs="宋体"/>
          <w:sz w:val="24"/>
        </w:rPr>
        <w:t>注：1.评分的取值按四舍五入法，保留小数点后两位。</w:t>
      </w:r>
    </w:p>
    <w:p>
      <w:pPr>
        <w:spacing w:line="360" w:lineRule="auto"/>
        <w:ind w:firstLine="480" w:firstLineChars="200"/>
        <w:rPr>
          <w:rFonts w:ascii="宋体" w:hAnsi="宋体" w:cs="宋体"/>
          <w:sz w:val="24"/>
        </w:rPr>
      </w:pPr>
      <w:r>
        <w:rPr>
          <w:rFonts w:hint="eastAsia" w:ascii="宋体" w:hAnsi="宋体" w:cs="宋体"/>
          <w:sz w:val="24"/>
        </w:rPr>
        <w:t>2.扶持少数民族和不发达地区政策政策，得分相同的情况，优先选择少数民族地区企业和不发达地区企业，以企业营业执照为准。</w:t>
      </w:r>
    </w:p>
    <w:p>
      <w:pPr>
        <w:spacing w:line="360" w:lineRule="auto"/>
        <w:outlineLvl w:val="1"/>
        <w:rPr>
          <w:rFonts w:ascii="宋体" w:hAnsi="宋体" w:cs="宋体"/>
          <w:b/>
          <w:bCs/>
          <w:sz w:val="28"/>
          <w:szCs w:val="28"/>
        </w:rPr>
      </w:pPr>
      <w:bookmarkStart w:id="307" w:name="_Toc4354"/>
      <w:r>
        <w:rPr>
          <w:rFonts w:hint="eastAsia" w:ascii="宋体" w:hAnsi="宋体" w:cs="宋体"/>
          <w:b/>
          <w:bCs/>
          <w:sz w:val="28"/>
          <w:szCs w:val="28"/>
        </w:rPr>
        <w:t>五、废标</w:t>
      </w:r>
      <w:bookmarkEnd w:id="307"/>
    </w:p>
    <w:p>
      <w:pPr>
        <w:spacing w:line="360" w:lineRule="auto"/>
        <w:ind w:firstLine="480" w:firstLineChars="200"/>
        <w:rPr>
          <w:rFonts w:ascii="宋体" w:hAnsi="宋体" w:cs="宋体"/>
          <w:sz w:val="24"/>
        </w:rPr>
      </w:pPr>
      <w:r>
        <w:rPr>
          <w:rFonts w:hint="eastAsia" w:ascii="宋体" w:hAnsi="宋体" w:cs="宋体"/>
          <w:sz w:val="24"/>
        </w:rPr>
        <w:t>1、本次政府采购活动中，出现下列情形之一的，予以废标：</w:t>
      </w:r>
    </w:p>
    <w:p>
      <w:pPr>
        <w:pStyle w:val="41"/>
        <w:tabs>
          <w:tab w:val="left" w:pos="1301"/>
        </w:tabs>
        <w:spacing w:line="360" w:lineRule="auto"/>
        <w:ind w:left="0" w:firstLineChars="200"/>
        <w:rPr>
          <w:sz w:val="24"/>
        </w:rPr>
      </w:pPr>
      <w:r>
        <w:rPr>
          <w:rFonts w:hint="eastAsia"/>
          <w:sz w:val="24"/>
        </w:rPr>
        <w:t>（</w:t>
      </w:r>
      <w:r>
        <w:rPr>
          <w:rFonts w:hint="eastAsia"/>
          <w:sz w:val="24"/>
          <w:lang w:val="en-US"/>
        </w:rPr>
        <w:t>1</w:t>
      </w:r>
      <w:r>
        <w:rPr>
          <w:rFonts w:hint="eastAsia"/>
          <w:sz w:val="24"/>
        </w:rPr>
        <w:t>）参加报名的</w:t>
      </w:r>
      <w:r>
        <w:rPr>
          <w:rFonts w:hint="eastAsia"/>
          <w:sz w:val="24"/>
          <w:lang w:val="en-US"/>
        </w:rPr>
        <w:t>供应商</w:t>
      </w:r>
      <w:r>
        <w:rPr>
          <w:rFonts w:hint="eastAsia"/>
          <w:sz w:val="24"/>
        </w:rPr>
        <w:t>不足三家的；</w:t>
      </w:r>
    </w:p>
    <w:p>
      <w:pPr>
        <w:pStyle w:val="41"/>
        <w:tabs>
          <w:tab w:val="left" w:pos="1301"/>
        </w:tabs>
        <w:spacing w:line="360" w:lineRule="auto"/>
        <w:ind w:left="0" w:firstLineChars="200"/>
        <w:rPr>
          <w:sz w:val="24"/>
        </w:rPr>
      </w:pPr>
      <w:r>
        <w:rPr>
          <w:rFonts w:hint="eastAsia"/>
          <w:sz w:val="24"/>
        </w:rPr>
        <w:t>（</w:t>
      </w:r>
      <w:r>
        <w:rPr>
          <w:rFonts w:hint="eastAsia"/>
          <w:sz w:val="24"/>
          <w:lang w:val="en-US"/>
        </w:rPr>
        <w:t>2</w:t>
      </w:r>
      <w:r>
        <w:rPr>
          <w:rFonts w:hint="eastAsia"/>
          <w:sz w:val="24"/>
        </w:rPr>
        <w:t>）递交投标文件的</w:t>
      </w:r>
      <w:r>
        <w:rPr>
          <w:rFonts w:hint="eastAsia"/>
          <w:sz w:val="24"/>
          <w:lang w:val="en-US"/>
        </w:rPr>
        <w:t>供应商</w:t>
      </w:r>
      <w:r>
        <w:rPr>
          <w:rFonts w:hint="eastAsia"/>
          <w:sz w:val="24"/>
        </w:rPr>
        <w:t>不足三家的；</w:t>
      </w:r>
    </w:p>
    <w:p>
      <w:pPr>
        <w:pStyle w:val="41"/>
        <w:tabs>
          <w:tab w:val="left" w:pos="1301"/>
        </w:tabs>
        <w:spacing w:line="360" w:lineRule="auto"/>
        <w:ind w:left="0" w:firstLineChars="200"/>
        <w:rPr>
          <w:sz w:val="24"/>
        </w:rPr>
      </w:pPr>
      <w:r>
        <w:rPr>
          <w:rFonts w:hint="eastAsia"/>
          <w:sz w:val="24"/>
        </w:rPr>
        <w:t>（</w:t>
      </w:r>
      <w:r>
        <w:rPr>
          <w:rFonts w:hint="eastAsia"/>
          <w:sz w:val="24"/>
          <w:lang w:val="en-US"/>
        </w:rPr>
        <w:t>3</w:t>
      </w:r>
      <w:r>
        <w:rPr>
          <w:rFonts w:hint="eastAsia"/>
          <w:sz w:val="24"/>
        </w:rPr>
        <w:t>）通过资格性审查的</w:t>
      </w:r>
      <w:r>
        <w:rPr>
          <w:rFonts w:hint="eastAsia"/>
          <w:sz w:val="24"/>
          <w:lang w:val="en-US"/>
        </w:rPr>
        <w:t>供应商</w:t>
      </w:r>
      <w:r>
        <w:rPr>
          <w:rFonts w:hint="eastAsia"/>
          <w:sz w:val="24"/>
        </w:rPr>
        <w:t>不足三家的；</w:t>
      </w:r>
    </w:p>
    <w:p>
      <w:pPr>
        <w:pStyle w:val="41"/>
        <w:tabs>
          <w:tab w:val="left" w:pos="1301"/>
        </w:tabs>
        <w:spacing w:line="360" w:lineRule="auto"/>
        <w:ind w:left="0" w:firstLineChars="200"/>
        <w:rPr>
          <w:sz w:val="24"/>
        </w:rPr>
      </w:pPr>
      <w:r>
        <w:rPr>
          <w:rFonts w:hint="eastAsia"/>
          <w:sz w:val="24"/>
        </w:rPr>
        <w:t>（</w:t>
      </w:r>
      <w:r>
        <w:rPr>
          <w:rFonts w:hint="eastAsia"/>
          <w:sz w:val="24"/>
          <w:lang w:val="en-US"/>
        </w:rPr>
        <w:t>4</w:t>
      </w:r>
      <w:r>
        <w:rPr>
          <w:rFonts w:hint="eastAsia"/>
          <w:sz w:val="24"/>
        </w:rPr>
        <w:t>）对招标文件作实质响应的</w:t>
      </w:r>
      <w:r>
        <w:rPr>
          <w:rFonts w:hint="eastAsia"/>
          <w:sz w:val="24"/>
          <w:lang w:val="en-US"/>
        </w:rPr>
        <w:t>供应商</w:t>
      </w:r>
      <w:r>
        <w:rPr>
          <w:rFonts w:hint="eastAsia"/>
          <w:sz w:val="24"/>
        </w:rPr>
        <w:t>不足三家的；</w:t>
      </w:r>
    </w:p>
    <w:p>
      <w:pPr>
        <w:pStyle w:val="41"/>
        <w:tabs>
          <w:tab w:val="left" w:pos="1301"/>
        </w:tabs>
        <w:spacing w:line="360" w:lineRule="auto"/>
        <w:ind w:left="0" w:firstLineChars="200"/>
        <w:rPr>
          <w:sz w:val="24"/>
        </w:rPr>
      </w:pPr>
      <w:r>
        <w:rPr>
          <w:rFonts w:hint="eastAsia"/>
          <w:sz w:val="24"/>
        </w:rPr>
        <w:t>（</w:t>
      </w:r>
      <w:r>
        <w:rPr>
          <w:rFonts w:hint="eastAsia"/>
          <w:sz w:val="24"/>
          <w:lang w:val="en-US"/>
        </w:rPr>
        <w:t>5</w:t>
      </w:r>
      <w:r>
        <w:rPr>
          <w:rFonts w:hint="eastAsia"/>
          <w:sz w:val="24"/>
        </w:rPr>
        <w:t>）出现影响采购公正的违法、违规行为的；</w:t>
      </w:r>
    </w:p>
    <w:p>
      <w:pPr>
        <w:pStyle w:val="41"/>
        <w:tabs>
          <w:tab w:val="left" w:pos="1301"/>
        </w:tabs>
        <w:spacing w:line="360" w:lineRule="auto"/>
        <w:ind w:left="0" w:firstLineChars="200"/>
        <w:rPr>
          <w:sz w:val="24"/>
        </w:rPr>
      </w:pPr>
      <w:r>
        <w:rPr>
          <w:rFonts w:hint="eastAsia"/>
          <w:sz w:val="24"/>
        </w:rPr>
        <w:t>（</w:t>
      </w:r>
      <w:r>
        <w:rPr>
          <w:rFonts w:hint="eastAsia"/>
          <w:sz w:val="24"/>
          <w:lang w:val="en-US"/>
        </w:rPr>
        <w:t>6</w:t>
      </w:r>
      <w:r>
        <w:rPr>
          <w:rFonts w:hint="eastAsia"/>
          <w:sz w:val="24"/>
        </w:rPr>
        <w:t>）供应商的报价均超过了采购预算，采购人不能支付的；</w:t>
      </w:r>
    </w:p>
    <w:p>
      <w:pPr>
        <w:pStyle w:val="41"/>
        <w:tabs>
          <w:tab w:val="left" w:pos="1301"/>
        </w:tabs>
        <w:spacing w:line="360" w:lineRule="auto"/>
        <w:ind w:left="0" w:firstLineChars="200"/>
        <w:rPr>
          <w:sz w:val="24"/>
        </w:rPr>
      </w:pPr>
      <w:r>
        <w:rPr>
          <w:rFonts w:hint="eastAsia"/>
          <w:sz w:val="24"/>
        </w:rPr>
        <w:t>（</w:t>
      </w:r>
      <w:r>
        <w:rPr>
          <w:rFonts w:hint="eastAsia"/>
          <w:sz w:val="24"/>
          <w:lang w:val="en-US"/>
        </w:rPr>
        <w:t>7</w:t>
      </w:r>
      <w:r>
        <w:rPr>
          <w:rFonts w:hint="eastAsia"/>
          <w:sz w:val="24"/>
        </w:rPr>
        <w:t>）因重大变故，采购任务取消的。</w:t>
      </w:r>
    </w:p>
    <w:p>
      <w:pPr>
        <w:pStyle w:val="41"/>
        <w:tabs>
          <w:tab w:val="left" w:pos="1301"/>
        </w:tabs>
        <w:spacing w:line="360" w:lineRule="auto"/>
        <w:ind w:left="0" w:firstLineChars="200"/>
        <w:rPr>
          <w:sz w:val="24"/>
        </w:rPr>
      </w:pPr>
      <w:r>
        <w:rPr>
          <w:rFonts w:hint="eastAsia"/>
          <w:sz w:val="24"/>
        </w:rPr>
        <w:t>废标后，采购代理机构应在四川政府采购网上公告，并公告废标的情形。</w:t>
      </w:r>
    </w:p>
    <w:p>
      <w:pPr>
        <w:pStyle w:val="41"/>
        <w:tabs>
          <w:tab w:val="left" w:pos="1120"/>
        </w:tabs>
        <w:spacing w:line="360" w:lineRule="auto"/>
        <w:ind w:left="0" w:firstLine="464" w:firstLineChars="200"/>
        <w:rPr>
          <w:sz w:val="24"/>
        </w:rPr>
      </w:pPr>
      <w:r>
        <w:rPr>
          <w:rFonts w:hint="eastAsia"/>
          <w:spacing w:val="-4"/>
          <w:sz w:val="24"/>
          <w:lang w:val="en-US"/>
        </w:rPr>
        <w:t>2、</w:t>
      </w:r>
      <w:r>
        <w:rPr>
          <w:rFonts w:hint="eastAsia"/>
          <w:spacing w:val="-4"/>
          <w:sz w:val="24"/>
        </w:rPr>
        <w:t>对于评标过程中废标的采购项目，评标委员会应当对招标文件是否存在倾向性和歧视</w:t>
      </w:r>
      <w:r>
        <w:rPr>
          <w:rFonts w:hint="eastAsia"/>
          <w:sz w:val="24"/>
        </w:rPr>
        <w:t>性、是否存在不合理条款进行论证，并出具书面论证意见。</w:t>
      </w:r>
    </w:p>
    <w:p>
      <w:pPr>
        <w:spacing w:line="360" w:lineRule="auto"/>
        <w:outlineLvl w:val="1"/>
        <w:rPr>
          <w:rFonts w:ascii="宋体" w:hAnsi="宋体" w:cs="宋体"/>
          <w:b/>
          <w:bCs/>
          <w:sz w:val="28"/>
          <w:szCs w:val="28"/>
        </w:rPr>
      </w:pPr>
      <w:bookmarkStart w:id="308" w:name="_Toc1916"/>
      <w:r>
        <w:rPr>
          <w:rFonts w:hint="eastAsia" w:ascii="宋体" w:hAnsi="宋体" w:cs="宋体"/>
          <w:b/>
          <w:bCs/>
          <w:sz w:val="28"/>
          <w:szCs w:val="28"/>
        </w:rPr>
        <w:t>六、定标</w:t>
      </w:r>
      <w:bookmarkEnd w:id="308"/>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pacing w:val="-2"/>
          <w:sz w:val="24"/>
        </w:rPr>
        <w:t>定标原则：本项目根据评标委员会推荐的中标候选</w:t>
      </w:r>
      <w:r>
        <w:rPr>
          <w:rFonts w:hint="eastAsia" w:ascii="宋体" w:hAnsi="宋体" w:cs="宋体"/>
          <w:spacing w:val="-14"/>
          <w:sz w:val="24"/>
        </w:rPr>
        <w:t>人</w:t>
      </w:r>
      <w:r>
        <w:rPr>
          <w:rFonts w:hint="eastAsia" w:ascii="宋体" w:hAnsi="宋体" w:cs="宋体"/>
          <w:spacing w:val="-2"/>
          <w:sz w:val="24"/>
        </w:rPr>
        <w:t>名单，按顺序确定中标</w:t>
      </w:r>
      <w:r>
        <w:rPr>
          <w:rFonts w:hint="eastAsia" w:ascii="宋体" w:hAnsi="宋体" w:cs="宋体"/>
          <w:spacing w:val="-14"/>
          <w:sz w:val="24"/>
        </w:rPr>
        <w:t>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2、定标程序</w:t>
      </w:r>
    </w:p>
    <w:p>
      <w:pPr>
        <w:spacing w:line="360" w:lineRule="auto"/>
        <w:ind w:firstLine="482" w:firstLineChars="200"/>
        <w:rPr>
          <w:rFonts w:ascii="宋体" w:hAnsi="宋体" w:cs="宋体"/>
          <w:sz w:val="24"/>
        </w:rPr>
      </w:pPr>
      <w:r>
        <w:rPr>
          <w:rFonts w:hint="eastAsia" w:ascii="宋体" w:hAnsi="宋体" w:cs="宋体"/>
          <w:b/>
          <w:bCs/>
          <w:sz w:val="24"/>
        </w:rPr>
        <w:t>2.1</w:t>
      </w:r>
      <w:r>
        <w:rPr>
          <w:rFonts w:hint="eastAsia" w:ascii="宋体" w:hAnsi="宋体" w:cs="宋体"/>
          <w:sz w:val="24"/>
        </w:rPr>
        <w:t>评标委员会将评标情况写出书面报告，推荐中标候选</w:t>
      </w:r>
      <w:r>
        <w:rPr>
          <w:rFonts w:hint="eastAsia" w:ascii="宋体" w:hAnsi="宋体" w:cs="宋体"/>
          <w:spacing w:val="-14"/>
          <w:sz w:val="24"/>
        </w:rPr>
        <w:t>人</w:t>
      </w:r>
      <w:r>
        <w:rPr>
          <w:rFonts w:hint="eastAsia" w:ascii="宋体" w:hAnsi="宋体" w:cs="宋体"/>
          <w:sz w:val="24"/>
        </w:rPr>
        <w:t>。</w:t>
      </w:r>
    </w:p>
    <w:p>
      <w:pPr>
        <w:spacing w:line="360" w:lineRule="auto"/>
        <w:ind w:firstLine="482" w:firstLineChars="200"/>
        <w:rPr>
          <w:rFonts w:ascii="宋体" w:hAnsi="宋体" w:cs="宋体"/>
          <w:spacing w:val="-8"/>
          <w:sz w:val="24"/>
        </w:rPr>
      </w:pPr>
      <w:r>
        <w:rPr>
          <w:rFonts w:hint="eastAsia" w:ascii="宋体" w:hAnsi="宋体" w:cs="宋体"/>
          <w:b/>
          <w:bCs/>
          <w:sz w:val="24"/>
        </w:rPr>
        <w:t>2.2</w:t>
      </w:r>
      <w:r>
        <w:rPr>
          <w:rFonts w:hint="eastAsia" w:ascii="宋体" w:hAnsi="宋体" w:cs="宋体"/>
          <w:spacing w:val="-5"/>
          <w:sz w:val="24"/>
        </w:rPr>
        <w:t xml:space="preserve">采购代理机构在评标结束后 </w:t>
      </w:r>
      <w:r>
        <w:rPr>
          <w:rFonts w:hint="eastAsia" w:ascii="宋体" w:hAnsi="宋体" w:cs="宋体"/>
          <w:sz w:val="24"/>
        </w:rPr>
        <w:t>2</w:t>
      </w:r>
      <w:r>
        <w:rPr>
          <w:rFonts w:hint="eastAsia" w:ascii="宋体" w:hAnsi="宋体" w:cs="宋体"/>
          <w:spacing w:val="-8"/>
          <w:sz w:val="24"/>
        </w:rPr>
        <w:t xml:space="preserve"> 个工作日内将评标报告送采购人。</w:t>
      </w:r>
    </w:p>
    <w:p>
      <w:pPr>
        <w:spacing w:line="360" w:lineRule="auto"/>
        <w:ind w:firstLine="482" w:firstLineChars="200"/>
        <w:rPr>
          <w:rFonts w:ascii="宋体" w:hAnsi="宋体" w:cs="宋体"/>
          <w:sz w:val="24"/>
        </w:rPr>
      </w:pPr>
      <w:r>
        <w:rPr>
          <w:rFonts w:hint="eastAsia" w:ascii="宋体" w:hAnsi="宋体" w:cs="宋体"/>
          <w:b/>
          <w:bCs/>
          <w:sz w:val="24"/>
        </w:rPr>
        <w:t>2.3</w:t>
      </w:r>
      <w:r>
        <w:rPr>
          <w:rFonts w:hint="eastAsia" w:ascii="宋体" w:hAnsi="宋体" w:cs="宋体"/>
          <w:spacing w:val="-5"/>
          <w:sz w:val="24"/>
        </w:rPr>
        <w:t xml:space="preserve">采购人在收到评标报告后 </w:t>
      </w:r>
      <w:r>
        <w:rPr>
          <w:rFonts w:hint="eastAsia" w:ascii="宋体" w:hAnsi="宋体" w:cs="宋体"/>
          <w:sz w:val="24"/>
        </w:rPr>
        <w:t>5</w:t>
      </w:r>
      <w:r>
        <w:rPr>
          <w:rFonts w:hint="eastAsia" w:ascii="宋体" w:hAnsi="宋体" w:cs="宋体"/>
          <w:spacing w:val="-14"/>
          <w:sz w:val="24"/>
        </w:rPr>
        <w:t xml:space="preserve"> 个工作日内，按照评标报告中推荐的中标候选人顺</w:t>
      </w:r>
      <w:r>
        <w:rPr>
          <w:rFonts w:hint="eastAsia" w:ascii="宋体" w:hAnsi="宋体" w:cs="宋体"/>
          <w:spacing w:val="-8"/>
          <w:sz w:val="24"/>
        </w:rPr>
        <w:t>序确定中标</w:t>
      </w:r>
      <w:r>
        <w:rPr>
          <w:rFonts w:hint="eastAsia" w:ascii="宋体" w:hAnsi="宋体" w:cs="宋体"/>
          <w:spacing w:val="-14"/>
          <w:sz w:val="24"/>
        </w:rPr>
        <w:t>人</w:t>
      </w:r>
      <w:r>
        <w:rPr>
          <w:rFonts w:hint="eastAsia" w:ascii="宋体" w:hAnsi="宋体" w:cs="宋体"/>
          <w:spacing w:val="-8"/>
          <w:sz w:val="24"/>
        </w:rPr>
        <w:t>。采用综合评分法的，评标结果按评审后得分由高到低顺序排列；得分相同</w:t>
      </w:r>
      <w:r>
        <w:rPr>
          <w:rFonts w:hint="eastAsia" w:ascii="宋体" w:hAnsi="宋体" w:cs="宋体"/>
          <w:spacing w:val="-10"/>
          <w:sz w:val="24"/>
        </w:rPr>
        <w:t>的，按投标报价由低到高顺序排列；得分且投标报价相同的并列，投标文件满足招标文件全部</w:t>
      </w:r>
      <w:r>
        <w:rPr>
          <w:rFonts w:hint="eastAsia" w:ascii="宋体" w:hAnsi="宋体" w:cs="宋体"/>
          <w:spacing w:val="-4"/>
          <w:sz w:val="24"/>
        </w:rPr>
        <w:t>实质性要求且按照评审因素的量化指标评审得分最高的供应商为中标候选</w:t>
      </w:r>
      <w:r>
        <w:rPr>
          <w:rFonts w:hint="eastAsia" w:ascii="宋体" w:hAnsi="宋体" w:cs="宋体"/>
          <w:spacing w:val="-14"/>
          <w:sz w:val="24"/>
        </w:rPr>
        <w:t>人</w:t>
      </w:r>
      <w:r>
        <w:rPr>
          <w:rFonts w:hint="eastAsia" w:ascii="宋体" w:hAnsi="宋体" w:cs="宋体"/>
          <w:spacing w:val="-4"/>
          <w:sz w:val="24"/>
        </w:rPr>
        <w:t>；报价相同且满足招标文件全部实质性要求且按照评审因素的量化指标评审得分也相同的并列，由采购人自</w:t>
      </w:r>
      <w:r>
        <w:rPr>
          <w:rFonts w:hint="eastAsia" w:ascii="宋体" w:hAnsi="宋体" w:cs="宋体"/>
          <w:sz w:val="24"/>
        </w:rPr>
        <w:t>主采取公平、择优的方式选择中标</w:t>
      </w:r>
      <w:r>
        <w:rPr>
          <w:rFonts w:hint="eastAsia" w:ascii="宋体" w:hAnsi="宋体" w:cs="宋体"/>
          <w:spacing w:val="-14"/>
          <w:sz w:val="24"/>
        </w:rPr>
        <w:t>人</w:t>
      </w:r>
      <w:r>
        <w:rPr>
          <w:rFonts w:hint="eastAsia" w:ascii="宋体" w:hAnsi="宋体" w:cs="宋体"/>
          <w:sz w:val="24"/>
        </w:rPr>
        <w:t>。</w:t>
      </w:r>
    </w:p>
    <w:p>
      <w:pPr>
        <w:spacing w:line="360" w:lineRule="auto"/>
        <w:ind w:firstLine="470" w:firstLineChars="200"/>
        <w:rPr>
          <w:rFonts w:ascii="宋体" w:hAnsi="宋体" w:cs="宋体"/>
          <w:spacing w:val="-13"/>
          <w:sz w:val="24"/>
        </w:rPr>
      </w:pPr>
      <w:r>
        <w:rPr>
          <w:rFonts w:hint="eastAsia" w:ascii="宋体" w:hAnsi="宋体" w:cs="宋体"/>
          <w:b/>
          <w:spacing w:val="3"/>
          <w:w w:val="95"/>
          <w:sz w:val="24"/>
        </w:rPr>
        <w:t>注意，采购人按照推荐的中标候选人顺序确定中标人，不能认为采购人只能确</w:t>
      </w:r>
      <w:r>
        <w:rPr>
          <w:rFonts w:hint="eastAsia" w:ascii="宋体" w:hAnsi="宋体" w:cs="宋体"/>
          <w:b/>
          <w:spacing w:val="1"/>
          <w:w w:val="95"/>
          <w:sz w:val="24"/>
        </w:rPr>
        <w:t>定第一中标候选人为中标人，采购人有正当理由的，可以确定后一顺序中标候选人</w:t>
      </w:r>
      <w:r>
        <w:rPr>
          <w:rFonts w:hint="eastAsia" w:ascii="宋体" w:hAnsi="宋体" w:cs="宋体"/>
          <w:b/>
          <w:spacing w:val="-6"/>
          <w:sz w:val="24"/>
        </w:rPr>
        <w:t>为中标人，依次类推。</w:t>
      </w:r>
      <w:r>
        <w:rPr>
          <w:rFonts w:hint="eastAsia" w:ascii="宋体" w:hAnsi="宋体" w:cs="宋体"/>
          <w:spacing w:val="-2"/>
          <w:sz w:val="24"/>
        </w:rPr>
        <w:t>采购人不确定排序前一位中标候选人为中标人的，应</w:t>
      </w:r>
      <w:r>
        <w:rPr>
          <w:rFonts w:hint="eastAsia" w:ascii="宋体" w:hAnsi="宋体" w:cs="宋体"/>
          <w:spacing w:val="-7"/>
          <w:sz w:val="24"/>
        </w:rPr>
        <w:t>当将不确定的理由书面告知该中标候选人，并在四川政府采购网公告。采购人依法确定不</w:t>
      </w:r>
      <w:r>
        <w:rPr>
          <w:rFonts w:hint="eastAsia" w:ascii="宋体" w:hAnsi="宋体" w:cs="宋体"/>
          <w:spacing w:val="-12"/>
          <w:sz w:val="24"/>
        </w:rPr>
        <w:t>出中标人的，应当重新组织采购，书面告知中标候选人，说明理由，并在四川政府采</w:t>
      </w:r>
      <w:r>
        <w:rPr>
          <w:rFonts w:hint="eastAsia" w:ascii="宋体" w:hAnsi="宋体" w:cs="宋体"/>
          <w:spacing w:val="-13"/>
          <w:sz w:val="24"/>
        </w:rPr>
        <w:t>购网公告。采购人逾期未确定中标人且不提出异议的，视为确定评审报告提出的排序第一的中标候选人为中标人。</w:t>
      </w:r>
    </w:p>
    <w:p>
      <w:pPr>
        <w:spacing w:line="360" w:lineRule="auto"/>
        <w:ind w:firstLine="482" w:firstLineChars="200"/>
        <w:rPr>
          <w:rFonts w:ascii="宋体" w:hAnsi="宋体" w:cs="宋体"/>
          <w:spacing w:val="-8"/>
          <w:sz w:val="24"/>
        </w:rPr>
      </w:pPr>
      <w:r>
        <w:rPr>
          <w:rFonts w:hint="eastAsia" w:ascii="宋体" w:hAnsi="宋体" w:cs="宋体"/>
          <w:b/>
          <w:bCs/>
          <w:sz w:val="24"/>
        </w:rPr>
        <w:t>2.4</w:t>
      </w:r>
      <w:r>
        <w:rPr>
          <w:rFonts w:hint="eastAsia" w:ascii="宋体" w:hAnsi="宋体" w:cs="宋体"/>
          <w:spacing w:val="-1"/>
          <w:sz w:val="24"/>
        </w:rPr>
        <w:t xml:space="preserve">根据采购人确定的中标人，采购代理机构在四川政府采购网上发布中标公告， </w:t>
      </w:r>
      <w:r>
        <w:rPr>
          <w:rFonts w:hint="eastAsia" w:ascii="宋体" w:hAnsi="宋体" w:cs="宋体"/>
          <w:spacing w:val="-5"/>
          <w:sz w:val="24"/>
        </w:rPr>
        <w:t xml:space="preserve">并自采购人确定中标之日起 </w:t>
      </w:r>
      <w:r>
        <w:rPr>
          <w:rFonts w:hint="eastAsia" w:ascii="宋体" w:hAnsi="宋体" w:cs="宋体"/>
          <w:sz w:val="24"/>
        </w:rPr>
        <w:t>2</w:t>
      </w:r>
      <w:r>
        <w:rPr>
          <w:rFonts w:hint="eastAsia" w:ascii="宋体" w:hAnsi="宋体" w:cs="宋体"/>
          <w:spacing w:val="-8"/>
          <w:sz w:val="24"/>
        </w:rPr>
        <w:t xml:space="preserve"> 个工作日内向中标人发出中标通知书。</w:t>
      </w:r>
    </w:p>
    <w:p>
      <w:pPr>
        <w:spacing w:line="360" w:lineRule="auto"/>
        <w:ind w:firstLine="460" w:firstLineChars="200"/>
        <w:rPr>
          <w:rFonts w:ascii="宋体" w:hAnsi="宋体" w:cs="宋体"/>
          <w:sz w:val="24"/>
        </w:rPr>
      </w:pPr>
      <w:r>
        <w:rPr>
          <w:rFonts w:hint="eastAsia" w:ascii="宋体" w:hAnsi="宋体" w:cs="宋体"/>
          <w:spacing w:val="-5"/>
          <w:sz w:val="24"/>
        </w:rPr>
        <w:t>若发现拟中标人提交的资格证明文件等资料和报价不真实，因评标遗漏经核实供应商资格</w:t>
      </w:r>
      <w:r>
        <w:rPr>
          <w:rFonts w:hint="eastAsia" w:ascii="宋体" w:hAnsi="宋体" w:cs="宋体"/>
          <w:spacing w:val="-11"/>
          <w:sz w:val="24"/>
        </w:rPr>
        <w:t>性、符合性条件不齐备的，出现违反供应商须知中“投标纪律要求”相关规定行为的，其中标</w:t>
      </w:r>
      <w:r>
        <w:rPr>
          <w:rFonts w:hint="eastAsia" w:ascii="宋体" w:hAnsi="宋体" w:cs="宋体"/>
          <w:spacing w:val="-10"/>
          <w:sz w:val="24"/>
        </w:rPr>
        <w:t>资格将被取消。评审活动结束后发现评审过程和结果存在违法违规行为的，书面报告财政部门</w:t>
      </w:r>
      <w:r>
        <w:rPr>
          <w:rFonts w:hint="eastAsia" w:ascii="宋体" w:hAnsi="宋体" w:cs="宋体"/>
          <w:sz w:val="24"/>
        </w:rPr>
        <w:t>处理。</w:t>
      </w:r>
    </w:p>
    <w:p>
      <w:pPr>
        <w:spacing w:line="360" w:lineRule="auto"/>
        <w:ind w:firstLine="482" w:firstLineChars="200"/>
        <w:rPr>
          <w:rFonts w:ascii="宋体" w:hAnsi="宋体" w:cs="宋体"/>
          <w:b/>
          <w:sz w:val="24"/>
        </w:rPr>
      </w:pPr>
      <w:r>
        <w:rPr>
          <w:rFonts w:hint="eastAsia" w:ascii="宋体" w:hAnsi="宋体" w:cs="宋体"/>
          <w:b/>
          <w:bCs/>
          <w:sz w:val="24"/>
        </w:rPr>
        <w:t>2.5</w:t>
      </w:r>
      <w:r>
        <w:rPr>
          <w:rFonts w:hint="eastAsia" w:ascii="宋体" w:hAnsi="宋体" w:cs="宋体"/>
          <w:spacing w:val="12"/>
          <w:sz w:val="24"/>
        </w:rPr>
        <w:t>招标采购单位不退回供应商投标文件和其他投标资料。</w:t>
      </w:r>
    </w:p>
    <w:p>
      <w:pPr>
        <w:pStyle w:val="41"/>
        <w:tabs>
          <w:tab w:val="left" w:pos="1507"/>
        </w:tabs>
        <w:spacing w:line="360" w:lineRule="auto"/>
        <w:ind w:left="0" w:firstLine="0"/>
        <w:outlineLvl w:val="1"/>
        <w:rPr>
          <w:b/>
          <w:spacing w:val="10"/>
          <w:sz w:val="28"/>
        </w:rPr>
      </w:pPr>
      <w:bookmarkStart w:id="309" w:name="_Toc18088"/>
      <w:r>
        <w:rPr>
          <w:rFonts w:hint="eastAsia"/>
          <w:b/>
          <w:spacing w:val="10"/>
          <w:sz w:val="28"/>
          <w:lang w:val="en-US"/>
        </w:rPr>
        <w:t>七、</w:t>
      </w:r>
      <w:r>
        <w:rPr>
          <w:rFonts w:hint="eastAsia"/>
          <w:b/>
          <w:spacing w:val="10"/>
          <w:sz w:val="28"/>
        </w:rPr>
        <w:t>评标专家在政府采购活动中承担以下义务：</w:t>
      </w:r>
      <w:bookmarkEnd w:id="309"/>
    </w:p>
    <w:p>
      <w:pPr>
        <w:pStyle w:val="41"/>
        <w:tabs>
          <w:tab w:val="left" w:pos="1507"/>
        </w:tabs>
        <w:spacing w:line="360" w:lineRule="auto"/>
        <w:ind w:left="0" w:firstLineChars="200"/>
        <w:rPr>
          <w:sz w:val="24"/>
        </w:rPr>
      </w:pPr>
      <w:r>
        <w:rPr>
          <w:rFonts w:hint="eastAsia"/>
          <w:sz w:val="24"/>
        </w:rPr>
        <w:t>（</w:t>
      </w:r>
      <w:r>
        <w:rPr>
          <w:rFonts w:hint="eastAsia"/>
          <w:sz w:val="24"/>
          <w:lang w:val="en-US"/>
        </w:rPr>
        <w:t>1</w:t>
      </w:r>
      <w:r>
        <w:rPr>
          <w:rFonts w:hint="eastAsia"/>
          <w:sz w:val="24"/>
        </w:rPr>
        <w:t>）遵守评审工作纪律；</w:t>
      </w:r>
    </w:p>
    <w:p>
      <w:pPr>
        <w:pStyle w:val="41"/>
        <w:tabs>
          <w:tab w:val="left" w:pos="1507"/>
        </w:tabs>
        <w:spacing w:line="360" w:lineRule="auto"/>
        <w:ind w:left="0" w:firstLineChars="200"/>
        <w:rPr>
          <w:sz w:val="24"/>
        </w:rPr>
      </w:pPr>
      <w:r>
        <w:rPr>
          <w:rFonts w:hint="eastAsia"/>
          <w:sz w:val="24"/>
        </w:rPr>
        <w:t>（</w:t>
      </w:r>
      <w:r>
        <w:rPr>
          <w:rFonts w:hint="eastAsia"/>
          <w:sz w:val="24"/>
          <w:lang w:val="en-US"/>
        </w:rPr>
        <w:t>2</w:t>
      </w:r>
      <w:r>
        <w:rPr>
          <w:rFonts w:hint="eastAsia"/>
          <w:sz w:val="24"/>
        </w:rPr>
        <w:t>）</w:t>
      </w:r>
      <w:r>
        <w:rPr>
          <w:rFonts w:hint="eastAsia"/>
          <w:spacing w:val="-1"/>
          <w:sz w:val="24"/>
        </w:rPr>
        <w:t>按照客观、公正、审慎的原则，根据采购文件规定的评审程序、评审方法和评审标</w:t>
      </w:r>
      <w:r>
        <w:rPr>
          <w:rFonts w:hint="eastAsia"/>
          <w:sz w:val="24"/>
        </w:rPr>
        <w:t>准进行独立评审；</w:t>
      </w:r>
    </w:p>
    <w:p>
      <w:pPr>
        <w:pStyle w:val="41"/>
        <w:tabs>
          <w:tab w:val="left" w:pos="1507"/>
        </w:tabs>
        <w:spacing w:line="360" w:lineRule="auto"/>
        <w:ind w:left="0" w:firstLineChars="200"/>
        <w:rPr>
          <w:sz w:val="24"/>
        </w:rPr>
      </w:pPr>
      <w:r>
        <w:rPr>
          <w:rFonts w:hint="eastAsia"/>
          <w:sz w:val="24"/>
        </w:rPr>
        <w:t>（</w:t>
      </w:r>
      <w:r>
        <w:rPr>
          <w:rFonts w:hint="eastAsia"/>
          <w:sz w:val="24"/>
          <w:lang w:val="en-US"/>
        </w:rPr>
        <w:t>3</w:t>
      </w:r>
      <w:r>
        <w:rPr>
          <w:rFonts w:hint="eastAsia"/>
          <w:sz w:val="24"/>
        </w:rPr>
        <w:t>）不得泄露评审文件、评审情况和在评审过程中获悉的商业秘密；</w:t>
      </w:r>
    </w:p>
    <w:p>
      <w:pPr>
        <w:pStyle w:val="41"/>
        <w:tabs>
          <w:tab w:val="left" w:pos="1507"/>
        </w:tabs>
        <w:spacing w:line="360" w:lineRule="auto"/>
        <w:ind w:left="0" w:firstLineChars="200"/>
        <w:rPr>
          <w:sz w:val="24"/>
        </w:rPr>
      </w:pPr>
      <w:r>
        <w:rPr>
          <w:rFonts w:hint="eastAsia"/>
          <w:sz w:val="24"/>
        </w:rPr>
        <w:t>（</w:t>
      </w:r>
      <w:r>
        <w:rPr>
          <w:rFonts w:hint="eastAsia"/>
          <w:sz w:val="24"/>
          <w:lang w:val="en-US"/>
        </w:rPr>
        <w:t>4</w:t>
      </w:r>
      <w:r>
        <w:rPr>
          <w:rFonts w:hint="eastAsia"/>
          <w:sz w:val="24"/>
        </w:rPr>
        <w:t>）</w:t>
      </w:r>
      <w:r>
        <w:rPr>
          <w:rFonts w:hint="eastAsia"/>
          <w:spacing w:val="-1"/>
          <w:sz w:val="24"/>
        </w:rPr>
        <w:t>及时向监督部门报告评审过程中采购组织单位向评审专家做倾向性、误导性的解释</w:t>
      </w:r>
      <w:r>
        <w:rPr>
          <w:rFonts w:hint="eastAsia"/>
          <w:sz w:val="24"/>
        </w:rPr>
        <w:t>或者说明，</w:t>
      </w:r>
      <w:r>
        <w:rPr>
          <w:rFonts w:hint="eastAsia"/>
          <w:spacing w:val="-2"/>
          <w:sz w:val="24"/>
          <w:lang w:val="en-US"/>
        </w:rPr>
        <w:t>供应商</w:t>
      </w:r>
      <w:r>
        <w:rPr>
          <w:rFonts w:hint="eastAsia"/>
          <w:sz w:val="24"/>
        </w:rPr>
        <w:t>行贿、提供虚假材料或者串通、受到的非法干预情况等违法违规行为；</w:t>
      </w:r>
    </w:p>
    <w:p>
      <w:pPr>
        <w:pStyle w:val="41"/>
        <w:tabs>
          <w:tab w:val="left" w:pos="1507"/>
        </w:tabs>
        <w:spacing w:line="360" w:lineRule="auto"/>
        <w:ind w:left="0" w:firstLineChars="200"/>
        <w:rPr>
          <w:sz w:val="24"/>
        </w:rPr>
      </w:pPr>
      <w:r>
        <w:rPr>
          <w:rFonts w:hint="eastAsia"/>
          <w:sz w:val="24"/>
        </w:rPr>
        <w:t>（</w:t>
      </w:r>
      <w:r>
        <w:rPr>
          <w:rFonts w:hint="eastAsia"/>
          <w:sz w:val="24"/>
          <w:lang w:val="en-US"/>
        </w:rPr>
        <w:t>5</w:t>
      </w:r>
      <w:r>
        <w:rPr>
          <w:rFonts w:hint="eastAsia"/>
          <w:sz w:val="24"/>
        </w:rPr>
        <w:t>）</w:t>
      </w:r>
      <w:r>
        <w:rPr>
          <w:rFonts w:hint="eastAsia"/>
          <w:spacing w:val="-2"/>
          <w:sz w:val="24"/>
        </w:rPr>
        <w:t>发现采购文件内容违反国家有关强制性规定或者存在歧义、重大缺陷导致评审工作</w:t>
      </w:r>
      <w:r>
        <w:rPr>
          <w:rFonts w:hint="eastAsia"/>
          <w:sz w:val="24"/>
        </w:rPr>
        <w:t>无法进行时，停止评审并向采购组织单位书面说明情况；配合答复处理供应商的询问、质疑和投诉等事项；</w:t>
      </w:r>
    </w:p>
    <w:p>
      <w:pPr>
        <w:pStyle w:val="41"/>
        <w:tabs>
          <w:tab w:val="left" w:pos="1507"/>
        </w:tabs>
        <w:spacing w:line="360" w:lineRule="auto"/>
        <w:ind w:left="0" w:firstLineChars="200"/>
        <w:rPr>
          <w:sz w:val="24"/>
        </w:rPr>
      </w:pPr>
      <w:r>
        <w:rPr>
          <w:rFonts w:hint="eastAsia"/>
          <w:sz w:val="24"/>
        </w:rPr>
        <w:t>（</w:t>
      </w:r>
      <w:r>
        <w:rPr>
          <w:rFonts w:hint="eastAsia"/>
          <w:sz w:val="24"/>
          <w:lang w:val="en-US"/>
        </w:rPr>
        <w:t>6</w:t>
      </w:r>
      <w:r>
        <w:rPr>
          <w:rFonts w:hint="eastAsia"/>
          <w:sz w:val="24"/>
        </w:rPr>
        <w:t>）法律、法规和规章规定的其他义务。</w:t>
      </w:r>
    </w:p>
    <w:p>
      <w:pPr>
        <w:spacing w:line="360" w:lineRule="auto"/>
        <w:outlineLvl w:val="1"/>
        <w:rPr>
          <w:rFonts w:ascii="宋体" w:hAnsi="宋体" w:cs="宋体"/>
          <w:b/>
          <w:bCs/>
          <w:sz w:val="28"/>
          <w:szCs w:val="28"/>
        </w:rPr>
      </w:pPr>
      <w:bookmarkStart w:id="310" w:name="_Toc21768"/>
      <w:r>
        <w:rPr>
          <w:rFonts w:hint="eastAsia" w:ascii="宋体" w:hAnsi="宋体" w:cs="宋体"/>
          <w:b/>
          <w:bCs/>
          <w:sz w:val="28"/>
          <w:szCs w:val="28"/>
        </w:rPr>
        <w:t>八、评标专家在政府采购活动中应当遵守以下工作纪律：</w:t>
      </w:r>
      <w:bookmarkEnd w:id="310"/>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pacing w:val="-2"/>
          <w:sz w:val="24"/>
        </w:rPr>
        <w:t>遵行《政府采购法》第十二条和《政府采购法实施条例》第九条及财政部关于回避</w:t>
      </w:r>
      <w:r>
        <w:rPr>
          <w:rFonts w:hint="eastAsia" w:ascii="宋体" w:hAnsi="宋体" w:cs="宋体"/>
          <w:sz w:val="24"/>
        </w:rPr>
        <w:t>的规定。</w:t>
      </w:r>
    </w:p>
    <w:p>
      <w:pPr>
        <w:spacing w:line="360" w:lineRule="auto"/>
        <w:ind w:firstLine="480" w:firstLineChars="200"/>
        <w:rPr>
          <w:rFonts w:ascii="宋体" w:hAnsi="宋体" w:cs="宋体"/>
          <w:sz w:val="24"/>
        </w:rPr>
      </w:pPr>
      <w:r>
        <w:rPr>
          <w:rFonts w:hint="eastAsia" w:ascii="宋体" w:hAnsi="宋体" w:cs="宋体"/>
          <w:sz w:val="24"/>
        </w:rPr>
        <w:t>（2）评标前，应当将通讯工具或者相关电子设备交由招标采购单位统一保管。</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pacing w:val="-1"/>
          <w:sz w:val="24"/>
        </w:rPr>
        <w:t>评标过程中，不得与外界联系，因发生不可预见情况，确实需要与外界联系的，应</w:t>
      </w:r>
      <w:r>
        <w:rPr>
          <w:rFonts w:hint="eastAsia" w:ascii="宋体" w:hAnsi="宋体" w:cs="宋体"/>
          <w:sz w:val="24"/>
        </w:rPr>
        <w:t>当在监督人员监督之下办理。</w:t>
      </w:r>
    </w:p>
    <w:p>
      <w:pPr>
        <w:spacing w:line="360" w:lineRule="auto"/>
        <w:ind w:firstLine="480" w:firstLineChars="200"/>
        <w:rPr>
          <w:rFonts w:ascii="宋体" w:hAnsi="宋体" w:cs="宋体"/>
          <w:spacing w:val="-7"/>
          <w:sz w:val="24"/>
        </w:rPr>
      </w:pPr>
      <w:r>
        <w:rPr>
          <w:rFonts w:hint="eastAsia" w:ascii="宋体" w:hAnsi="宋体" w:cs="宋体"/>
          <w:sz w:val="24"/>
        </w:rPr>
        <w:t>（4）</w:t>
      </w:r>
      <w:r>
        <w:rPr>
          <w:rFonts w:hint="eastAsia" w:ascii="宋体" w:hAnsi="宋体" w:cs="宋体"/>
          <w:spacing w:val="-4"/>
          <w:sz w:val="24"/>
        </w:rPr>
        <w:t>评审过程中，不得干预或者影响正常评标工作，不得发表倾向性、引导性意见，不得征询或者接受采购人的倾向性意见，不得明示或暗示</w:t>
      </w:r>
      <w:r>
        <w:rPr>
          <w:rFonts w:hint="eastAsia" w:ascii="宋体" w:hAnsi="宋体" w:cs="宋体"/>
          <w:spacing w:val="-2"/>
          <w:sz w:val="24"/>
        </w:rPr>
        <w:t>供应商</w:t>
      </w:r>
      <w:r>
        <w:rPr>
          <w:rFonts w:hint="eastAsia" w:ascii="宋体" w:hAnsi="宋体" w:cs="宋体"/>
          <w:spacing w:val="-4"/>
          <w:sz w:val="24"/>
        </w:rPr>
        <w:t>在澄清时表达与其投标文件原义不同的意见，不得以采购文件没有规定的评审方法和标准作为评审的依据，不得修改或者细化评审程序、评审方法、评审因素和评审标准，不得对需要专业判断的主观评分因素协商</w:t>
      </w:r>
      <w:r>
        <w:rPr>
          <w:rFonts w:hint="eastAsia" w:ascii="宋体" w:hAnsi="宋体" w:cs="宋体"/>
          <w:spacing w:val="-7"/>
          <w:sz w:val="24"/>
        </w:rPr>
        <w:t>评分，不得违反规定的评审格式评分和撰写评审意见，不得拒绝对自己的评审意见签字确认。</w:t>
      </w:r>
    </w:p>
    <w:p>
      <w:pPr>
        <w:spacing w:line="360" w:lineRule="auto"/>
        <w:ind w:firstLine="452" w:firstLineChars="200"/>
        <w:rPr>
          <w:rFonts w:ascii="宋体" w:hAnsi="宋体" w:cs="宋体"/>
          <w:sz w:val="24"/>
        </w:rPr>
      </w:pPr>
      <w:r>
        <w:rPr>
          <w:rFonts w:hint="eastAsia" w:ascii="宋体" w:hAnsi="宋体" w:cs="宋体"/>
          <w:spacing w:val="-7"/>
          <w:sz w:val="24"/>
        </w:rPr>
        <w:t>（5）</w:t>
      </w:r>
      <w:r>
        <w:rPr>
          <w:rFonts w:hint="eastAsia" w:ascii="宋体" w:hAnsi="宋体" w:cs="宋体"/>
          <w:sz w:val="24"/>
        </w:rPr>
        <w:t>在评标过程中和评标结束后，不得记录、复制或带走任何评标资料，除因规定的义务外，不得向外界透露评标内容。</w:t>
      </w:r>
    </w:p>
    <w:p>
      <w:pPr>
        <w:spacing w:line="360" w:lineRule="auto"/>
        <w:ind w:firstLine="480" w:firstLineChars="200"/>
        <w:rPr>
          <w:rFonts w:ascii="宋体" w:hAnsi="宋体" w:cs="宋体"/>
          <w:sz w:val="24"/>
        </w:rPr>
      </w:pPr>
      <w:r>
        <w:rPr>
          <w:rFonts w:hint="eastAsia" w:ascii="宋体" w:hAnsi="宋体" w:cs="宋体"/>
          <w:sz w:val="24"/>
        </w:rPr>
        <w:t>（6）服从评标现场招标采购单位的现场秩序管理，接受评标现场监督人员的合法监督。</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pacing w:val="-2"/>
          <w:sz w:val="24"/>
        </w:rPr>
        <w:t>遵守有关廉洁自律规定，不得私下接触供应商，不得收受供应商及有关业务单位和</w:t>
      </w:r>
      <w:r>
        <w:rPr>
          <w:rFonts w:hint="eastAsia" w:ascii="宋体" w:hAnsi="宋体" w:cs="宋体"/>
          <w:sz w:val="24"/>
        </w:rPr>
        <w:t>个人的财物或好处，不得接受采购组织单位的请托。</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pacing w:val="-4"/>
          <w:sz w:val="24"/>
        </w:rPr>
        <w:t xml:space="preserve">在咨询工作中，严格执行国家产业政策和产品标准，认真听取咨询方的合理要求， </w:t>
      </w:r>
      <w:r>
        <w:rPr>
          <w:rFonts w:hint="eastAsia" w:ascii="宋体" w:hAnsi="宋体" w:cs="宋体"/>
          <w:sz w:val="24"/>
        </w:rPr>
        <w:t>提出科学合理的、无倾向性和歧视性的咨询方案，并对所提出的意见和建议承担个人责任。</w:t>
      </w:r>
    </w:p>
    <w:p>
      <w:pPr>
        <w:spacing w:line="360" w:lineRule="auto"/>
        <w:ind w:firstLine="480" w:firstLineChars="200"/>
        <w:rPr>
          <w:rFonts w:ascii="宋体" w:hAnsi="宋体" w:cs="宋体"/>
          <w:sz w:val="24"/>
        </w:rPr>
      </w:pPr>
      <w:r>
        <w:rPr>
          <w:rFonts w:hint="eastAsia" w:ascii="宋体" w:hAnsi="宋体" w:cs="宋体"/>
          <w:sz w:val="24"/>
        </w:rPr>
        <w:t>（9）有关部门（机构）制定的其他评审工作纪律。</w:t>
      </w:r>
    </w:p>
    <w:p>
      <w:pPr>
        <w:spacing w:line="360" w:lineRule="auto"/>
        <w:rPr>
          <w:rFonts w:ascii="宋体" w:hAnsi="宋体" w:cs="宋体"/>
          <w:b/>
          <w:bCs/>
          <w:sz w:val="28"/>
          <w:szCs w:val="28"/>
        </w:rPr>
      </w:pPr>
      <w:r>
        <w:rPr>
          <w:rFonts w:hint="eastAsia" w:ascii="宋体" w:hAnsi="宋体" w:cs="宋体"/>
          <w:b/>
          <w:bCs/>
          <w:sz w:val="28"/>
          <w:szCs w:val="28"/>
        </w:rPr>
        <w:t>九、评标委员会成员有下列行为之一的，其评审意见无效，并不得获取评审劳务报酬和报销异地评审差旅费。</w:t>
      </w:r>
    </w:p>
    <w:p>
      <w:pPr>
        <w:spacing w:line="360" w:lineRule="auto"/>
        <w:ind w:firstLine="480" w:firstLineChars="200"/>
        <w:rPr>
          <w:rFonts w:ascii="宋体" w:hAnsi="宋体" w:cs="宋体"/>
          <w:sz w:val="24"/>
        </w:rPr>
      </w:pPr>
      <w:r>
        <w:rPr>
          <w:rFonts w:hint="eastAsia" w:ascii="宋体" w:hAnsi="宋体" w:cs="宋体"/>
          <w:sz w:val="24"/>
        </w:rPr>
        <w:t>（1）确定参与评标至评标结束前私自接触供应商；</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pacing w:val="-2"/>
          <w:sz w:val="24"/>
        </w:rPr>
        <w:t>接受供应商提出的与投标文件不一致的澄清或者说明，对投标文件中含义不明确、</w:t>
      </w:r>
      <w:r>
        <w:rPr>
          <w:rFonts w:hint="eastAsia" w:ascii="宋体" w:hAnsi="宋体" w:cs="宋体"/>
          <w:sz w:val="24"/>
        </w:rPr>
        <w:t>同类问题表述不一致或者有明显文字和计算错误的情形除外；</w:t>
      </w:r>
    </w:p>
    <w:p>
      <w:pPr>
        <w:spacing w:line="360" w:lineRule="auto"/>
        <w:ind w:firstLine="480" w:firstLineChars="200"/>
        <w:rPr>
          <w:rFonts w:ascii="宋体" w:hAnsi="宋体" w:cs="宋体"/>
          <w:sz w:val="24"/>
        </w:rPr>
      </w:pPr>
      <w:r>
        <w:rPr>
          <w:rFonts w:hint="eastAsia" w:ascii="宋体" w:hAnsi="宋体" w:cs="宋体"/>
          <w:sz w:val="24"/>
        </w:rPr>
        <w:t>（3）违反评标纪律发表倾向性意见或者征询采购人的倾向性意见；</w:t>
      </w:r>
    </w:p>
    <w:p>
      <w:pPr>
        <w:spacing w:line="360" w:lineRule="auto"/>
        <w:ind w:firstLine="480" w:firstLineChars="200"/>
        <w:rPr>
          <w:rFonts w:ascii="宋体" w:hAnsi="宋体" w:cs="宋体"/>
          <w:sz w:val="24"/>
        </w:rPr>
      </w:pPr>
      <w:r>
        <w:rPr>
          <w:rFonts w:hint="eastAsia" w:ascii="宋体" w:hAnsi="宋体" w:cs="宋体"/>
          <w:sz w:val="24"/>
        </w:rPr>
        <w:t>（4）对需要专业判断的主观评审因素协商评分；</w:t>
      </w:r>
    </w:p>
    <w:p>
      <w:pPr>
        <w:spacing w:line="360" w:lineRule="auto"/>
        <w:ind w:firstLine="480" w:firstLineChars="200"/>
        <w:rPr>
          <w:rFonts w:ascii="宋体" w:hAnsi="宋体" w:cs="宋体"/>
          <w:sz w:val="24"/>
        </w:rPr>
      </w:pPr>
      <w:r>
        <w:rPr>
          <w:rFonts w:hint="eastAsia" w:ascii="宋体" w:hAnsi="宋体" w:cs="宋体"/>
          <w:sz w:val="24"/>
        </w:rPr>
        <w:t>（5）在评标过程中擅离职守，影响评标程序正常进行的。</w:t>
      </w:r>
    </w:p>
    <w:p>
      <w:pPr>
        <w:spacing w:line="360" w:lineRule="auto"/>
        <w:rPr>
          <w:rFonts w:ascii="宋体" w:hAnsi="宋体" w:cs="宋体"/>
          <w:sz w:val="24"/>
        </w:rPr>
        <w:sectPr>
          <w:footerReference r:id="rId10" w:type="default"/>
          <w:pgSz w:w="11910" w:h="16840"/>
          <w:pgMar w:top="1440" w:right="1803" w:bottom="1440" w:left="1803" w:header="720" w:footer="720" w:gutter="0"/>
          <w:cols w:space="425" w:num="1"/>
        </w:sectPr>
      </w:pPr>
    </w:p>
    <w:p>
      <w:pPr>
        <w:pStyle w:val="3"/>
        <w:tabs>
          <w:tab w:val="left" w:pos="1286"/>
        </w:tabs>
        <w:spacing w:before="55" w:line="360" w:lineRule="auto"/>
        <w:ind w:right="37"/>
        <w:jc w:val="center"/>
        <w:rPr>
          <w:rFonts w:ascii="宋体" w:hAnsi="宋体" w:cs="宋体"/>
          <w:color w:val="000000"/>
          <w:sz w:val="24"/>
        </w:rPr>
      </w:pPr>
      <w:bookmarkStart w:id="311" w:name="_Toc27436"/>
      <w:r>
        <w:rPr>
          <w:rFonts w:hint="eastAsia" w:ascii="宋体" w:hAnsi="宋体" w:cs="宋体"/>
          <w:sz w:val="32"/>
          <w:szCs w:val="32"/>
          <w:lang w:val="en-US" w:eastAsia="zh-CN"/>
        </w:rPr>
        <w:t xml:space="preserve"> </w:t>
      </w:r>
      <w:r>
        <w:rPr>
          <w:rFonts w:hint="eastAsia" w:ascii="宋体" w:hAnsi="宋体" w:cs="宋体"/>
          <w:sz w:val="32"/>
          <w:szCs w:val="32"/>
        </w:rPr>
        <w:t>第八章</w:t>
      </w:r>
      <w:r>
        <w:rPr>
          <w:rFonts w:hint="eastAsia" w:ascii="宋体" w:hAnsi="宋体" w:cs="宋体"/>
          <w:sz w:val="32"/>
          <w:szCs w:val="32"/>
        </w:rPr>
        <w:tab/>
      </w:r>
      <w:r>
        <w:rPr>
          <w:rFonts w:hint="eastAsia" w:ascii="宋体" w:hAnsi="宋体" w:cs="宋体"/>
          <w:sz w:val="32"/>
          <w:szCs w:val="32"/>
        </w:rPr>
        <w:t>合同</w:t>
      </w:r>
      <w:r>
        <w:rPr>
          <w:rFonts w:hint="eastAsia" w:ascii="宋体" w:hAnsi="宋体" w:cs="宋体"/>
          <w:spacing w:val="5"/>
          <w:sz w:val="32"/>
          <w:szCs w:val="32"/>
        </w:rPr>
        <w:t>主</w:t>
      </w:r>
      <w:bookmarkEnd w:id="231"/>
      <w:r>
        <w:rPr>
          <w:rFonts w:hint="eastAsia" w:ascii="宋体" w:hAnsi="宋体" w:cs="宋体"/>
          <w:sz w:val="32"/>
          <w:szCs w:val="32"/>
        </w:rPr>
        <w:t>要条款</w:t>
      </w:r>
      <w:bookmarkEnd w:id="311"/>
      <w:bookmarkStart w:id="312" w:name="_Hlt101846155"/>
      <w:bookmarkEnd w:id="312"/>
    </w:p>
    <w:p>
      <w:pPr>
        <w:spacing w:line="360" w:lineRule="auto"/>
        <w:jc w:val="center"/>
        <w:rPr>
          <w:rFonts w:ascii="宋体" w:hAnsi="宋体" w:cs="宋体"/>
          <w:color w:val="000000"/>
        </w:rPr>
      </w:pPr>
      <w:bookmarkStart w:id="313" w:name="_Toc349810624"/>
      <w:bookmarkStart w:id="314" w:name="_Toc350864527"/>
      <w:r>
        <w:rPr>
          <w:rFonts w:hint="eastAsia" w:ascii="宋体" w:hAnsi="宋体" w:cs="宋体"/>
          <w:b/>
          <w:bCs/>
          <w:kern w:val="0"/>
          <w:sz w:val="24"/>
        </w:rPr>
        <w:t>(仅供参考，以实际签订合同为准。)</w:t>
      </w:r>
    </w:p>
    <w:p>
      <w:pPr>
        <w:pStyle w:val="37"/>
        <w:spacing w:line="360" w:lineRule="auto"/>
        <w:ind w:firstLine="480"/>
        <w:rPr>
          <w:rFonts w:ascii="宋体" w:hAnsi="宋体"/>
          <w:color w:val="000000"/>
        </w:rPr>
      </w:pPr>
      <w:r>
        <w:rPr>
          <w:rFonts w:hint="eastAsia" w:ascii="宋体" w:hAnsi="宋体"/>
          <w:color w:val="000000"/>
        </w:rPr>
        <w:t xml:space="preserve">合同编号：XXX                                         </w:t>
      </w:r>
    </w:p>
    <w:p>
      <w:pPr>
        <w:pStyle w:val="37"/>
        <w:spacing w:line="360" w:lineRule="auto"/>
        <w:ind w:firstLine="480"/>
        <w:rPr>
          <w:rFonts w:ascii="宋体" w:hAnsi="宋体"/>
          <w:color w:val="000000"/>
        </w:rPr>
      </w:pPr>
      <w:r>
        <w:rPr>
          <w:rFonts w:hint="eastAsia" w:ascii="宋体" w:hAnsi="宋体"/>
          <w:color w:val="000000"/>
        </w:rPr>
        <w:t xml:space="preserve">签订地点：XXX                                         </w:t>
      </w:r>
    </w:p>
    <w:p>
      <w:pPr>
        <w:pStyle w:val="37"/>
        <w:spacing w:line="360" w:lineRule="auto"/>
        <w:ind w:firstLine="480"/>
        <w:rPr>
          <w:rFonts w:ascii="宋体" w:hAnsi="宋体"/>
          <w:color w:val="000000"/>
        </w:rPr>
      </w:pPr>
      <w:r>
        <w:rPr>
          <w:rFonts w:hint="eastAsia" w:ascii="宋体" w:hAnsi="宋体"/>
          <w:color w:val="000000"/>
        </w:rPr>
        <w:t xml:space="preserve">签订时间：XXX年XXX月XXX日                                         </w:t>
      </w:r>
    </w:p>
    <w:p>
      <w:pPr>
        <w:pStyle w:val="37"/>
        <w:spacing w:line="360" w:lineRule="auto"/>
        <w:ind w:firstLine="480"/>
        <w:rPr>
          <w:rFonts w:ascii="宋体" w:hAnsi="宋体"/>
          <w:color w:val="000000"/>
        </w:rPr>
      </w:pPr>
      <w:r>
        <w:rPr>
          <w:rFonts w:hint="eastAsia" w:ascii="宋体" w:hAnsi="宋体"/>
          <w:color w:val="000000"/>
        </w:rPr>
        <w:t xml:space="preserve">采购人（甲方）：XXX                                          </w:t>
      </w:r>
    </w:p>
    <w:p>
      <w:pPr>
        <w:pStyle w:val="37"/>
        <w:spacing w:line="360" w:lineRule="auto"/>
        <w:ind w:firstLine="480"/>
        <w:rPr>
          <w:rFonts w:ascii="宋体" w:hAnsi="宋体"/>
          <w:color w:val="000000"/>
        </w:rPr>
      </w:pPr>
      <w:r>
        <w:rPr>
          <w:rFonts w:hint="eastAsia" w:ascii="宋体" w:hAnsi="宋体"/>
          <w:color w:val="000000"/>
        </w:rPr>
        <w:t xml:space="preserve">供应商（乙方）：XXX                                          </w:t>
      </w:r>
    </w:p>
    <w:p>
      <w:pPr>
        <w:spacing w:line="360" w:lineRule="auto"/>
        <w:rPr>
          <w:rFonts w:ascii="宋体" w:hAnsi="宋体" w:cs="宋体"/>
          <w:color w:val="000000"/>
          <w:sz w:val="24"/>
        </w:rPr>
      </w:pPr>
    </w:p>
    <w:p>
      <w:pPr>
        <w:pStyle w:val="37"/>
        <w:spacing w:line="360" w:lineRule="auto"/>
        <w:ind w:firstLine="480"/>
        <w:rPr>
          <w:rFonts w:ascii="宋体" w:hAnsi="宋体"/>
          <w:color w:val="000000"/>
        </w:rPr>
      </w:pPr>
      <w:r>
        <w:rPr>
          <w:rFonts w:hint="eastAsia" w:ascii="宋体" w:hAnsi="宋体"/>
          <w:color w:val="000000"/>
        </w:rPr>
        <w:t>根据《中华人民共和国政府采购法》《中华人民共和国合同法》及</w:t>
      </w:r>
      <w:r>
        <w:rPr>
          <w:rFonts w:hint="eastAsia" w:ascii="宋体" w:hAnsi="宋体"/>
          <w:color w:val="000000"/>
          <w:u w:val="single"/>
        </w:rPr>
        <w:t>成都高新区天润路毛家桥污水溢流临时应急处理（一级A标）服务项目</w:t>
      </w:r>
      <w:r>
        <w:rPr>
          <w:rFonts w:hint="eastAsia" w:ascii="宋体" w:hAnsi="宋体"/>
          <w:color w:val="000000"/>
        </w:rPr>
        <w:t>采（项目编号：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37"/>
        <w:spacing w:line="360" w:lineRule="auto"/>
        <w:ind w:firstLine="560"/>
        <w:rPr>
          <w:rFonts w:ascii="宋体" w:hAnsi="宋体"/>
          <w:color w:val="000000"/>
          <w:sz w:val="28"/>
          <w:szCs w:val="28"/>
        </w:rPr>
      </w:pPr>
    </w:p>
    <w:p>
      <w:pPr>
        <w:spacing w:line="360" w:lineRule="auto"/>
        <w:outlineLvl w:val="1"/>
        <w:rPr>
          <w:rFonts w:ascii="宋体" w:hAnsi="宋体" w:cs="宋体"/>
          <w:b/>
          <w:color w:val="000000"/>
          <w:sz w:val="28"/>
          <w:szCs w:val="28"/>
        </w:rPr>
      </w:pPr>
      <w:bookmarkStart w:id="315" w:name="_Toc13864"/>
      <w:r>
        <w:rPr>
          <w:rFonts w:hint="eastAsia" w:ascii="宋体" w:hAnsi="宋体" w:cs="宋体"/>
          <w:b/>
          <w:color w:val="000000"/>
          <w:sz w:val="28"/>
          <w:szCs w:val="28"/>
        </w:rPr>
        <w:t>一、项目基本情况</w:t>
      </w:r>
      <w:bookmarkEnd w:id="315"/>
    </w:p>
    <w:p>
      <w:pPr>
        <w:spacing w:line="360" w:lineRule="auto"/>
        <w:ind w:firstLine="482" w:firstLineChars="200"/>
        <w:outlineLvl w:val="2"/>
        <w:rPr>
          <w:rFonts w:ascii="宋体" w:hAnsi="宋体" w:cs="宋体"/>
          <w:color w:val="000000"/>
          <w:sz w:val="24"/>
        </w:rPr>
      </w:pPr>
      <w:r>
        <w:rPr>
          <w:rFonts w:hint="eastAsia" w:ascii="宋体" w:hAnsi="宋体" w:cs="宋体"/>
          <w:b/>
          <w:bCs/>
          <w:color w:val="000000"/>
          <w:sz w:val="24"/>
        </w:rPr>
        <w:t>1、项目名称：</w:t>
      </w:r>
      <w:r>
        <w:rPr>
          <w:rFonts w:hint="eastAsia" w:ascii="宋体" w:hAnsi="宋体" w:cs="宋体"/>
          <w:color w:val="000000"/>
          <w:sz w:val="24"/>
        </w:rPr>
        <w:t>成都高新区天润路毛家桥污水溢流临时应急处理（一级A标）服务项目。</w:t>
      </w:r>
    </w:p>
    <w:p>
      <w:pPr>
        <w:spacing w:line="360" w:lineRule="auto"/>
        <w:ind w:firstLine="482" w:firstLineChars="200"/>
        <w:outlineLvl w:val="2"/>
        <w:rPr>
          <w:rFonts w:ascii="宋体" w:hAnsi="宋体" w:cs="宋体"/>
          <w:color w:val="000000"/>
          <w:sz w:val="24"/>
        </w:rPr>
      </w:pPr>
      <w:r>
        <w:rPr>
          <w:rFonts w:hint="eastAsia" w:ascii="宋体" w:hAnsi="宋体" w:cs="宋体"/>
          <w:b/>
          <w:bCs/>
          <w:color w:val="000000"/>
          <w:sz w:val="24"/>
        </w:rPr>
        <w:t>2、项目业主：</w:t>
      </w:r>
      <w:r>
        <w:rPr>
          <w:rFonts w:hint="eastAsia" w:ascii="宋体" w:hAnsi="宋体" w:cs="宋体"/>
          <w:color w:val="000000"/>
          <w:sz w:val="24"/>
        </w:rPr>
        <w:t>成都高新技术产业开发区生态环境和城市管理局。</w:t>
      </w:r>
    </w:p>
    <w:p>
      <w:pPr>
        <w:pStyle w:val="2"/>
        <w:rPr>
          <w:sz w:val="28"/>
          <w:szCs w:val="28"/>
        </w:rPr>
      </w:pPr>
    </w:p>
    <w:p>
      <w:pPr>
        <w:spacing w:line="360" w:lineRule="auto"/>
        <w:outlineLvl w:val="1"/>
        <w:rPr>
          <w:rFonts w:ascii="宋体" w:hAnsi="宋体" w:cs="宋体"/>
          <w:b/>
          <w:color w:val="000000"/>
          <w:sz w:val="28"/>
          <w:szCs w:val="28"/>
        </w:rPr>
      </w:pPr>
      <w:bookmarkStart w:id="316" w:name="_Toc31083"/>
      <w:r>
        <w:rPr>
          <w:rFonts w:hint="eastAsia" w:ascii="宋体" w:hAnsi="宋体" w:cs="宋体"/>
          <w:b/>
          <w:color w:val="000000"/>
          <w:sz w:val="28"/>
          <w:szCs w:val="28"/>
        </w:rPr>
        <w:t>二、合同文件</w:t>
      </w:r>
      <w:bookmarkEnd w:id="316"/>
    </w:p>
    <w:p>
      <w:pPr>
        <w:spacing w:line="360" w:lineRule="auto"/>
        <w:ind w:firstLine="480" w:firstLineChars="200"/>
        <w:rPr>
          <w:rFonts w:ascii="宋体" w:hAnsi="宋体" w:cs="宋体"/>
          <w:color w:val="000000"/>
          <w:sz w:val="24"/>
        </w:rPr>
      </w:pPr>
      <w:r>
        <w:rPr>
          <w:rFonts w:hint="eastAsia" w:ascii="宋体" w:hAnsi="宋体" w:cs="宋体"/>
          <w:color w:val="000000"/>
          <w:sz w:val="24"/>
        </w:rPr>
        <w:t>本合同所附下列文件是本合同不可分割的部分：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1、中标后双方签订的采购合同；（包括服务方案、项目验收标准和验收方法等）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2、采购人针对本项目的招标文件；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3、供应商提交的投标文件及其相关承诺；</w:t>
      </w:r>
    </w:p>
    <w:p>
      <w:pPr>
        <w:spacing w:line="360" w:lineRule="auto"/>
        <w:ind w:firstLine="480" w:firstLineChars="200"/>
        <w:rPr>
          <w:rFonts w:ascii="宋体" w:hAnsi="宋体" w:cs="宋体"/>
          <w:color w:val="000000"/>
          <w:sz w:val="24"/>
        </w:rPr>
      </w:pPr>
      <w:r>
        <w:rPr>
          <w:rFonts w:hint="eastAsia" w:ascii="宋体" w:hAnsi="宋体" w:cs="宋体"/>
          <w:color w:val="000000"/>
          <w:sz w:val="24"/>
        </w:rPr>
        <w:t>4、中标通知书；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5、其他。</w:t>
      </w:r>
    </w:p>
    <w:p>
      <w:pPr>
        <w:spacing w:line="360" w:lineRule="auto"/>
        <w:rPr>
          <w:rFonts w:ascii="宋体" w:hAnsi="宋体" w:cs="宋体"/>
          <w:color w:val="000000"/>
          <w:sz w:val="24"/>
        </w:rPr>
      </w:pPr>
    </w:p>
    <w:p>
      <w:pPr>
        <w:spacing w:line="360" w:lineRule="auto"/>
        <w:outlineLvl w:val="1"/>
        <w:rPr>
          <w:rFonts w:ascii="宋体" w:hAnsi="宋体" w:cs="宋体"/>
          <w:b/>
          <w:color w:val="000000"/>
          <w:sz w:val="28"/>
          <w:szCs w:val="28"/>
        </w:rPr>
      </w:pPr>
      <w:bookmarkStart w:id="317" w:name="_Toc7597"/>
      <w:r>
        <w:rPr>
          <w:rFonts w:hint="eastAsia" w:ascii="宋体" w:hAnsi="宋体" w:cs="宋体"/>
          <w:b/>
          <w:color w:val="000000"/>
          <w:sz w:val="28"/>
          <w:szCs w:val="28"/>
        </w:rPr>
        <w:t>三、合同期限</w:t>
      </w:r>
      <w:bookmarkEnd w:id="317"/>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1.建设期：该项目须于合同签订后50天内建成投运并达标运行。本项目是市政污水处理应急民生环保项目，未按规定的时间投运，需向采购人支付10万元/天的违约金，违约金在后期污水处理服务费中扣减。</w:t>
      </w:r>
    </w:p>
    <w:p>
      <w:pPr>
        <w:pStyle w:val="8"/>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2.运营期：本项目运营维护服务期限为二年，污水处理设备安装调试完毕后，自出水达标且经有资质的第三方专业机构检测合格之日起为起算日。</w:t>
      </w:r>
    </w:p>
    <w:p>
      <w:pPr>
        <w:pStyle w:val="5"/>
        <w:spacing w:line="360" w:lineRule="auto"/>
        <w:ind w:firstLine="0" w:firstLineChars="0"/>
        <w:rPr>
          <w:rFonts w:ascii="宋体" w:hAnsi="宋体" w:cs="宋体"/>
          <w:color w:val="000000"/>
          <w:sz w:val="24"/>
        </w:rPr>
      </w:pPr>
    </w:p>
    <w:p>
      <w:pPr>
        <w:tabs>
          <w:tab w:val="left" w:pos="1521"/>
        </w:tabs>
        <w:spacing w:line="360" w:lineRule="auto"/>
        <w:outlineLvl w:val="1"/>
        <w:rPr>
          <w:rFonts w:ascii="宋体" w:hAnsi="宋体" w:cs="宋体"/>
          <w:b/>
          <w:sz w:val="28"/>
          <w:szCs w:val="28"/>
        </w:rPr>
      </w:pPr>
      <w:bookmarkStart w:id="318" w:name="_Toc5814"/>
      <w:r>
        <w:rPr>
          <w:rFonts w:hint="eastAsia" w:ascii="宋体" w:hAnsi="宋体" w:cs="宋体"/>
          <w:b/>
          <w:sz w:val="28"/>
          <w:szCs w:val="28"/>
        </w:rPr>
        <w:t>四、服务内容与</w:t>
      </w:r>
      <w:bookmarkEnd w:id="318"/>
      <w:r>
        <w:rPr>
          <w:rFonts w:hint="eastAsia" w:ascii="宋体" w:hAnsi="宋体" w:cs="宋体"/>
          <w:b/>
          <w:sz w:val="28"/>
          <w:szCs w:val="28"/>
        </w:rPr>
        <w:t>服务要求</w:t>
      </w:r>
    </w:p>
    <w:p>
      <w:pPr>
        <w:snapToGrid w:val="0"/>
        <w:spacing w:line="360" w:lineRule="auto"/>
        <w:ind w:firstLine="482" w:firstLineChars="200"/>
        <w:textAlignment w:val="baseline"/>
        <w:outlineLvl w:val="2"/>
        <w:rPr>
          <w:rFonts w:ascii="宋体" w:hAnsi="宋体" w:cs="宋体"/>
          <w:bCs/>
          <w:sz w:val="24"/>
        </w:rPr>
      </w:pPr>
      <w:r>
        <w:rPr>
          <w:rFonts w:hint="eastAsia" w:ascii="宋体" w:hAnsi="宋体" w:cs="宋体"/>
          <w:b/>
          <w:bCs/>
          <w:sz w:val="24"/>
        </w:rPr>
        <w:t>（一）服务内容：在成都高新区西部园区天润路与西源大道交汇处（电子科技大学清水河校区临时游园内）提供污水处理服务，</w:t>
      </w:r>
      <w:r>
        <w:rPr>
          <w:rFonts w:hint="eastAsia" w:ascii="宋体" w:hAnsi="宋体" w:cs="宋体"/>
          <w:sz w:val="24"/>
        </w:rPr>
        <w:t>供应商提供污水处理设备</w:t>
      </w:r>
      <w:r>
        <w:rPr>
          <w:rFonts w:hint="eastAsia" w:ascii="宋体" w:hAnsi="宋体" w:cs="宋体"/>
          <w:sz w:val="24"/>
          <w:lang w:val="en-US" w:eastAsia="zh-CN"/>
        </w:rPr>
        <w:t>和运营服务，</w:t>
      </w:r>
      <w:r>
        <w:rPr>
          <w:rFonts w:hint="eastAsia" w:ascii="宋体" w:hAnsi="宋体" w:cs="宋体"/>
          <w:color w:val="C00000"/>
          <w:sz w:val="24"/>
          <w:lang w:eastAsia="zh-Hans"/>
        </w:rPr>
        <w:t>含整套系统除臭设施（注：除臭达到《城镇污水处理厂污染物排放标准》(GB18918—2002)一级A标准要求）。</w:t>
      </w:r>
      <w:r>
        <w:rPr>
          <w:rFonts w:hint="eastAsia" w:ascii="宋体" w:hAnsi="宋体" w:cs="宋体"/>
          <w:sz w:val="24"/>
        </w:rPr>
        <w:t>并负责场地整理、安装、调试、运行、维护等。在服务期内，负责对采购人指定范围内的污水进行处理，在进水水质满足设计进水水质条件下，保证出水水质主要指标达到《城镇污水处理厂污染物排放标准》》（GB18918-2002）的一级A标。本项目</w:t>
      </w:r>
      <w:r>
        <w:rPr>
          <w:rFonts w:hint="eastAsia" w:ascii="宋体" w:hAnsi="宋体" w:cs="宋体"/>
          <w:bCs/>
          <w:sz w:val="24"/>
        </w:rPr>
        <w:t>采用租赁设备+运营服务模式，设备所有权属于中标人，设备由中标</w:t>
      </w:r>
      <w:r>
        <w:rPr>
          <w:rFonts w:hint="eastAsia" w:ascii="宋体" w:hAnsi="宋体" w:cs="宋体"/>
          <w:sz w:val="24"/>
        </w:rPr>
        <w:t>供应商</w:t>
      </w:r>
      <w:r>
        <w:rPr>
          <w:rFonts w:hint="eastAsia" w:ascii="宋体" w:hAnsi="宋体" w:cs="宋体"/>
          <w:bCs/>
          <w:sz w:val="24"/>
        </w:rPr>
        <w:t>负责安装和运营维护。运营服务期2年，期满后由中标</w:t>
      </w:r>
      <w:r>
        <w:rPr>
          <w:rFonts w:hint="eastAsia" w:ascii="宋体" w:hAnsi="宋体" w:cs="宋体"/>
          <w:sz w:val="24"/>
        </w:rPr>
        <w:t>供应商</w:t>
      </w:r>
      <w:r>
        <w:rPr>
          <w:rFonts w:hint="eastAsia" w:ascii="宋体" w:hAnsi="宋体" w:cs="宋体"/>
          <w:bCs/>
          <w:sz w:val="24"/>
        </w:rPr>
        <w:t>负责将污水处理设备进行拆除回收，拆除费用由供应商自行承担。</w:t>
      </w:r>
    </w:p>
    <w:p>
      <w:pPr>
        <w:snapToGrid w:val="0"/>
        <w:spacing w:line="360" w:lineRule="auto"/>
        <w:ind w:firstLine="482" w:firstLineChars="200"/>
        <w:jc w:val="left"/>
        <w:textAlignment w:val="baseline"/>
        <w:outlineLvl w:val="2"/>
        <w:rPr>
          <w:rFonts w:ascii="宋体" w:hAnsi="宋体" w:cs="宋体"/>
          <w:b/>
          <w:bCs/>
          <w:color w:val="FF0000"/>
          <w:sz w:val="24"/>
        </w:rPr>
      </w:pPr>
      <w:r>
        <w:rPr>
          <w:rFonts w:hint="eastAsia" w:ascii="宋体" w:hAnsi="宋体" w:cs="宋体"/>
          <w:b/>
          <w:bCs/>
          <w:color w:val="FF0000"/>
          <w:sz w:val="24"/>
        </w:rPr>
        <w:t>（二）设计进、出水水质要求</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（1）设计进水水质（单位：mg/L）</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420"/>
        <w:gridCol w:w="1420"/>
        <w:gridCol w:w="142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COD</w:t>
            </w:r>
            <w:r>
              <w:rPr>
                <w:rFonts w:hint="eastAsia" w:ascii="宋体" w:hAnsi="宋体" w:cs="宋体"/>
                <w:bCs/>
                <w:sz w:val="24"/>
                <w:vertAlign w:val="subscript"/>
              </w:rPr>
              <w:t>cr</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BOD</w:t>
            </w:r>
            <w:r>
              <w:rPr>
                <w:rFonts w:hint="eastAsia" w:ascii="宋体" w:hAnsi="宋体" w:cs="宋体"/>
                <w:bCs/>
                <w:sz w:val="24"/>
                <w:vertAlign w:val="subscript"/>
              </w:rPr>
              <w:t>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TN</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TP</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SS</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NH</w:t>
            </w:r>
            <w:r>
              <w:rPr>
                <w:rFonts w:hint="eastAsia" w:ascii="宋体" w:hAnsi="宋体" w:cs="宋体"/>
                <w:bCs/>
                <w:sz w:val="24"/>
                <w:vertAlign w:val="subscript"/>
              </w:rPr>
              <w:t>3</w:t>
            </w:r>
            <w:r>
              <w:rPr>
                <w:rFonts w:hint="eastAsia" w:ascii="宋体" w:hAnsi="宋体" w:cs="宋体"/>
                <w:bCs/>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≤300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≤25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≤3</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≤150</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≤20</w:t>
            </w:r>
          </w:p>
        </w:tc>
      </w:tr>
    </w:tbl>
    <w:p>
      <w:pPr>
        <w:numPr>
          <w:ilvl w:val="0"/>
          <w:numId w:val="10"/>
        </w:num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设计出水水质（单位：mg/L）</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420"/>
        <w:gridCol w:w="1420"/>
        <w:gridCol w:w="142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COD</w:t>
            </w:r>
            <w:r>
              <w:rPr>
                <w:rFonts w:hint="eastAsia" w:ascii="宋体" w:hAnsi="宋体" w:cs="宋体"/>
                <w:bCs/>
                <w:sz w:val="24"/>
                <w:vertAlign w:val="subscript"/>
              </w:rPr>
              <w:t>cr</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BOD</w:t>
            </w:r>
            <w:r>
              <w:rPr>
                <w:rFonts w:hint="eastAsia" w:ascii="宋体" w:hAnsi="宋体" w:cs="宋体"/>
                <w:bCs/>
                <w:sz w:val="24"/>
                <w:vertAlign w:val="subscript"/>
              </w:rPr>
              <w:t>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TN</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TP</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SS</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NH</w:t>
            </w:r>
            <w:r>
              <w:rPr>
                <w:rFonts w:hint="eastAsia" w:ascii="宋体" w:hAnsi="宋体" w:cs="宋体"/>
                <w:bCs/>
                <w:sz w:val="24"/>
                <w:vertAlign w:val="subscript"/>
              </w:rPr>
              <w:t>3</w:t>
            </w:r>
            <w:r>
              <w:rPr>
                <w:rFonts w:hint="eastAsia" w:ascii="宋体" w:hAnsi="宋体" w:cs="宋体"/>
                <w:bCs/>
                <w:sz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≤50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≤10</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≤0.5</w:t>
            </w:r>
          </w:p>
        </w:tc>
        <w:tc>
          <w:tcPr>
            <w:tcW w:w="833" w:type="pct"/>
            <w:shd w:val="clear" w:color="auto" w:fill="auto"/>
            <w:vAlign w:val="center"/>
          </w:tcPr>
          <w:p>
            <w:pPr>
              <w:snapToGrid w:val="0"/>
              <w:spacing w:line="360" w:lineRule="auto"/>
              <w:jc w:val="center"/>
              <w:textAlignment w:val="baseline"/>
              <w:rPr>
                <w:rFonts w:ascii="宋体" w:hAnsi="宋体" w:cs="宋体"/>
                <w:bCs/>
                <w:sz w:val="24"/>
              </w:rPr>
            </w:pPr>
            <w:r>
              <w:rPr>
                <w:rFonts w:hint="eastAsia" w:ascii="宋体" w:hAnsi="宋体" w:cs="宋体"/>
                <w:bCs/>
                <w:sz w:val="24"/>
              </w:rPr>
              <w:t>≤10</w:t>
            </w:r>
          </w:p>
        </w:tc>
        <w:tc>
          <w:tcPr>
            <w:tcW w:w="837" w:type="pct"/>
            <w:shd w:val="clear" w:color="auto" w:fill="auto"/>
            <w:vAlign w:val="center"/>
          </w:tcPr>
          <w:p>
            <w:pPr>
              <w:snapToGrid w:val="0"/>
              <w:spacing w:line="360" w:lineRule="auto"/>
              <w:jc w:val="center"/>
              <w:textAlignment w:val="baseline"/>
              <w:rPr>
                <w:rFonts w:hint="eastAsia" w:ascii="宋体" w:hAnsi="宋体" w:cs="宋体"/>
                <w:bCs/>
                <w:sz w:val="24"/>
              </w:rPr>
            </w:pPr>
            <w:r>
              <w:rPr>
                <w:rFonts w:hint="eastAsia" w:ascii="宋体" w:hAnsi="宋体" w:cs="宋体"/>
                <w:bCs/>
                <w:sz w:val="24"/>
              </w:rPr>
              <w:t>≤5（8）</w:t>
            </w:r>
          </w:p>
        </w:tc>
      </w:tr>
    </w:tbl>
    <w:p>
      <w:pPr>
        <w:pStyle w:val="2"/>
        <w:widowControl w:val="0"/>
        <w:numPr>
          <w:ilvl w:val="0"/>
          <w:numId w:val="0"/>
        </w:numPr>
        <w:spacing w:after="120"/>
        <w:jc w:val="cente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3</w:t>
      </w:r>
      <w:r>
        <w:rPr>
          <w:rFonts w:hint="eastAsia" w:ascii="宋体" w:hAnsi="宋体" w:cs="宋体"/>
          <w:bCs/>
          <w:sz w:val="24"/>
          <w:highlight w:val="none"/>
          <w:lang w:eastAsia="zh-CN"/>
        </w:rPr>
        <w:t>）</w:t>
      </w:r>
      <w:r>
        <w:rPr>
          <w:rFonts w:hint="eastAsia" w:ascii="宋体" w:hAnsi="宋体" w:cs="宋体"/>
          <w:bCs/>
          <w:sz w:val="24"/>
          <w:highlight w:val="none"/>
        </w:rPr>
        <w:t>本项目出水水质执行：《城镇污水处理厂污染物排放标准》(GB18918—2002)一级A标准。</w:t>
      </w:r>
    </w:p>
    <w:p>
      <w:pPr>
        <w:snapToGrid w:val="0"/>
        <w:spacing w:line="360" w:lineRule="auto"/>
        <w:ind w:firstLine="482" w:firstLineChars="200"/>
        <w:jc w:val="left"/>
        <w:textAlignment w:val="baseline"/>
        <w:outlineLvl w:val="2"/>
        <w:rPr>
          <w:rFonts w:ascii="宋体" w:hAnsi="宋体" w:cs="宋体"/>
          <w:b/>
          <w:bCs/>
          <w:sz w:val="24"/>
          <w:highlight w:val="none"/>
        </w:rPr>
      </w:pPr>
      <w:r>
        <w:rPr>
          <w:rFonts w:hint="eastAsia" w:ascii="宋体" w:hAnsi="宋体" w:cs="宋体"/>
          <w:b/>
          <w:bCs/>
          <w:sz w:val="24"/>
          <w:highlight w:val="none"/>
        </w:rPr>
        <w:t>（三）建设地点：成都高新区西部园区天润路与西源大道交汇处东北角地块。</w:t>
      </w:r>
    </w:p>
    <w:p>
      <w:pPr>
        <w:pStyle w:val="2"/>
        <w:spacing w:after="0" w:line="360" w:lineRule="auto"/>
        <w:ind w:firstLine="482" w:firstLineChars="200"/>
        <w:outlineLvl w:val="2"/>
        <w:rPr>
          <w:rFonts w:ascii="宋体" w:hAnsi="宋体" w:cs="宋体"/>
          <w:b/>
          <w:bCs/>
          <w:sz w:val="24"/>
          <w:highlight w:val="none"/>
        </w:rPr>
      </w:pPr>
      <w:r>
        <w:rPr>
          <w:rFonts w:hint="eastAsia" w:ascii="宋体" w:hAnsi="宋体" w:cs="宋体"/>
          <w:b/>
          <w:bCs/>
          <w:sz w:val="24"/>
          <w:highlight w:val="none"/>
        </w:rPr>
        <w:t>（四）技术服务要求：</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1、供应商应提供符合要求的一体化污水处理设施设备，工艺路线按照采购方提供的相关设计资料为准，</w:t>
      </w:r>
      <w:r>
        <w:rPr>
          <w:rFonts w:hint="eastAsia" w:ascii="宋体" w:hAnsi="宋体" w:eastAsia="宋体" w:cs="宋体"/>
          <w:b w:val="0"/>
          <w:bCs w:val="0"/>
          <w:kern w:val="0"/>
          <w:sz w:val="24"/>
          <w:szCs w:val="24"/>
          <w:highlight w:val="none"/>
          <w:lang w:val="en-US" w:eastAsia="zh-CN"/>
        </w:rPr>
        <w:t>须编制项目深化设计方案，</w:t>
      </w:r>
      <w:r>
        <w:rPr>
          <w:rFonts w:hint="eastAsia" w:ascii="宋体" w:hAnsi="宋体" w:cs="宋体"/>
          <w:sz w:val="24"/>
          <w:highlight w:val="none"/>
        </w:rPr>
        <w:t>必须确保出水水质达标。完成本次采购所需的取水排水、污水处理设施设备安装及必须配套的电力、给水、土建和房屋等建设。本项目所有运营费用均由运营单位承担。</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2、供应商应具备该项目投资、建设和运营管理的相应能力，严格按照污水处理设施运行规范要求开展污水处理工作，建立完备的检测、记录、存档和报告制度，制订污水处理运营管理应急预案，确保紧急情况下污水的妥善处置，否则承担相应的法律责任。</w:t>
      </w:r>
    </w:p>
    <w:p>
      <w:pPr>
        <w:snapToGrid w:val="0"/>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3、该项目用地由采购人负责无偿提供。</w:t>
      </w:r>
    </w:p>
    <w:p>
      <w:pPr>
        <w:pStyle w:val="2"/>
        <w:spacing w:after="0"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4、该项目运营期人员基本配置要求：正副厂长各1人、行政人员2人、化验人员2人、机电维修2人、操作人员（运行操作、设备维修、污泥处理、车辆驾驶等）12人、保安人员4人，总计24人。前述人员应提供相应的证明材料。（实质性要求）</w:t>
      </w:r>
    </w:p>
    <w:p>
      <w:pPr>
        <w:snapToGrid w:val="0"/>
        <w:spacing w:line="360" w:lineRule="auto"/>
        <w:ind w:firstLine="480" w:firstLineChars="200"/>
        <w:textAlignment w:val="baseline"/>
        <w:outlineLvl w:val="2"/>
        <w:rPr>
          <w:rFonts w:ascii="宋体" w:hAnsi="宋体" w:cs="宋体"/>
          <w:sz w:val="24"/>
          <w:highlight w:val="none"/>
        </w:rPr>
      </w:pPr>
      <w:r>
        <w:rPr>
          <w:rFonts w:hint="eastAsia" w:ascii="宋体" w:hAnsi="宋体" w:cs="宋体"/>
          <w:sz w:val="24"/>
          <w:highlight w:val="none"/>
        </w:rPr>
        <w:t>（五）其他服务要求</w:t>
      </w:r>
    </w:p>
    <w:p>
      <w:pPr>
        <w:widowControl/>
        <w:spacing w:line="360" w:lineRule="auto"/>
        <w:ind w:firstLine="480" w:firstLineChars="200"/>
        <w:jc w:val="left"/>
        <w:rPr>
          <w:rFonts w:ascii="宋体" w:hAnsi="宋体" w:cs="宋体"/>
          <w:sz w:val="24"/>
        </w:rPr>
      </w:pPr>
      <w:r>
        <w:rPr>
          <w:rFonts w:hint="eastAsia" w:ascii="宋体" w:hAnsi="宋体" w:cs="宋体"/>
          <w:sz w:val="24"/>
          <w:highlight w:val="none"/>
        </w:rPr>
        <w:t>1、供应商应每日按相关规范要求对进出水水质进行监测，每月汇总上报采</w:t>
      </w:r>
      <w:r>
        <w:rPr>
          <w:rFonts w:hint="eastAsia" w:ascii="宋体" w:hAnsi="宋体" w:cs="宋体"/>
          <w:sz w:val="24"/>
        </w:rPr>
        <w:t>购人或行业行政主管部门，行业行政主管部门每月将对出水水质进行监督性监测，如监测结果不达标，行业行政主管部门将按照国家相关法规予以处罚，</w:t>
      </w:r>
      <w:r>
        <w:rPr>
          <w:rFonts w:hint="eastAsia" w:ascii="宋体" w:hAnsi="宋体" w:cs="宋体"/>
          <w:color w:val="000000"/>
          <w:kern w:val="0"/>
          <w:sz w:val="24"/>
          <w:lang w:bidi="ar"/>
        </w:rPr>
        <w:t>处罚罚金由供应商承担</w:t>
      </w:r>
      <w:r>
        <w:rPr>
          <w:rFonts w:hint="eastAsia" w:ascii="宋体" w:hAnsi="宋体" w:cs="宋体"/>
          <w:sz w:val="24"/>
        </w:rPr>
        <w:t xml:space="preserve"> ，</w:t>
      </w:r>
      <w:r>
        <w:rPr>
          <w:rFonts w:hint="eastAsia" w:ascii="宋体" w:hAnsi="宋体" w:cs="宋体"/>
          <w:color w:val="000000"/>
          <w:kern w:val="0"/>
          <w:sz w:val="24"/>
          <w:lang w:bidi="ar"/>
        </w:rPr>
        <w:t>同时采购人将此违法情况视为违约，并对供应商处以每次2万元的违约金，违约金在当月污水处理服务费中扣减。</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2、在运营期内，在进水水质符合设计进水水质要求且进水量有保障时，供应商需满负荷运转并同时达到设计出水水质标准，否则扣除当日污水处理服务费并需向采购人支付贰仟元每日的违约金。</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3、在进水水质阶段性（30分钟以上）超过设计进水水质（任意一项指标超过设计指标即为进水水质超标）时，供应商需在30分钟内向采购人口头报告，1个小时内向采购人书面报告，并在不破坏生化系统的情况下处理来水，在进水水质高于设计进水水质标准20%时，供应商不承担出水超标的责任。</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4、该项目设计处理能力为2万吨/天，运行期内月份日平均污水处理量低于40%（即8000吨/天）污水处理结算量按照40%（即8000吨/天）进行结算。运行期内月份日平均污水处理量等于或大于40%（即8000吨/天）污水处理结算量按照实际处理量结算。</w:t>
      </w:r>
    </w:p>
    <w:p>
      <w:pPr>
        <w:snapToGrid w:val="0"/>
        <w:spacing w:line="360" w:lineRule="auto"/>
        <w:ind w:firstLine="480" w:firstLineChars="200"/>
        <w:textAlignment w:val="baseline"/>
        <w:rPr>
          <w:rFonts w:ascii="宋体" w:hAnsi="宋体" w:cs="宋体"/>
          <w:sz w:val="24"/>
        </w:rPr>
      </w:pPr>
      <w:r>
        <w:rPr>
          <w:rFonts w:hint="eastAsia" w:ascii="宋体" w:hAnsi="宋体" w:cs="宋体"/>
          <w:sz w:val="24"/>
        </w:rPr>
        <w:t>5、该项目附近区域未出现污水冒溢时，供应商在保证生化系统正常运行前提下适当处理污水，污水处理量原则上不超过设计处理能力的40%。</w:t>
      </w:r>
    </w:p>
    <w:p>
      <w:pPr>
        <w:pStyle w:val="18"/>
        <w:spacing w:before="0" w:after="0" w:line="360" w:lineRule="auto"/>
        <w:ind w:firstLine="480" w:firstLineChars="200"/>
        <w:jc w:val="left"/>
        <w:outlineLvl w:val="9"/>
        <w:rPr>
          <w:rFonts w:ascii="宋体" w:hAnsi="宋体" w:cs="宋体"/>
          <w:b w:val="0"/>
          <w:bCs w:val="0"/>
          <w:sz w:val="24"/>
          <w:szCs w:val="24"/>
        </w:rPr>
      </w:pPr>
      <w:r>
        <w:rPr>
          <w:rFonts w:hint="eastAsia" w:ascii="宋体" w:hAnsi="宋体" w:cs="宋体"/>
          <w:b w:val="0"/>
          <w:bCs w:val="0"/>
          <w:sz w:val="24"/>
          <w:szCs w:val="24"/>
        </w:rPr>
        <w:t>6、在该项目运营过程中，因供应商运营管理不当等造成的质量、安全、环境事故，其责任均由供应商自行承担（供应商须在投标文件中单独提供责任承担承诺函，并加盖供应商公章和法定代表人/单位负责人签字）。</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7、</w:t>
      </w:r>
      <w:r>
        <w:rPr>
          <w:rFonts w:hint="eastAsia" w:ascii="宋体" w:hAnsi="宋体" w:cs="宋体"/>
          <w:sz w:val="24"/>
        </w:rPr>
        <w:t>在该项目运营过程中，</w:t>
      </w:r>
      <w:r>
        <w:rPr>
          <w:rFonts w:hint="eastAsia" w:ascii="宋体" w:hAnsi="宋体" w:cs="宋体"/>
          <w:color w:val="000000"/>
          <w:kern w:val="0"/>
          <w:sz w:val="24"/>
          <w:lang w:bidi="ar"/>
        </w:rPr>
        <w:t>供应商应做好污水处理相关设施或设备的运行维护，确保污水处理设施正常达标运行。</w:t>
      </w:r>
    </w:p>
    <w:p>
      <w:pPr>
        <w:widowControl/>
        <w:spacing w:line="360" w:lineRule="auto"/>
        <w:ind w:firstLine="480" w:firstLineChars="200"/>
        <w:jc w:val="left"/>
        <w:rPr>
          <w:rFonts w:ascii="宋体" w:hAnsi="宋体" w:cs="宋体"/>
          <w:sz w:val="24"/>
        </w:rPr>
      </w:pPr>
      <w:r>
        <w:rPr>
          <w:rFonts w:hint="eastAsia" w:ascii="宋体" w:hAnsi="宋体" w:cs="宋体"/>
          <w:sz w:val="24"/>
        </w:rPr>
        <w:t>8、在该项目运营过程中，</w:t>
      </w:r>
      <w:r>
        <w:rPr>
          <w:rFonts w:hint="eastAsia" w:ascii="宋体" w:hAnsi="宋体" w:cs="宋体"/>
          <w:color w:val="000000"/>
          <w:kern w:val="0"/>
          <w:sz w:val="24"/>
          <w:lang w:bidi="ar"/>
        </w:rPr>
        <w:t>供应商应无条件接受考核，考核标准在合同中约定（供应商须在投标文件中单独提供无条件接受考核的承诺函，并加盖</w:t>
      </w:r>
      <w:r>
        <w:rPr>
          <w:rFonts w:hint="eastAsia" w:ascii="宋体" w:hAnsi="宋体" w:cs="宋体"/>
          <w:sz w:val="24"/>
        </w:rPr>
        <w:t>供应商</w:t>
      </w:r>
      <w:r>
        <w:rPr>
          <w:rFonts w:hint="eastAsia" w:ascii="宋体" w:hAnsi="宋体" w:cs="宋体"/>
          <w:color w:val="000000"/>
          <w:kern w:val="0"/>
          <w:sz w:val="24"/>
          <w:lang w:bidi="ar"/>
        </w:rPr>
        <w:t xml:space="preserve">公章和法定代表人/单位负责人签字）。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9、供应商如不履行中标法定责任，采购人将保留追责权利，追究供应商造成的损失和责任。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10、供应商应保证所提供的服务不会侵犯任何第三方的专利权、商标权、著作权，否则承担相应的法律责任。 </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11、</w:t>
      </w:r>
      <w:r>
        <w:rPr>
          <w:rFonts w:hint="eastAsia" w:ascii="宋体" w:hAnsi="宋体" w:cs="宋体"/>
          <w:sz w:val="24"/>
        </w:rPr>
        <w:t>在该项目运营过程中，供应商必须按照国家相关法定要求规范处理污水，若私自</w:t>
      </w:r>
      <w:r>
        <w:rPr>
          <w:rFonts w:hint="eastAsia" w:ascii="宋体" w:hAnsi="宋体" w:cs="宋体"/>
          <w:color w:val="000000"/>
          <w:kern w:val="0"/>
          <w:sz w:val="24"/>
          <w:lang w:bidi="ar"/>
        </w:rPr>
        <w:t xml:space="preserve">停产偷排污水，将按国家相关法律规定予以处罚。 </w:t>
      </w:r>
    </w:p>
    <w:p>
      <w:pPr>
        <w:pStyle w:val="2"/>
        <w:spacing w:after="0" w:line="360" w:lineRule="auto"/>
        <w:ind w:firstLine="480" w:firstLineChars="200"/>
        <w:rPr>
          <w:rFonts w:ascii="宋体" w:hAnsi="宋体" w:cs="宋体"/>
          <w:sz w:val="24"/>
        </w:rPr>
      </w:pPr>
      <w:r>
        <w:rPr>
          <w:rFonts w:hint="eastAsia" w:ascii="宋体" w:hAnsi="宋体" w:cs="宋体"/>
          <w:sz w:val="24"/>
        </w:rPr>
        <w:t>12、供应商在运营期满后需在3个月内拆除场内的所有设施设备（除土建构筑物以外），费用自行承担。</w:t>
      </w:r>
    </w:p>
    <w:p>
      <w:pPr>
        <w:spacing w:line="360" w:lineRule="auto"/>
        <w:ind w:firstLine="480" w:firstLineChars="200"/>
        <w:rPr>
          <w:rFonts w:hint="eastAsia" w:ascii="宋体" w:hAnsi="宋体" w:cs="宋体"/>
          <w:sz w:val="24"/>
        </w:rPr>
      </w:pPr>
      <w:r>
        <w:rPr>
          <w:rFonts w:hint="eastAsia" w:ascii="宋体" w:hAnsi="宋体" w:cs="宋体"/>
          <w:sz w:val="24"/>
        </w:rPr>
        <w:t>13、供应商需将污泥运至具有处理能力和处理资质的处理厂进行无害化处理。（供应商须单独提供承诺函，并在项目建成投运前将与第三方污泥处理企业的委托处理合同或协议交采购人备案）</w:t>
      </w:r>
    </w:p>
    <w:p>
      <w:pPr>
        <w:tabs>
          <w:tab w:val="left" w:pos="1521"/>
        </w:tabs>
        <w:spacing w:line="360" w:lineRule="auto"/>
        <w:rPr>
          <w:rFonts w:ascii="宋体" w:hAnsi="宋体" w:cs="宋体"/>
          <w:b/>
          <w:sz w:val="24"/>
        </w:rPr>
      </w:pPr>
    </w:p>
    <w:p>
      <w:pPr>
        <w:tabs>
          <w:tab w:val="left" w:pos="1521"/>
        </w:tabs>
        <w:spacing w:line="360" w:lineRule="auto"/>
        <w:outlineLvl w:val="1"/>
        <w:rPr>
          <w:rFonts w:ascii="宋体" w:hAnsi="宋体" w:cs="宋体"/>
          <w:b/>
          <w:sz w:val="28"/>
          <w:szCs w:val="28"/>
        </w:rPr>
      </w:pPr>
      <w:bookmarkStart w:id="319" w:name="_Toc10847"/>
      <w:r>
        <w:rPr>
          <w:rFonts w:hint="eastAsia" w:ascii="宋体" w:hAnsi="宋体" w:cs="宋体"/>
          <w:b/>
          <w:sz w:val="28"/>
          <w:szCs w:val="28"/>
        </w:rPr>
        <w:t>五、服务费用及支付方式</w:t>
      </w:r>
      <w:bookmarkEnd w:id="319"/>
    </w:p>
    <w:p>
      <w:pPr>
        <w:spacing w:line="360" w:lineRule="auto"/>
        <w:ind w:left="567"/>
        <w:rPr>
          <w:rFonts w:ascii="宋体" w:hAnsi="宋体" w:cs="宋体"/>
          <w:color w:val="000000"/>
          <w:sz w:val="24"/>
        </w:rPr>
      </w:pPr>
      <w:r>
        <w:rPr>
          <w:rFonts w:hint="eastAsia" w:ascii="宋体" w:hAnsi="宋体" w:cs="宋体"/>
          <w:color w:val="000000"/>
          <w:sz w:val="24"/>
        </w:rPr>
        <w:t>（一）本项目服务费用由以下组成：</w:t>
      </w:r>
    </w:p>
    <w:p>
      <w:pPr>
        <w:spacing w:line="360" w:lineRule="auto"/>
        <w:ind w:left="567"/>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themeColor="text1"/>
          <w:sz w:val="24"/>
          <w14:textFill>
            <w14:solidFill>
              <w14:schemeClr w14:val="tx1"/>
            </w14:solidFill>
          </w14:textFill>
        </w:rPr>
        <w:t>建设期</w:t>
      </w:r>
      <w:r>
        <w:rPr>
          <w:rFonts w:hint="eastAsia" w:ascii="宋体" w:hAnsi="宋体" w:cs="宋体"/>
          <w:color w:val="000000"/>
          <w:sz w:val="24"/>
        </w:rPr>
        <w:t>费：XXX万元；</w:t>
      </w:r>
    </w:p>
    <w:p>
      <w:pPr>
        <w:spacing w:line="360" w:lineRule="auto"/>
        <w:ind w:left="567"/>
        <w:rPr>
          <w:rFonts w:ascii="宋体" w:hAnsi="宋体" w:cs="宋体"/>
          <w:color w:val="000000"/>
          <w:sz w:val="24"/>
        </w:rPr>
      </w:pPr>
      <w:r>
        <w:rPr>
          <w:rFonts w:hint="eastAsia" w:ascii="宋体" w:hAnsi="宋体" w:cs="宋体"/>
          <w:color w:val="000000"/>
          <w:sz w:val="24"/>
        </w:rPr>
        <w:t>2、运营费：XXX万元；</w:t>
      </w:r>
    </w:p>
    <w:p>
      <w:pPr>
        <w:spacing w:line="360" w:lineRule="auto"/>
        <w:ind w:left="567"/>
        <w:rPr>
          <w:rFonts w:ascii="宋体" w:hAnsi="宋体" w:cs="宋体"/>
          <w:b/>
          <w:sz w:val="24"/>
        </w:rPr>
      </w:pPr>
      <w:r>
        <w:rPr>
          <w:rFonts w:hint="eastAsia" w:ascii="宋体" w:hAnsi="宋体" w:cs="宋体"/>
          <w:color w:val="000000"/>
          <w:sz w:val="24"/>
        </w:rPr>
        <w:t>（二）服务费支付方式和条件：</w:t>
      </w:r>
      <w:r>
        <w:rPr>
          <w:rFonts w:hint="eastAsia" w:ascii="宋体" w:hAnsi="宋体" w:cs="宋体"/>
          <w:b/>
          <w:sz w:val="24"/>
        </w:rPr>
        <w:t xml:space="preserve"> </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1.本项目污水处理费按月支付，污水处理基准单价为中标总价/365天/（2万吨/天），在月度考核合格的前提下，根据实际处理量*基准单价进行支付。</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2.供应商在次月10日前将上月污水处理相关报表（运行月报、水质检测报告、付款申请表及相关发票票据）报送采购人，采购人在考核合格后月底前支付上月污水处理服务费。</w:t>
      </w:r>
    </w:p>
    <w:p>
      <w:pPr>
        <w:pStyle w:val="8"/>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1521"/>
        </w:tabs>
        <w:spacing w:line="360" w:lineRule="auto"/>
        <w:outlineLvl w:val="1"/>
        <w:rPr>
          <w:rFonts w:ascii="宋体" w:hAnsi="宋体" w:cs="宋体"/>
          <w:b/>
          <w:sz w:val="28"/>
          <w:szCs w:val="28"/>
        </w:rPr>
      </w:pPr>
      <w:bookmarkStart w:id="320" w:name="_Toc8837"/>
      <w:r>
        <w:rPr>
          <w:rFonts w:hint="eastAsia" w:ascii="宋体" w:hAnsi="宋体" w:cs="宋体"/>
          <w:b/>
          <w:sz w:val="28"/>
          <w:szCs w:val="28"/>
        </w:rPr>
        <w:t>六、知识产权</w:t>
      </w:r>
      <w:bookmarkEnd w:id="320"/>
    </w:p>
    <w:p>
      <w:pPr>
        <w:tabs>
          <w:tab w:val="left" w:pos="1440"/>
        </w:tabs>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pPr>
        <w:tabs>
          <w:tab w:val="left" w:pos="1440"/>
        </w:tabs>
        <w:spacing w:line="360" w:lineRule="auto"/>
        <w:ind w:firstLine="480" w:firstLineChars="200"/>
        <w:rPr>
          <w:rFonts w:ascii="宋体" w:hAnsi="宋体" w:cs="宋体"/>
          <w:sz w:val="24"/>
        </w:rPr>
      </w:pPr>
    </w:p>
    <w:p>
      <w:pPr>
        <w:tabs>
          <w:tab w:val="left" w:pos="1521"/>
        </w:tabs>
        <w:spacing w:line="360" w:lineRule="auto"/>
        <w:outlineLvl w:val="1"/>
        <w:rPr>
          <w:rFonts w:ascii="宋体" w:hAnsi="宋体" w:cs="宋体"/>
          <w:b/>
          <w:sz w:val="28"/>
          <w:szCs w:val="28"/>
        </w:rPr>
      </w:pPr>
      <w:bookmarkStart w:id="321" w:name="_Toc21090"/>
      <w:r>
        <w:rPr>
          <w:rFonts w:hint="eastAsia" w:ascii="宋体" w:hAnsi="宋体" w:cs="宋体"/>
          <w:b/>
          <w:sz w:val="28"/>
          <w:szCs w:val="28"/>
        </w:rPr>
        <w:t>七、无产权瑕疵条款</w:t>
      </w:r>
      <w:bookmarkEnd w:id="321"/>
    </w:p>
    <w:p>
      <w:pPr>
        <w:tabs>
          <w:tab w:val="left" w:pos="1440"/>
        </w:tabs>
        <w:spacing w:line="360" w:lineRule="auto"/>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tabs>
          <w:tab w:val="left" w:pos="1440"/>
        </w:tabs>
        <w:spacing w:line="360" w:lineRule="auto"/>
        <w:ind w:firstLine="480" w:firstLineChars="200"/>
        <w:rPr>
          <w:rFonts w:ascii="宋体" w:hAnsi="宋体" w:cs="宋体"/>
          <w:sz w:val="24"/>
        </w:rPr>
      </w:pPr>
    </w:p>
    <w:p>
      <w:pPr>
        <w:tabs>
          <w:tab w:val="left" w:pos="1521"/>
        </w:tabs>
        <w:spacing w:line="360" w:lineRule="auto"/>
        <w:outlineLvl w:val="1"/>
        <w:rPr>
          <w:rFonts w:ascii="宋体" w:hAnsi="宋体" w:cs="宋体"/>
          <w:b/>
          <w:sz w:val="28"/>
          <w:szCs w:val="28"/>
        </w:rPr>
      </w:pPr>
      <w:bookmarkStart w:id="322" w:name="_Toc9423"/>
      <w:r>
        <w:rPr>
          <w:rFonts w:hint="eastAsia" w:ascii="宋体" w:hAnsi="宋体" w:cs="宋体"/>
          <w:b/>
          <w:sz w:val="28"/>
          <w:szCs w:val="28"/>
        </w:rPr>
        <w:t>八、履约保证金</w:t>
      </w:r>
      <w:bookmarkEnd w:id="322"/>
    </w:p>
    <w:p>
      <w:pPr>
        <w:spacing w:line="360" w:lineRule="auto"/>
        <w:ind w:left="567"/>
        <w:rPr>
          <w:rFonts w:ascii="宋体" w:hAnsi="宋体" w:cs="宋体"/>
          <w:color w:val="000000"/>
          <w:sz w:val="24"/>
        </w:rPr>
      </w:pPr>
      <w:r>
        <w:rPr>
          <w:rFonts w:hint="eastAsia" w:ascii="宋体" w:hAnsi="宋体" w:cs="宋体"/>
          <w:color w:val="000000"/>
          <w:sz w:val="24"/>
        </w:rPr>
        <w:t>1、乙方交纳人民币</w:t>
      </w:r>
      <w:r>
        <w:rPr>
          <w:rFonts w:hint="eastAsia" w:ascii="宋体" w:hAnsi="宋体" w:cs="宋体"/>
          <w:color w:val="000000"/>
          <w:sz w:val="24"/>
          <w:u w:val="single"/>
        </w:rPr>
        <w:t>　　　　</w:t>
      </w:r>
      <w:r>
        <w:rPr>
          <w:rFonts w:hint="eastAsia" w:ascii="宋体" w:hAnsi="宋体" w:cs="宋体"/>
          <w:color w:val="000000"/>
          <w:sz w:val="24"/>
        </w:rPr>
        <w:t>元作为本合同的履约保证金。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2、履约保证金作为违约金的一部分及用于补偿甲方因乙方不能履行合同义务而蒙受的损失。</w:t>
      </w:r>
    </w:p>
    <w:p>
      <w:pPr>
        <w:spacing w:line="360" w:lineRule="auto"/>
        <w:rPr>
          <w:rFonts w:ascii="宋体" w:hAnsi="宋体" w:cs="宋体"/>
          <w:b/>
          <w:color w:val="000000"/>
          <w:sz w:val="24"/>
        </w:rPr>
      </w:pPr>
    </w:p>
    <w:p>
      <w:pPr>
        <w:tabs>
          <w:tab w:val="left" w:pos="1521"/>
        </w:tabs>
        <w:spacing w:line="360" w:lineRule="auto"/>
        <w:outlineLvl w:val="1"/>
        <w:rPr>
          <w:rFonts w:ascii="宋体" w:hAnsi="宋体" w:cs="宋体"/>
          <w:b/>
          <w:sz w:val="28"/>
          <w:szCs w:val="28"/>
        </w:rPr>
      </w:pPr>
      <w:bookmarkStart w:id="323" w:name="_Toc18087"/>
      <w:r>
        <w:rPr>
          <w:rFonts w:hint="eastAsia" w:ascii="宋体" w:hAnsi="宋体" w:cs="宋体"/>
          <w:b/>
          <w:sz w:val="28"/>
          <w:szCs w:val="28"/>
        </w:rPr>
        <w:t>九、甲方的权利和义务</w:t>
      </w:r>
      <w:bookmarkEnd w:id="323"/>
    </w:p>
    <w:p>
      <w:pPr>
        <w:spacing w:line="360" w:lineRule="auto"/>
        <w:ind w:firstLine="480" w:firstLineChars="200"/>
        <w:rPr>
          <w:rFonts w:ascii="宋体" w:hAnsi="宋体" w:cs="宋体"/>
          <w:color w:val="000000"/>
          <w:sz w:val="24"/>
        </w:rPr>
      </w:pPr>
      <w:r>
        <w:rPr>
          <w:rFonts w:hint="eastAsia" w:ascii="宋体" w:hAnsi="宋体" w:cs="宋体"/>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ascii="宋体" w:hAnsi="宋体" w:cs="宋体"/>
          <w:color w:val="000000"/>
          <w:sz w:val="24"/>
        </w:rPr>
      </w:pPr>
      <w:r>
        <w:rPr>
          <w:rFonts w:hint="eastAsia" w:ascii="宋体" w:hAnsi="宋体" w:cs="宋体"/>
          <w:color w:val="000000"/>
          <w:sz w:val="24"/>
        </w:rPr>
        <w:t>2、甲方有权依据双方签订的考评办法对乙方提供的服务进行定期考评。当考评结果未达到标准时，有权依据考评办法约定的数额扣除履约保证金。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3、负责检查监督乙方管理工作的实施及制度的执行情况。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4、根据本合同规定，按时向乙方支付应付服务费用。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5、国家法律、法规所规定由甲方承担的其它责任。</w:t>
      </w:r>
    </w:p>
    <w:p>
      <w:pPr>
        <w:spacing w:line="360" w:lineRule="auto"/>
        <w:rPr>
          <w:rFonts w:ascii="宋体" w:hAnsi="宋体" w:cs="宋体"/>
          <w:color w:val="000000"/>
          <w:sz w:val="28"/>
          <w:szCs w:val="28"/>
        </w:rPr>
      </w:pPr>
    </w:p>
    <w:p>
      <w:pPr>
        <w:tabs>
          <w:tab w:val="left" w:pos="1521"/>
        </w:tabs>
        <w:spacing w:line="360" w:lineRule="auto"/>
        <w:outlineLvl w:val="1"/>
        <w:rPr>
          <w:rFonts w:ascii="宋体" w:hAnsi="宋体" w:cs="宋体"/>
          <w:b/>
          <w:sz w:val="28"/>
          <w:szCs w:val="28"/>
        </w:rPr>
      </w:pPr>
      <w:bookmarkStart w:id="324" w:name="_Toc6197"/>
      <w:r>
        <w:rPr>
          <w:rFonts w:hint="eastAsia" w:ascii="宋体" w:hAnsi="宋体" w:cs="宋体"/>
          <w:b/>
          <w:sz w:val="28"/>
          <w:szCs w:val="28"/>
        </w:rPr>
        <w:t>十、乙方的权利和义务</w:t>
      </w:r>
      <w:bookmarkEnd w:id="324"/>
    </w:p>
    <w:p>
      <w:pPr>
        <w:spacing w:line="360" w:lineRule="auto"/>
        <w:ind w:firstLine="480" w:firstLineChars="200"/>
        <w:rPr>
          <w:rFonts w:ascii="宋体" w:hAnsi="宋体" w:cs="宋体"/>
          <w:color w:val="000000"/>
          <w:sz w:val="24"/>
        </w:rPr>
      </w:pPr>
      <w:r>
        <w:rPr>
          <w:rFonts w:hint="eastAsia" w:ascii="宋体" w:hAnsi="宋体" w:cs="宋体"/>
          <w:color w:val="000000"/>
          <w:sz w:val="24"/>
        </w:rPr>
        <w:t>1、对本合同规定的委托服务范围内的项目享有管理权及服务义务。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2、根据本合同的规定向甲方收取相关服务费用，并有权在本项目管理范围内管理及合理使用。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3、及时向甲方通告本项目服务范围内有关服务的重大事项，及时配合处理投诉。</w:t>
      </w:r>
    </w:p>
    <w:p>
      <w:pPr>
        <w:spacing w:line="360" w:lineRule="auto"/>
        <w:ind w:firstLine="480" w:firstLineChars="200"/>
        <w:rPr>
          <w:rFonts w:ascii="宋体" w:hAnsi="宋体" w:cs="宋体"/>
          <w:color w:val="000000"/>
          <w:sz w:val="24"/>
        </w:rPr>
      </w:pPr>
      <w:r>
        <w:rPr>
          <w:rFonts w:hint="eastAsia" w:ascii="宋体" w:hAnsi="宋体" w:cs="宋体"/>
          <w:color w:val="000000"/>
          <w:sz w:val="24"/>
        </w:rPr>
        <w:t>4、接受项目行业管理部门及政府有关部门的指导，接受甲方的监督。</w:t>
      </w:r>
    </w:p>
    <w:p>
      <w:pPr>
        <w:spacing w:line="360" w:lineRule="auto"/>
        <w:ind w:firstLine="480" w:firstLineChars="200"/>
        <w:rPr>
          <w:rFonts w:ascii="宋体" w:hAnsi="宋体" w:cs="宋体"/>
          <w:spacing w:val="8"/>
          <w:sz w:val="24"/>
        </w:rPr>
      </w:pPr>
      <w:r>
        <w:rPr>
          <w:rFonts w:hint="eastAsia" w:ascii="宋体" w:hAnsi="宋体" w:cs="宋体"/>
          <w:color w:val="000000"/>
          <w:sz w:val="24"/>
        </w:rPr>
        <w:t>5、国家法律、法规所规定由乙方承担的其它责任。</w:t>
      </w:r>
    </w:p>
    <w:p>
      <w:pPr>
        <w:spacing w:line="360" w:lineRule="auto"/>
        <w:rPr>
          <w:rFonts w:ascii="宋体" w:hAnsi="宋体" w:cs="宋体"/>
          <w:b/>
          <w:color w:val="000000"/>
          <w:sz w:val="28"/>
          <w:szCs w:val="28"/>
        </w:rPr>
      </w:pPr>
    </w:p>
    <w:p>
      <w:pPr>
        <w:tabs>
          <w:tab w:val="left" w:pos="1521"/>
        </w:tabs>
        <w:spacing w:line="360" w:lineRule="auto"/>
        <w:outlineLvl w:val="1"/>
        <w:rPr>
          <w:rFonts w:ascii="宋体" w:hAnsi="宋体" w:cs="宋体"/>
          <w:b/>
          <w:sz w:val="28"/>
          <w:szCs w:val="28"/>
        </w:rPr>
      </w:pPr>
      <w:bookmarkStart w:id="325" w:name="_Toc14072"/>
      <w:r>
        <w:rPr>
          <w:rFonts w:hint="eastAsia" w:ascii="宋体" w:hAnsi="宋体" w:cs="宋体"/>
          <w:b/>
          <w:sz w:val="28"/>
          <w:szCs w:val="28"/>
        </w:rPr>
        <w:t>十一、违约责任</w:t>
      </w:r>
      <w:bookmarkEnd w:id="325"/>
    </w:p>
    <w:p>
      <w:pPr>
        <w:spacing w:line="360" w:lineRule="auto"/>
        <w:ind w:firstLine="480" w:firstLineChars="200"/>
        <w:rPr>
          <w:rFonts w:ascii="宋体" w:hAnsi="宋体" w:cs="宋体"/>
          <w:color w:val="000000"/>
          <w:sz w:val="24"/>
        </w:rPr>
      </w:pPr>
      <w:r>
        <w:rPr>
          <w:rFonts w:hint="eastAsia" w:ascii="宋体" w:hAnsi="宋体" w:cs="宋体"/>
          <w:color w:val="000000"/>
          <w:sz w:val="24"/>
        </w:rPr>
        <w:t>1、甲乙双方必须遵守本合同并执行合同中的各项规定，保证本合同的正常履行。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宋体" w:hAnsi="宋体" w:cs="宋体"/>
          <w:b/>
          <w:color w:val="000000"/>
          <w:sz w:val="28"/>
          <w:szCs w:val="28"/>
        </w:rPr>
      </w:pPr>
    </w:p>
    <w:p>
      <w:pPr>
        <w:tabs>
          <w:tab w:val="left" w:pos="1521"/>
        </w:tabs>
        <w:spacing w:line="360" w:lineRule="auto"/>
        <w:outlineLvl w:val="1"/>
        <w:rPr>
          <w:rFonts w:ascii="宋体" w:hAnsi="宋体" w:cs="宋体"/>
          <w:b/>
          <w:sz w:val="28"/>
          <w:szCs w:val="28"/>
        </w:rPr>
      </w:pPr>
      <w:bookmarkStart w:id="326" w:name="_Toc13914"/>
      <w:r>
        <w:rPr>
          <w:rFonts w:hint="eastAsia" w:ascii="宋体" w:hAnsi="宋体" w:cs="宋体"/>
          <w:b/>
          <w:sz w:val="28"/>
          <w:szCs w:val="28"/>
        </w:rPr>
        <w:t>十二、不可抗力事件处理</w:t>
      </w:r>
      <w:bookmarkEnd w:id="326"/>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2、不可抗力事件发生后，应立即通知对方，并寄送有关权威机构出具的证明。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3、不可抗力事件延续XXX天以上，双方应通过友好协商，确定是否继续履行合同。</w:t>
      </w:r>
    </w:p>
    <w:p>
      <w:pPr>
        <w:spacing w:line="360" w:lineRule="auto"/>
        <w:rPr>
          <w:rFonts w:ascii="宋体" w:hAnsi="宋体" w:cs="宋体"/>
          <w:b/>
          <w:color w:val="000000"/>
          <w:sz w:val="24"/>
        </w:rPr>
      </w:pPr>
    </w:p>
    <w:p>
      <w:pPr>
        <w:tabs>
          <w:tab w:val="left" w:pos="1521"/>
        </w:tabs>
        <w:spacing w:line="360" w:lineRule="auto"/>
        <w:outlineLvl w:val="1"/>
        <w:rPr>
          <w:rFonts w:ascii="宋体" w:hAnsi="宋体" w:cs="宋体"/>
          <w:b/>
          <w:sz w:val="28"/>
          <w:szCs w:val="28"/>
        </w:rPr>
      </w:pPr>
      <w:bookmarkStart w:id="327" w:name="_Toc239233919"/>
      <w:bookmarkStart w:id="328" w:name="_Toc185395254"/>
      <w:bookmarkStart w:id="329" w:name="_Toc9061"/>
      <w:bookmarkStart w:id="330" w:name="_Toc286993792"/>
      <w:bookmarkStart w:id="331" w:name="_Toc239568423"/>
      <w:bookmarkStart w:id="332" w:name="_Toc247334846"/>
      <w:bookmarkStart w:id="333" w:name="_Toc211911353"/>
      <w:bookmarkStart w:id="334" w:name="_Toc225244857"/>
      <w:bookmarkStart w:id="335" w:name="_Toc251768867"/>
      <w:bookmarkStart w:id="336" w:name="_Toc232492933"/>
      <w:bookmarkStart w:id="337" w:name="_Toc241833908"/>
      <w:bookmarkStart w:id="338" w:name="_Toc225654649"/>
      <w:bookmarkStart w:id="339" w:name="_Toc238984980"/>
      <w:bookmarkStart w:id="340" w:name="_Toc211854454"/>
      <w:bookmarkStart w:id="341" w:name="_Toc212019599"/>
      <w:bookmarkStart w:id="342" w:name="_Toc237145411"/>
      <w:bookmarkStart w:id="343" w:name="_Toc225670756"/>
      <w:r>
        <w:rPr>
          <w:rFonts w:hint="eastAsia" w:ascii="宋体" w:hAnsi="宋体" w:cs="宋体"/>
          <w:b/>
          <w:sz w:val="28"/>
          <w:szCs w:val="28"/>
        </w:rPr>
        <w:t>十三、解决合同纠纷的方式</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13.1 在执行本合同中发生的或与本合同有关的争端，双方应通过友好协商解决，经协商在60天内不能达成协议时，应提交成都仲裁委员会仲裁。</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13.2 仲裁裁决应为最终决定，并对双方具有约束力。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13.3 除另有裁决外，仲裁费应由败诉方负担。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13.4 在仲裁期间，除正在进行仲裁部分外，合同其他部分继续执行。</w:t>
      </w:r>
    </w:p>
    <w:p>
      <w:pPr>
        <w:snapToGrid w:val="0"/>
        <w:spacing w:line="360" w:lineRule="auto"/>
        <w:ind w:firstLine="571" w:firstLineChars="238"/>
        <w:rPr>
          <w:rFonts w:ascii="宋体" w:hAnsi="宋体" w:cs="宋体"/>
          <w:color w:val="000000"/>
          <w:sz w:val="24"/>
        </w:rPr>
      </w:pPr>
    </w:p>
    <w:p>
      <w:pPr>
        <w:tabs>
          <w:tab w:val="left" w:pos="1521"/>
        </w:tabs>
        <w:spacing w:line="360" w:lineRule="auto"/>
        <w:outlineLvl w:val="1"/>
        <w:rPr>
          <w:rFonts w:ascii="宋体" w:hAnsi="宋体" w:cs="宋体"/>
          <w:b/>
          <w:sz w:val="28"/>
          <w:szCs w:val="28"/>
        </w:rPr>
      </w:pPr>
      <w:bookmarkStart w:id="344" w:name="_Toc211911354"/>
      <w:bookmarkStart w:id="345" w:name="_Toc225244858"/>
      <w:bookmarkStart w:id="346" w:name="_Toc286993793"/>
      <w:bookmarkStart w:id="347" w:name="_Toc232492934"/>
      <w:bookmarkStart w:id="348" w:name="_Toc283019219"/>
      <w:bookmarkStart w:id="349" w:name="_Toc247334847"/>
      <w:bookmarkStart w:id="350" w:name="_Toc185395255"/>
      <w:bookmarkStart w:id="351" w:name="_Toc239568424"/>
      <w:bookmarkStart w:id="352" w:name="_Toc239233920"/>
      <w:bookmarkStart w:id="353" w:name="_Toc238984981"/>
      <w:bookmarkStart w:id="354" w:name="_Toc225654650"/>
      <w:bookmarkStart w:id="355" w:name="_Toc237145412"/>
      <w:bookmarkStart w:id="356" w:name="_Toc251768868"/>
      <w:bookmarkStart w:id="357" w:name="_Toc241833909"/>
      <w:bookmarkStart w:id="358" w:name="_Toc212019600"/>
      <w:bookmarkStart w:id="359" w:name="_Toc225670757"/>
      <w:bookmarkStart w:id="360" w:name="_Toc282696231"/>
      <w:bookmarkStart w:id="361" w:name="_Toc211854455"/>
      <w:bookmarkStart w:id="362" w:name="_Toc24605"/>
      <w:r>
        <w:rPr>
          <w:rFonts w:hint="eastAsia" w:ascii="宋体" w:hAnsi="宋体" w:cs="宋体"/>
          <w:b/>
          <w:sz w:val="28"/>
          <w:szCs w:val="28"/>
        </w:rPr>
        <w:t>十四、合同</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ascii="宋体" w:hAnsi="宋体" w:cs="宋体"/>
          <w:b/>
          <w:sz w:val="28"/>
          <w:szCs w:val="28"/>
        </w:rPr>
        <w:t>生效及其他</w:t>
      </w:r>
      <w:bookmarkEnd w:id="362"/>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14.1 合同经双方法定代表人/单位负责人或授权委托代理人签字并加盖单位公章后生效。</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14.2 合同执行中涉及采购资金和采购内容修改或补充的，须经政府采购监管部门审批，并签书面补充协议报政府采购监督管理部门备案，方可作为主合同不可分割的一部分。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14.3 本合同一式XXX份，自双方签章之日起起效。甲方XXX份，乙方XXX份，政府采购代理机构XX份，同级财政部门备案份，具有同等法律效力。</w:t>
      </w:r>
    </w:p>
    <w:p>
      <w:pPr>
        <w:spacing w:line="360" w:lineRule="auto"/>
        <w:rPr>
          <w:rFonts w:ascii="宋体" w:hAnsi="宋体" w:cs="宋体"/>
          <w:b/>
          <w:color w:val="000000"/>
          <w:sz w:val="28"/>
          <w:szCs w:val="28"/>
        </w:rPr>
      </w:pPr>
    </w:p>
    <w:p>
      <w:pPr>
        <w:tabs>
          <w:tab w:val="left" w:pos="1521"/>
        </w:tabs>
        <w:spacing w:line="360" w:lineRule="auto"/>
        <w:outlineLvl w:val="1"/>
        <w:rPr>
          <w:rFonts w:ascii="宋体" w:hAnsi="宋体" w:cs="宋体"/>
          <w:color w:val="000000"/>
          <w:sz w:val="28"/>
          <w:szCs w:val="28"/>
        </w:rPr>
      </w:pPr>
      <w:bookmarkStart w:id="363" w:name="_Toc3613"/>
      <w:r>
        <w:rPr>
          <w:rFonts w:hint="eastAsia" w:ascii="宋体" w:hAnsi="宋体" w:cs="宋体"/>
          <w:b/>
          <w:sz w:val="28"/>
          <w:szCs w:val="28"/>
        </w:rPr>
        <w:t>十五、其他未尽事宜，甲乙双方进一步协商</w:t>
      </w:r>
      <w:bookmarkEnd w:id="363"/>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甲方：   （盖单位公章）   </w:t>
      </w:r>
      <w:r>
        <w:rPr>
          <w:rFonts w:hint="eastAsia" w:ascii="宋体" w:hAnsi="宋体" w:cs="宋体"/>
          <w:color w:val="000000"/>
          <w:sz w:val="24"/>
        </w:rPr>
        <w:tab/>
      </w:r>
      <w:r>
        <w:rPr>
          <w:rFonts w:hint="eastAsia" w:ascii="宋体" w:hAnsi="宋体" w:cs="宋体"/>
          <w:color w:val="000000"/>
          <w:sz w:val="24"/>
        </w:rPr>
        <w:t xml:space="preserve">      乙方：   （盖单位公章）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法定代表人（授权代表）：          法定代表人（授权代表）：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地    址：                        地    址：</w:t>
      </w:r>
    </w:p>
    <w:p>
      <w:pPr>
        <w:spacing w:line="360" w:lineRule="auto"/>
        <w:ind w:firstLine="480" w:firstLineChars="200"/>
        <w:rPr>
          <w:rFonts w:ascii="宋体" w:hAnsi="宋体" w:cs="宋体"/>
          <w:color w:val="000000"/>
          <w:sz w:val="24"/>
        </w:rPr>
      </w:pPr>
      <w:r>
        <w:rPr>
          <w:rFonts w:hint="eastAsia" w:ascii="宋体" w:hAnsi="宋体" w:cs="宋体"/>
          <w:color w:val="000000"/>
          <w:sz w:val="24"/>
        </w:rPr>
        <w:t>开户银行：                        开户银行：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账号：                            账号：</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    话：                        电    话：</w:t>
      </w:r>
    </w:p>
    <w:p>
      <w:pPr>
        <w:spacing w:line="360" w:lineRule="auto"/>
        <w:ind w:firstLine="480" w:firstLineChars="200"/>
        <w:rPr>
          <w:rFonts w:ascii="宋体" w:hAnsi="宋体" w:cs="宋体"/>
          <w:color w:val="000000"/>
          <w:sz w:val="24"/>
        </w:rPr>
      </w:pPr>
      <w:r>
        <w:rPr>
          <w:rFonts w:hint="eastAsia" w:ascii="宋体" w:hAnsi="宋体" w:cs="宋体"/>
          <w:color w:val="000000"/>
          <w:sz w:val="24"/>
        </w:rPr>
        <w:t>传    真：                        传    真：</w:t>
      </w:r>
    </w:p>
    <w:p>
      <w:pPr>
        <w:spacing w:line="360" w:lineRule="auto"/>
        <w:ind w:firstLine="480" w:firstLineChars="200"/>
        <w:rPr>
          <w:rFonts w:ascii="宋体" w:hAnsi="宋体" w:cs="宋体"/>
          <w:b/>
          <w:sz w:val="24"/>
          <w:szCs w:val="21"/>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签约日期：XX年XX月XX日</w:t>
      </w:r>
      <w:bookmarkEnd w:id="313"/>
      <w:bookmarkEnd w:id="314"/>
    </w:p>
    <w:p>
      <w:pPr>
        <w:spacing w:before="195" w:line="360" w:lineRule="auto"/>
        <w:ind w:right="213" w:firstLine="482" w:firstLineChars="200"/>
        <w:rPr>
          <w:rFonts w:ascii="宋体" w:hAnsi="宋体" w:cs="宋体"/>
          <w:sz w:val="24"/>
        </w:rPr>
      </w:pPr>
      <w:r>
        <w:rPr>
          <w:rFonts w:hint="eastAsia" w:ascii="宋体" w:hAnsi="宋体" w:cs="宋体"/>
          <w:b/>
          <w:sz w:val="24"/>
          <w:szCs w:val="21"/>
        </w:rPr>
        <w:t>注：本合同只作为参考文本，合同条款可根据采购人及成交人签订合同时的实际情况进行修改调整。</w:t>
      </w: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rigold">
    <w:panose1 w:val="03020702040402020504"/>
    <w:charset w:val="00"/>
    <w:family w:val="script"/>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1865"/>
    <w:multiLevelType w:val="singleLevel"/>
    <w:tmpl w:val="ACBE1865"/>
    <w:lvl w:ilvl="0" w:tentative="0">
      <w:start w:val="3"/>
      <w:numFmt w:val="decimal"/>
      <w:suff w:val="nothing"/>
      <w:lvlText w:val="%1、"/>
      <w:lvlJc w:val="left"/>
    </w:lvl>
  </w:abstractNum>
  <w:abstractNum w:abstractNumId="1">
    <w:nsid w:val="F0E73734"/>
    <w:multiLevelType w:val="singleLevel"/>
    <w:tmpl w:val="F0E73734"/>
    <w:lvl w:ilvl="0" w:tentative="0">
      <w:start w:val="2"/>
      <w:numFmt w:val="decimal"/>
      <w:suff w:val="nothing"/>
      <w:lvlText w:val="（%1）"/>
      <w:lvlJc w:val="left"/>
    </w:lvl>
  </w:abstractNum>
  <w:abstractNum w:abstractNumId="2">
    <w:nsid w:val="F59935BC"/>
    <w:multiLevelType w:val="singleLevel"/>
    <w:tmpl w:val="F59935BC"/>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7"/>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2576A43F"/>
    <w:multiLevelType w:val="singleLevel"/>
    <w:tmpl w:val="2576A43F"/>
    <w:lvl w:ilvl="0" w:tentative="0">
      <w:start w:val="5"/>
      <w:numFmt w:val="chineseCounting"/>
      <w:suff w:val="nothing"/>
      <w:lvlText w:val="（%1）"/>
      <w:lvlJc w:val="left"/>
      <w:rPr>
        <w:rFonts w:hint="eastAsia"/>
      </w:rPr>
    </w:lvl>
  </w:abstractNum>
  <w:abstractNum w:abstractNumId="5">
    <w:nsid w:val="38246883"/>
    <w:multiLevelType w:val="singleLevel"/>
    <w:tmpl w:val="38246883"/>
    <w:lvl w:ilvl="0" w:tentative="0">
      <w:start w:val="11"/>
      <w:numFmt w:val="chineseCounting"/>
      <w:suff w:val="nothing"/>
      <w:lvlText w:val="%1、"/>
      <w:lvlJc w:val="left"/>
      <w:rPr>
        <w:rFonts w:hint="eastAsia"/>
      </w:rPr>
    </w:lvl>
  </w:abstractNum>
  <w:abstractNum w:abstractNumId="6">
    <w:nsid w:val="4762BEFF"/>
    <w:multiLevelType w:val="singleLevel"/>
    <w:tmpl w:val="4762BEFF"/>
    <w:lvl w:ilvl="0" w:tentative="0">
      <w:start w:val="2"/>
      <w:numFmt w:val="chineseCounting"/>
      <w:suff w:val="nothing"/>
      <w:lvlText w:val="%1、"/>
      <w:lvlJc w:val="left"/>
      <w:rPr>
        <w:rFonts w:hint="eastAsia"/>
      </w:rPr>
    </w:lvl>
  </w:abstractNum>
  <w:abstractNum w:abstractNumId="7">
    <w:nsid w:val="52E8E8FD"/>
    <w:multiLevelType w:val="singleLevel"/>
    <w:tmpl w:val="52E8E8FD"/>
    <w:lvl w:ilvl="0" w:tentative="0">
      <w:start w:val="2"/>
      <w:numFmt w:val="chineseCounting"/>
      <w:suff w:val="nothing"/>
      <w:lvlText w:val="%1、"/>
      <w:lvlJc w:val="left"/>
      <w:rPr>
        <w:rFonts w:hint="eastAsia"/>
      </w:rPr>
    </w:lvl>
  </w:abstractNum>
  <w:abstractNum w:abstractNumId="8">
    <w:nsid w:val="59C07086"/>
    <w:multiLevelType w:val="singleLevel"/>
    <w:tmpl w:val="59C07086"/>
    <w:lvl w:ilvl="0" w:tentative="0">
      <w:start w:val="1"/>
      <w:numFmt w:val="decimal"/>
      <w:suff w:val="nothing"/>
      <w:lvlText w:val="%1、"/>
      <w:lvlJc w:val="left"/>
    </w:lvl>
  </w:abstractNum>
  <w:abstractNum w:abstractNumId="9">
    <w:nsid w:val="67B72C87"/>
    <w:multiLevelType w:val="singleLevel"/>
    <w:tmpl w:val="67B72C87"/>
    <w:lvl w:ilvl="0" w:tentative="0">
      <w:start w:val="1"/>
      <w:numFmt w:val="decimal"/>
      <w:suff w:val="nothing"/>
      <w:lvlText w:val="%1、"/>
      <w:lvlJc w:val="left"/>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7526A"/>
    <w:rsid w:val="000561AB"/>
    <w:rsid w:val="000A1130"/>
    <w:rsid w:val="001830C5"/>
    <w:rsid w:val="001B3EAE"/>
    <w:rsid w:val="00207863"/>
    <w:rsid w:val="002B5D90"/>
    <w:rsid w:val="00354230"/>
    <w:rsid w:val="00390672"/>
    <w:rsid w:val="004112FF"/>
    <w:rsid w:val="00457D5D"/>
    <w:rsid w:val="00567600"/>
    <w:rsid w:val="005A5A64"/>
    <w:rsid w:val="005B4780"/>
    <w:rsid w:val="005E0029"/>
    <w:rsid w:val="00640795"/>
    <w:rsid w:val="006565C6"/>
    <w:rsid w:val="00764B83"/>
    <w:rsid w:val="00852B6E"/>
    <w:rsid w:val="00852D6B"/>
    <w:rsid w:val="008A0F97"/>
    <w:rsid w:val="00A873BF"/>
    <w:rsid w:val="00D659F0"/>
    <w:rsid w:val="00DB695D"/>
    <w:rsid w:val="00E60009"/>
    <w:rsid w:val="011308DD"/>
    <w:rsid w:val="01170FC0"/>
    <w:rsid w:val="011A7CF5"/>
    <w:rsid w:val="0147597E"/>
    <w:rsid w:val="014B1FD0"/>
    <w:rsid w:val="01737B7D"/>
    <w:rsid w:val="01816ABF"/>
    <w:rsid w:val="01A95BD2"/>
    <w:rsid w:val="01BC5ABE"/>
    <w:rsid w:val="01C5366D"/>
    <w:rsid w:val="0256297E"/>
    <w:rsid w:val="02717F6C"/>
    <w:rsid w:val="02A9617A"/>
    <w:rsid w:val="030019F9"/>
    <w:rsid w:val="03B84F66"/>
    <w:rsid w:val="03CE77F6"/>
    <w:rsid w:val="03E37F68"/>
    <w:rsid w:val="03EF76AD"/>
    <w:rsid w:val="0433156E"/>
    <w:rsid w:val="045C3C27"/>
    <w:rsid w:val="054E7238"/>
    <w:rsid w:val="056F2386"/>
    <w:rsid w:val="05D0465F"/>
    <w:rsid w:val="06042158"/>
    <w:rsid w:val="06F95C33"/>
    <w:rsid w:val="07225A0C"/>
    <w:rsid w:val="07B23DF7"/>
    <w:rsid w:val="081A18FE"/>
    <w:rsid w:val="08B16AE9"/>
    <w:rsid w:val="09153B16"/>
    <w:rsid w:val="095603DD"/>
    <w:rsid w:val="09A61A98"/>
    <w:rsid w:val="09DC597C"/>
    <w:rsid w:val="0A5659F8"/>
    <w:rsid w:val="0A7F40C1"/>
    <w:rsid w:val="0ABA1016"/>
    <w:rsid w:val="0AF975F8"/>
    <w:rsid w:val="0B8D5ED8"/>
    <w:rsid w:val="0C0824C2"/>
    <w:rsid w:val="0C3C2035"/>
    <w:rsid w:val="0C605C2C"/>
    <w:rsid w:val="0C7F6E29"/>
    <w:rsid w:val="0C9D6DBE"/>
    <w:rsid w:val="0D2458AC"/>
    <w:rsid w:val="0D287046"/>
    <w:rsid w:val="0D62182A"/>
    <w:rsid w:val="0D7C2447"/>
    <w:rsid w:val="0D800B18"/>
    <w:rsid w:val="0D817C10"/>
    <w:rsid w:val="0DA40CAF"/>
    <w:rsid w:val="0DEA12C6"/>
    <w:rsid w:val="0E483E28"/>
    <w:rsid w:val="0E5D045A"/>
    <w:rsid w:val="0EBF0E6D"/>
    <w:rsid w:val="0EE7755C"/>
    <w:rsid w:val="0F53337D"/>
    <w:rsid w:val="0F5A3851"/>
    <w:rsid w:val="0FCB763D"/>
    <w:rsid w:val="105B15D8"/>
    <w:rsid w:val="10622AF6"/>
    <w:rsid w:val="1087077A"/>
    <w:rsid w:val="1113069A"/>
    <w:rsid w:val="11296D75"/>
    <w:rsid w:val="11400DA5"/>
    <w:rsid w:val="11643334"/>
    <w:rsid w:val="11780956"/>
    <w:rsid w:val="11A44199"/>
    <w:rsid w:val="11A90B52"/>
    <w:rsid w:val="12646781"/>
    <w:rsid w:val="12B06F48"/>
    <w:rsid w:val="12EF1E0C"/>
    <w:rsid w:val="131F2677"/>
    <w:rsid w:val="13303A62"/>
    <w:rsid w:val="135E0835"/>
    <w:rsid w:val="146C2DDA"/>
    <w:rsid w:val="148E14DD"/>
    <w:rsid w:val="14C70C81"/>
    <w:rsid w:val="14EF0BA3"/>
    <w:rsid w:val="15011515"/>
    <w:rsid w:val="156A34F9"/>
    <w:rsid w:val="157030A3"/>
    <w:rsid w:val="158223BD"/>
    <w:rsid w:val="160D5513"/>
    <w:rsid w:val="162C08C0"/>
    <w:rsid w:val="167020E8"/>
    <w:rsid w:val="16E9668E"/>
    <w:rsid w:val="17DB2FB1"/>
    <w:rsid w:val="1882286F"/>
    <w:rsid w:val="18AB066D"/>
    <w:rsid w:val="18B82D61"/>
    <w:rsid w:val="19226E0B"/>
    <w:rsid w:val="193C6F4B"/>
    <w:rsid w:val="19690502"/>
    <w:rsid w:val="19960660"/>
    <w:rsid w:val="19A24057"/>
    <w:rsid w:val="1A0F1A6B"/>
    <w:rsid w:val="1A7765DE"/>
    <w:rsid w:val="1A9A68C8"/>
    <w:rsid w:val="1B0D29BB"/>
    <w:rsid w:val="1B2C50FB"/>
    <w:rsid w:val="1B985A95"/>
    <w:rsid w:val="1BC5215D"/>
    <w:rsid w:val="1BF4007C"/>
    <w:rsid w:val="1C45397F"/>
    <w:rsid w:val="1C512269"/>
    <w:rsid w:val="1D0B7EE7"/>
    <w:rsid w:val="1D3971AC"/>
    <w:rsid w:val="1D5F656F"/>
    <w:rsid w:val="1DB066B0"/>
    <w:rsid w:val="1E8274E9"/>
    <w:rsid w:val="1EB47D37"/>
    <w:rsid w:val="1EDF46B8"/>
    <w:rsid w:val="1EDF6646"/>
    <w:rsid w:val="1F0020E6"/>
    <w:rsid w:val="1F271581"/>
    <w:rsid w:val="1F4414AE"/>
    <w:rsid w:val="1F541126"/>
    <w:rsid w:val="1F631AEB"/>
    <w:rsid w:val="1FD31700"/>
    <w:rsid w:val="20851378"/>
    <w:rsid w:val="20EE14D3"/>
    <w:rsid w:val="213F12C8"/>
    <w:rsid w:val="21477182"/>
    <w:rsid w:val="2177721C"/>
    <w:rsid w:val="221B1609"/>
    <w:rsid w:val="226B78C3"/>
    <w:rsid w:val="24AB686D"/>
    <w:rsid w:val="24C800E0"/>
    <w:rsid w:val="24D323EB"/>
    <w:rsid w:val="25A565E3"/>
    <w:rsid w:val="263F243D"/>
    <w:rsid w:val="26426807"/>
    <w:rsid w:val="2643664D"/>
    <w:rsid w:val="26882D9C"/>
    <w:rsid w:val="26E620CE"/>
    <w:rsid w:val="26EC74B2"/>
    <w:rsid w:val="26EE632A"/>
    <w:rsid w:val="272B1DF3"/>
    <w:rsid w:val="2757317D"/>
    <w:rsid w:val="281C6D07"/>
    <w:rsid w:val="28660C3C"/>
    <w:rsid w:val="287414D9"/>
    <w:rsid w:val="29002850"/>
    <w:rsid w:val="29446263"/>
    <w:rsid w:val="29821773"/>
    <w:rsid w:val="29C84934"/>
    <w:rsid w:val="2A3B549C"/>
    <w:rsid w:val="2A3C6453"/>
    <w:rsid w:val="2A6A5361"/>
    <w:rsid w:val="2AA5212E"/>
    <w:rsid w:val="2AAF03F6"/>
    <w:rsid w:val="2AE512CE"/>
    <w:rsid w:val="2B2D2BCC"/>
    <w:rsid w:val="2B37096A"/>
    <w:rsid w:val="2B3D6526"/>
    <w:rsid w:val="2BC9560F"/>
    <w:rsid w:val="2BFC4D97"/>
    <w:rsid w:val="2C7301F7"/>
    <w:rsid w:val="2C7415B7"/>
    <w:rsid w:val="2CDA6839"/>
    <w:rsid w:val="2CDD05A6"/>
    <w:rsid w:val="2D1630AB"/>
    <w:rsid w:val="2D54219E"/>
    <w:rsid w:val="2DD546B7"/>
    <w:rsid w:val="2DF36FAE"/>
    <w:rsid w:val="2E1F68CD"/>
    <w:rsid w:val="2E5D3F4E"/>
    <w:rsid w:val="2EAE4576"/>
    <w:rsid w:val="2EC07C86"/>
    <w:rsid w:val="2F2E06A7"/>
    <w:rsid w:val="2F36718A"/>
    <w:rsid w:val="2F965DE4"/>
    <w:rsid w:val="30026706"/>
    <w:rsid w:val="3020050D"/>
    <w:rsid w:val="30F47208"/>
    <w:rsid w:val="3106661D"/>
    <w:rsid w:val="315D488B"/>
    <w:rsid w:val="31F354B3"/>
    <w:rsid w:val="330D1ADF"/>
    <w:rsid w:val="335D7E2B"/>
    <w:rsid w:val="339E7E35"/>
    <w:rsid w:val="33C669D2"/>
    <w:rsid w:val="33DE516E"/>
    <w:rsid w:val="33E652A1"/>
    <w:rsid w:val="33F93AF2"/>
    <w:rsid w:val="34A5414B"/>
    <w:rsid w:val="34A9508B"/>
    <w:rsid w:val="34B6141B"/>
    <w:rsid w:val="34E753FB"/>
    <w:rsid w:val="34F202D8"/>
    <w:rsid w:val="34FB3B19"/>
    <w:rsid w:val="35081EDA"/>
    <w:rsid w:val="351022D3"/>
    <w:rsid w:val="355114B6"/>
    <w:rsid w:val="355410B9"/>
    <w:rsid w:val="355A13DE"/>
    <w:rsid w:val="35E412BE"/>
    <w:rsid w:val="360E1740"/>
    <w:rsid w:val="3616343F"/>
    <w:rsid w:val="36234232"/>
    <w:rsid w:val="37247DCE"/>
    <w:rsid w:val="37791C67"/>
    <w:rsid w:val="37CD20EB"/>
    <w:rsid w:val="37DA6FA4"/>
    <w:rsid w:val="382C2DCA"/>
    <w:rsid w:val="38B46540"/>
    <w:rsid w:val="38B832C8"/>
    <w:rsid w:val="390F312D"/>
    <w:rsid w:val="39242B6D"/>
    <w:rsid w:val="39692927"/>
    <w:rsid w:val="39887CDE"/>
    <w:rsid w:val="398B2CAC"/>
    <w:rsid w:val="3A0F6078"/>
    <w:rsid w:val="3A430705"/>
    <w:rsid w:val="3B3F644D"/>
    <w:rsid w:val="3B740CB5"/>
    <w:rsid w:val="3B7A6AF2"/>
    <w:rsid w:val="3B864862"/>
    <w:rsid w:val="3B903C84"/>
    <w:rsid w:val="3BAF2E41"/>
    <w:rsid w:val="3BE0092E"/>
    <w:rsid w:val="3BE8719B"/>
    <w:rsid w:val="3C0B798C"/>
    <w:rsid w:val="3C5C1377"/>
    <w:rsid w:val="3C7F5A4A"/>
    <w:rsid w:val="3CE058F3"/>
    <w:rsid w:val="3D012C02"/>
    <w:rsid w:val="3D491507"/>
    <w:rsid w:val="3D564159"/>
    <w:rsid w:val="3D696BCB"/>
    <w:rsid w:val="3D7702FD"/>
    <w:rsid w:val="3DA84FA2"/>
    <w:rsid w:val="3DB95937"/>
    <w:rsid w:val="3DF46C5D"/>
    <w:rsid w:val="3EB14737"/>
    <w:rsid w:val="3F2004D4"/>
    <w:rsid w:val="3F2F3E5C"/>
    <w:rsid w:val="3F706276"/>
    <w:rsid w:val="3F93443E"/>
    <w:rsid w:val="3FC240DF"/>
    <w:rsid w:val="3FEB58C4"/>
    <w:rsid w:val="403F26C1"/>
    <w:rsid w:val="40CC5F57"/>
    <w:rsid w:val="410F0B7E"/>
    <w:rsid w:val="41276838"/>
    <w:rsid w:val="41B977B8"/>
    <w:rsid w:val="424C6864"/>
    <w:rsid w:val="425C3332"/>
    <w:rsid w:val="425E5C8B"/>
    <w:rsid w:val="42621FD1"/>
    <w:rsid w:val="42796E66"/>
    <w:rsid w:val="42AE12CD"/>
    <w:rsid w:val="43557596"/>
    <w:rsid w:val="43B96A77"/>
    <w:rsid w:val="43E70D52"/>
    <w:rsid w:val="445E68A0"/>
    <w:rsid w:val="44B7526A"/>
    <w:rsid w:val="450A451E"/>
    <w:rsid w:val="451459FA"/>
    <w:rsid w:val="458B7BDA"/>
    <w:rsid w:val="45F012D9"/>
    <w:rsid w:val="46DD7A6D"/>
    <w:rsid w:val="46E31D02"/>
    <w:rsid w:val="47254305"/>
    <w:rsid w:val="477F2D45"/>
    <w:rsid w:val="47EC6FF3"/>
    <w:rsid w:val="48200F9C"/>
    <w:rsid w:val="48575D86"/>
    <w:rsid w:val="48805DF4"/>
    <w:rsid w:val="48A535DD"/>
    <w:rsid w:val="48C05487"/>
    <w:rsid w:val="48CF1F5F"/>
    <w:rsid w:val="48DB5716"/>
    <w:rsid w:val="48F13748"/>
    <w:rsid w:val="49486727"/>
    <w:rsid w:val="49A5593C"/>
    <w:rsid w:val="49D3634A"/>
    <w:rsid w:val="4A2057FE"/>
    <w:rsid w:val="4A843270"/>
    <w:rsid w:val="4AB062C1"/>
    <w:rsid w:val="4AD73476"/>
    <w:rsid w:val="4B7D5146"/>
    <w:rsid w:val="4BC65223"/>
    <w:rsid w:val="4C4C6BA8"/>
    <w:rsid w:val="4C6C7091"/>
    <w:rsid w:val="4CD324CE"/>
    <w:rsid w:val="4CF87DE8"/>
    <w:rsid w:val="4D3E384E"/>
    <w:rsid w:val="4D4A76D0"/>
    <w:rsid w:val="4E631A79"/>
    <w:rsid w:val="4E896E87"/>
    <w:rsid w:val="4EB33590"/>
    <w:rsid w:val="4EFA4976"/>
    <w:rsid w:val="4FF17895"/>
    <w:rsid w:val="506C629B"/>
    <w:rsid w:val="508E3AD8"/>
    <w:rsid w:val="509F3852"/>
    <w:rsid w:val="50A33F15"/>
    <w:rsid w:val="510A05FF"/>
    <w:rsid w:val="51542EB1"/>
    <w:rsid w:val="51952991"/>
    <w:rsid w:val="51C24060"/>
    <w:rsid w:val="52046D42"/>
    <w:rsid w:val="522E77C7"/>
    <w:rsid w:val="52550ABB"/>
    <w:rsid w:val="5255584A"/>
    <w:rsid w:val="530A628B"/>
    <w:rsid w:val="533D1D23"/>
    <w:rsid w:val="5390580F"/>
    <w:rsid w:val="53A80DD6"/>
    <w:rsid w:val="53DB0D6A"/>
    <w:rsid w:val="543E1AAD"/>
    <w:rsid w:val="5474451D"/>
    <w:rsid w:val="549E5A6E"/>
    <w:rsid w:val="54AF280E"/>
    <w:rsid w:val="5556096C"/>
    <w:rsid w:val="55727884"/>
    <w:rsid w:val="55E77ED5"/>
    <w:rsid w:val="5602637B"/>
    <w:rsid w:val="563E343A"/>
    <w:rsid w:val="576C3B6F"/>
    <w:rsid w:val="57B65F41"/>
    <w:rsid w:val="57F0176E"/>
    <w:rsid w:val="582D2E86"/>
    <w:rsid w:val="58436A56"/>
    <w:rsid w:val="586B4E19"/>
    <w:rsid w:val="5897132B"/>
    <w:rsid w:val="58BE1E71"/>
    <w:rsid w:val="59C96C5A"/>
    <w:rsid w:val="5A1302A1"/>
    <w:rsid w:val="5A215C8D"/>
    <w:rsid w:val="5A4A774A"/>
    <w:rsid w:val="5A600095"/>
    <w:rsid w:val="5A74403C"/>
    <w:rsid w:val="5A833335"/>
    <w:rsid w:val="5A976646"/>
    <w:rsid w:val="5BCC73AC"/>
    <w:rsid w:val="5C2D7E69"/>
    <w:rsid w:val="5C901537"/>
    <w:rsid w:val="5D135F85"/>
    <w:rsid w:val="5D27270C"/>
    <w:rsid w:val="5D281127"/>
    <w:rsid w:val="5E8C0500"/>
    <w:rsid w:val="5EAF43D1"/>
    <w:rsid w:val="5EE06FCE"/>
    <w:rsid w:val="5F0709F9"/>
    <w:rsid w:val="5F3B3688"/>
    <w:rsid w:val="5F405168"/>
    <w:rsid w:val="5F713DDC"/>
    <w:rsid w:val="5FC56B47"/>
    <w:rsid w:val="60382892"/>
    <w:rsid w:val="6046330A"/>
    <w:rsid w:val="605F4848"/>
    <w:rsid w:val="607A4418"/>
    <w:rsid w:val="60D21D7B"/>
    <w:rsid w:val="60E70EA5"/>
    <w:rsid w:val="61262344"/>
    <w:rsid w:val="61E22F14"/>
    <w:rsid w:val="6248024A"/>
    <w:rsid w:val="62512C3B"/>
    <w:rsid w:val="629209C4"/>
    <w:rsid w:val="62CE4624"/>
    <w:rsid w:val="62D45A1B"/>
    <w:rsid w:val="62E70CE0"/>
    <w:rsid w:val="63317388"/>
    <w:rsid w:val="63F25CA4"/>
    <w:rsid w:val="64113F84"/>
    <w:rsid w:val="64165599"/>
    <w:rsid w:val="64D44294"/>
    <w:rsid w:val="64ED722E"/>
    <w:rsid w:val="652807D2"/>
    <w:rsid w:val="65447FB0"/>
    <w:rsid w:val="658D41C0"/>
    <w:rsid w:val="65DE6DF2"/>
    <w:rsid w:val="65F51AD7"/>
    <w:rsid w:val="65FC4764"/>
    <w:rsid w:val="66BB34F9"/>
    <w:rsid w:val="67365FB4"/>
    <w:rsid w:val="67731BAA"/>
    <w:rsid w:val="67E93B34"/>
    <w:rsid w:val="67FD2D6A"/>
    <w:rsid w:val="68537D33"/>
    <w:rsid w:val="6855017D"/>
    <w:rsid w:val="686D776D"/>
    <w:rsid w:val="687C78EA"/>
    <w:rsid w:val="68EC10F7"/>
    <w:rsid w:val="691C156F"/>
    <w:rsid w:val="69D21CAA"/>
    <w:rsid w:val="69E52697"/>
    <w:rsid w:val="69F73C66"/>
    <w:rsid w:val="6A0430AA"/>
    <w:rsid w:val="6A0E5D59"/>
    <w:rsid w:val="6AC700DD"/>
    <w:rsid w:val="6AEC147F"/>
    <w:rsid w:val="6B2C56B7"/>
    <w:rsid w:val="6B322C11"/>
    <w:rsid w:val="6C181368"/>
    <w:rsid w:val="6CC70A0B"/>
    <w:rsid w:val="6D2B4678"/>
    <w:rsid w:val="6D570B50"/>
    <w:rsid w:val="6D7612B6"/>
    <w:rsid w:val="6D861263"/>
    <w:rsid w:val="6D883EDC"/>
    <w:rsid w:val="6DB15D3D"/>
    <w:rsid w:val="6DC71848"/>
    <w:rsid w:val="6DE07BAF"/>
    <w:rsid w:val="6DE2055D"/>
    <w:rsid w:val="6E25341F"/>
    <w:rsid w:val="6E6E5D22"/>
    <w:rsid w:val="6F4372AE"/>
    <w:rsid w:val="6FA140D1"/>
    <w:rsid w:val="6FA216E7"/>
    <w:rsid w:val="6FCC3B42"/>
    <w:rsid w:val="702952E3"/>
    <w:rsid w:val="704B25E9"/>
    <w:rsid w:val="708F585B"/>
    <w:rsid w:val="70AC36B6"/>
    <w:rsid w:val="70B826A8"/>
    <w:rsid w:val="70BD05ED"/>
    <w:rsid w:val="70C94D1B"/>
    <w:rsid w:val="70CE492C"/>
    <w:rsid w:val="70DD1B28"/>
    <w:rsid w:val="711E298E"/>
    <w:rsid w:val="714E36DE"/>
    <w:rsid w:val="71EF3DD5"/>
    <w:rsid w:val="71F3292F"/>
    <w:rsid w:val="721E0EFE"/>
    <w:rsid w:val="72211933"/>
    <w:rsid w:val="72225EF8"/>
    <w:rsid w:val="72241464"/>
    <w:rsid w:val="72F16C9D"/>
    <w:rsid w:val="73291754"/>
    <w:rsid w:val="7351524F"/>
    <w:rsid w:val="7399538F"/>
    <w:rsid w:val="73AD36B0"/>
    <w:rsid w:val="745146F0"/>
    <w:rsid w:val="74872856"/>
    <w:rsid w:val="74A4024B"/>
    <w:rsid w:val="74AD0B84"/>
    <w:rsid w:val="75B13D04"/>
    <w:rsid w:val="762F60CD"/>
    <w:rsid w:val="763725AC"/>
    <w:rsid w:val="76487AA5"/>
    <w:rsid w:val="765C362B"/>
    <w:rsid w:val="76E14682"/>
    <w:rsid w:val="7746654A"/>
    <w:rsid w:val="77D504D2"/>
    <w:rsid w:val="78061CE4"/>
    <w:rsid w:val="786229F5"/>
    <w:rsid w:val="78691D2B"/>
    <w:rsid w:val="78DF7C3E"/>
    <w:rsid w:val="78F743D5"/>
    <w:rsid w:val="7A2C591B"/>
    <w:rsid w:val="7A74563C"/>
    <w:rsid w:val="7ABB506E"/>
    <w:rsid w:val="7B2218F9"/>
    <w:rsid w:val="7B547407"/>
    <w:rsid w:val="7CA67DBD"/>
    <w:rsid w:val="7CB42F62"/>
    <w:rsid w:val="7CBF109B"/>
    <w:rsid w:val="7CD56EC3"/>
    <w:rsid w:val="7D786DAC"/>
    <w:rsid w:val="7D9C42A2"/>
    <w:rsid w:val="7E3D7A5E"/>
    <w:rsid w:val="7E587B70"/>
    <w:rsid w:val="7E6A1560"/>
    <w:rsid w:val="7E727E45"/>
    <w:rsid w:val="7E8D4A93"/>
    <w:rsid w:val="7EB14DAD"/>
    <w:rsid w:val="7EDE5163"/>
    <w:rsid w:val="7F036131"/>
    <w:rsid w:val="7F237DC4"/>
    <w:rsid w:val="7F381E5E"/>
    <w:rsid w:val="7F601639"/>
    <w:rsid w:val="7FF9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Marigold" w:hAnsi="Marigold"/>
      <w:sz w:val="20"/>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spacing w:before="120" w:after="120"/>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2"/>
    <w:qFormat/>
    <w:uiPriority w:val="99"/>
    <w:pPr>
      <w:ind w:firstLine="420" w:firstLineChars="100"/>
    </w:pPr>
    <w:rPr>
      <w:szCs w:val="21"/>
    </w:rPr>
  </w:style>
  <w:style w:type="table" w:styleId="21">
    <w:name w:val="Table Grid"/>
    <w:basedOn w:val="20"/>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5">
    <w:name w:val="NormalIndent"/>
    <w:basedOn w:val="1"/>
    <w:next w:val="26"/>
    <w:qFormat/>
    <w:uiPriority w:val="0"/>
    <w:pPr>
      <w:ind w:firstLine="420" w:firstLineChars="200"/>
      <w:textAlignment w:val="baseline"/>
    </w:pPr>
    <w:rPr>
      <w:kern w:val="0"/>
      <w:sz w:val="20"/>
    </w:rPr>
  </w:style>
  <w:style w:type="paragraph" w:customStyle="1" w:styleId="26">
    <w:name w:val="Index5"/>
    <w:basedOn w:val="1"/>
    <w:next w:val="1"/>
    <w:semiHidden/>
    <w:qFormat/>
    <w:uiPriority w:val="0"/>
    <w:pPr>
      <w:ind w:left="800" w:leftChars="800"/>
      <w:textAlignment w:val="baseline"/>
    </w:p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30">
    <w:name w:val="!正文"/>
    <w:basedOn w:val="1"/>
    <w:qFormat/>
    <w:uiPriority w:val="0"/>
    <w:pPr>
      <w:spacing w:line="360" w:lineRule="auto"/>
      <w:ind w:firstLine="480" w:firstLineChars="200"/>
    </w:pPr>
    <w:rPr>
      <w:sz w:val="24"/>
      <w:szCs w:val="21"/>
    </w:rPr>
  </w:style>
  <w:style w:type="paragraph" w:customStyle="1" w:styleId="31">
    <w:name w:val="标3"/>
    <w:basedOn w:val="32"/>
    <w:next w:val="34"/>
    <w:qFormat/>
    <w:uiPriority w:val="0"/>
    <w:pPr>
      <w:pageBreakBefore w:val="0"/>
      <w:tabs>
        <w:tab w:val="left" w:pos="720"/>
        <w:tab w:val="left" w:pos="1080"/>
      </w:tabs>
      <w:spacing w:beforeLines="50" w:afterLines="0" w:line="360" w:lineRule="atLeast"/>
      <w:jc w:val="both"/>
      <w:outlineLvl w:val="3"/>
    </w:pPr>
    <w:rPr>
      <w:b w:val="0"/>
      <w:sz w:val="24"/>
    </w:rPr>
  </w:style>
  <w:style w:type="paragraph" w:customStyle="1" w:styleId="32">
    <w:name w:val="标2"/>
    <w:basedOn w:val="33"/>
    <w:next w:val="34"/>
    <w:qFormat/>
    <w:uiPriority w:val="0"/>
    <w:pPr>
      <w:tabs>
        <w:tab w:val="left" w:pos="720"/>
        <w:tab w:val="left" w:pos="1080"/>
      </w:tabs>
      <w:spacing w:afterLines="50" w:afterAutospacing="0" w:line="440" w:lineRule="exact"/>
      <w:jc w:val="left"/>
      <w:outlineLvl w:val="2"/>
    </w:pPr>
    <w:rPr>
      <w:sz w:val="28"/>
    </w:rPr>
  </w:style>
  <w:style w:type="paragraph" w:customStyle="1" w:styleId="33">
    <w:name w:val="标1"/>
    <w:basedOn w:val="1"/>
    <w:next w:val="34"/>
    <w:qFormat/>
    <w:uiPriority w:val="0"/>
    <w:pPr>
      <w:keepNext/>
      <w:keepLines/>
      <w:pageBreakBefore/>
      <w:tabs>
        <w:tab w:val="left" w:pos="1080"/>
      </w:tabs>
      <w:spacing w:before="100" w:beforeAutospacing="1" w:after="100" w:afterAutospacing="1" w:line="440" w:lineRule="atLeast"/>
      <w:jc w:val="center"/>
      <w:outlineLvl w:val="1"/>
    </w:pPr>
    <w:rPr>
      <w:rFonts w:ascii="Marigold" w:hAnsi="Marigold" w:eastAsia="Marigold" w:cs="Marigold"/>
      <w:b/>
      <w:bCs/>
      <w:sz w:val="32"/>
      <w:szCs w:val="32"/>
    </w:rPr>
  </w:style>
  <w:style w:type="paragraph" w:customStyle="1" w:styleId="34">
    <w:name w:val="L正文"/>
    <w:basedOn w:val="1"/>
    <w:qFormat/>
    <w:uiPriority w:val="0"/>
    <w:pPr>
      <w:spacing w:afterLines="50"/>
      <w:ind w:left="160" w:leftChars="160" w:firstLine="200" w:firstLineChars="200"/>
    </w:pPr>
    <w:rPr>
      <w:rFonts w:ascii="宋体" w:hAnsi="Marigold" w:cs="Marigold"/>
      <w:sz w:val="24"/>
    </w:rPr>
  </w:style>
  <w:style w:type="paragraph" w:customStyle="1" w:styleId="35">
    <w:name w:val="Default"/>
    <w:qFormat/>
    <w:uiPriority w:val="99"/>
    <w:pPr>
      <w:widowControl w:val="0"/>
      <w:autoSpaceDE w:val="0"/>
      <w:autoSpaceDN w:val="0"/>
      <w:adjustRightInd w:val="0"/>
      <w:spacing w:after="200" w:line="276" w:lineRule="auto"/>
    </w:pPr>
    <w:rPr>
      <w:rFonts w:ascii="Marigold" w:hAnsi="Marigold" w:eastAsia="宋体" w:cs="Marigold"/>
      <w:color w:val="000000"/>
      <w:sz w:val="24"/>
      <w:szCs w:val="24"/>
      <w:lang w:val="en-US" w:eastAsia="zh-CN" w:bidi="ar-SA"/>
    </w:rPr>
  </w:style>
  <w:style w:type="paragraph" w:customStyle="1" w:styleId="36">
    <w:name w:val="普通正文缩进2字符"/>
    <w:basedOn w:val="1"/>
    <w:qFormat/>
    <w:uiPriority w:val="0"/>
    <w:pPr>
      <w:adjustRightInd w:val="0"/>
      <w:snapToGrid w:val="0"/>
      <w:spacing w:line="300" w:lineRule="auto"/>
      <w:ind w:firstLine="200" w:firstLineChars="200"/>
      <w:jc w:val="left"/>
    </w:pPr>
    <w:rPr>
      <w:rFonts w:ascii="宋体" w:hAnsi="宋体" w:cs="宋体"/>
      <w:sz w:val="24"/>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character" w:customStyle="1" w:styleId="38">
    <w:name w:val="标题 3 字符"/>
    <w:link w:val="6"/>
    <w:qFormat/>
    <w:uiPriority w:val="0"/>
    <w:rPr>
      <w:b/>
      <w:bCs/>
      <w:sz w:val="32"/>
      <w:szCs w:val="32"/>
    </w:rPr>
  </w:style>
  <w:style w:type="character" w:customStyle="1" w:styleId="39">
    <w:name w:val="font41"/>
    <w:basedOn w:val="22"/>
    <w:qFormat/>
    <w:uiPriority w:val="0"/>
    <w:rPr>
      <w:rFonts w:hint="eastAsia" w:ascii="宋体" w:hAnsi="宋体" w:eastAsia="宋体"/>
      <w:color w:val="000000"/>
      <w:kern w:val="2"/>
      <w:sz w:val="18"/>
      <w:u w:val="none"/>
    </w:rPr>
  </w:style>
  <w:style w:type="paragraph" w:customStyle="1" w:styleId="40">
    <w:name w:val="Table Paragraph"/>
    <w:basedOn w:val="1"/>
    <w:qFormat/>
    <w:uiPriority w:val="1"/>
    <w:rPr>
      <w:rFonts w:ascii="宋体" w:hAnsi="宋体" w:cs="宋体"/>
      <w:lang w:val="zh-CN" w:bidi="zh-CN"/>
    </w:rPr>
  </w:style>
  <w:style w:type="paragraph" w:styleId="41">
    <w:name w:val="List Paragraph"/>
    <w:basedOn w:val="1"/>
    <w:qFormat/>
    <w:uiPriority w:val="1"/>
    <w:pPr>
      <w:ind w:left="260" w:firstLine="480"/>
    </w:pPr>
    <w:rPr>
      <w:rFonts w:ascii="宋体" w:hAnsi="宋体" w:cs="宋体"/>
      <w:lang w:val="zh-CN" w:bidi="zh-CN"/>
    </w:rPr>
  </w:style>
  <w:style w:type="paragraph" w:customStyle="1" w:styleId="42">
    <w:name w:val="样式1"/>
    <w:basedOn w:val="1"/>
    <w:qFormat/>
    <w:uiPriority w:val="0"/>
    <w:pPr>
      <w:adjustRightInd w:val="0"/>
      <w:spacing w:line="360" w:lineRule="atLeast"/>
      <w:jc w:val="left"/>
      <w:textAlignment w:val="baseline"/>
    </w:pPr>
    <w:rPr>
      <w:rFonts w:ascii="宋体" w:hAnsi="宋体"/>
      <w:kern w:val="0"/>
      <w:sz w:val="24"/>
      <w:szCs w:val="21"/>
    </w:rPr>
  </w:style>
  <w:style w:type="paragraph" w:customStyle="1" w:styleId="43">
    <w:name w:val="正文2"/>
    <w:basedOn w:val="1"/>
    <w:qFormat/>
    <w:uiPriority w:val="0"/>
    <w:pPr>
      <w:adjustRightInd w:val="0"/>
      <w:spacing w:line="318" w:lineRule="atLeast"/>
      <w:ind w:left="369" w:firstLine="369"/>
      <w:textAlignment w:val="baseline"/>
    </w:pPr>
    <w:rPr>
      <w:rFonts w:ascii="宋体"/>
      <w:szCs w:val="20"/>
    </w:rPr>
  </w:style>
  <w:style w:type="paragraph" w:customStyle="1" w:styleId="44">
    <w:name w:val="列出段落1"/>
    <w:basedOn w:val="1"/>
    <w:qFormat/>
    <w:uiPriority w:val="0"/>
    <w:pPr>
      <w:ind w:firstLine="420" w:firstLineChars="200"/>
    </w:pPr>
    <w:rPr>
      <w:rFonts w:ascii="Calibri" w:hAnsi="Calibri"/>
      <w:sz w:val="24"/>
    </w:rPr>
  </w:style>
  <w:style w:type="paragraph" w:customStyle="1" w:styleId="45">
    <w:name w:val="w正文"/>
    <w:basedOn w:val="1"/>
    <w:qFormat/>
    <w:uiPriority w:val="0"/>
    <w:pPr>
      <w:widowControl/>
      <w:spacing w:line="360" w:lineRule="auto"/>
      <w:ind w:firstLine="200" w:firstLineChars="200"/>
      <w:jc w:val="left"/>
    </w:pPr>
    <w:rPr>
      <w:rFonts w:ascii="仿宋_GB2312" w:hAnsi="Calibri"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79</Pages>
  <Words>42013</Words>
  <Characters>44042</Characters>
  <Lines>332</Lines>
  <Paragraphs>93</Paragraphs>
  <TotalTime>7</TotalTime>
  <ScaleCrop>false</ScaleCrop>
  <LinksUpToDate>false</LinksUpToDate>
  <CharactersWithSpaces>44958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2018-12-26T06:51:00Z</dcterms:created>
  <dc:creator>Administrator</dc:creator>
  <cp:lastModifiedBy>王小圆圆要瘦瘦</cp:lastModifiedBy>
  <cp:lastPrinted>2020-04-23T09:03:00Z</cp:lastPrinted>
  <dcterms:modified xsi:type="dcterms:W3CDTF">2021-04-28T09:15:41Z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11027B287DF940A79741D9232B6B3D40</vt:lpwstr>
  </property>
</Properties>
</file>