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kern w:val="0"/>
          <w:sz w:val="30"/>
          <w:szCs w:val="30"/>
        </w:rPr>
      </w:pPr>
    </w:p>
    <w:p>
      <w:pPr>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招标编号：510181202100036</w:t>
      </w:r>
    </w:p>
    <w:p>
      <w:pPr>
        <w:jc w:val="center"/>
        <w:rPr>
          <w:rFonts w:asciiTheme="minorEastAsia" w:hAnsiTheme="minorEastAsia" w:eastAsiaTheme="minorEastAsia"/>
          <w:b/>
          <w:kern w:val="0"/>
          <w:sz w:val="44"/>
          <w:szCs w:val="44"/>
        </w:rPr>
      </w:pPr>
    </w:p>
    <w:p>
      <w:pPr>
        <w:tabs>
          <w:tab w:val="left" w:pos="2505"/>
          <w:tab w:val="center" w:pos="4204"/>
        </w:tabs>
        <w:jc w:val="center"/>
        <w:rPr>
          <w:rFonts w:ascii="仿宋" w:hAnsi="仿宋" w:eastAsia="仿宋" w:cs="宋体"/>
          <w:b/>
          <w:sz w:val="48"/>
          <w:szCs w:val="52"/>
        </w:rPr>
      </w:pPr>
      <w:r>
        <w:rPr>
          <w:rFonts w:hint="eastAsia" w:ascii="仿宋" w:hAnsi="仿宋" w:eastAsia="仿宋" w:cs="宋体"/>
          <w:b/>
          <w:sz w:val="48"/>
          <w:szCs w:val="52"/>
        </w:rPr>
        <w:t>都江堰市融媒体中心舞台设备</w:t>
      </w:r>
    </w:p>
    <w:p>
      <w:pPr>
        <w:tabs>
          <w:tab w:val="left" w:pos="2505"/>
          <w:tab w:val="center" w:pos="4204"/>
        </w:tabs>
        <w:jc w:val="center"/>
        <w:rPr>
          <w:rFonts w:eastAsia="仿宋" w:asciiTheme="minorEastAsia" w:hAnsiTheme="minorEastAsia"/>
          <w:b/>
          <w:kern w:val="0"/>
          <w:sz w:val="44"/>
          <w:szCs w:val="44"/>
        </w:rPr>
      </w:pPr>
      <w:r>
        <w:rPr>
          <w:rFonts w:hint="eastAsia" w:ascii="仿宋" w:hAnsi="仿宋" w:eastAsia="仿宋" w:cs="宋体"/>
          <w:b/>
          <w:sz w:val="48"/>
          <w:szCs w:val="52"/>
        </w:rPr>
        <w:t>采购项目（</w:t>
      </w:r>
      <w:r>
        <w:rPr>
          <w:rFonts w:hint="eastAsia" w:ascii="仿宋" w:hAnsi="仿宋" w:eastAsia="仿宋" w:cs="宋体"/>
          <w:b/>
          <w:sz w:val="48"/>
          <w:szCs w:val="52"/>
          <w:lang w:eastAsia="zh-CN"/>
        </w:rPr>
        <w:t>第五次</w:t>
      </w:r>
      <w:r>
        <w:rPr>
          <w:rFonts w:hint="eastAsia" w:ascii="仿宋" w:hAnsi="仿宋" w:eastAsia="仿宋" w:cs="宋体"/>
          <w:b/>
          <w:sz w:val="48"/>
          <w:szCs w:val="52"/>
        </w:rPr>
        <w:t>）</w:t>
      </w:r>
    </w:p>
    <w:p>
      <w:pPr>
        <w:pStyle w:val="27"/>
        <w:numPr>
          <w:ilvl w:val="0"/>
          <w:numId w:val="0"/>
        </w:numPr>
      </w:pPr>
    </w:p>
    <w:p>
      <w:pPr>
        <w:pStyle w:val="28"/>
      </w:pPr>
    </w:p>
    <w:p>
      <w:pPr>
        <w:tabs>
          <w:tab w:val="left" w:pos="2505"/>
          <w:tab w:val="center" w:pos="4204"/>
        </w:tabs>
        <w:jc w:val="center"/>
        <w:rPr>
          <w:rFonts w:asciiTheme="minorEastAsia" w:hAnsiTheme="minorEastAsia" w:eastAsiaTheme="minorEastAsia"/>
          <w:b/>
          <w:kern w:val="0"/>
          <w:sz w:val="52"/>
          <w:szCs w:val="52"/>
        </w:rPr>
      </w:pPr>
      <w:r>
        <w:rPr>
          <w:rFonts w:hint="eastAsia" w:asciiTheme="minorEastAsia" w:hAnsiTheme="minorEastAsia" w:eastAsiaTheme="minorEastAsia"/>
          <w:b/>
          <w:kern w:val="0"/>
          <w:sz w:val="52"/>
          <w:szCs w:val="52"/>
        </w:rPr>
        <w:t>招</w:t>
      </w:r>
    </w:p>
    <w:p>
      <w:pPr>
        <w:tabs>
          <w:tab w:val="left" w:pos="2505"/>
          <w:tab w:val="center" w:pos="4204"/>
        </w:tabs>
        <w:jc w:val="center"/>
        <w:rPr>
          <w:rFonts w:asciiTheme="minorEastAsia" w:hAnsiTheme="minorEastAsia" w:eastAsiaTheme="minorEastAsia"/>
          <w:b/>
          <w:kern w:val="0"/>
          <w:sz w:val="52"/>
          <w:szCs w:val="52"/>
        </w:rPr>
      </w:pPr>
    </w:p>
    <w:p>
      <w:pPr>
        <w:tabs>
          <w:tab w:val="left" w:pos="2505"/>
          <w:tab w:val="center" w:pos="4204"/>
        </w:tabs>
        <w:jc w:val="center"/>
        <w:rPr>
          <w:rFonts w:asciiTheme="minorEastAsia" w:hAnsiTheme="minorEastAsia" w:eastAsiaTheme="minorEastAsia"/>
          <w:b/>
          <w:kern w:val="0"/>
          <w:sz w:val="52"/>
          <w:szCs w:val="52"/>
        </w:rPr>
      </w:pPr>
      <w:r>
        <w:rPr>
          <w:rFonts w:hint="eastAsia" w:asciiTheme="minorEastAsia" w:hAnsiTheme="minorEastAsia" w:eastAsiaTheme="minorEastAsia"/>
          <w:b/>
          <w:kern w:val="0"/>
          <w:sz w:val="52"/>
          <w:szCs w:val="52"/>
        </w:rPr>
        <w:t>标</w:t>
      </w:r>
    </w:p>
    <w:p>
      <w:pPr>
        <w:jc w:val="center"/>
        <w:rPr>
          <w:rFonts w:asciiTheme="minorEastAsia" w:hAnsiTheme="minorEastAsia" w:eastAsiaTheme="minorEastAsia"/>
          <w:b/>
          <w:kern w:val="0"/>
          <w:sz w:val="52"/>
          <w:szCs w:val="52"/>
        </w:rPr>
      </w:pPr>
    </w:p>
    <w:p>
      <w:pPr>
        <w:jc w:val="center"/>
        <w:rPr>
          <w:rFonts w:asciiTheme="minorEastAsia" w:hAnsiTheme="minorEastAsia" w:eastAsiaTheme="minorEastAsia"/>
          <w:b/>
          <w:kern w:val="0"/>
          <w:sz w:val="52"/>
          <w:szCs w:val="52"/>
        </w:rPr>
      </w:pPr>
      <w:r>
        <w:rPr>
          <w:rFonts w:hint="eastAsia" w:asciiTheme="minorEastAsia" w:hAnsiTheme="minorEastAsia" w:eastAsiaTheme="minorEastAsia"/>
          <w:b/>
          <w:kern w:val="0"/>
          <w:sz w:val="52"/>
          <w:szCs w:val="52"/>
        </w:rPr>
        <w:t>文</w:t>
      </w:r>
    </w:p>
    <w:p>
      <w:pPr>
        <w:rPr>
          <w:rFonts w:asciiTheme="minorEastAsia" w:hAnsiTheme="minorEastAsia" w:eastAsiaTheme="minorEastAsia"/>
          <w:b/>
          <w:kern w:val="0"/>
          <w:sz w:val="52"/>
          <w:szCs w:val="52"/>
        </w:rPr>
      </w:pPr>
    </w:p>
    <w:p>
      <w:pPr>
        <w:ind w:firstLine="4176" w:firstLineChars="800"/>
        <w:rPr>
          <w:rFonts w:asciiTheme="minorEastAsia" w:hAnsiTheme="minorEastAsia" w:eastAsiaTheme="minorEastAsia"/>
          <w:b/>
          <w:kern w:val="0"/>
          <w:sz w:val="52"/>
          <w:szCs w:val="52"/>
        </w:rPr>
      </w:pPr>
      <w:r>
        <w:rPr>
          <w:rFonts w:hint="eastAsia" w:asciiTheme="minorEastAsia" w:hAnsiTheme="minorEastAsia" w:eastAsiaTheme="minorEastAsia"/>
          <w:b/>
          <w:kern w:val="0"/>
          <w:sz w:val="52"/>
          <w:szCs w:val="52"/>
        </w:rPr>
        <w:t>件</w:t>
      </w:r>
    </w:p>
    <w:p>
      <w:pPr>
        <w:spacing w:line="360" w:lineRule="auto"/>
        <w:rPr>
          <w:rFonts w:asciiTheme="minorEastAsia" w:hAnsiTheme="minorEastAsia" w:eastAsiaTheme="minorEastAsia"/>
          <w:b/>
          <w:kern w:val="0"/>
          <w:sz w:val="32"/>
          <w:szCs w:val="32"/>
        </w:rPr>
      </w:pPr>
    </w:p>
    <w:p>
      <w:pPr>
        <w:spacing w:line="360" w:lineRule="auto"/>
        <w:jc w:val="center"/>
        <w:rPr>
          <w:rFonts w:asciiTheme="minorEastAsia" w:hAnsiTheme="minorEastAsia" w:eastAsiaTheme="minorEastAsia"/>
          <w:b/>
          <w:kern w:val="0"/>
          <w:sz w:val="32"/>
          <w:szCs w:val="32"/>
        </w:rPr>
      </w:pPr>
    </w:p>
    <w:p>
      <w:pPr>
        <w:spacing w:line="360" w:lineRule="auto"/>
        <w:jc w:val="center"/>
        <w:rPr>
          <w:rFonts w:asciiTheme="minorEastAsia" w:hAnsiTheme="minorEastAsia" w:eastAsiaTheme="minorEastAsia"/>
          <w:b/>
          <w:kern w:val="0"/>
          <w:sz w:val="32"/>
          <w:szCs w:val="32"/>
        </w:rPr>
      </w:pPr>
    </w:p>
    <w:p>
      <w:pPr>
        <w:spacing w:line="360" w:lineRule="auto"/>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中国·四川（都江堰市）</w:t>
      </w:r>
    </w:p>
    <w:p>
      <w:pPr>
        <w:spacing w:line="360" w:lineRule="auto"/>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采购人：都江堰市融媒体中心</w:t>
      </w:r>
    </w:p>
    <w:p>
      <w:pPr>
        <w:spacing w:line="360" w:lineRule="auto"/>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采购代理机构：四川中久招标代理有限公司</w:t>
      </w:r>
    </w:p>
    <w:p>
      <w:pPr>
        <w:spacing w:line="360" w:lineRule="auto"/>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0"/>
          <w:szCs w:val="30"/>
        </w:rPr>
        <w:t>共同</w:t>
      </w:r>
      <w:r>
        <w:rPr>
          <w:rFonts w:hint="eastAsia" w:asciiTheme="minorEastAsia" w:hAnsiTheme="minorEastAsia" w:eastAsiaTheme="minorEastAsia"/>
          <w:b/>
          <w:kern w:val="0"/>
          <w:sz w:val="32"/>
          <w:szCs w:val="32"/>
        </w:rPr>
        <w:t>编制</w:t>
      </w:r>
    </w:p>
    <w:p>
      <w:pPr>
        <w:spacing w:line="360" w:lineRule="auto"/>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0"/>
          <w:szCs w:val="30"/>
        </w:rPr>
        <w:t>2021</w:t>
      </w:r>
      <w:r>
        <w:rPr>
          <w:rFonts w:asciiTheme="minorEastAsia" w:hAnsiTheme="minorEastAsia" w:eastAsiaTheme="minorEastAsia"/>
          <w:b/>
          <w:bCs/>
          <w:kern w:val="0"/>
          <w:sz w:val="32"/>
          <w:szCs w:val="32"/>
          <w:lang w:val="zh-CN"/>
        </w:rPr>
        <w:t>年</w:t>
      </w:r>
      <w:r>
        <w:rPr>
          <w:rFonts w:hint="eastAsia" w:asciiTheme="minorEastAsia" w:hAnsiTheme="minorEastAsia" w:eastAsiaTheme="minorEastAsia"/>
          <w:b/>
          <w:bCs/>
          <w:kern w:val="0"/>
          <w:sz w:val="32"/>
          <w:szCs w:val="32"/>
          <w:lang w:val="en-US" w:eastAsia="zh-CN"/>
        </w:rPr>
        <w:t>10</w:t>
      </w:r>
      <w:r>
        <w:rPr>
          <w:rFonts w:asciiTheme="minorEastAsia" w:hAnsiTheme="minorEastAsia" w:eastAsiaTheme="minorEastAsia"/>
          <w:b/>
          <w:bCs/>
          <w:kern w:val="0"/>
          <w:sz w:val="32"/>
          <w:szCs w:val="32"/>
          <w:lang w:val="zh-CN"/>
        </w:rPr>
        <w:t>月</w:t>
      </w:r>
    </w:p>
    <w:p>
      <w:pPr>
        <w:pStyle w:val="4"/>
        <w:spacing w:before="0" w:after="0" w:line="240" w:lineRule="auto"/>
        <w:rPr>
          <w:rFonts w:asciiTheme="minorEastAsia" w:hAnsiTheme="minorEastAsia" w:eastAsiaTheme="minorEastAsia"/>
          <w:bCs w:val="0"/>
          <w:sz w:val="36"/>
        </w:rPr>
        <w:sectPr>
          <w:headerReference r:id="rId3" w:type="default"/>
          <w:footerReference r:id="rId4" w:type="default"/>
          <w:pgSz w:w="11907" w:h="16840"/>
          <w:pgMar w:top="1440" w:right="1474" w:bottom="1440" w:left="1474" w:header="851" w:footer="992" w:gutter="0"/>
          <w:pgNumType w:start="1"/>
          <w:cols w:space="720" w:num="1"/>
          <w:docGrid w:linePitch="312" w:charSpace="0"/>
        </w:sectPr>
      </w:pPr>
    </w:p>
    <w:p>
      <w:pPr>
        <w:pStyle w:val="4"/>
        <w:spacing w:after="0" w:line="720" w:lineRule="auto"/>
        <w:jc w:val="center"/>
        <w:rPr>
          <w:rFonts w:asciiTheme="minorEastAsia" w:hAnsiTheme="minorEastAsia" w:eastAsiaTheme="minorEastAsia"/>
          <w:bCs w:val="0"/>
        </w:rPr>
      </w:pPr>
      <w:r>
        <w:rPr>
          <w:rFonts w:hint="eastAsia" w:asciiTheme="minorEastAsia" w:hAnsiTheme="minorEastAsia" w:eastAsiaTheme="minorEastAsia"/>
          <w:bCs w:val="0"/>
        </w:rPr>
        <w:t>目    录</w:t>
      </w:r>
    </w:p>
    <w:p>
      <w:pPr>
        <w:pStyle w:val="2"/>
        <w:tabs>
          <w:tab w:val="right" w:leader="dot" w:pos="8949"/>
        </w:tabs>
        <w:spacing w:line="720" w:lineRule="auto"/>
        <w:rPr>
          <w:rFonts w:asciiTheme="minorEastAsia" w:hAnsiTheme="minorEastAsia" w:eastAsiaTheme="minorEastAsia"/>
          <w:szCs w:val="22"/>
        </w:rPr>
      </w:pPr>
      <w:r>
        <w:rPr>
          <w:rFonts w:hint="eastAsia" w:cs="宋体" w:asciiTheme="minorEastAsia" w:hAnsiTheme="minorEastAsia" w:eastAsiaTheme="minorEastAsia"/>
          <w:sz w:val="24"/>
        </w:rPr>
        <w:fldChar w:fldCharType="begin"/>
      </w:r>
      <w:r>
        <w:rPr>
          <w:rFonts w:hint="eastAsia" w:cs="宋体" w:asciiTheme="minorEastAsia" w:hAnsiTheme="minorEastAsia" w:eastAsiaTheme="minorEastAsia"/>
          <w:sz w:val="24"/>
        </w:rPr>
        <w:instrText xml:space="preserve">TOC \o "1-1" \h \u </w:instrText>
      </w:r>
      <w:r>
        <w:rPr>
          <w:rFonts w:hint="eastAsia" w:cs="宋体" w:asciiTheme="minorEastAsia" w:hAnsiTheme="minorEastAsia" w:eastAsiaTheme="minorEastAsia"/>
          <w:sz w:val="24"/>
        </w:rPr>
        <w:fldChar w:fldCharType="separate"/>
      </w:r>
      <w:r>
        <w:fldChar w:fldCharType="begin"/>
      </w:r>
      <w:r>
        <w:instrText xml:space="preserve"> HYPERLINK \l "_Toc489965587" </w:instrText>
      </w:r>
      <w:r>
        <w:fldChar w:fldCharType="separate"/>
      </w:r>
      <w:r>
        <w:rPr>
          <w:rStyle w:val="25"/>
          <w:rFonts w:hint="eastAsia" w:asciiTheme="minorEastAsia" w:hAnsiTheme="minorEastAsia" w:eastAsiaTheme="minorEastAsia"/>
          <w:color w:val="auto"/>
        </w:rPr>
        <w:t>第一章投标邀请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_Toc489965587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8949"/>
        </w:tabs>
        <w:spacing w:line="720" w:lineRule="auto"/>
        <w:rPr>
          <w:rFonts w:asciiTheme="minorEastAsia" w:hAnsiTheme="minorEastAsia" w:eastAsiaTheme="minorEastAsia"/>
          <w:szCs w:val="22"/>
        </w:rPr>
      </w:pPr>
      <w:r>
        <w:fldChar w:fldCharType="begin"/>
      </w:r>
      <w:r>
        <w:instrText xml:space="preserve"> HYPERLINK \l "_Toc489965588" </w:instrText>
      </w:r>
      <w:r>
        <w:fldChar w:fldCharType="separate"/>
      </w:r>
      <w:r>
        <w:rPr>
          <w:rStyle w:val="25"/>
          <w:rFonts w:hint="eastAsia" w:asciiTheme="minorEastAsia" w:hAnsiTheme="minorEastAsia" w:eastAsiaTheme="minorEastAsia"/>
          <w:color w:val="auto"/>
        </w:rPr>
        <w:t>第二章投标人须知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_Toc489965588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8949"/>
        </w:tabs>
        <w:spacing w:line="720" w:lineRule="auto"/>
        <w:rPr>
          <w:rFonts w:asciiTheme="minorEastAsia" w:hAnsiTheme="minorEastAsia" w:eastAsiaTheme="minorEastAsia"/>
          <w:szCs w:val="22"/>
        </w:rPr>
      </w:pPr>
      <w:r>
        <w:fldChar w:fldCharType="begin"/>
      </w:r>
      <w:r>
        <w:instrText xml:space="preserve"> HYPERLINK \l "_Toc489965589" </w:instrText>
      </w:r>
      <w:r>
        <w:fldChar w:fldCharType="separate"/>
      </w:r>
      <w:r>
        <w:rPr>
          <w:rStyle w:val="25"/>
          <w:rFonts w:hint="eastAsia" w:asciiTheme="minorEastAsia" w:hAnsiTheme="minorEastAsia" w:eastAsiaTheme="minorEastAsia"/>
          <w:bCs/>
          <w:color w:val="auto"/>
        </w:rPr>
        <w:t>第三章 投标文件格式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_Toc489965589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8949"/>
        </w:tabs>
        <w:spacing w:line="720" w:lineRule="auto"/>
        <w:rPr>
          <w:rFonts w:asciiTheme="minorEastAsia" w:hAnsiTheme="minorEastAsia" w:eastAsiaTheme="minorEastAsia"/>
          <w:szCs w:val="22"/>
        </w:rPr>
      </w:pPr>
      <w:r>
        <w:fldChar w:fldCharType="begin"/>
      </w:r>
      <w:r>
        <w:instrText xml:space="preserve"> HYPERLINK \l "_Toc489965590" </w:instrText>
      </w:r>
      <w:r>
        <w:fldChar w:fldCharType="separate"/>
      </w:r>
      <w:r>
        <w:rPr>
          <w:rStyle w:val="25"/>
          <w:rFonts w:hint="eastAsia" w:asciiTheme="minorEastAsia" w:hAnsiTheme="minorEastAsia" w:eastAsiaTheme="minorEastAsia"/>
          <w:color w:val="auto"/>
        </w:rPr>
        <w:t>第四章投标人和投标产品的资格、资质性及其他类似效力要求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_Toc489965590 \h </w:instrText>
      </w:r>
      <w:r>
        <w:rPr>
          <w:rFonts w:asciiTheme="minorEastAsia" w:hAnsiTheme="minorEastAsia" w:eastAsiaTheme="minorEastAsia"/>
        </w:rPr>
        <w:fldChar w:fldCharType="separate"/>
      </w:r>
      <w:r>
        <w:rPr>
          <w:rFonts w:asciiTheme="minorEastAsia" w:hAnsiTheme="minorEastAsia" w:eastAsiaTheme="minorEastAsia"/>
        </w:rPr>
        <w:t>42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8949"/>
        </w:tabs>
        <w:spacing w:line="720" w:lineRule="auto"/>
        <w:rPr>
          <w:rFonts w:asciiTheme="minorEastAsia" w:hAnsiTheme="minorEastAsia" w:eastAsiaTheme="minorEastAsia"/>
          <w:szCs w:val="22"/>
        </w:rPr>
      </w:pPr>
      <w:r>
        <w:fldChar w:fldCharType="begin"/>
      </w:r>
      <w:r>
        <w:instrText xml:space="preserve"> HYPERLINK \l "_Toc489965592" </w:instrText>
      </w:r>
      <w:r>
        <w:fldChar w:fldCharType="separate"/>
      </w:r>
      <w:r>
        <w:rPr>
          <w:rStyle w:val="25"/>
          <w:rFonts w:hint="eastAsia" w:asciiTheme="minorEastAsia" w:hAnsiTheme="minorEastAsia" w:eastAsiaTheme="minorEastAsia"/>
          <w:color w:val="auto"/>
        </w:rPr>
        <w:t>第五章投标人应当提供的</w:t>
      </w:r>
      <w:r>
        <w:rPr>
          <w:rStyle w:val="25"/>
          <w:rFonts w:hint="eastAsia" w:asciiTheme="minorEastAsia" w:hAnsiTheme="minorEastAsia" w:eastAsiaTheme="minorEastAsia"/>
          <w:bCs/>
          <w:color w:val="auto"/>
        </w:rPr>
        <w:t>资格、资质性及其他类似效力要求的</w:t>
      </w:r>
      <w:r>
        <w:rPr>
          <w:rStyle w:val="25"/>
          <w:rFonts w:hint="eastAsia" w:asciiTheme="minorEastAsia" w:hAnsiTheme="minorEastAsia" w:eastAsiaTheme="minorEastAsia"/>
          <w:color w:val="auto"/>
        </w:rPr>
        <w:t>相关证明材料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_Toc489965592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8949"/>
        </w:tabs>
        <w:spacing w:line="720" w:lineRule="auto"/>
        <w:rPr>
          <w:rFonts w:asciiTheme="minorEastAsia" w:hAnsiTheme="minorEastAsia" w:eastAsiaTheme="minorEastAsia"/>
          <w:szCs w:val="22"/>
        </w:rPr>
      </w:pPr>
      <w:r>
        <w:fldChar w:fldCharType="begin"/>
      </w:r>
      <w:r>
        <w:instrText xml:space="preserve"> HYPERLINK \l "_Toc489965593" </w:instrText>
      </w:r>
      <w:r>
        <w:fldChar w:fldCharType="separate"/>
      </w:r>
      <w:r>
        <w:rPr>
          <w:rStyle w:val="25"/>
          <w:rFonts w:hint="eastAsia" w:asciiTheme="minorEastAsia" w:hAnsiTheme="minorEastAsia" w:eastAsiaTheme="minorEastAsia"/>
          <w:color w:val="auto"/>
        </w:rPr>
        <w:t>第六章采购项目技术和商务要求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_Toc489965593 \h </w:instrText>
      </w:r>
      <w:r>
        <w:rPr>
          <w:rFonts w:asciiTheme="minorEastAsia" w:hAnsiTheme="minorEastAsia" w:eastAsiaTheme="minorEastAsia"/>
        </w:rPr>
        <w:fldChar w:fldCharType="separate"/>
      </w:r>
      <w:r>
        <w:rPr>
          <w:rFonts w:asciiTheme="minorEastAsia" w:hAnsiTheme="minorEastAsia" w:eastAsiaTheme="minorEastAsia"/>
        </w:rPr>
        <w:t>48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8949"/>
        </w:tabs>
        <w:spacing w:line="720" w:lineRule="auto"/>
        <w:rPr>
          <w:rFonts w:asciiTheme="minorEastAsia" w:hAnsiTheme="minorEastAsia" w:eastAsiaTheme="minorEastAsia"/>
          <w:szCs w:val="22"/>
        </w:rPr>
      </w:pPr>
      <w:r>
        <w:fldChar w:fldCharType="begin"/>
      </w:r>
      <w:r>
        <w:instrText xml:space="preserve"> HYPERLINK \l "_Toc489965594" </w:instrText>
      </w:r>
      <w:r>
        <w:fldChar w:fldCharType="separate"/>
      </w:r>
      <w:r>
        <w:rPr>
          <w:rStyle w:val="25"/>
          <w:rFonts w:hint="eastAsia" w:asciiTheme="minorEastAsia" w:hAnsiTheme="minorEastAsia" w:eastAsiaTheme="minorEastAsia"/>
          <w:color w:val="auto"/>
        </w:rPr>
        <w:t>第七章评标办法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_Toc489965594 \h </w:instrText>
      </w:r>
      <w:r>
        <w:rPr>
          <w:rFonts w:asciiTheme="minorEastAsia" w:hAnsiTheme="minorEastAsia" w:eastAsiaTheme="minorEastAsia"/>
        </w:rPr>
        <w:fldChar w:fldCharType="separate"/>
      </w:r>
      <w:r>
        <w:rPr>
          <w:rFonts w:asciiTheme="minorEastAsia" w:hAnsiTheme="minorEastAsia" w:eastAsiaTheme="minorEastAsia"/>
        </w:rPr>
        <w:t>48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8949"/>
        </w:tabs>
        <w:spacing w:line="720" w:lineRule="auto"/>
        <w:rPr>
          <w:rFonts w:asciiTheme="minorEastAsia" w:hAnsiTheme="minorEastAsia" w:eastAsiaTheme="minorEastAsia"/>
          <w:szCs w:val="22"/>
        </w:rPr>
      </w:pPr>
      <w:r>
        <w:fldChar w:fldCharType="begin"/>
      </w:r>
      <w:r>
        <w:instrText xml:space="preserve"> HYPERLINK \l "_Toc489965596" </w:instrText>
      </w:r>
      <w:r>
        <w:fldChar w:fldCharType="separate"/>
      </w:r>
      <w:r>
        <w:rPr>
          <w:rStyle w:val="25"/>
          <w:rFonts w:hint="eastAsia" w:asciiTheme="minorEastAsia" w:hAnsiTheme="minorEastAsia" w:eastAsiaTheme="minorEastAsia"/>
          <w:color w:val="auto"/>
        </w:rPr>
        <w:t>第八章政府采购合同（样例）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_Toc489965596 \h </w:instrText>
      </w:r>
      <w:r>
        <w:rPr>
          <w:rFonts w:asciiTheme="minorEastAsia" w:hAnsiTheme="minorEastAsia" w:eastAsiaTheme="minorEastAsia"/>
        </w:rPr>
        <w:fldChar w:fldCharType="separate"/>
      </w:r>
      <w:r>
        <w:rPr>
          <w:rFonts w:asciiTheme="minorEastAsia" w:hAnsiTheme="minorEastAsia" w:eastAsiaTheme="minorEastAsia"/>
        </w:rPr>
        <w:t>68</w:t>
      </w:r>
      <w:r>
        <w:rPr>
          <w:rFonts w:asciiTheme="minorEastAsia" w:hAnsiTheme="minorEastAsia" w:eastAsiaTheme="minorEastAsia"/>
        </w:rPr>
        <w:fldChar w:fldCharType="end"/>
      </w:r>
      <w:r>
        <w:rPr>
          <w:rFonts w:asciiTheme="minorEastAsia" w:hAnsiTheme="minorEastAsia" w:eastAsiaTheme="minorEastAsia"/>
        </w:rPr>
        <w:fldChar w:fldCharType="end"/>
      </w:r>
    </w:p>
    <w:p>
      <w:pPr>
        <w:spacing w:line="720" w:lineRule="auto"/>
        <w:rPr>
          <w:rFonts w:cs="宋体" w:asciiTheme="minorEastAsia" w:hAnsiTheme="minorEastAsia" w:eastAsiaTheme="minorEastAsia"/>
          <w:sz w:val="24"/>
        </w:rPr>
      </w:pPr>
      <w:r>
        <w:rPr>
          <w:rFonts w:hint="eastAsia" w:cs="宋体" w:asciiTheme="minorEastAsia" w:hAnsiTheme="minorEastAsia" w:eastAsiaTheme="minorEastAsia"/>
          <w:sz w:val="24"/>
        </w:rPr>
        <w:fldChar w:fldCharType="end"/>
      </w: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ind w:firstLine="486" w:firstLineChars="200"/>
        <w:rPr>
          <w:rFonts w:asciiTheme="minorEastAsia" w:hAnsiTheme="minorEastAsia" w:eastAsiaTheme="minorEastAsia"/>
          <w:bCs/>
          <w:sz w:val="24"/>
        </w:rPr>
      </w:pPr>
    </w:p>
    <w:p>
      <w:pPr>
        <w:pStyle w:val="3"/>
        <w:spacing w:line="360" w:lineRule="auto"/>
        <w:jc w:val="center"/>
        <w:rPr>
          <w:rFonts w:asciiTheme="minorEastAsia" w:hAnsiTheme="minorEastAsia" w:eastAsiaTheme="minorEastAsia"/>
        </w:rPr>
      </w:pPr>
      <w:bookmarkStart w:id="0" w:name="_Toc489965587"/>
      <w:r>
        <w:rPr>
          <w:rFonts w:asciiTheme="minorEastAsia" w:hAnsiTheme="minorEastAsia" w:eastAsiaTheme="minorEastAsia"/>
          <w:bCs w:val="0"/>
          <w:sz w:val="36"/>
        </w:rPr>
        <w:br w:type="page"/>
      </w:r>
      <w:r>
        <w:rPr>
          <w:rFonts w:hint="eastAsia" w:asciiTheme="minorEastAsia" w:hAnsiTheme="minorEastAsia" w:eastAsiaTheme="minorEastAsia"/>
          <w:bCs w:val="0"/>
          <w:sz w:val="32"/>
        </w:rPr>
        <w:t>第一章  投标邀请</w:t>
      </w:r>
      <w:bookmarkEnd w:id="0"/>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b/>
          <w:sz w:val="24"/>
          <w:u w:val="single"/>
        </w:rPr>
        <w:t>四川中久招标代理有限公司</w:t>
      </w:r>
      <w:r>
        <w:rPr>
          <w:rFonts w:hint="eastAsia" w:asciiTheme="minorEastAsia" w:hAnsiTheme="minorEastAsia" w:eastAsiaTheme="minorEastAsia"/>
          <w:sz w:val="24"/>
        </w:rPr>
        <w:t>（采购代理机构）受</w:t>
      </w:r>
      <w:r>
        <w:rPr>
          <w:rFonts w:hint="eastAsia" w:asciiTheme="minorEastAsia" w:hAnsiTheme="minorEastAsia" w:eastAsiaTheme="minorEastAsia"/>
          <w:b/>
          <w:bCs/>
          <w:sz w:val="24"/>
          <w:u w:val="single"/>
        </w:rPr>
        <w:t>都江堰市融媒体中心</w:t>
      </w:r>
      <w:r>
        <w:rPr>
          <w:rFonts w:hint="eastAsia" w:asciiTheme="minorEastAsia" w:hAnsiTheme="minorEastAsia" w:eastAsiaTheme="minorEastAsia"/>
          <w:bCs/>
          <w:sz w:val="24"/>
        </w:rPr>
        <w:t>（采购人）</w:t>
      </w:r>
      <w:r>
        <w:rPr>
          <w:rFonts w:hint="eastAsia" w:asciiTheme="minorEastAsia" w:hAnsiTheme="minorEastAsia" w:eastAsiaTheme="minorEastAsia"/>
          <w:sz w:val="24"/>
        </w:rPr>
        <w:t>委托，拟对</w:t>
      </w:r>
      <w:r>
        <w:rPr>
          <w:rFonts w:hint="eastAsia" w:asciiTheme="minorEastAsia" w:hAnsiTheme="minorEastAsia" w:eastAsiaTheme="minorEastAsia"/>
          <w:b/>
          <w:bCs/>
          <w:sz w:val="24"/>
          <w:u w:val="single"/>
        </w:rPr>
        <w:t>都江堰市融媒体中心舞台设备采购项目（</w:t>
      </w:r>
      <w:r>
        <w:rPr>
          <w:rFonts w:hint="eastAsia" w:asciiTheme="minorEastAsia" w:hAnsiTheme="minorEastAsia" w:eastAsiaTheme="minorEastAsia"/>
          <w:b/>
          <w:bCs/>
          <w:sz w:val="24"/>
          <w:u w:val="single"/>
          <w:lang w:eastAsia="zh-CN"/>
        </w:rPr>
        <w:t>第五次</w:t>
      </w:r>
      <w:r>
        <w:rPr>
          <w:rFonts w:hint="eastAsia" w:asciiTheme="minorEastAsia" w:hAnsiTheme="minorEastAsia" w:eastAsiaTheme="minorEastAsia"/>
          <w:b/>
          <w:bCs/>
          <w:sz w:val="24"/>
          <w:u w:val="single"/>
        </w:rPr>
        <w:t>）</w:t>
      </w:r>
      <w:r>
        <w:rPr>
          <w:rFonts w:hint="eastAsia" w:asciiTheme="minorEastAsia" w:hAnsiTheme="minorEastAsia" w:eastAsiaTheme="minorEastAsia"/>
          <w:sz w:val="24"/>
        </w:rPr>
        <w:t>进行国内</w:t>
      </w:r>
      <w:r>
        <w:rPr>
          <w:rFonts w:hint="eastAsia" w:asciiTheme="minorEastAsia" w:hAnsiTheme="minorEastAsia" w:eastAsiaTheme="minorEastAsia"/>
          <w:b/>
          <w:sz w:val="24"/>
          <w:u w:val="single"/>
        </w:rPr>
        <w:t>公开招标</w:t>
      </w:r>
      <w:r>
        <w:rPr>
          <w:rFonts w:hint="eastAsia" w:asciiTheme="minorEastAsia" w:hAnsiTheme="minorEastAsia" w:eastAsiaTheme="minorEastAsia"/>
          <w:sz w:val="24"/>
        </w:rPr>
        <w:t>，兹邀请符合本次招标要求的供应商参加投标。</w:t>
      </w:r>
    </w:p>
    <w:p>
      <w:pPr>
        <w:spacing w:line="360" w:lineRule="auto"/>
        <w:ind w:firstLine="486" w:firstLineChars="200"/>
        <w:rPr>
          <w:rFonts w:asciiTheme="minorEastAsia" w:hAnsiTheme="minorEastAsia" w:eastAsiaTheme="minorEastAsia"/>
          <w:b/>
          <w:sz w:val="24"/>
        </w:rPr>
      </w:pPr>
      <w:r>
        <w:rPr>
          <w:rFonts w:hint="eastAsia" w:asciiTheme="minorEastAsia" w:hAnsiTheme="minorEastAsia" w:eastAsiaTheme="minorEastAsia"/>
          <w:b/>
          <w:sz w:val="24"/>
        </w:rPr>
        <w:t>一、招标编号：510181202100036</w:t>
      </w:r>
    </w:p>
    <w:p>
      <w:pPr>
        <w:spacing w:line="360" w:lineRule="auto"/>
        <w:ind w:right="31" w:rightChars="15" w:firstLine="486" w:firstLineChars="200"/>
        <w:rPr>
          <w:rFonts w:asciiTheme="minorEastAsia" w:hAnsiTheme="minorEastAsia" w:eastAsiaTheme="minorEastAsia"/>
          <w:sz w:val="24"/>
        </w:rPr>
      </w:pPr>
      <w:r>
        <w:rPr>
          <w:rFonts w:hint="eastAsia" w:asciiTheme="minorEastAsia" w:hAnsiTheme="minorEastAsia" w:eastAsiaTheme="minorEastAsia"/>
          <w:b/>
          <w:bCs/>
          <w:sz w:val="24"/>
        </w:rPr>
        <w:t>二、</w:t>
      </w:r>
      <w:r>
        <w:rPr>
          <w:rFonts w:hint="eastAsia" w:asciiTheme="minorEastAsia" w:hAnsiTheme="minorEastAsia" w:eastAsiaTheme="minorEastAsia"/>
          <w:b/>
          <w:sz w:val="24"/>
        </w:rPr>
        <w:t>招标项目：</w:t>
      </w:r>
      <w:r>
        <w:rPr>
          <w:rFonts w:hint="eastAsia" w:asciiTheme="minorEastAsia" w:hAnsiTheme="minorEastAsia" w:eastAsiaTheme="minorEastAsia"/>
          <w:sz w:val="24"/>
        </w:rPr>
        <w:t>都江堰市融媒体中心舞台设备采购项目（</w:t>
      </w:r>
      <w:r>
        <w:rPr>
          <w:rFonts w:hint="eastAsia" w:asciiTheme="minorEastAsia" w:hAnsiTheme="minorEastAsia" w:eastAsiaTheme="minorEastAsia"/>
          <w:sz w:val="24"/>
          <w:lang w:eastAsia="zh-CN"/>
        </w:rPr>
        <w:t>第五次</w:t>
      </w:r>
      <w:r>
        <w:rPr>
          <w:rFonts w:hint="eastAsia" w:asciiTheme="minorEastAsia" w:hAnsiTheme="minorEastAsia" w:eastAsiaTheme="minorEastAsia"/>
          <w:sz w:val="24"/>
        </w:rPr>
        <w:t>）</w:t>
      </w:r>
    </w:p>
    <w:p>
      <w:pPr>
        <w:spacing w:line="360" w:lineRule="auto"/>
        <w:ind w:right="31" w:rightChars="15" w:firstLine="486" w:firstLineChars="200"/>
        <w:rPr>
          <w:rFonts w:asciiTheme="minorEastAsia" w:hAnsiTheme="minorEastAsia" w:eastAsiaTheme="minorEastAsia"/>
          <w:b/>
          <w:sz w:val="24"/>
        </w:rPr>
      </w:pPr>
      <w:r>
        <w:rPr>
          <w:rFonts w:hint="eastAsia" w:asciiTheme="minorEastAsia" w:hAnsiTheme="minorEastAsia" w:eastAsiaTheme="minorEastAsia"/>
          <w:b/>
          <w:sz w:val="24"/>
        </w:rPr>
        <w:t>三、资金来源：</w:t>
      </w:r>
      <w:r>
        <w:rPr>
          <w:rFonts w:hint="eastAsia" w:asciiTheme="minorEastAsia" w:hAnsiTheme="minorEastAsia" w:eastAsiaTheme="minorEastAsia"/>
          <w:bCs/>
          <w:sz w:val="24"/>
        </w:rPr>
        <w:t>资金来源：财政资金，已落实。采购预算：43万元。</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w:t>
      </w:r>
      <w:r>
        <w:rPr>
          <w:rFonts w:hint="eastAsia" w:asciiTheme="minorEastAsia" w:hAnsiTheme="minorEastAsia" w:eastAsiaTheme="minorEastAsia"/>
          <w:b/>
          <w:sz w:val="24"/>
        </w:rPr>
        <w:t>招标项目简介：</w:t>
      </w:r>
    </w:p>
    <w:p>
      <w:pPr>
        <w:pStyle w:val="45"/>
        <w:ind w:firstLine="923" w:firstLineChars="380"/>
        <w:rPr>
          <w:rFonts w:asciiTheme="minorEastAsia" w:hAnsiTheme="minorEastAsia" w:eastAsiaTheme="minorEastAsia"/>
          <w:sz w:val="24"/>
        </w:rPr>
      </w:pPr>
      <w:r>
        <w:rPr>
          <w:rFonts w:hint="eastAsia" w:asciiTheme="minorEastAsia" w:hAnsiTheme="minorEastAsia" w:eastAsiaTheme="minorEastAsia"/>
          <w:bCs/>
          <w:sz w:val="24"/>
        </w:rPr>
        <w:t>都江堰市融媒体中心舞台设备采购项目（</w:t>
      </w:r>
      <w:r>
        <w:rPr>
          <w:rFonts w:hint="eastAsia" w:asciiTheme="minorEastAsia" w:hAnsiTheme="minorEastAsia" w:eastAsiaTheme="minorEastAsia"/>
          <w:bCs/>
          <w:sz w:val="24"/>
          <w:lang w:eastAsia="zh-CN"/>
        </w:rPr>
        <w:t>第五次</w:t>
      </w:r>
      <w:r>
        <w:rPr>
          <w:rFonts w:hint="eastAsia" w:asciiTheme="minorEastAsia" w:hAnsiTheme="minorEastAsia" w:eastAsiaTheme="minorEastAsia"/>
          <w:bCs/>
          <w:sz w:val="24"/>
        </w:rPr>
        <w:t>），本项目共1个包</w:t>
      </w:r>
      <w:r>
        <w:rPr>
          <w:rFonts w:hint="eastAsia" w:asciiTheme="minorEastAsia" w:hAnsiTheme="minorEastAsia" w:eastAsiaTheme="minorEastAsia"/>
          <w:sz w:val="24"/>
        </w:rPr>
        <w:t>（详见招标文件第六章）。</w:t>
      </w:r>
    </w:p>
    <w:p>
      <w:pPr>
        <w:spacing w:afterLines="50" w:line="360" w:lineRule="auto"/>
        <w:ind w:firstLine="486" w:firstLineChars="200"/>
        <w:rPr>
          <w:rFonts w:asciiTheme="minorEastAsia" w:hAnsiTheme="minorEastAsia" w:eastAsiaTheme="minorEastAsia"/>
          <w:b/>
          <w:bCs/>
          <w:sz w:val="24"/>
        </w:rPr>
      </w:pPr>
      <w:r>
        <w:rPr>
          <w:rFonts w:hint="eastAsia" w:asciiTheme="minorEastAsia" w:hAnsiTheme="minorEastAsia" w:eastAsiaTheme="minorEastAsia"/>
          <w:b/>
          <w:bCs/>
          <w:sz w:val="24"/>
        </w:rPr>
        <w:t>五、供应商参加本次政府采购活动，应当在提交投标文件前具备下列条件：</w:t>
      </w:r>
    </w:p>
    <w:p>
      <w:pPr>
        <w:pStyle w:val="45"/>
        <w:ind w:firstLine="682" w:firstLineChars="281"/>
        <w:rPr>
          <w:rFonts w:asciiTheme="minorEastAsia" w:hAnsiTheme="minorEastAsia" w:eastAsiaTheme="minorEastAsia"/>
          <w:sz w:val="24"/>
        </w:rPr>
      </w:pPr>
      <w:r>
        <w:rPr>
          <w:rFonts w:hint="eastAsia" w:asciiTheme="minorEastAsia" w:hAnsiTheme="minorEastAsia" w:eastAsiaTheme="minorEastAsia"/>
          <w:sz w:val="24"/>
        </w:rPr>
        <w:t>1.具有独立承担民事责任的能力；</w:t>
      </w:r>
    </w:p>
    <w:p>
      <w:pPr>
        <w:pStyle w:val="45"/>
        <w:ind w:firstLine="682" w:firstLineChars="281"/>
        <w:rPr>
          <w:rFonts w:asciiTheme="minorEastAsia" w:hAnsiTheme="minorEastAsia" w:eastAsiaTheme="minorEastAsia"/>
          <w:sz w:val="24"/>
        </w:rPr>
      </w:pPr>
      <w:r>
        <w:rPr>
          <w:rFonts w:hint="eastAsia" w:asciiTheme="minorEastAsia" w:hAnsiTheme="minorEastAsia" w:eastAsiaTheme="minorEastAsia"/>
          <w:sz w:val="24"/>
        </w:rPr>
        <w:t>2.具有良好的商业信誉和健全的财务会计制度；</w:t>
      </w:r>
    </w:p>
    <w:p>
      <w:pPr>
        <w:pStyle w:val="45"/>
        <w:ind w:firstLine="682" w:firstLineChars="281"/>
        <w:rPr>
          <w:rFonts w:asciiTheme="minorEastAsia" w:hAnsiTheme="minorEastAsia" w:eastAsiaTheme="minorEastAsia"/>
          <w:sz w:val="24"/>
        </w:rPr>
      </w:pPr>
      <w:r>
        <w:rPr>
          <w:rFonts w:hint="eastAsia" w:asciiTheme="minorEastAsia" w:hAnsiTheme="minorEastAsia" w:eastAsiaTheme="minorEastAsia"/>
          <w:sz w:val="24"/>
        </w:rPr>
        <w:t>3.具有履行合同所必须的设备和专业技术能力；</w:t>
      </w:r>
    </w:p>
    <w:p>
      <w:pPr>
        <w:pStyle w:val="45"/>
        <w:ind w:firstLine="682" w:firstLineChars="281"/>
        <w:rPr>
          <w:rFonts w:asciiTheme="minorEastAsia" w:hAnsiTheme="minorEastAsia" w:eastAsiaTheme="minorEastAsia"/>
          <w:sz w:val="24"/>
        </w:rPr>
      </w:pPr>
      <w:r>
        <w:rPr>
          <w:rFonts w:hint="eastAsia" w:asciiTheme="minorEastAsia" w:hAnsiTheme="minorEastAsia" w:eastAsiaTheme="minorEastAsia"/>
          <w:sz w:val="24"/>
        </w:rPr>
        <w:t>4.具有依法缴纳税收和社会保障资金的良好记录；</w:t>
      </w:r>
    </w:p>
    <w:p>
      <w:pPr>
        <w:pStyle w:val="45"/>
        <w:ind w:firstLine="682" w:firstLineChars="281"/>
        <w:rPr>
          <w:rFonts w:asciiTheme="minorEastAsia" w:hAnsiTheme="minorEastAsia" w:eastAsiaTheme="minorEastAsia"/>
          <w:sz w:val="24"/>
        </w:rPr>
      </w:pPr>
      <w:r>
        <w:rPr>
          <w:rFonts w:hint="eastAsia" w:asciiTheme="minorEastAsia" w:hAnsiTheme="minorEastAsia" w:eastAsiaTheme="minorEastAsia"/>
          <w:sz w:val="24"/>
        </w:rPr>
        <w:t>5.参加本次政府采购活动前三年内，在经营活动中没有重大违法记录；</w:t>
      </w:r>
    </w:p>
    <w:p>
      <w:pPr>
        <w:pStyle w:val="45"/>
        <w:ind w:firstLine="682" w:firstLineChars="281"/>
        <w:rPr>
          <w:rFonts w:asciiTheme="minorEastAsia" w:hAnsiTheme="minorEastAsia" w:eastAsiaTheme="minorEastAsia"/>
          <w:sz w:val="24"/>
        </w:rPr>
      </w:pPr>
      <w:r>
        <w:rPr>
          <w:rFonts w:hint="eastAsia" w:asciiTheme="minorEastAsia" w:hAnsiTheme="minorEastAsia" w:eastAsiaTheme="minorEastAsia"/>
          <w:sz w:val="24"/>
        </w:rPr>
        <w:t>6.法律、行政法规规定的其他条件；</w:t>
      </w:r>
    </w:p>
    <w:p>
      <w:pPr>
        <w:pStyle w:val="45"/>
        <w:ind w:firstLine="682" w:firstLineChars="281"/>
        <w:rPr>
          <w:rFonts w:asciiTheme="minorEastAsia" w:hAnsiTheme="minorEastAsia" w:eastAsiaTheme="minorEastAsia"/>
          <w:sz w:val="24"/>
        </w:rPr>
      </w:pPr>
      <w:r>
        <w:rPr>
          <w:rFonts w:hint="eastAsia" w:asciiTheme="minorEastAsia" w:hAnsiTheme="minorEastAsia" w:eastAsiaTheme="minorEastAsia"/>
          <w:sz w:val="24"/>
        </w:rPr>
        <w:t>7.采购人根据采购项目提出的特殊条件：</w:t>
      </w:r>
    </w:p>
    <w:p>
      <w:pPr>
        <w:pStyle w:val="45"/>
        <w:ind w:firstLine="682" w:firstLineChars="281"/>
        <w:rPr>
          <w:rFonts w:asciiTheme="minorEastAsia" w:hAnsiTheme="minorEastAsia" w:eastAsiaTheme="minorEastAsia"/>
          <w:sz w:val="24"/>
        </w:rPr>
      </w:pPr>
      <w:r>
        <w:rPr>
          <w:rFonts w:hint="eastAsia" w:asciiTheme="minorEastAsia" w:hAnsiTheme="minorEastAsia" w:eastAsiaTheme="minorEastAsia"/>
          <w:sz w:val="24"/>
        </w:rPr>
        <w:t>（1）本项目不接受联合体投标。</w:t>
      </w:r>
    </w:p>
    <w:p>
      <w:pPr>
        <w:pStyle w:val="45"/>
        <w:ind w:firstLine="441" w:firstLineChars="182"/>
        <w:rPr>
          <w:rFonts w:asciiTheme="minorEastAsia" w:hAnsiTheme="minorEastAsia" w:eastAsiaTheme="minorEastAsia"/>
          <w:sz w:val="24"/>
        </w:rPr>
      </w:pPr>
      <w:r>
        <w:rPr>
          <w:rFonts w:hint="eastAsia" w:asciiTheme="minorEastAsia" w:hAnsiTheme="minorEastAsia" w:eastAsiaTheme="minorEastAsia"/>
          <w:sz w:val="24"/>
        </w:rPr>
        <w:t>（详见招标文件第五章）。</w:t>
      </w:r>
    </w:p>
    <w:p>
      <w:pPr>
        <w:spacing w:after="120" w:line="440" w:lineRule="exact"/>
        <w:ind w:firstLine="486" w:firstLineChars="200"/>
        <w:rPr>
          <w:rFonts w:asciiTheme="minorEastAsia" w:hAnsiTheme="minorEastAsia" w:eastAsiaTheme="minorEastAsia"/>
          <w:b/>
          <w:sz w:val="24"/>
        </w:rPr>
      </w:pPr>
      <w:r>
        <w:rPr>
          <w:rFonts w:hint="eastAsia" w:asciiTheme="minorEastAsia" w:hAnsiTheme="minorEastAsia" w:eastAsiaTheme="minorEastAsia"/>
          <w:b/>
          <w:sz w:val="24"/>
        </w:rPr>
        <w:t>六、严禁参加本次采购活动的供应商</w:t>
      </w:r>
    </w:p>
    <w:p>
      <w:pPr>
        <w:spacing w:line="44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after="50" w:line="360" w:lineRule="auto"/>
        <w:rPr>
          <w:rFonts w:asciiTheme="minorEastAsia" w:hAnsiTheme="minorEastAsia" w:eastAsiaTheme="minorEastAsia"/>
          <w:sz w:val="24"/>
        </w:rPr>
      </w:pPr>
    </w:p>
    <w:p>
      <w:pPr>
        <w:spacing w:after="50" w:line="360" w:lineRule="auto"/>
        <w:ind w:firstLine="486" w:firstLineChars="200"/>
        <w:rPr>
          <w:rFonts w:asciiTheme="minorEastAsia" w:hAnsiTheme="minorEastAsia" w:eastAsiaTheme="minorEastAsia"/>
          <w:b/>
          <w:sz w:val="24"/>
        </w:rPr>
      </w:pPr>
      <w:r>
        <w:rPr>
          <w:rFonts w:hint="eastAsia" w:asciiTheme="minorEastAsia" w:hAnsiTheme="minorEastAsia" w:eastAsiaTheme="minorEastAsia"/>
          <w:b/>
          <w:sz w:val="24"/>
        </w:rPr>
        <w:t>七、招标文件获取时间、地点：</w:t>
      </w:r>
    </w:p>
    <w:p>
      <w:pPr>
        <w:spacing w:after="50" w:line="360" w:lineRule="auto"/>
        <w:ind w:firstLine="486" w:firstLineChars="200"/>
        <w:rPr>
          <w:rFonts w:asciiTheme="minorEastAsia" w:hAnsiTheme="minorEastAsia" w:eastAsiaTheme="minorEastAsia"/>
          <w:b/>
          <w:sz w:val="24"/>
        </w:rPr>
      </w:pPr>
      <w:r>
        <w:rPr>
          <w:rFonts w:hint="eastAsia" w:asciiTheme="minorEastAsia" w:hAnsiTheme="minorEastAsia" w:eastAsiaTheme="minorEastAsia"/>
          <w:b/>
          <w:sz w:val="24"/>
        </w:rPr>
        <w:t>招标文件发售起止时间：</w:t>
      </w:r>
      <w:r>
        <w:rPr>
          <w:rFonts w:hint="eastAsia" w:asciiTheme="minorEastAsia" w:hAnsiTheme="minorEastAsia" w:eastAsiaTheme="minorEastAsia"/>
          <w:sz w:val="24"/>
        </w:rPr>
        <w:t>招标文件自</w:t>
      </w:r>
      <w:r>
        <w:rPr>
          <w:rFonts w:hint="eastAsia" w:asciiTheme="minorEastAsia" w:hAnsiTheme="minorEastAsia" w:eastAsiaTheme="minorEastAsia"/>
          <w:b/>
          <w:sz w:val="24"/>
        </w:rPr>
        <w:t>2021年</w:t>
      </w:r>
      <w:r>
        <w:rPr>
          <w:rFonts w:hint="eastAsia" w:asciiTheme="minorEastAsia" w:hAnsiTheme="minorEastAsia" w:eastAsiaTheme="minorEastAsia"/>
          <w:b/>
          <w:sz w:val="24"/>
          <w:lang w:val="en-US" w:eastAsia="zh-CN"/>
        </w:rPr>
        <w:t>10</w:t>
      </w:r>
      <w:r>
        <w:rPr>
          <w:rFonts w:hint="eastAsia" w:asciiTheme="minorEastAsia" w:hAnsiTheme="minorEastAsia" w:eastAsiaTheme="minorEastAsia"/>
          <w:b/>
          <w:sz w:val="24"/>
        </w:rPr>
        <w:t>月</w:t>
      </w:r>
      <w:r>
        <w:rPr>
          <w:rFonts w:hint="eastAsia" w:asciiTheme="minorEastAsia" w:hAnsiTheme="minorEastAsia" w:eastAsiaTheme="minorEastAsia"/>
          <w:b/>
          <w:sz w:val="24"/>
          <w:lang w:val="en-US" w:eastAsia="zh-CN"/>
        </w:rPr>
        <w:t>22</w:t>
      </w:r>
      <w:r>
        <w:rPr>
          <w:rFonts w:hint="eastAsia" w:asciiTheme="minorEastAsia" w:hAnsiTheme="minorEastAsia" w:eastAsiaTheme="minorEastAsia"/>
          <w:b/>
          <w:sz w:val="24"/>
        </w:rPr>
        <w:t>日至2021年</w:t>
      </w:r>
      <w:r>
        <w:rPr>
          <w:rFonts w:hint="eastAsia" w:asciiTheme="minorEastAsia" w:hAnsiTheme="minorEastAsia" w:eastAsiaTheme="minorEastAsia"/>
          <w:b/>
          <w:sz w:val="24"/>
          <w:lang w:val="en-US" w:eastAsia="zh-CN"/>
        </w:rPr>
        <w:t>10</w:t>
      </w:r>
      <w:r>
        <w:rPr>
          <w:rFonts w:hint="eastAsia" w:asciiTheme="minorEastAsia" w:hAnsiTheme="minorEastAsia" w:eastAsiaTheme="minorEastAsia"/>
          <w:b/>
          <w:sz w:val="24"/>
        </w:rPr>
        <w:t>月</w:t>
      </w:r>
      <w:r>
        <w:rPr>
          <w:rFonts w:hint="eastAsia" w:asciiTheme="minorEastAsia" w:hAnsiTheme="minorEastAsia" w:eastAsiaTheme="minorEastAsia"/>
          <w:b/>
          <w:sz w:val="24"/>
          <w:lang w:val="en-US" w:eastAsia="zh-CN"/>
        </w:rPr>
        <w:t>28</w:t>
      </w:r>
      <w:r>
        <w:rPr>
          <w:rFonts w:hint="eastAsia" w:asciiTheme="minorEastAsia" w:hAnsiTheme="minorEastAsia" w:eastAsiaTheme="minorEastAsia"/>
          <w:b/>
          <w:sz w:val="24"/>
        </w:rPr>
        <w:t>日，</w:t>
      </w:r>
      <w:r>
        <w:rPr>
          <w:rFonts w:hint="eastAsia" w:asciiTheme="minorEastAsia" w:hAnsiTheme="minorEastAsia" w:eastAsiaTheme="minorEastAsia"/>
          <w:sz w:val="24"/>
        </w:rPr>
        <w:t>每天上午9:00至17:00（北京时间，法定节假日除外）在</w:t>
      </w:r>
      <w:r>
        <w:rPr>
          <w:rFonts w:hint="eastAsia" w:asciiTheme="minorEastAsia" w:hAnsiTheme="minorEastAsia" w:eastAsiaTheme="minorEastAsia"/>
          <w:b/>
          <w:sz w:val="24"/>
        </w:rPr>
        <w:t>政府采购云平台</w:t>
      </w:r>
      <w:r>
        <w:rPr>
          <w:rFonts w:hint="eastAsia" w:asciiTheme="minorEastAsia" w:hAnsiTheme="minorEastAsia" w:eastAsiaTheme="minorEastAsia"/>
          <w:sz w:val="24"/>
        </w:rPr>
        <w:t>获取。招标文件售价：免费获取（招标文件售后不退，投标资格不能转让）。</w:t>
      </w:r>
    </w:p>
    <w:p>
      <w:pPr>
        <w:spacing w:after="50" w:line="360" w:lineRule="auto"/>
        <w:ind w:firstLine="486" w:firstLineChars="200"/>
        <w:rPr>
          <w:rFonts w:asciiTheme="minorEastAsia" w:hAnsiTheme="minorEastAsia" w:eastAsiaTheme="minorEastAsia"/>
          <w:b/>
          <w:sz w:val="24"/>
        </w:rPr>
      </w:pPr>
      <w:r>
        <w:rPr>
          <w:rFonts w:hint="eastAsia" w:asciiTheme="minorEastAsia" w:hAnsiTheme="minorEastAsia" w:eastAsiaTheme="minorEastAsia"/>
          <w:b/>
          <w:sz w:val="24"/>
        </w:rPr>
        <w:t>获取招标文件方式：</w:t>
      </w:r>
      <w:r>
        <w:rPr>
          <w:rFonts w:hint="eastAsia" w:asciiTheme="minorEastAsia" w:hAnsiTheme="minorEastAsia" w:eastAsiaTheme="minorEastAsia"/>
          <w:sz w:val="24"/>
        </w:rPr>
        <w:t>投标人从“政府采购云平台”获取采购文件（网址：</w:t>
      </w:r>
      <w:r>
        <w:fldChar w:fldCharType="begin"/>
      </w:r>
      <w:r>
        <w:instrText xml:space="preserve"> HYPERLINK "https://www.zcygov.cn）项目采购—获取采购文件—申请获取采购文件。_x0005_" </w:instrText>
      </w:r>
      <w:r>
        <w:fldChar w:fldCharType="separate"/>
      </w:r>
      <w:r>
        <w:rPr>
          <w:rFonts w:hint="eastAsia" w:asciiTheme="minorEastAsia" w:hAnsiTheme="minorEastAsia" w:eastAsiaTheme="minorEastAsia"/>
          <w:sz w:val="24"/>
        </w:rPr>
        <w:t>https://www.zcygov.cn）。登录政府采购云平台—项目采购—获取采购文件—申请获取采购文件</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wordWrap w:val="0"/>
        <w:adjustRightInd w:val="0"/>
        <w:snapToGrid w:val="0"/>
        <w:spacing w:line="360" w:lineRule="auto"/>
        <w:ind w:firstLine="486" w:firstLineChars="200"/>
        <w:jc w:val="left"/>
        <w:rPr>
          <w:rFonts w:hAnsi="宋体" w:cs="宋体"/>
          <w:b/>
          <w:sz w:val="24"/>
        </w:rPr>
      </w:pPr>
      <w:r>
        <w:rPr>
          <w:rFonts w:hint="eastAsia" w:hAnsi="宋体" w:cs="宋体"/>
          <w:b/>
          <w:sz w:val="24"/>
        </w:rPr>
        <w:t>提示：</w:t>
      </w:r>
    </w:p>
    <w:p>
      <w:pPr>
        <w:wordWrap w:val="0"/>
        <w:adjustRightInd w:val="0"/>
        <w:snapToGrid w:val="0"/>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（1）投标人只有在“政府采购云平台”完成获取招标文件申请并下载招标文件后才视作依法参与本项目。如未在“政府采购云平台”内完成相关流程，引起的投标无效责任自负。</w:t>
      </w:r>
    </w:p>
    <w:p>
      <w:pPr>
        <w:spacing w:line="44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2）本项目为电子招标投标项目，投标人参与本项目全过程中凡涉及系统操作请详见《供应商政府采购项目电子交易操作指南》。（操作指南以政府采购云平台网站发布为准，获取方式详见：附件三-政府采购云平台使用介绍）。</w:t>
      </w:r>
    </w:p>
    <w:p>
      <w:pPr>
        <w:pStyle w:val="10"/>
        <w:rPr>
          <w:sz w:val="24"/>
        </w:rPr>
      </w:pPr>
    </w:p>
    <w:p>
      <w:pPr>
        <w:tabs>
          <w:tab w:val="right" w:pos="8959"/>
        </w:tabs>
        <w:spacing w:after="50" w:line="360" w:lineRule="auto"/>
        <w:ind w:firstLine="486" w:firstLineChars="200"/>
        <w:rPr>
          <w:rFonts w:asciiTheme="minorEastAsia" w:hAnsiTheme="minorEastAsia" w:eastAsiaTheme="minorEastAsia"/>
          <w:b/>
          <w:sz w:val="24"/>
        </w:rPr>
      </w:pPr>
      <w:r>
        <w:rPr>
          <w:rFonts w:hint="eastAsia" w:asciiTheme="minorEastAsia" w:hAnsiTheme="minorEastAsia" w:eastAsiaTheme="minorEastAsia"/>
          <w:b/>
          <w:sz w:val="24"/>
        </w:rPr>
        <w:t>八、投标截止时间及开标时间：</w:t>
      </w:r>
      <w:r>
        <w:rPr>
          <w:rFonts w:hint="eastAsia" w:asciiTheme="minorEastAsia" w:hAnsiTheme="minorEastAsia" w:eastAsiaTheme="minorEastAsia"/>
          <w:b/>
          <w:bCs/>
          <w:sz w:val="24"/>
        </w:rPr>
        <w:t>2021年1</w:t>
      </w:r>
      <w:r>
        <w:rPr>
          <w:rFonts w:hint="eastAsia" w:asciiTheme="minorEastAsia" w:hAnsiTheme="minorEastAsia" w:eastAsiaTheme="minorEastAsia"/>
          <w:b/>
          <w:bCs/>
          <w:sz w:val="24"/>
          <w:lang w:val="en-US" w:eastAsia="zh-CN"/>
        </w:rPr>
        <w:t>1</w:t>
      </w:r>
      <w:r>
        <w:rPr>
          <w:rFonts w:hint="eastAsia" w:asciiTheme="minorEastAsia" w:hAnsiTheme="minorEastAsia" w:eastAsiaTheme="minorEastAsia"/>
          <w:b/>
          <w:bCs/>
          <w:sz w:val="24"/>
        </w:rPr>
        <w:t>月</w:t>
      </w:r>
      <w:r>
        <w:rPr>
          <w:rFonts w:hint="eastAsia" w:asciiTheme="minorEastAsia" w:hAnsiTheme="minorEastAsia" w:eastAsiaTheme="minorEastAsia"/>
          <w:b/>
          <w:bCs/>
          <w:sz w:val="24"/>
          <w:lang w:val="en-US" w:eastAsia="zh-CN"/>
        </w:rPr>
        <w:t>11</w:t>
      </w:r>
      <w:r>
        <w:rPr>
          <w:rFonts w:hint="eastAsia" w:asciiTheme="minorEastAsia" w:hAnsiTheme="minorEastAsia" w:eastAsiaTheme="minorEastAsia"/>
          <w:b/>
          <w:bCs/>
          <w:sz w:val="24"/>
        </w:rPr>
        <w:t>日10点30分</w:t>
      </w:r>
      <w:r>
        <w:rPr>
          <w:rFonts w:hint="eastAsia" w:asciiTheme="minorEastAsia" w:hAnsiTheme="minorEastAsia" w:eastAsiaTheme="minorEastAsia"/>
          <w:sz w:val="24"/>
        </w:rPr>
        <w:t>（北京时间）。</w:t>
      </w:r>
      <w:r>
        <w:rPr>
          <w:rFonts w:asciiTheme="minorEastAsia" w:hAnsiTheme="minorEastAsia" w:eastAsiaTheme="minorEastAsia"/>
          <w:sz w:val="24"/>
        </w:rPr>
        <w:tab/>
      </w:r>
    </w:p>
    <w:p>
      <w:pPr>
        <w:pStyle w:val="11"/>
        <w:spacing w:afterLines="50" w:line="360" w:lineRule="auto"/>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投标文件必须在投标截止时间前将加密的电子投标文件递交至“政府采购云平台”对应项目（包件）。逾期递交、密封不符合招标文件要求的投标文件不予接收。本次招标不接受邮寄的投标文件。</w:t>
      </w:r>
    </w:p>
    <w:p>
      <w:pPr>
        <w:adjustRightInd w:val="0"/>
        <w:snapToGrid w:val="0"/>
        <w:spacing w:after="50" w:line="360" w:lineRule="auto"/>
        <w:ind w:firstLine="486" w:firstLineChars="200"/>
        <w:rPr>
          <w:rFonts w:asciiTheme="minorEastAsia" w:hAnsiTheme="minorEastAsia" w:eastAsiaTheme="minorEastAsia"/>
          <w:b/>
          <w:sz w:val="24"/>
        </w:rPr>
      </w:pPr>
      <w:r>
        <w:rPr>
          <w:rFonts w:hint="eastAsia" w:asciiTheme="minorEastAsia" w:hAnsiTheme="minorEastAsia" w:eastAsiaTheme="minorEastAsia"/>
          <w:b/>
          <w:sz w:val="24"/>
        </w:rPr>
        <w:t>九、开标地点：</w:t>
      </w:r>
    </w:p>
    <w:p>
      <w:pPr>
        <w:adjustRightInd w:val="0"/>
        <w:snapToGrid w:val="0"/>
        <w:spacing w:after="5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1、本项目为不见面开标项目。</w:t>
      </w:r>
    </w:p>
    <w:p>
      <w:pPr>
        <w:adjustRightInd w:val="0"/>
        <w:snapToGrid w:val="0"/>
        <w:spacing w:after="5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2、开标地址：政府采购云平台(https://www.zcygov.cn)</w:t>
      </w:r>
    </w:p>
    <w:p>
      <w:pPr>
        <w:adjustRightInd w:val="0"/>
        <w:snapToGrid w:val="0"/>
        <w:spacing w:after="5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3、投标文件递交地址：政府采购云平台(https://www.zcygov.cn)</w:t>
      </w:r>
    </w:p>
    <w:p>
      <w:pPr>
        <w:adjustRightInd w:val="0"/>
        <w:snapToGrid w:val="0"/>
        <w:spacing w:after="5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4、评审地址：四川中久招标代理有限公司电子评标室（成都市高新区盛安街401号凯旋中心B座1905号）</w:t>
      </w:r>
    </w:p>
    <w:p>
      <w:pPr>
        <w:adjustRightInd w:val="0"/>
        <w:snapToGrid w:val="0"/>
        <w:spacing w:after="5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5、本项目只接受投标人加密并递交至“政府采购云平台”的投标文件。</w:t>
      </w:r>
    </w:p>
    <w:p>
      <w:pPr>
        <w:spacing w:after="50" w:line="360" w:lineRule="auto"/>
        <w:ind w:firstLine="493" w:firstLineChars="203"/>
        <w:rPr>
          <w:rFonts w:asciiTheme="minorEastAsia" w:hAnsiTheme="minorEastAsia" w:eastAsiaTheme="minorEastAsia"/>
          <w:b/>
          <w:bCs/>
          <w:sz w:val="24"/>
        </w:rPr>
      </w:pPr>
      <w:r>
        <w:rPr>
          <w:rFonts w:hint="eastAsia" w:asciiTheme="minorEastAsia" w:hAnsiTheme="minorEastAsia" w:eastAsiaTheme="minorEastAsia"/>
          <w:b/>
          <w:bCs/>
          <w:sz w:val="24"/>
        </w:rPr>
        <w:t>十、本投标邀请在四川政府采购网（www.ccgp-sichuan.gov.cn）上以公告形式发布。</w:t>
      </w:r>
    </w:p>
    <w:p>
      <w:pPr>
        <w:spacing w:line="440" w:lineRule="exact"/>
        <w:ind w:firstLine="493" w:firstLineChars="203"/>
        <w:rPr>
          <w:rFonts w:asciiTheme="minorEastAsia" w:hAnsiTheme="minorEastAsia" w:eastAsiaTheme="minorEastAsia"/>
          <w:b/>
          <w:sz w:val="24"/>
        </w:rPr>
      </w:pPr>
      <w:r>
        <w:rPr>
          <w:rFonts w:hint="eastAsia" w:asciiTheme="minorEastAsia" w:hAnsiTheme="minorEastAsia" w:eastAsiaTheme="minorEastAsia"/>
          <w:b/>
          <w:sz w:val="24"/>
        </w:rPr>
        <w:t>十一、供应商信用融资：</w:t>
      </w:r>
    </w:p>
    <w:p>
      <w:pPr>
        <w:pStyle w:val="45"/>
        <w:spacing w:before="240"/>
        <w:ind w:firstLine="486"/>
        <w:rPr>
          <w:rFonts w:asciiTheme="minorEastAsia" w:hAnsiTheme="minorEastAsia" w:eastAsiaTheme="minorEastAsia"/>
          <w:sz w:val="24"/>
        </w:rPr>
      </w:pPr>
      <w:r>
        <w:rPr>
          <w:rFonts w:hint="eastAsia" w:asciiTheme="minorEastAsia" w:hAnsiTheme="minorEastAsia" w:eastAsiaTheme="minorEastAsia"/>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pStyle w:val="45"/>
        <w:spacing w:before="240"/>
        <w:ind w:firstLine="486"/>
        <w:rPr>
          <w:rFonts w:asciiTheme="minorEastAsia" w:hAnsiTheme="minorEastAsia" w:eastAsiaTheme="minorEastAsia"/>
          <w:sz w:val="24"/>
        </w:rPr>
      </w:pPr>
      <w:r>
        <w:rPr>
          <w:rFonts w:hint="eastAsia" w:asciiTheme="minorEastAsia" w:hAnsiTheme="minorEastAsia" w:eastAsiaTheme="minorEastAsia"/>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p>
    <w:p>
      <w:pPr>
        <w:pStyle w:val="45"/>
        <w:spacing w:before="240"/>
        <w:ind w:firstLine="488"/>
        <w:rPr>
          <w:rFonts w:asciiTheme="minorEastAsia" w:hAnsiTheme="minorEastAsia" w:eastAsiaTheme="minorEastAsia"/>
          <w:bCs/>
          <w:sz w:val="24"/>
        </w:rPr>
      </w:pPr>
      <w:r>
        <w:rPr>
          <w:rFonts w:hint="eastAsia" w:asciiTheme="minorEastAsia" w:hAnsiTheme="minorEastAsia" w:eastAsiaTheme="minorEastAsia"/>
          <w:b/>
          <w:sz w:val="24"/>
        </w:rPr>
        <w:t>十二、联系方式</w:t>
      </w:r>
    </w:p>
    <w:p>
      <w:pPr>
        <w:spacing w:line="360" w:lineRule="auto"/>
        <w:ind w:firstLine="729" w:firstLineChars="300"/>
        <w:rPr>
          <w:rFonts w:asciiTheme="minorEastAsia" w:hAnsiTheme="minorEastAsia" w:eastAsiaTheme="minorEastAsia"/>
          <w:b/>
          <w:sz w:val="24"/>
        </w:rPr>
      </w:pPr>
      <w:r>
        <w:rPr>
          <w:rFonts w:hint="eastAsia" w:asciiTheme="minorEastAsia" w:hAnsiTheme="minorEastAsia" w:eastAsiaTheme="minorEastAsia"/>
          <w:b/>
          <w:sz w:val="24"/>
        </w:rPr>
        <w:t>采   购  人：都江堰市融媒体中心</w:t>
      </w:r>
    </w:p>
    <w:p>
      <w:pPr>
        <w:spacing w:line="360" w:lineRule="auto"/>
        <w:ind w:firstLine="1215" w:firstLineChars="500"/>
        <w:rPr>
          <w:rFonts w:asciiTheme="minorEastAsia" w:hAnsiTheme="minorEastAsia" w:eastAsiaTheme="minorEastAsia"/>
          <w:sz w:val="24"/>
        </w:rPr>
      </w:pPr>
      <w:r>
        <w:rPr>
          <w:rFonts w:hint="eastAsia" w:asciiTheme="minorEastAsia" w:hAnsiTheme="minorEastAsia" w:eastAsiaTheme="minorEastAsia"/>
          <w:sz w:val="24"/>
        </w:rPr>
        <w:t>地    址：都江堰市善政路611号</w:t>
      </w:r>
    </w:p>
    <w:p>
      <w:pPr>
        <w:spacing w:line="360" w:lineRule="auto"/>
        <w:ind w:firstLine="1215" w:firstLineChars="500"/>
        <w:rPr>
          <w:rFonts w:asciiTheme="minorEastAsia" w:hAnsiTheme="minorEastAsia" w:eastAsiaTheme="minorEastAsia"/>
          <w:sz w:val="24"/>
        </w:rPr>
      </w:pPr>
      <w:r>
        <w:rPr>
          <w:rFonts w:hint="eastAsia" w:asciiTheme="minorEastAsia" w:hAnsiTheme="minorEastAsia" w:eastAsiaTheme="minorEastAsia"/>
          <w:sz w:val="24"/>
        </w:rPr>
        <w:t>联 系 人：罗老师</w:t>
      </w:r>
    </w:p>
    <w:p>
      <w:pPr>
        <w:spacing w:line="360" w:lineRule="auto"/>
        <w:ind w:firstLine="1142" w:firstLineChars="470"/>
        <w:rPr>
          <w:rFonts w:asciiTheme="minorEastAsia" w:hAnsiTheme="minorEastAsia" w:eastAsiaTheme="minorEastAsia"/>
          <w:b/>
          <w:sz w:val="24"/>
        </w:rPr>
      </w:pPr>
      <w:r>
        <w:rPr>
          <w:rFonts w:hint="eastAsia" w:asciiTheme="minorEastAsia" w:hAnsiTheme="minorEastAsia" w:eastAsiaTheme="minorEastAsia"/>
          <w:sz w:val="24"/>
        </w:rPr>
        <w:t>联系电话：</w:t>
      </w:r>
      <w:r>
        <w:rPr>
          <w:rFonts w:asciiTheme="minorEastAsia" w:hAnsiTheme="minorEastAsia" w:eastAsiaTheme="minorEastAsia"/>
          <w:sz w:val="24"/>
        </w:rPr>
        <w:t>028-61751005</w:t>
      </w:r>
    </w:p>
    <w:p>
      <w:pPr>
        <w:spacing w:line="360" w:lineRule="auto"/>
        <w:ind w:firstLine="486" w:firstLineChars="200"/>
        <w:rPr>
          <w:rFonts w:asciiTheme="minorEastAsia" w:hAnsiTheme="minorEastAsia" w:eastAsiaTheme="minorEastAsia"/>
          <w:b/>
          <w:sz w:val="24"/>
        </w:rPr>
      </w:pPr>
    </w:p>
    <w:p>
      <w:pPr>
        <w:pStyle w:val="45"/>
        <w:ind w:firstLine="708" w:firstLineChars="292"/>
        <w:rPr>
          <w:rFonts w:ascii="宋体" w:hAnsi="宋体"/>
          <w:b/>
          <w:sz w:val="24"/>
        </w:rPr>
      </w:pPr>
      <w:bookmarkStart w:id="1" w:name="_Toc489965588"/>
      <w:bookmarkStart w:id="2" w:name="_Toc213397009"/>
      <w:bookmarkStart w:id="3" w:name="_Toc217446031"/>
      <w:bookmarkStart w:id="4" w:name="_Toc213396759"/>
      <w:bookmarkStart w:id="5" w:name="_Toc213496267"/>
      <w:bookmarkStart w:id="6" w:name="_Toc213396945"/>
      <w:r>
        <w:rPr>
          <w:rFonts w:hint="eastAsia" w:ascii="宋体" w:hAnsi="宋体"/>
          <w:b/>
          <w:sz w:val="24"/>
        </w:rPr>
        <w:t>采购代理机构：</w:t>
      </w:r>
      <w:r>
        <w:rPr>
          <w:rFonts w:hint="eastAsia" w:ascii="宋体" w:hAnsi="宋体"/>
          <w:b/>
          <w:bCs/>
          <w:sz w:val="24"/>
        </w:rPr>
        <w:t>四川中久招标代理有限公司</w:t>
      </w:r>
    </w:p>
    <w:p>
      <w:pPr>
        <w:pStyle w:val="45"/>
        <w:ind w:firstLine="1215" w:firstLineChars="500"/>
        <w:rPr>
          <w:rFonts w:ascii="宋体" w:hAnsi="宋体"/>
          <w:sz w:val="24"/>
        </w:rPr>
      </w:pPr>
      <w:r>
        <w:rPr>
          <w:rFonts w:hint="eastAsia" w:ascii="宋体" w:hAnsi="宋体"/>
          <w:sz w:val="24"/>
        </w:rPr>
        <w:t>通讯地址：成都市高新区盛安街401号凯旋中心B座1907号</w:t>
      </w:r>
    </w:p>
    <w:p>
      <w:pPr>
        <w:pStyle w:val="45"/>
        <w:ind w:firstLine="1215" w:firstLineChars="500"/>
        <w:rPr>
          <w:rFonts w:ascii="宋体" w:hAnsi="宋体"/>
          <w:sz w:val="24"/>
        </w:rPr>
      </w:pPr>
      <w:r>
        <w:rPr>
          <w:rFonts w:hint="eastAsia" w:ascii="宋体" w:hAnsi="宋体"/>
          <w:sz w:val="24"/>
        </w:rPr>
        <w:t>联 系 人：张女士</w:t>
      </w:r>
    </w:p>
    <w:p>
      <w:pPr>
        <w:pStyle w:val="45"/>
        <w:ind w:firstLine="1215" w:firstLineChars="500"/>
        <w:rPr>
          <w:rFonts w:ascii="宋体" w:hAnsi="宋体"/>
          <w:sz w:val="24"/>
        </w:rPr>
      </w:pPr>
      <w:r>
        <w:rPr>
          <w:rFonts w:hint="eastAsia" w:ascii="宋体" w:hAnsi="宋体"/>
          <w:sz w:val="24"/>
        </w:rPr>
        <w:t>联系电话：</w:t>
      </w:r>
      <w:r>
        <w:rPr>
          <w:rFonts w:ascii="宋体" w:hAnsi="宋体"/>
          <w:sz w:val="24"/>
        </w:rPr>
        <w:t>028-61383989</w:t>
      </w:r>
    </w:p>
    <w:p>
      <w:pPr>
        <w:pStyle w:val="45"/>
        <w:ind w:firstLine="1215" w:firstLineChars="500"/>
        <w:rPr>
          <w:rFonts w:ascii="宋体" w:hAnsi="宋体"/>
          <w:sz w:val="24"/>
        </w:rPr>
      </w:pPr>
    </w:p>
    <w:p>
      <w:pPr>
        <w:widowControl/>
        <w:jc w:val="left"/>
        <w:rPr>
          <w:rFonts w:asciiTheme="minorEastAsia" w:hAnsiTheme="minorEastAsia" w:eastAsiaTheme="minorEastAsia"/>
          <w:b/>
          <w:bCs/>
          <w:kern w:val="44"/>
          <w:sz w:val="32"/>
          <w:szCs w:val="36"/>
        </w:rPr>
      </w:pPr>
      <w:r>
        <w:rPr>
          <w:rFonts w:asciiTheme="minorEastAsia" w:hAnsiTheme="minorEastAsia" w:eastAsiaTheme="minorEastAsia"/>
          <w:sz w:val="32"/>
          <w:szCs w:val="36"/>
        </w:rPr>
        <w:br w:type="page"/>
      </w:r>
    </w:p>
    <w:p>
      <w:pPr>
        <w:pStyle w:val="3"/>
        <w:spacing w:line="240" w:lineRule="atLeast"/>
        <w:jc w:val="center"/>
        <w:rPr>
          <w:rFonts w:asciiTheme="minorEastAsia" w:hAnsiTheme="minorEastAsia" w:eastAsiaTheme="minorEastAsia"/>
          <w:sz w:val="36"/>
          <w:szCs w:val="36"/>
        </w:rPr>
      </w:pPr>
      <w:r>
        <w:rPr>
          <w:rFonts w:hint="eastAsia" w:asciiTheme="minorEastAsia" w:hAnsiTheme="minorEastAsia" w:eastAsiaTheme="minorEastAsia"/>
          <w:sz w:val="32"/>
          <w:szCs w:val="36"/>
        </w:rPr>
        <w:t>第二章  投标人须知</w:t>
      </w:r>
      <w:bookmarkEnd w:id="1"/>
    </w:p>
    <w:p>
      <w:pPr>
        <w:pStyle w:val="4"/>
        <w:spacing w:line="240" w:lineRule="atLeast"/>
        <w:jc w:val="center"/>
        <w:rPr>
          <w:rFonts w:asciiTheme="minorEastAsia" w:hAnsiTheme="minorEastAsia" w:eastAsiaTheme="minorEastAsia"/>
          <w:sz w:val="28"/>
        </w:rPr>
      </w:pPr>
      <w:r>
        <w:rPr>
          <w:rFonts w:hint="eastAsia" w:asciiTheme="minorEastAsia" w:hAnsiTheme="minorEastAsia" w:eastAsiaTheme="minorEastAsia"/>
          <w:sz w:val="28"/>
        </w:rPr>
        <w:t>一、投标人须知附表</w:t>
      </w:r>
    </w:p>
    <w:bookmarkEnd w:id="2"/>
    <w:bookmarkEnd w:id="3"/>
    <w:bookmarkEnd w:id="4"/>
    <w:bookmarkEnd w:id="5"/>
    <w:bookmarkEnd w:id="6"/>
    <w:tbl>
      <w:tblPr>
        <w:tblStyle w:val="21"/>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38" w:type="dxa"/>
            <w:vAlign w:val="center"/>
          </w:tcPr>
          <w:p>
            <w:pPr>
              <w:pStyle w:val="39"/>
              <w:spacing w:line="360" w:lineRule="auto"/>
              <w:ind w:left="9"/>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序号</w:t>
            </w:r>
          </w:p>
        </w:tc>
        <w:tc>
          <w:tcPr>
            <w:tcW w:w="2552" w:type="dxa"/>
            <w:vAlign w:val="center"/>
          </w:tcPr>
          <w:p>
            <w:pPr>
              <w:pStyle w:val="39"/>
              <w:spacing w:line="360" w:lineRule="auto"/>
              <w:ind w:left="38"/>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条款名称</w:t>
            </w:r>
          </w:p>
        </w:tc>
        <w:tc>
          <w:tcPr>
            <w:tcW w:w="6111" w:type="dxa"/>
            <w:vAlign w:val="center"/>
          </w:tcPr>
          <w:p>
            <w:pPr>
              <w:pStyle w:val="39"/>
              <w:spacing w:line="360" w:lineRule="auto"/>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64" w:hRule="exact"/>
          <w:jc w:val="center"/>
        </w:trPr>
        <w:tc>
          <w:tcPr>
            <w:tcW w:w="838" w:type="dxa"/>
            <w:vAlign w:val="center"/>
          </w:tcPr>
          <w:p>
            <w:pPr>
              <w:pStyle w:val="39"/>
              <w:spacing w:line="360" w:lineRule="auto"/>
              <w:ind w:right="230"/>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w:t>
            </w:r>
          </w:p>
        </w:tc>
        <w:tc>
          <w:tcPr>
            <w:tcW w:w="2552" w:type="dxa"/>
            <w:tcBorders>
              <w:bottom w:val="single" w:color="auto" w:sz="4" w:space="0"/>
            </w:tcBorders>
            <w:vAlign w:val="center"/>
          </w:tcPr>
          <w:p>
            <w:pPr>
              <w:pStyle w:val="39"/>
              <w:spacing w:line="360" w:lineRule="auto"/>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采购预算和最高限价</w:t>
            </w:r>
          </w:p>
          <w:p>
            <w:pPr>
              <w:pStyle w:val="39"/>
              <w:spacing w:line="360" w:lineRule="auto"/>
              <w:jc w:val="center"/>
              <w:rPr>
                <w:rFonts w:asciiTheme="minorEastAsia" w:hAnsiTheme="minorEastAsia" w:eastAsiaTheme="minorEastAsia"/>
              </w:rPr>
            </w:pPr>
            <w:r>
              <w:rPr>
                <w:rFonts w:hint="eastAsia" w:asciiTheme="minorEastAsia" w:hAnsiTheme="minorEastAsia" w:eastAsiaTheme="minorEastAsia"/>
              </w:rPr>
              <w:t>（实质性要求）</w:t>
            </w:r>
          </w:p>
        </w:tc>
        <w:tc>
          <w:tcPr>
            <w:tcW w:w="6111" w:type="dxa"/>
            <w:tcBorders>
              <w:bottom w:val="single" w:color="auto" w:sz="4" w:space="0"/>
            </w:tcBorders>
          </w:tcPr>
          <w:p>
            <w:pPr>
              <w:spacing w:line="360" w:lineRule="auto"/>
              <w:ind w:right="31" w:rightChars="15" w:firstLine="243" w:firstLineChars="100"/>
              <w:rPr>
                <w:rFonts w:asciiTheme="minorEastAsia" w:hAnsiTheme="minorEastAsia" w:eastAsiaTheme="minorEastAsia"/>
                <w:sz w:val="24"/>
              </w:rPr>
            </w:pPr>
            <w:r>
              <w:rPr>
                <w:rFonts w:hint="eastAsia" w:asciiTheme="minorEastAsia" w:hAnsiTheme="minorEastAsia" w:eastAsiaTheme="minorEastAsia"/>
                <w:sz w:val="24"/>
              </w:rPr>
              <w:t>采购预算</w:t>
            </w:r>
            <w:r>
              <w:rPr>
                <w:rFonts w:hint="eastAsia" w:asciiTheme="minorEastAsia" w:hAnsiTheme="minorEastAsia" w:eastAsiaTheme="minorEastAsia"/>
                <w:bCs/>
                <w:sz w:val="24"/>
              </w:rPr>
              <w:t>：</w:t>
            </w:r>
            <w:r>
              <w:rPr>
                <w:rFonts w:hint="eastAsia" w:cs="宋体" w:asciiTheme="minorEastAsia" w:hAnsiTheme="minorEastAsia" w:eastAsiaTheme="minorEastAsia"/>
                <w:sz w:val="24"/>
              </w:rPr>
              <w:t>人民币43万元，</w:t>
            </w:r>
          </w:p>
          <w:p>
            <w:pPr>
              <w:pStyle w:val="39"/>
              <w:spacing w:line="360" w:lineRule="auto"/>
              <w:ind w:firstLine="243" w:firstLineChars="100"/>
              <w:jc w:val="both"/>
              <w:rPr>
                <w:rFonts w:asciiTheme="minorEastAsia" w:hAnsiTheme="minorEastAsia" w:eastAsiaTheme="minorEastAsia"/>
              </w:rPr>
            </w:pPr>
            <w:r>
              <w:rPr>
                <w:rFonts w:hint="eastAsia" w:asciiTheme="minorEastAsia" w:hAnsiTheme="minorEastAsia" w:eastAsiaTheme="minorEastAsia"/>
              </w:rPr>
              <w:t>超过采购预算的报价为无效投标。</w:t>
            </w:r>
          </w:p>
          <w:p>
            <w:pPr>
              <w:spacing w:line="360" w:lineRule="auto"/>
              <w:ind w:right="31" w:rightChars="15" w:firstLine="243" w:firstLineChars="100"/>
              <w:rPr>
                <w:rFonts w:asciiTheme="minorEastAsia" w:hAnsiTheme="minorEastAsia" w:eastAsiaTheme="minorEastAsia"/>
                <w:sz w:val="24"/>
              </w:rPr>
            </w:pPr>
            <w:r>
              <w:rPr>
                <w:rFonts w:hint="eastAsia" w:asciiTheme="minorEastAsia" w:hAnsiTheme="minorEastAsia" w:eastAsiaTheme="minorEastAsia"/>
                <w:sz w:val="24"/>
              </w:rPr>
              <w:t>最高限价</w:t>
            </w:r>
            <w:r>
              <w:rPr>
                <w:rFonts w:hint="eastAsia" w:asciiTheme="minorEastAsia" w:hAnsiTheme="minorEastAsia" w:eastAsiaTheme="minorEastAsia"/>
                <w:bCs/>
                <w:sz w:val="24"/>
              </w:rPr>
              <w:t>：</w:t>
            </w:r>
            <w:r>
              <w:rPr>
                <w:rFonts w:hint="eastAsia" w:cs="宋体" w:asciiTheme="minorEastAsia" w:hAnsiTheme="minorEastAsia" w:eastAsiaTheme="minorEastAsia"/>
                <w:sz w:val="24"/>
              </w:rPr>
              <w:t>人民币43万元，</w:t>
            </w:r>
          </w:p>
          <w:p>
            <w:pPr>
              <w:pStyle w:val="39"/>
              <w:spacing w:line="360" w:lineRule="auto"/>
              <w:ind w:firstLine="243" w:firstLineChars="100"/>
              <w:jc w:val="both"/>
              <w:rPr>
                <w:rFonts w:asciiTheme="minorEastAsia" w:hAnsiTheme="minorEastAsia" w:eastAsiaTheme="minorEastAsia"/>
              </w:rPr>
            </w:pPr>
            <w:r>
              <w:rPr>
                <w:rFonts w:hint="eastAsia" w:asciiTheme="minorEastAsia" w:hAnsiTheme="minorEastAsia" w:eastAsiaTheme="minorEastAsia"/>
              </w:rPr>
              <w:t>超过</w:t>
            </w:r>
            <w:r>
              <w:rPr>
                <w:rFonts w:hint="eastAsia" w:cs="Times New Roman" w:asciiTheme="minorEastAsia" w:hAnsiTheme="minorEastAsia" w:eastAsiaTheme="minorEastAsia"/>
                <w:kern w:val="2"/>
              </w:rPr>
              <w:t>最高限价</w:t>
            </w:r>
            <w:r>
              <w:rPr>
                <w:rFonts w:hint="eastAsia" w:asciiTheme="minorEastAsia" w:hAnsiTheme="minorEastAsia" w:eastAsiaTheme="minorEastAsia"/>
              </w:rPr>
              <w:t>的报价为无效投标。</w:t>
            </w:r>
          </w:p>
          <w:p>
            <w:pPr>
              <w:widowControl/>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kern w:val="0"/>
                <w:sz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9" w:hRule="atLeast"/>
          <w:jc w:val="center"/>
        </w:trPr>
        <w:tc>
          <w:tcPr>
            <w:tcW w:w="838" w:type="dxa"/>
            <w:vAlign w:val="center"/>
          </w:tcPr>
          <w:p>
            <w:pPr>
              <w:pStyle w:val="39"/>
              <w:spacing w:line="360" w:lineRule="auto"/>
              <w:ind w:right="230"/>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2</w:t>
            </w:r>
          </w:p>
        </w:tc>
        <w:tc>
          <w:tcPr>
            <w:tcW w:w="2552" w:type="dxa"/>
            <w:vAlign w:val="center"/>
          </w:tcPr>
          <w:p>
            <w:pPr>
              <w:pStyle w:val="39"/>
              <w:spacing w:line="360" w:lineRule="auto"/>
              <w:ind w:left="38"/>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低于成本价不正当</w:t>
            </w:r>
          </w:p>
          <w:p>
            <w:pPr>
              <w:pStyle w:val="39"/>
              <w:spacing w:line="360" w:lineRule="auto"/>
              <w:ind w:left="38"/>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竞争预防措施</w:t>
            </w:r>
          </w:p>
          <w:p>
            <w:pPr>
              <w:pStyle w:val="39"/>
              <w:spacing w:line="360" w:lineRule="auto"/>
              <w:ind w:left="38"/>
              <w:jc w:val="center"/>
              <w:rPr>
                <w:rFonts w:cs="Times New Roman" w:asciiTheme="minorEastAsia" w:hAnsiTheme="minorEastAsia" w:eastAsiaTheme="minorEastAsia"/>
                <w:kern w:val="2"/>
              </w:rPr>
            </w:pPr>
            <w:r>
              <w:rPr>
                <w:rFonts w:hint="eastAsia" w:asciiTheme="minorEastAsia" w:hAnsiTheme="minorEastAsia" w:eastAsiaTheme="minorEastAsia"/>
              </w:rPr>
              <w:t>（实质性要求）</w:t>
            </w:r>
          </w:p>
        </w:tc>
        <w:tc>
          <w:tcPr>
            <w:tcW w:w="6111" w:type="dxa"/>
            <w:vAlign w:val="center"/>
          </w:tcPr>
          <w:p>
            <w:pPr>
              <w:pStyle w:val="39"/>
              <w:spacing w:line="360" w:lineRule="auto"/>
              <w:ind w:firstLine="243" w:firstLineChars="100"/>
              <w:jc w:val="both"/>
              <w:rPr>
                <w:rFonts w:asciiTheme="minorEastAsia" w:hAnsiTheme="minorEastAsia" w:eastAsiaTheme="minorEastAsia"/>
              </w:rPr>
            </w:pPr>
            <w:r>
              <w:rPr>
                <w:rFonts w:hint="eastAsia" w:asciiTheme="minorEastAsia" w:hAnsiTheme="minorEastAsia" w:eastAsiaTheme="minorEastAsia"/>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9"/>
              <w:spacing w:line="360" w:lineRule="auto"/>
              <w:ind w:firstLine="243" w:firstLineChars="100"/>
              <w:jc w:val="both"/>
              <w:rPr>
                <w:rFonts w:asciiTheme="minorEastAsia" w:hAnsiTheme="minorEastAsia" w:eastAsiaTheme="minorEastAsia"/>
              </w:rPr>
            </w:pPr>
            <w:r>
              <w:rPr>
                <w:rFonts w:hint="eastAsia" w:asciiTheme="minorEastAsia" w:hAnsiTheme="minorEastAsia" w:eastAsiaTheme="minorEastAsia"/>
              </w:rPr>
              <w:t>供应商书面说明应当签字确认或者加盖公章，否则无效。书面说明的签字确认，供应商为法人的，由其法定代表人/主要负责人或者代理人签字确认；供应商为其他组织的，由其主要负责人或者代理人签字确认；供应商为自然人的，由其本人或者代理人签字确认。</w:t>
            </w:r>
          </w:p>
          <w:p>
            <w:pPr>
              <w:pStyle w:val="39"/>
              <w:spacing w:line="360" w:lineRule="auto"/>
              <w:ind w:firstLine="243" w:firstLineChars="100"/>
              <w:jc w:val="both"/>
              <w:rPr>
                <w:rFonts w:asciiTheme="minorEastAsia" w:hAnsiTheme="minorEastAsia" w:eastAsiaTheme="minorEastAsia"/>
              </w:rPr>
            </w:pPr>
            <w:r>
              <w:rPr>
                <w:rFonts w:hint="eastAsia" w:asciiTheme="minorEastAsia" w:hAnsiTheme="minorEastAsia" w:eastAsiaTheme="minor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39"/>
              <w:spacing w:line="360" w:lineRule="auto"/>
              <w:ind w:firstLine="243" w:firstLineChars="100"/>
              <w:jc w:val="both"/>
              <w:rPr>
                <w:rFonts w:cs="Times New Roman" w:asciiTheme="minorEastAsia" w:hAnsiTheme="minorEastAsia" w:eastAsiaTheme="minorEastAsia"/>
                <w:kern w:val="2"/>
              </w:rPr>
            </w:pPr>
            <w:r>
              <w:rPr>
                <w:rFonts w:hint="eastAsia" w:asciiTheme="minorEastAsia" w:hAnsiTheme="minorEastAsia" w:eastAsiaTheme="minorEastAsia"/>
                <w:b/>
                <w:bCs/>
              </w:rPr>
              <w:t>注：</w:t>
            </w:r>
            <w:r>
              <w:rPr>
                <w:rFonts w:hint="eastAsia" w:asciiTheme="minorEastAsia" w:hAnsiTheme="minorEastAsia" w:eastAsiaTheme="minorEastAsia"/>
                <w:b/>
                <w:bCs/>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asciiTheme="minorEastAsia" w:hAnsiTheme="minorEastAsia" w:eastAsiaTheme="minorEastAsia"/>
                <w:b/>
                <w:bCs/>
              </w:rPr>
              <w:t>30分钟，供应商已明确表示澄清、说明完毕的除外</w:t>
            </w:r>
            <w:r>
              <w:rPr>
                <w:rFonts w:hint="eastAsia" w:asciiTheme="minorEastAsia" w:hAnsiTheme="minorEastAsia" w:eastAsiaTheme="minorEastAsia"/>
                <w:b/>
                <w:bCs/>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38" w:type="dxa"/>
            <w:vAlign w:val="center"/>
          </w:tcPr>
          <w:p>
            <w:pPr>
              <w:pStyle w:val="39"/>
              <w:spacing w:line="360" w:lineRule="auto"/>
              <w:ind w:right="230"/>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3</w:t>
            </w:r>
          </w:p>
        </w:tc>
        <w:tc>
          <w:tcPr>
            <w:tcW w:w="2552" w:type="dxa"/>
            <w:vAlign w:val="center"/>
          </w:tcPr>
          <w:p>
            <w:pPr>
              <w:pStyle w:val="39"/>
              <w:ind w:left="38"/>
              <w:jc w:val="center"/>
              <w:rPr>
                <w:lang w:val="zh-CN"/>
              </w:rPr>
            </w:pPr>
            <w:r>
              <w:rPr>
                <w:rFonts w:hint="eastAsia"/>
                <w:lang w:val="zh-CN"/>
              </w:rPr>
              <w:t>小微企业（监狱企业、残疾人福利性单位视同小微企业）价格扣除</w:t>
            </w:r>
          </w:p>
          <w:p>
            <w:pPr>
              <w:pStyle w:val="39"/>
              <w:ind w:left="38"/>
              <w:jc w:val="center"/>
              <w:rPr>
                <w:lang w:val="zh-CN"/>
              </w:rPr>
            </w:pPr>
            <w:r>
              <w:rPr>
                <w:rFonts w:hint="eastAsia"/>
                <w:lang w:val="zh-CN"/>
              </w:rPr>
              <w:t>（实质性要求）</w:t>
            </w:r>
          </w:p>
          <w:p>
            <w:pPr>
              <w:pStyle w:val="39"/>
              <w:spacing w:line="360" w:lineRule="auto"/>
              <w:ind w:left="38"/>
              <w:jc w:val="center"/>
              <w:rPr>
                <w:rFonts w:asciiTheme="minorEastAsia" w:hAnsiTheme="minorEastAsia" w:eastAsiaTheme="minorEastAsia"/>
              </w:rPr>
            </w:pPr>
          </w:p>
        </w:tc>
        <w:tc>
          <w:tcPr>
            <w:tcW w:w="6111" w:type="dxa"/>
          </w:tcPr>
          <w:p>
            <w:pPr>
              <w:spacing w:line="276" w:lineRule="auto"/>
              <w:ind w:left="106" w:leftChars="50" w:right="106" w:rightChars="50" w:firstLine="243" w:firstLineChars="100"/>
              <w:rPr>
                <w:rFonts w:hAnsi="宋体"/>
                <w:sz w:val="24"/>
              </w:rPr>
            </w:pPr>
            <w:r>
              <w:rPr>
                <w:rFonts w:hint="eastAsia" w:ascii="宋体" w:hAnsi="宋体"/>
                <w:b/>
                <w:kern w:val="0"/>
                <w:sz w:val="24"/>
              </w:rPr>
              <w:t>本项目所属行业为：制造业</w:t>
            </w:r>
          </w:p>
          <w:p>
            <w:pPr>
              <w:widowControl/>
              <w:tabs>
                <w:tab w:val="center" w:pos="3136"/>
              </w:tabs>
              <w:spacing w:line="276" w:lineRule="auto"/>
              <w:ind w:firstLine="243" w:firstLineChars="100"/>
              <w:jc w:val="left"/>
              <w:rPr>
                <w:rFonts w:ascii="宋体" w:hAnsi="宋体"/>
                <w:b/>
                <w:kern w:val="0"/>
                <w:sz w:val="24"/>
              </w:rPr>
            </w:pPr>
            <w:r>
              <w:rPr>
                <w:rFonts w:hint="eastAsia" w:ascii="宋体" w:hAnsi="宋体"/>
                <w:b/>
                <w:kern w:val="0"/>
                <w:sz w:val="24"/>
              </w:rPr>
              <w:t>一、小微企业价格扣除</w:t>
            </w:r>
          </w:p>
          <w:p>
            <w:pPr>
              <w:widowControl/>
              <w:spacing w:line="276" w:lineRule="auto"/>
              <w:ind w:firstLine="243" w:firstLineChars="100"/>
              <w:jc w:val="left"/>
              <w:rPr>
                <w:rFonts w:ascii="宋体" w:hAnsi="宋体"/>
                <w:kern w:val="0"/>
                <w:sz w:val="24"/>
              </w:rPr>
            </w:pPr>
            <w:r>
              <w:rPr>
                <w:rFonts w:hint="eastAsia" w:ascii="宋体" w:hAnsi="宋体"/>
                <w:kern w:val="0"/>
                <w:sz w:val="24"/>
              </w:rPr>
              <w:t>1.根据《政府采购促进中小企业发展管理办法》（财库﹝2020﹞46 号）的规定，四川省财政厅四川省经济和信息化委员会中国人民银行成都分行关于印发《四川省政府采购促进中小企业发展的若干规定》(川财采〔2016〕35号) 的规定，对小型和微型企业的价格给予10%的价格扣除，用扣除后的价格参与评审。</w:t>
            </w:r>
          </w:p>
          <w:p>
            <w:pPr>
              <w:widowControl/>
              <w:spacing w:line="276" w:lineRule="auto"/>
              <w:ind w:firstLine="243" w:firstLineChars="100"/>
              <w:jc w:val="left"/>
              <w:rPr>
                <w:rFonts w:ascii="宋体" w:hAnsi="宋体"/>
                <w:kern w:val="0"/>
                <w:sz w:val="24"/>
              </w:rPr>
            </w:pPr>
            <w:r>
              <w:rPr>
                <w:rFonts w:hint="eastAsia" w:ascii="宋体" w:hAnsi="宋体"/>
                <w:kern w:val="0"/>
                <w:sz w:val="24"/>
              </w:rPr>
              <w:t>2.参加政府采购活动的中小企业应当提供《中小企业声明函》原件。</w:t>
            </w:r>
          </w:p>
          <w:p>
            <w:pPr>
              <w:widowControl/>
              <w:spacing w:line="276" w:lineRule="auto"/>
              <w:ind w:firstLine="243" w:firstLineChars="100"/>
              <w:jc w:val="left"/>
              <w:rPr>
                <w:rFonts w:ascii="宋体" w:hAnsi="宋体"/>
                <w:kern w:val="0"/>
                <w:sz w:val="24"/>
              </w:rPr>
            </w:pPr>
            <w:r>
              <w:rPr>
                <w:rFonts w:hint="eastAsia" w:ascii="宋体" w:hAnsi="宋体"/>
                <w:kern w:val="0"/>
                <w:sz w:val="24"/>
              </w:rPr>
              <w:t>3.供应商参加政府采购活动时，提供虚假《中小企业声明函》的，以提供虚假材料谋取中标、成交予以认定处理。</w:t>
            </w:r>
          </w:p>
          <w:p>
            <w:pPr>
              <w:widowControl/>
              <w:spacing w:line="276" w:lineRule="auto"/>
              <w:ind w:firstLine="243" w:firstLineChars="100"/>
              <w:jc w:val="left"/>
              <w:rPr>
                <w:rFonts w:ascii="宋体" w:hAnsi="宋体"/>
                <w:kern w:val="0"/>
                <w:sz w:val="24"/>
              </w:rPr>
            </w:pPr>
            <w:r>
              <w:rPr>
                <w:rFonts w:hint="eastAsia" w:ascii="宋体" w:hAnsi="宋体"/>
                <w:kern w:val="0"/>
                <w:sz w:val="24"/>
              </w:rPr>
              <w:t>4.大中型企业和其他自然人、法人或者其他组织与小型、微型企业组成联合体共同参加非专门面向中小企业的政府采购活动的，联合体响应协议中约定，小型、微型企业的协议合同金额占到联合体响应协议合同总金额30%以上的，可给予联合体3%的价格扣除。</w:t>
            </w:r>
          </w:p>
          <w:p>
            <w:pPr>
              <w:widowControl/>
              <w:spacing w:line="276" w:lineRule="auto"/>
              <w:ind w:firstLine="243" w:firstLineChars="100"/>
              <w:jc w:val="left"/>
              <w:rPr>
                <w:rFonts w:ascii="宋体" w:hAnsi="宋体"/>
                <w:kern w:val="0"/>
                <w:sz w:val="24"/>
              </w:rPr>
            </w:pPr>
            <w:r>
              <w:rPr>
                <w:rFonts w:hint="eastAsia" w:ascii="宋体" w:hAnsi="宋体"/>
                <w:kern w:val="0"/>
                <w:sz w:val="24"/>
              </w:rPr>
              <w:t>5.联合体各方均为小型、微型企业的，联合体视同为小型、微型企业享受规定的扶持政策组成联合体的大中型企业和其他自然人、法人或者其他组织，与小型、微型企业之间不得存在投资关系。</w:t>
            </w:r>
          </w:p>
          <w:p>
            <w:pPr>
              <w:widowControl/>
              <w:spacing w:line="276" w:lineRule="auto"/>
              <w:ind w:firstLine="243" w:firstLineChars="100"/>
              <w:jc w:val="left"/>
              <w:rPr>
                <w:rFonts w:ascii="宋体" w:hAnsi="宋体"/>
                <w:b/>
                <w:kern w:val="0"/>
                <w:sz w:val="24"/>
              </w:rPr>
            </w:pPr>
            <w:r>
              <w:rPr>
                <w:rFonts w:hint="eastAsia" w:ascii="宋体" w:hAnsi="宋体"/>
                <w:b/>
                <w:kern w:val="0"/>
                <w:sz w:val="24"/>
              </w:rPr>
              <w:t>二、监狱企业价格扣除</w:t>
            </w:r>
          </w:p>
          <w:p>
            <w:pPr>
              <w:widowControl/>
              <w:spacing w:line="276" w:lineRule="auto"/>
              <w:ind w:firstLine="243" w:firstLineChars="100"/>
              <w:jc w:val="left"/>
              <w:rPr>
                <w:rFonts w:ascii="宋体" w:hAnsi="宋体"/>
                <w:kern w:val="0"/>
                <w:sz w:val="24"/>
              </w:rPr>
            </w:pPr>
            <w:r>
              <w:rPr>
                <w:rFonts w:hint="eastAsia" w:ascii="宋体" w:hAnsi="宋体"/>
                <w:kern w:val="0"/>
                <w:sz w:val="24"/>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widowControl/>
              <w:spacing w:line="276" w:lineRule="auto"/>
              <w:ind w:firstLine="243" w:firstLineChars="100"/>
              <w:jc w:val="left"/>
              <w:rPr>
                <w:rFonts w:ascii="宋体" w:hAnsi="宋体"/>
                <w:kern w:val="0"/>
                <w:sz w:val="24"/>
              </w:rPr>
            </w:pPr>
            <w:r>
              <w:rPr>
                <w:rFonts w:hint="eastAsia" w:ascii="宋体" w:hAnsi="宋体"/>
                <w:kern w:val="0"/>
                <w:sz w:val="24"/>
              </w:rPr>
              <w:t>2.本项目对监狱企业参与响应的价格给予10%的扣除，用扣除后的价格参与评审。</w:t>
            </w:r>
          </w:p>
          <w:p>
            <w:pPr>
              <w:widowControl/>
              <w:spacing w:line="276" w:lineRule="auto"/>
              <w:ind w:firstLine="243" w:firstLineChars="100"/>
              <w:jc w:val="left"/>
              <w:rPr>
                <w:rFonts w:ascii="宋体" w:hAnsi="宋体"/>
                <w:kern w:val="0"/>
                <w:sz w:val="24"/>
              </w:rPr>
            </w:pPr>
            <w:r>
              <w:rPr>
                <w:rFonts w:hint="eastAsia" w:ascii="宋体" w:hAnsi="宋体"/>
                <w:kern w:val="0"/>
                <w:sz w:val="24"/>
              </w:rPr>
              <w:t>3.监狱企业参加政府采购活动时，应当提供由省级以上监狱管理局、戒毒管理局(含新疆生产建设兵团)出具的属于监狱企业的证明文件。</w:t>
            </w:r>
          </w:p>
          <w:p>
            <w:pPr>
              <w:widowControl/>
              <w:spacing w:line="276" w:lineRule="auto"/>
              <w:ind w:firstLine="243" w:firstLineChars="100"/>
              <w:jc w:val="left"/>
              <w:rPr>
                <w:rFonts w:ascii="宋体" w:hAnsi="宋体"/>
                <w:kern w:val="0"/>
                <w:sz w:val="24"/>
              </w:rPr>
            </w:pPr>
            <w:r>
              <w:rPr>
                <w:rFonts w:hint="eastAsia" w:ascii="宋体" w:hAnsi="宋体"/>
                <w:kern w:val="0"/>
                <w:sz w:val="24"/>
              </w:rPr>
              <w:t>4.监狱企业属于小型、微型企业的，不重复享受政策。</w:t>
            </w:r>
          </w:p>
          <w:p>
            <w:pPr>
              <w:widowControl/>
              <w:spacing w:line="276" w:lineRule="auto"/>
              <w:ind w:firstLine="243" w:firstLineChars="100"/>
              <w:jc w:val="left"/>
              <w:rPr>
                <w:rFonts w:ascii="宋体" w:hAnsi="宋体"/>
                <w:b/>
                <w:kern w:val="0"/>
                <w:sz w:val="24"/>
              </w:rPr>
            </w:pPr>
            <w:r>
              <w:rPr>
                <w:rFonts w:hint="eastAsia" w:ascii="宋体" w:hAnsi="宋体"/>
                <w:b/>
                <w:kern w:val="0"/>
                <w:sz w:val="24"/>
              </w:rPr>
              <w:t>三、残疾人福利性单位价格扣除</w:t>
            </w:r>
          </w:p>
          <w:p>
            <w:pPr>
              <w:widowControl/>
              <w:spacing w:line="276" w:lineRule="auto"/>
              <w:ind w:firstLine="243" w:firstLineChars="100"/>
              <w:jc w:val="left"/>
              <w:rPr>
                <w:rFonts w:ascii="宋体" w:hAnsi="宋体"/>
                <w:kern w:val="0"/>
                <w:sz w:val="24"/>
              </w:rPr>
            </w:pPr>
            <w:r>
              <w:rPr>
                <w:rFonts w:hint="eastAsia" w:ascii="宋体" w:hAnsi="宋体"/>
                <w:kern w:val="0"/>
                <w:sz w:val="24"/>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widowControl/>
              <w:spacing w:line="276" w:lineRule="auto"/>
              <w:ind w:firstLine="243" w:firstLineChars="100"/>
              <w:jc w:val="left"/>
              <w:rPr>
                <w:rFonts w:ascii="宋体" w:hAnsi="宋体"/>
                <w:kern w:val="0"/>
                <w:sz w:val="24"/>
              </w:rPr>
            </w:pPr>
            <w:r>
              <w:rPr>
                <w:rFonts w:hint="eastAsia" w:ascii="宋体" w:hAnsi="宋体"/>
                <w:kern w:val="0"/>
                <w:sz w:val="24"/>
              </w:rPr>
              <w:t>2.本项目对残疾人福利性单位参与响应的价格给予10%的扣除，用扣除后的价格参与评审。</w:t>
            </w:r>
          </w:p>
          <w:p>
            <w:pPr>
              <w:widowControl/>
              <w:spacing w:line="276" w:lineRule="auto"/>
              <w:ind w:firstLine="243" w:firstLineChars="100"/>
              <w:jc w:val="left"/>
              <w:rPr>
                <w:rFonts w:ascii="宋体" w:hAnsi="宋体"/>
                <w:kern w:val="0"/>
                <w:sz w:val="24"/>
              </w:rPr>
            </w:pPr>
            <w:r>
              <w:rPr>
                <w:rFonts w:hint="eastAsia" w:ascii="宋体" w:hAnsi="宋体"/>
                <w:kern w:val="0"/>
                <w:sz w:val="24"/>
              </w:rPr>
              <w:t>3.残疾人福利性单位参加政府采购活动时，应当提供本通知规定的《残疾人福利性单位声明函》。</w:t>
            </w:r>
          </w:p>
          <w:p>
            <w:pPr>
              <w:widowControl/>
              <w:spacing w:line="276" w:lineRule="auto"/>
              <w:ind w:firstLine="243" w:firstLineChars="100"/>
              <w:jc w:val="left"/>
              <w:rPr>
                <w:rFonts w:ascii="宋体" w:hAnsi="宋体"/>
                <w:kern w:val="0"/>
                <w:sz w:val="24"/>
              </w:rPr>
            </w:pPr>
            <w:r>
              <w:rPr>
                <w:rFonts w:hint="eastAsia" w:ascii="宋体" w:hAnsi="宋体"/>
                <w:kern w:val="0"/>
                <w:sz w:val="24"/>
              </w:rPr>
              <w:t>4.供应商提供的《残疾人福利性单位声明函》与事实不符的，依照《政府采购法》第七十七条第一款的规定追究法律责任。</w:t>
            </w:r>
          </w:p>
          <w:p>
            <w:pPr>
              <w:widowControl/>
              <w:spacing w:line="276" w:lineRule="auto"/>
              <w:ind w:firstLine="243" w:firstLineChars="100"/>
              <w:jc w:val="left"/>
              <w:rPr>
                <w:rFonts w:asciiTheme="minorEastAsia" w:hAnsiTheme="minorEastAsia"/>
                <w:sz w:val="24"/>
              </w:rPr>
            </w:pPr>
            <w:r>
              <w:rPr>
                <w:rFonts w:hint="eastAsia" w:ascii="宋体" w:hAnsi="宋体"/>
                <w:kern w:val="0"/>
                <w:sz w:val="24"/>
              </w:rPr>
              <w:t>5.残疾人福利性单位属于小型、微型企业的，不重复享受政策。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69" w:hRule="atLeast"/>
          <w:jc w:val="center"/>
        </w:trPr>
        <w:tc>
          <w:tcPr>
            <w:tcW w:w="838" w:type="dxa"/>
            <w:vAlign w:val="center"/>
          </w:tcPr>
          <w:p>
            <w:pPr>
              <w:pStyle w:val="39"/>
              <w:spacing w:before="72" w:after="72"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4</w:t>
            </w:r>
          </w:p>
        </w:tc>
        <w:tc>
          <w:tcPr>
            <w:tcW w:w="2552" w:type="dxa"/>
            <w:vAlign w:val="center"/>
          </w:tcPr>
          <w:p>
            <w:pPr>
              <w:spacing w:line="360" w:lineRule="auto"/>
              <w:ind w:left="106" w:leftChars="50" w:right="106" w:rightChars="50"/>
              <w:jc w:val="center"/>
              <w:rPr>
                <w:rFonts w:asciiTheme="minorEastAsia" w:hAnsiTheme="minorEastAsia"/>
                <w:kern w:val="0"/>
                <w:sz w:val="24"/>
              </w:rPr>
            </w:pPr>
            <w:r>
              <w:rPr>
                <w:rFonts w:hint="eastAsia"/>
                <w:sz w:val="24"/>
              </w:rPr>
              <w:t>节能、环保及无线局域网产品政府采购政策（如涉及）</w:t>
            </w:r>
          </w:p>
        </w:tc>
        <w:tc>
          <w:tcPr>
            <w:tcW w:w="6111" w:type="dxa"/>
            <w:vAlign w:val="center"/>
          </w:tcPr>
          <w:p>
            <w:pPr>
              <w:widowControl/>
              <w:spacing w:line="360" w:lineRule="auto"/>
              <w:ind w:firstLine="243"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一、节能、环保产品政府采购政策</w:t>
            </w:r>
          </w:p>
          <w:p>
            <w:pPr>
              <w:widowControl/>
              <w:tabs>
                <w:tab w:val="left" w:pos="312"/>
              </w:tabs>
              <w:spacing w:line="276" w:lineRule="auto"/>
              <w:ind w:left="210"/>
              <w:jc w:val="left"/>
              <w:rPr>
                <w:sz w:val="24"/>
              </w:rPr>
            </w:pPr>
            <w:r>
              <w:rPr>
                <w:rFonts w:hint="eastAsia"/>
                <w:sz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本项目采购的产品属于品目清单强制采购范围的，供应商应按上述要求提供产品认证证书复印件并加盖供应商单位公章（鲜章），否则其响应文件按无效处理。（实质性要求）</w:t>
            </w:r>
          </w:p>
          <w:p>
            <w:pPr>
              <w:widowControl/>
              <w:tabs>
                <w:tab w:val="left" w:pos="312"/>
              </w:tabs>
              <w:spacing w:line="276" w:lineRule="auto"/>
              <w:ind w:left="210"/>
              <w:jc w:val="left"/>
              <w:rPr>
                <w:sz w:val="24"/>
              </w:rPr>
            </w:pPr>
            <w:r>
              <w:rPr>
                <w:rFonts w:hint="eastAsia"/>
                <w:sz w:val="24"/>
              </w:rPr>
              <w:t>本项目采购的产品属于品目清单优先采购范围的，当供应商的评审价相同时，优先采购其响应产品属于品目清单内的产品，供应商在响应文件中按上述要求提供产品认证证书复印件并加盖供应商单位公章（鲜章）。</w:t>
            </w:r>
          </w:p>
          <w:p>
            <w:pPr>
              <w:widowControl/>
              <w:tabs>
                <w:tab w:val="left" w:pos="312"/>
              </w:tabs>
              <w:spacing w:line="276" w:lineRule="auto"/>
              <w:ind w:left="210"/>
              <w:jc w:val="left"/>
              <w:rPr>
                <w:sz w:val="24"/>
              </w:rPr>
            </w:pPr>
            <w:r>
              <w:rPr>
                <w:rFonts w:hint="eastAsia"/>
                <w:sz w:val="24"/>
              </w:rPr>
              <w:t>注：对政府采购节能产品、环境标志产品实施品目清单管理。财政部、发展改革委、生态环境部等部门确定实施政府优先采购和强制采购的产品类别，以品目清单的形式发布并适时调整。</w:t>
            </w:r>
          </w:p>
          <w:p>
            <w:pPr>
              <w:widowControl/>
              <w:spacing w:line="276" w:lineRule="auto"/>
              <w:ind w:firstLine="243"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二、无线局域网产品政府采购政策</w:t>
            </w:r>
          </w:p>
          <w:p>
            <w:pPr>
              <w:pStyle w:val="57"/>
              <w:widowControl/>
              <w:spacing w:line="360" w:lineRule="auto"/>
              <w:ind w:left="219" w:leftChars="101" w:hanging="4" w:hangingChars="2"/>
              <w:jc w:val="left"/>
              <w:rPr>
                <w:rFonts w:asciiTheme="minorEastAsia" w:hAnsiTheme="minorEastAsia" w:eastAsiaTheme="minorEastAsia"/>
                <w:kern w:val="0"/>
                <w:sz w:val="24"/>
                <w:szCs w:val="24"/>
              </w:rPr>
            </w:pPr>
            <w:r>
              <w:rPr>
                <w:rFonts w:hint="eastAsia" w:ascii="Times New Roman" w:hAnsi="Times New Roman" w:eastAsia="宋体"/>
                <w:sz w:val="24"/>
                <w:szCs w:val="24"/>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2" w:hRule="atLeast"/>
          <w:jc w:val="center"/>
        </w:trPr>
        <w:tc>
          <w:tcPr>
            <w:tcW w:w="838" w:type="dxa"/>
            <w:vAlign w:val="center"/>
          </w:tcPr>
          <w:p>
            <w:pPr>
              <w:pStyle w:val="39"/>
              <w:spacing w:before="72" w:after="72"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5</w:t>
            </w:r>
          </w:p>
        </w:tc>
        <w:tc>
          <w:tcPr>
            <w:tcW w:w="2552" w:type="dxa"/>
            <w:vAlign w:val="center"/>
          </w:tcPr>
          <w:p>
            <w:pPr>
              <w:spacing w:line="360" w:lineRule="auto"/>
              <w:ind w:left="106" w:leftChars="50" w:right="106" w:rightChars="50"/>
              <w:jc w:val="center"/>
              <w:rPr>
                <w:rFonts w:asciiTheme="minorEastAsia" w:hAnsiTheme="minorEastAsia" w:eastAsiaTheme="minorEastAsia"/>
                <w:sz w:val="24"/>
              </w:rPr>
            </w:pPr>
            <w:r>
              <w:rPr>
                <w:rFonts w:hint="eastAsia" w:asciiTheme="minorEastAsia" w:hAnsiTheme="minorEastAsia" w:eastAsiaTheme="minorEastAsia"/>
                <w:kern w:val="0"/>
                <w:sz w:val="24"/>
              </w:rPr>
              <w:t>评标情况公告</w:t>
            </w:r>
          </w:p>
        </w:tc>
        <w:tc>
          <w:tcPr>
            <w:tcW w:w="6111" w:type="dxa"/>
            <w:vAlign w:val="center"/>
          </w:tcPr>
          <w:p>
            <w:pPr>
              <w:pStyle w:val="57"/>
              <w:widowControl/>
              <w:spacing w:line="360" w:lineRule="auto"/>
              <w:ind w:left="210" w:firstLine="0" w:firstLineChars="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zh-CN"/>
              </w:rPr>
              <w:t>所有供应商投标文件资格性、符合性检查情况、采用综合评分法时的总得分和分项汇总得分情况、评标结果等将在四川政府采购网上采购结果公告栏中予以公告。</w:t>
            </w:r>
          </w:p>
          <w:p>
            <w:pPr>
              <w:pStyle w:val="57"/>
              <w:widowControl/>
              <w:spacing w:line="360" w:lineRule="auto"/>
              <w:ind w:left="210" w:firstLine="0" w:firstLineChars="0"/>
              <w:jc w:val="left"/>
              <w:rPr>
                <w:rFonts w:asciiTheme="minorEastAsia" w:hAnsiTheme="minorEastAsia" w:eastAsiaTheme="minorEastAsia"/>
                <w:kern w:val="0"/>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val="zh-CN"/>
              </w:rPr>
              <w:t>根据《中华人民共和国政府采购法实施条例》第四十三条的规定，公告内容应当包括主要中标或者成交标的的名称、规格型号、数量、单价、服务要求以及评审专家名单。投标人须将投标文件中涉及商业秘密和知识产权的内容进行 标注和说明，若未进行标注和说明的，视为全部内容均可公布，采购人或者采 购代理机构对此不承担任何责任。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77" w:hRule="exact"/>
          <w:jc w:val="center"/>
        </w:trPr>
        <w:tc>
          <w:tcPr>
            <w:tcW w:w="838" w:type="dxa"/>
            <w:vAlign w:val="center"/>
          </w:tcPr>
          <w:p>
            <w:pPr>
              <w:pStyle w:val="39"/>
              <w:spacing w:line="360" w:lineRule="auto"/>
              <w:ind w:right="230"/>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6</w:t>
            </w:r>
          </w:p>
        </w:tc>
        <w:tc>
          <w:tcPr>
            <w:tcW w:w="2552" w:type="dxa"/>
            <w:vAlign w:val="center"/>
          </w:tcPr>
          <w:p>
            <w:pPr>
              <w:pStyle w:val="39"/>
              <w:spacing w:line="360" w:lineRule="auto"/>
              <w:ind w:left="96"/>
              <w:jc w:val="center"/>
              <w:rPr>
                <w:rFonts w:asciiTheme="minorEastAsia" w:hAnsiTheme="minorEastAsia" w:eastAsiaTheme="minorEastAsia"/>
                <w:lang w:val="zh-CN"/>
              </w:rPr>
            </w:pPr>
            <w:r>
              <w:rPr>
                <w:rFonts w:hint="eastAsia" w:asciiTheme="minorEastAsia" w:hAnsiTheme="minorEastAsia" w:eastAsiaTheme="minorEastAsia"/>
                <w:lang w:val="zh-CN"/>
              </w:rPr>
              <w:t>投标保证金</w:t>
            </w:r>
          </w:p>
        </w:tc>
        <w:tc>
          <w:tcPr>
            <w:tcW w:w="6111" w:type="dxa"/>
            <w:vAlign w:val="center"/>
          </w:tcPr>
          <w:p>
            <w:pPr>
              <w:pStyle w:val="39"/>
              <w:spacing w:line="360" w:lineRule="auto"/>
              <w:ind w:firstLine="243" w:firstLineChars="100"/>
              <w:jc w:val="both"/>
              <w:rPr>
                <w:rFonts w:asciiTheme="minorEastAsia" w:hAnsiTheme="minorEastAsia" w:eastAsiaTheme="minorEastAsia"/>
                <w:b/>
                <w:bCs/>
                <w:lang w:val="zh-CN"/>
              </w:rPr>
            </w:pPr>
            <w:r>
              <w:rPr>
                <w:rFonts w:hint="eastAsia" w:asciiTheme="minorEastAsia" w:hAnsiTheme="minorEastAsia" w:eastAsiaTheme="minorEastAsia"/>
                <w:lang w:val="zh-CN"/>
              </w:rPr>
              <w:t>根据川财采[2020]28号文《四川省财政厅关于进一步做好疫情防控期间政府采购工作有关事项的通知》，对疫情防控期间参加政府采购活动的供应商，本项目不收取投标保证金。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38" w:type="dxa"/>
            <w:vAlign w:val="center"/>
          </w:tcPr>
          <w:p>
            <w:pPr>
              <w:pStyle w:val="39"/>
              <w:spacing w:line="360" w:lineRule="auto"/>
              <w:ind w:right="230"/>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7</w:t>
            </w:r>
          </w:p>
        </w:tc>
        <w:tc>
          <w:tcPr>
            <w:tcW w:w="2552" w:type="dxa"/>
            <w:vAlign w:val="center"/>
          </w:tcPr>
          <w:p>
            <w:pPr>
              <w:pStyle w:val="39"/>
              <w:spacing w:line="360" w:lineRule="auto"/>
              <w:ind w:left="96"/>
              <w:jc w:val="center"/>
              <w:rPr>
                <w:rFonts w:asciiTheme="minorEastAsia" w:hAnsiTheme="minorEastAsia" w:eastAsiaTheme="minorEastAsia"/>
                <w:lang w:val="zh-CN"/>
              </w:rPr>
            </w:pPr>
            <w:r>
              <w:rPr>
                <w:rFonts w:hint="eastAsia" w:asciiTheme="minorEastAsia" w:hAnsiTheme="minorEastAsia" w:eastAsiaTheme="minorEastAsia"/>
                <w:lang w:val="zh-CN"/>
              </w:rPr>
              <w:t>履约保证金</w:t>
            </w:r>
          </w:p>
        </w:tc>
        <w:tc>
          <w:tcPr>
            <w:tcW w:w="6111" w:type="dxa"/>
            <w:vAlign w:val="center"/>
          </w:tcPr>
          <w:p>
            <w:pPr>
              <w:spacing w:line="360" w:lineRule="auto"/>
              <w:ind w:right="106" w:rightChars="50" w:firstLine="243" w:firstLineChars="100"/>
              <w:rPr>
                <w:rFonts w:asciiTheme="minorEastAsia" w:hAnsiTheme="minorEastAsia" w:eastAsiaTheme="minorEastAsia"/>
                <w:sz w:val="24"/>
              </w:rPr>
            </w:pPr>
            <w:r>
              <w:rPr>
                <w:rFonts w:hint="eastAsia" w:asciiTheme="minorEastAsia" w:hAnsiTheme="minorEastAsia" w:eastAsiaTheme="minorEastAsia"/>
                <w:sz w:val="24"/>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838" w:type="dxa"/>
            <w:tcBorders>
              <w:top w:val="single" w:color="auto" w:sz="4" w:space="0"/>
              <w:bottom w:val="single" w:color="auto" w:sz="4" w:space="0"/>
            </w:tcBorders>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8</w:t>
            </w:r>
          </w:p>
        </w:tc>
        <w:tc>
          <w:tcPr>
            <w:tcW w:w="2552" w:type="dxa"/>
            <w:tcBorders>
              <w:top w:val="single" w:color="auto" w:sz="4" w:space="0"/>
              <w:bottom w:val="single" w:color="auto" w:sz="4" w:space="0"/>
            </w:tcBorders>
            <w:vAlign w:val="center"/>
          </w:tcPr>
          <w:p>
            <w:pPr>
              <w:pStyle w:val="39"/>
              <w:spacing w:line="360" w:lineRule="auto"/>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采购文件咨询</w:t>
            </w:r>
          </w:p>
        </w:tc>
        <w:tc>
          <w:tcPr>
            <w:tcW w:w="6111" w:type="dxa"/>
            <w:tcBorders>
              <w:top w:val="single" w:color="auto" w:sz="4" w:space="0"/>
              <w:bottom w:val="single" w:color="auto" w:sz="4" w:space="0"/>
            </w:tcBorders>
          </w:tcPr>
          <w:p>
            <w:pPr>
              <w:spacing w:line="360" w:lineRule="auto"/>
              <w:ind w:right="106" w:rightChars="50" w:firstLine="243" w:firstLineChars="100"/>
              <w:rPr>
                <w:rFonts w:asciiTheme="minorEastAsia" w:hAnsiTheme="minorEastAsia" w:eastAsiaTheme="minorEastAsia"/>
                <w:sz w:val="24"/>
              </w:rPr>
            </w:pPr>
            <w:r>
              <w:rPr>
                <w:rFonts w:hint="eastAsia" w:asciiTheme="minorEastAsia" w:hAnsiTheme="minorEastAsia" w:eastAsiaTheme="minorEastAsia"/>
                <w:sz w:val="24"/>
              </w:rPr>
              <w:t>联系人：</w:t>
            </w:r>
            <w:r>
              <w:rPr>
                <w:rFonts w:hint="eastAsia" w:asciiTheme="minorEastAsia" w:hAnsiTheme="minorEastAsia" w:eastAsiaTheme="minorEastAsia"/>
                <w:sz w:val="24"/>
                <w:lang w:val="zh-CN"/>
              </w:rPr>
              <w:t>张女士。</w:t>
            </w:r>
            <w:r>
              <w:rPr>
                <w:rFonts w:hint="eastAsia" w:asciiTheme="minorEastAsia" w:hAnsiTheme="minorEastAsia" w:eastAsiaTheme="minorEastAsia"/>
                <w:sz w:val="24"/>
              </w:rPr>
              <w:t xml:space="preserve">       联系电话：</w:t>
            </w:r>
            <w:r>
              <w:rPr>
                <w:rFonts w:asciiTheme="minorEastAsia" w:hAnsiTheme="minorEastAsia" w:eastAsiaTheme="minorEastAsia"/>
                <w:sz w:val="24"/>
                <w:lang w:val="zh-CN"/>
              </w:rPr>
              <w:t>028-61383989</w:t>
            </w:r>
            <w:r>
              <w:rPr>
                <w:rFonts w:hint="eastAsia" w:asciiTheme="minorEastAsia" w:hAnsiTheme="minorEastAsia" w:eastAsiaTheme="minorEastAsia"/>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838" w:type="dxa"/>
            <w:tcBorders>
              <w:top w:val="single" w:color="auto" w:sz="4" w:space="0"/>
              <w:bottom w:val="single" w:color="auto" w:sz="4" w:space="0"/>
            </w:tcBorders>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9</w:t>
            </w:r>
          </w:p>
        </w:tc>
        <w:tc>
          <w:tcPr>
            <w:tcW w:w="2552" w:type="dxa"/>
            <w:tcBorders>
              <w:top w:val="single" w:color="auto" w:sz="4" w:space="0"/>
              <w:bottom w:val="single" w:color="auto" w:sz="4" w:space="0"/>
            </w:tcBorders>
          </w:tcPr>
          <w:p>
            <w:pPr>
              <w:pStyle w:val="39"/>
              <w:spacing w:line="360" w:lineRule="auto"/>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开标、评标工作咨询</w:t>
            </w:r>
          </w:p>
        </w:tc>
        <w:tc>
          <w:tcPr>
            <w:tcW w:w="6111" w:type="dxa"/>
            <w:tcBorders>
              <w:top w:val="single" w:color="auto" w:sz="4" w:space="0"/>
              <w:bottom w:val="single" w:color="auto" w:sz="4" w:space="0"/>
            </w:tcBorders>
          </w:tcPr>
          <w:p>
            <w:pPr>
              <w:spacing w:line="360" w:lineRule="auto"/>
              <w:ind w:right="106" w:rightChars="50" w:firstLine="243" w:firstLineChars="100"/>
              <w:rPr>
                <w:rFonts w:asciiTheme="minorEastAsia" w:hAnsiTheme="minorEastAsia" w:eastAsiaTheme="minorEastAsia"/>
                <w:sz w:val="24"/>
              </w:rPr>
            </w:pPr>
            <w:r>
              <w:rPr>
                <w:rFonts w:hint="eastAsia" w:asciiTheme="minorEastAsia" w:hAnsiTheme="minorEastAsia" w:eastAsiaTheme="minorEastAsia"/>
                <w:sz w:val="24"/>
              </w:rPr>
              <w:t>联系人：</w:t>
            </w:r>
            <w:r>
              <w:rPr>
                <w:rFonts w:hint="eastAsia" w:asciiTheme="minorEastAsia" w:hAnsiTheme="minorEastAsia" w:eastAsiaTheme="minorEastAsia"/>
                <w:sz w:val="24"/>
                <w:lang w:val="zh-CN"/>
              </w:rPr>
              <w:t>张女士。</w:t>
            </w:r>
            <w:r>
              <w:rPr>
                <w:rFonts w:hint="eastAsia" w:asciiTheme="minorEastAsia" w:hAnsiTheme="minorEastAsia" w:eastAsiaTheme="minorEastAsia"/>
                <w:sz w:val="24"/>
              </w:rPr>
              <w:t xml:space="preserve">       联系电话：</w:t>
            </w:r>
            <w:r>
              <w:rPr>
                <w:rFonts w:asciiTheme="minorEastAsia" w:hAnsiTheme="minorEastAsia" w:eastAsiaTheme="minorEastAsia"/>
                <w:sz w:val="24"/>
              </w:rPr>
              <w:t>028-61383989</w:t>
            </w:r>
            <w:r>
              <w:rPr>
                <w:rFonts w:hint="eastAsia" w:asciiTheme="minorEastAsia" w:hAnsiTheme="minorEastAsia" w:eastAsiaTheme="minorEastAsia"/>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0" w:hRule="atLeast"/>
          <w:jc w:val="center"/>
        </w:trPr>
        <w:tc>
          <w:tcPr>
            <w:tcW w:w="838" w:type="dxa"/>
            <w:tcBorders>
              <w:top w:val="single" w:color="auto" w:sz="4" w:space="0"/>
            </w:tcBorders>
            <w:vAlign w:val="center"/>
          </w:tcPr>
          <w:p>
            <w:pPr>
              <w:pStyle w:val="39"/>
              <w:spacing w:before="72" w:after="72"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10</w:t>
            </w:r>
          </w:p>
        </w:tc>
        <w:tc>
          <w:tcPr>
            <w:tcW w:w="2552" w:type="dxa"/>
            <w:tcBorders>
              <w:top w:val="single" w:color="auto" w:sz="4" w:space="0"/>
            </w:tcBorders>
            <w:vAlign w:val="center"/>
          </w:tcPr>
          <w:p>
            <w:pPr>
              <w:spacing w:line="360" w:lineRule="auto"/>
              <w:ind w:left="106" w:leftChars="50" w:right="106" w:rightChars="50"/>
              <w:jc w:val="center"/>
              <w:rPr>
                <w:rFonts w:asciiTheme="minorEastAsia" w:hAnsiTheme="minorEastAsia" w:eastAsiaTheme="minorEastAsia"/>
                <w:sz w:val="24"/>
              </w:rPr>
            </w:pPr>
            <w:r>
              <w:rPr>
                <w:rFonts w:hint="eastAsia" w:asciiTheme="minorEastAsia" w:hAnsiTheme="minorEastAsia" w:eastAsiaTheme="minorEastAsia"/>
                <w:sz w:val="24"/>
              </w:rPr>
              <w:t>中标通知书领取</w:t>
            </w:r>
          </w:p>
        </w:tc>
        <w:tc>
          <w:tcPr>
            <w:tcW w:w="6111" w:type="dxa"/>
            <w:tcBorders>
              <w:top w:val="single" w:color="auto" w:sz="4" w:space="0"/>
            </w:tcBorders>
            <w:vAlign w:val="center"/>
          </w:tcPr>
          <w:p>
            <w:pPr>
              <w:tabs>
                <w:tab w:val="left" w:pos="7665"/>
              </w:tabs>
              <w:spacing w:line="360" w:lineRule="auto"/>
              <w:ind w:firstLine="243" w:firstLineChars="100"/>
              <w:rPr>
                <w:rFonts w:asciiTheme="minorEastAsia" w:hAnsiTheme="minorEastAsia" w:eastAsiaTheme="minorEastAsia"/>
                <w:sz w:val="24"/>
                <w:lang w:val="zh-CN"/>
              </w:rPr>
            </w:pPr>
            <w:r>
              <w:rPr>
                <w:rFonts w:hint="eastAsia" w:asciiTheme="minorEastAsia" w:hAnsiTheme="minorEastAsia" w:eastAsiaTheme="minorEastAsia"/>
                <w:sz w:val="24"/>
              </w:rPr>
              <w:t>中标公告在四川政府采购网上公告后，请中标供应商凭有效身份证明证件到</w:t>
            </w:r>
            <w:r>
              <w:rPr>
                <w:rFonts w:hint="eastAsia" w:asciiTheme="minorEastAsia" w:hAnsiTheme="minorEastAsia" w:eastAsiaTheme="minorEastAsia"/>
                <w:sz w:val="24"/>
                <w:lang w:val="zh-CN"/>
              </w:rPr>
              <w:t>成都市高新区盛安街401号凯旋中心B座1907号</w:t>
            </w:r>
            <w:r>
              <w:rPr>
                <w:rFonts w:hint="eastAsia" w:asciiTheme="minorEastAsia" w:hAnsiTheme="minorEastAsia" w:eastAsiaTheme="minorEastAsia"/>
                <w:sz w:val="24"/>
              </w:rPr>
              <w:t>领取中标通知书。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38" w:type="dxa"/>
            <w:tcBorders>
              <w:top w:val="single" w:color="auto" w:sz="4" w:space="0"/>
            </w:tcBorders>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11</w:t>
            </w:r>
          </w:p>
        </w:tc>
        <w:tc>
          <w:tcPr>
            <w:tcW w:w="2552" w:type="dxa"/>
            <w:tcBorders>
              <w:top w:val="single" w:color="auto" w:sz="4" w:space="0"/>
            </w:tcBorders>
            <w:vAlign w:val="center"/>
          </w:tcPr>
          <w:p>
            <w:pPr>
              <w:pStyle w:val="39"/>
              <w:spacing w:line="360" w:lineRule="auto"/>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供应商询问</w:t>
            </w:r>
          </w:p>
        </w:tc>
        <w:tc>
          <w:tcPr>
            <w:tcW w:w="6111" w:type="dxa"/>
            <w:tcBorders>
              <w:top w:val="single" w:color="auto" w:sz="4" w:space="0"/>
            </w:tcBorders>
          </w:tcPr>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根据委托代理协议约定，供应商询问由采购代理机构</w:t>
            </w:r>
            <w:r>
              <w:rPr>
                <w:rFonts w:hint="eastAsia" w:asciiTheme="minorEastAsia" w:hAnsiTheme="minorEastAsia" w:eastAsiaTheme="minorEastAsia"/>
                <w:sz w:val="24"/>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4" w:hRule="atLeast"/>
          <w:jc w:val="center"/>
        </w:trPr>
        <w:tc>
          <w:tcPr>
            <w:tcW w:w="838" w:type="dxa"/>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12</w:t>
            </w:r>
          </w:p>
        </w:tc>
        <w:tc>
          <w:tcPr>
            <w:tcW w:w="2552" w:type="dxa"/>
            <w:vAlign w:val="center"/>
          </w:tcPr>
          <w:p>
            <w:pPr>
              <w:pStyle w:val="39"/>
              <w:spacing w:line="360" w:lineRule="auto"/>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供应商质疑</w:t>
            </w:r>
          </w:p>
        </w:tc>
        <w:tc>
          <w:tcPr>
            <w:tcW w:w="6111" w:type="dxa"/>
            <w:vAlign w:val="center"/>
          </w:tcPr>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1.根据委托代理协议约定，对于采购文件(招标文件技术条款和除政府采购法第二十二条之外的其他资格条件、专业商务要求)的质疑由采购人负责答复；对于采购过程或采购结果由四川中久招标代理有限公司负责答复。</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2.供应商提出质疑应当坚持依法依规、诚实信用原则；不得超出采购文件、采购过程、采购结果的范围，不得进行虚假、恶意质疑，不得以质疑为手段获取不当得利、实现非法目的。</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3.接收质疑函的方式：供应商在法定时间内以书面形式(原件)现场、邮寄或快递提交质疑函(邮寄以寄出的邮戳日期为准，快递以受送达人在签收单上签收之日为准)，逾期提交不予受理。</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联系人：</w:t>
            </w:r>
            <w:r>
              <w:rPr>
                <w:rFonts w:hint="eastAsia" w:asciiTheme="minorEastAsia" w:hAnsiTheme="minorEastAsia" w:eastAsiaTheme="minorEastAsia"/>
                <w:sz w:val="24"/>
                <w:lang w:val="zh-CN"/>
              </w:rPr>
              <w:t>张女士</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联系电话：028-61383989</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通讯地址：成都市高新区盛安街401号凯旋中心B座1907号</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邮编：610041</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注：①根据《中华人民共和国政府采购法》等法律法规规定，供应商质疑应当有明确的请求和必要的证明材料，须符合《政府采购质疑和投诉办法》(财政部第 94 号令)规定，并使用财政部下发《质疑函》范本。明确的请求是指：供应商对采购文件还是对采购过程还是对中标、成交结果提出质疑；想要达到的结果，如中标成交无效、废标、重新组织采购、赔偿、追究法律责任等；必要的证明材料是指：包含供应商的营业执照、授权委托书(法定代表人/主要负责人质疑时无需提供)、委托代理人身份证明、参加采购项目的证明、权益受到损害的证明材料、证明提出质疑的事实存在的材料等。如因供应商提出的质疑函不符合《政府采购质疑和投诉办法》(财政部令第 94号)第十二条的要求，四川中久招标代理有限公司或采购人将要求供应商在法定质疑期内进行质疑函补正，未进行补正或在法定质疑期内未进行补正的将不予受理。</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②供应商应当在法定质疑期内一次性提出针对同一采购程序环节的质疑，否则不予受理。</w:t>
            </w:r>
          </w:p>
          <w:p>
            <w:pPr>
              <w:spacing w:line="360" w:lineRule="auto"/>
              <w:ind w:right="106" w:rightChars="50" w:firstLine="243" w:firstLineChars="100"/>
              <w:jc w:val="left"/>
              <w:rPr>
                <w:sz w:val="24"/>
              </w:rPr>
            </w:pPr>
            <w:r>
              <w:rPr>
                <w:rFonts w:hint="eastAsia" w:asciiTheme="minorEastAsia" w:hAnsiTheme="minorEastAsia" w:eastAsiaTheme="minorEastAsia"/>
                <w:sz w:val="24"/>
              </w:rPr>
              <w:t>③质疑函可以现场提交或通过邮寄快递方式（只接受EMS或顺丰快递，且快递收到时间须在质疑有效期内，邮费自理，一概不接收到付的质疑函）提交到四川中久招标代理有限公司。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2" w:hRule="atLeast"/>
          <w:jc w:val="center"/>
        </w:trPr>
        <w:tc>
          <w:tcPr>
            <w:tcW w:w="838" w:type="dxa"/>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13</w:t>
            </w:r>
          </w:p>
        </w:tc>
        <w:tc>
          <w:tcPr>
            <w:tcW w:w="2552" w:type="dxa"/>
            <w:vAlign w:val="center"/>
          </w:tcPr>
          <w:p>
            <w:pPr>
              <w:pStyle w:val="39"/>
              <w:spacing w:line="360" w:lineRule="auto"/>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供应商投诉</w:t>
            </w:r>
          </w:p>
        </w:tc>
        <w:tc>
          <w:tcPr>
            <w:tcW w:w="6111" w:type="dxa"/>
            <w:vAlign w:val="center"/>
          </w:tcPr>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 xml:space="preserve">投诉受理单位：本采购项目同级财政部门，即都江堰市财政局。 </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联系电话：</w:t>
            </w:r>
            <w:r>
              <w:rPr>
                <w:rFonts w:asciiTheme="minorEastAsia" w:hAnsiTheme="minorEastAsia" w:eastAsiaTheme="minorEastAsia"/>
                <w:sz w:val="24"/>
              </w:rPr>
              <w:t>028-89747932</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地址：四川省成都市都江堰市善政路607号</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邮编：</w:t>
            </w:r>
            <w:r>
              <w:rPr>
                <w:rFonts w:asciiTheme="minorEastAsia" w:hAnsiTheme="minorEastAsia" w:eastAsiaTheme="minorEastAsia"/>
                <w:sz w:val="24"/>
              </w:rPr>
              <w:t>611830</w:t>
            </w:r>
          </w:p>
          <w:p>
            <w:pPr>
              <w:spacing w:line="360" w:lineRule="auto"/>
              <w:ind w:right="106" w:rightChars="50"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注：供应商投诉应当有明确的请求和必要的证明材料。供应商投诉的事项不得超出已质疑事项的范围，须符合《政府采购质疑和投诉办法》财政部第94号令规定。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38" w:type="dxa"/>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14</w:t>
            </w:r>
          </w:p>
        </w:tc>
        <w:tc>
          <w:tcPr>
            <w:tcW w:w="255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6111" w:type="dxa"/>
            <w:vAlign w:val="center"/>
          </w:tcPr>
          <w:p>
            <w:pPr>
              <w:spacing w:line="360" w:lineRule="auto"/>
              <w:ind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开标后60日历天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838" w:type="dxa"/>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15</w:t>
            </w:r>
          </w:p>
        </w:tc>
        <w:tc>
          <w:tcPr>
            <w:tcW w:w="255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投标文件份数</w:t>
            </w:r>
          </w:p>
        </w:tc>
        <w:tc>
          <w:tcPr>
            <w:tcW w:w="6111" w:type="dxa"/>
            <w:vAlign w:val="center"/>
          </w:tcPr>
          <w:p>
            <w:pPr>
              <w:spacing w:line="360" w:lineRule="auto"/>
              <w:ind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正本1份、副本2份和相应的电子文档1份，以及用于开标唱标单独提交的“开标一览表”（1份）</w:t>
            </w:r>
            <w:r>
              <w:rPr>
                <w:rFonts w:hint="eastAsia" w:ascii="宋体" w:hAnsi="宋体"/>
                <w:b/>
                <w:kern w:val="0"/>
                <w:sz w:val="24"/>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838" w:type="dxa"/>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16</w:t>
            </w:r>
          </w:p>
        </w:tc>
        <w:tc>
          <w:tcPr>
            <w:tcW w:w="255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投标文件、开标一览表、电子文档的密封</w:t>
            </w:r>
          </w:p>
        </w:tc>
        <w:tc>
          <w:tcPr>
            <w:tcW w:w="6111" w:type="dxa"/>
            <w:vAlign w:val="center"/>
          </w:tcPr>
          <w:p>
            <w:pPr>
              <w:tabs>
                <w:tab w:val="left" w:pos="1080"/>
              </w:tabs>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投标人应在投标文件正本和所有副本的封面上注明“资格性投标文件/其他投标文件、正本/副本、投标人名称、项目名称、招标编号”。</w:t>
            </w:r>
          </w:p>
          <w:p>
            <w:pPr>
              <w:tabs>
                <w:tab w:val="left" w:pos="1080"/>
              </w:tabs>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投标文件包括资格性投标文件正本及副本、其他投标文件正本及副本、电子文档和用于开标唱标单独提交的“开标一览表”。投标文件应当密封，其中，“开标一览表”单独密封。资格性投标文件的正本、副本、电子文档可单独密封，也可以密封于一件包装内。其他投标文件的正本、副本、电子文档可单独密封，也可以密封于一件包装内。</w:t>
            </w:r>
          </w:p>
          <w:p>
            <w:pPr>
              <w:spacing w:line="360" w:lineRule="auto"/>
              <w:ind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投标文件的密封袋上应当注明资格性投标文件/其他投标文件/开标一览表/电子文档、投标人名称、项目名称、招标编号。</w:t>
            </w:r>
            <w:r>
              <w:rPr>
                <w:rFonts w:hint="eastAsia" w:ascii="宋体" w:hAnsi="宋体"/>
                <w:b/>
                <w:kern w:val="0"/>
                <w:sz w:val="24"/>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838" w:type="dxa"/>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17</w:t>
            </w:r>
          </w:p>
        </w:tc>
        <w:tc>
          <w:tcPr>
            <w:tcW w:w="255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投标文件递交签到说明</w:t>
            </w:r>
          </w:p>
        </w:tc>
        <w:tc>
          <w:tcPr>
            <w:tcW w:w="6111" w:type="dxa"/>
            <w:vAlign w:val="center"/>
          </w:tcPr>
          <w:p>
            <w:pPr>
              <w:spacing w:line="360" w:lineRule="auto"/>
              <w:ind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投标人签到时须提供投标文件递交签收表一式2份</w:t>
            </w:r>
            <w:r>
              <w:rPr>
                <w:rFonts w:hint="eastAsia" w:asciiTheme="minorEastAsia" w:hAnsiTheme="minorEastAsia" w:eastAsiaTheme="minorEastAsia"/>
                <w:b/>
                <w:sz w:val="24"/>
              </w:rPr>
              <w:t>（详见招标文件附件一）</w:t>
            </w:r>
            <w:r>
              <w:rPr>
                <w:rFonts w:hint="eastAsia" w:asciiTheme="minorEastAsia" w:hAnsiTheme="minorEastAsia" w:eastAsiaTheme="minorEastAsia"/>
                <w:sz w:val="24"/>
              </w:rPr>
              <w:t>，</w:t>
            </w:r>
            <w:r>
              <w:rPr>
                <w:rFonts w:hint="eastAsia" w:cs="宋体" w:asciiTheme="minorEastAsia" w:hAnsiTheme="minorEastAsia" w:eastAsiaTheme="minorEastAsia"/>
                <w:sz w:val="24"/>
              </w:rPr>
              <w:t>接收人签字后生效，由递交人和接收人各执一份。</w:t>
            </w:r>
            <w:r>
              <w:rPr>
                <w:rFonts w:hint="eastAsia" w:ascii="宋体" w:hAnsi="宋体"/>
                <w:b/>
                <w:kern w:val="0"/>
                <w:sz w:val="24"/>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838" w:type="dxa"/>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18</w:t>
            </w:r>
          </w:p>
        </w:tc>
        <w:tc>
          <w:tcPr>
            <w:tcW w:w="255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原件要求</w:t>
            </w:r>
          </w:p>
        </w:tc>
        <w:tc>
          <w:tcPr>
            <w:tcW w:w="6111" w:type="dxa"/>
            <w:vAlign w:val="center"/>
          </w:tcPr>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招标文件要求提供原件的，投标供应商在开评标时应提供原件以供评标委员会需要时查验。</w:t>
            </w:r>
          </w:p>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评标委员会要求投标人提供原件查验的，投标人应在30分钟内提供，未及时提供原件查验造成评标委员会做出不利决定由投标人自行承担责任。</w:t>
            </w:r>
            <w:r>
              <w:rPr>
                <w:rFonts w:hint="eastAsia" w:ascii="宋体" w:hAnsi="宋体"/>
                <w:b/>
                <w:kern w:val="0"/>
                <w:sz w:val="24"/>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838" w:type="dxa"/>
            <w:vAlign w:val="center"/>
          </w:tcPr>
          <w:p>
            <w:pPr>
              <w:pStyle w:val="39"/>
              <w:spacing w:line="360" w:lineRule="auto"/>
              <w:ind w:right="264"/>
              <w:jc w:val="center"/>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19</w:t>
            </w:r>
          </w:p>
        </w:tc>
        <w:tc>
          <w:tcPr>
            <w:tcW w:w="255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资格审查</w:t>
            </w:r>
          </w:p>
        </w:tc>
        <w:tc>
          <w:tcPr>
            <w:tcW w:w="6111" w:type="dxa"/>
            <w:vAlign w:val="center"/>
          </w:tcPr>
          <w:p>
            <w:pPr>
              <w:autoSpaceDE w:val="0"/>
              <w:autoSpaceDN w:val="0"/>
              <w:adjustRightInd w:val="0"/>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开标结束后，由</w:t>
            </w:r>
            <w:r>
              <w:rPr>
                <w:rFonts w:hint="eastAsia" w:asciiTheme="minorEastAsia" w:hAnsiTheme="minorEastAsia" w:eastAsiaTheme="minorEastAsia"/>
                <w:b/>
                <w:sz w:val="24"/>
                <w:u w:val="single"/>
              </w:rPr>
              <w:t>采购人</w:t>
            </w:r>
            <w:r>
              <w:rPr>
                <w:rFonts w:hint="eastAsia" w:asciiTheme="minorEastAsia" w:hAnsiTheme="minorEastAsia" w:eastAsiaTheme="minorEastAsia"/>
                <w:sz w:val="24"/>
              </w:rPr>
              <w:t>依据本招标文件的要求对投标人资格进行审查，合格的投标人不足3家的，不进入评标环节。</w:t>
            </w:r>
          </w:p>
          <w:p>
            <w:pPr>
              <w:autoSpaceDE w:val="0"/>
              <w:autoSpaceDN w:val="0"/>
              <w:adjustRightInd w:val="0"/>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资格审查内容：供应商须提供招标文件第五章要求的资格性证明材料。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9" w:hRule="atLeast"/>
          <w:jc w:val="center"/>
        </w:trPr>
        <w:tc>
          <w:tcPr>
            <w:tcW w:w="838" w:type="dxa"/>
            <w:vAlign w:val="center"/>
          </w:tcPr>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20</w:t>
            </w:r>
          </w:p>
        </w:tc>
        <w:tc>
          <w:tcPr>
            <w:tcW w:w="2552" w:type="dxa"/>
            <w:tcBorders>
              <w:right w:val="single" w:color="auto" w:sz="4" w:space="0"/>
            </w:tcBorders>
          </w:tcPr>
          <w:p>
            <w:pPr>
              <w:spacing w:line="360" w:lineRule="auto"/>
              <w:jc w:val="center"/>
              <w:rPr>
                <w:rFonts w:asciiTheme="minorEastAsia" w:hAnsiTheme="minorEastAsia" w:eastAsiaTheme="minorEastAsia"/>
                <w:sz w:val="24"/>
              </w:rPr>
            </w:pPr>
          </w:p>
          <w:p>
            <w:pPr>
              <w:spacing w:line="360" w:lineRule="auto"/>
              <w:ind w:firstLine="121" w:firstLineChars="50"/>
              <w:jc w:val="center"/>
              <w:rPr>
                <w:rFonts w:asciiTheme="minorEastAsia" w:hAnsiTheme="minorEastAsia" w:eastAsiaTheme="minorEastAsia"/>
                <w:sz w:val="24"/>
              </w:rPr>
            </w:pPr>
            <w:r>
              <w:rPr>
                <w:rFonts w:hint="eastAsia" w:asciiTheme="minorEastAsia" w:hAnsiTheme="minorEastAsia" w:eastAsiaTheme="minorEastAsia"/>
                <w:sz w:val="24"/>
              </w:rPr>
              <w:t>政府采购合同</w:t>
            </w:r>
          </w:p>
          <w:p>
            <w:pPr>
              <w:spacing w:line="360" w:lineRule="auto"/>
              <w:ind w:firstLine="121" w:firstLineChars="50"/>
              <w:jc w:val="center"/>
              <w:rPr>
                <w:rFonts w:asciiTheme="minorEastAsia" w:hAnsiTheme="minorEastAsia" w:eastAsiaTheme="minorEastAsia"/>
                <w:sz w:val="24"/>
              </w:rPr>
            </w:pPr>
            <w:r>
              <w:rPr>
                <w:rFonts w:hint="eastAsia" w:asciiTheme="minorEastAsia" w:hAnsiTheme="minorEastAsia" w:eastAsiaTheme="minorEastAsia"/>
                <w:sz w:val="24"/>
              </w:rPr>
              <w:t>公告备案</w:t>
            </w:r>
          </w:p>
        </w:tc>
        <w:tc>
          <w:tcPr>
            <w:tcW w:w="6111" w:type="dxa"/>
            <w:tcBorders>
              <w:left w:val="single" w:color="auto" w:sz="4" w:space="0"/>
            </w:tcBorders>
          </w:tcPr>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政府采购合同签订之日起2个工作日内，政府采购合同将在四川政府采购网公告；政府采购合同签订之日起七个工作日内，政府采购合同将向本采购项目同级财政部门，即</w:t>
            </w:r>
            <w:r>
              <w:rPr>
                <w:rFonts w:hint="eastAsia" w:asciiTheme="minorEastAsia" w:hAnsiTheme="minorEastAsia" w:eastAsiaTheme="minorEastAsia"/>
                <w:b/>
                <w:bCs/>
                <w:sz w:val="24"/>
              </w:rPr>
              <w:t>都江堰</w:t>
            </w:r>
            <w:r>
              <w:rPr>
                <w:rFonts w:hint="eastAsia" w:asciiTheme="minorEastAsia" w:hAnsiTheme="minorEastAsia" w:eastAsiaTheme="minorEastAsia"/>
                <w:b/>
                <w:sz w:val="24"/>
              </w:rPr>
              <w:t>财政局</w:t>
            </w:r>
            <w:r>
              <w:rPr>
                <w:rFonts w:hint="eastAsia" w:asciiTheme="minorEastAsia" w:hAnsiTheme="minorEastAsia" w:eastAsiaTheme="minorEastAsia"/>
                <w:sz w:val="24"/>
                <w:lang w:val="zh-CN"/>
              </w:rPr>
              <w:t xml:space="preserve">备案。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2" w:hRule="atLeast"/>
          <w:jc w:val="center"/>
        </w:trPr>
        <w:tc>
          <w:tcPr>
            <w:tcW w:w="838" w:type="dxa"/>
            <w:vAlign w:val="center"/>
          </w:tcPr>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21</w:t>
            </w:r>
          </w:p>
        </w:tc>
        <w:tc>
          <w:tcPr>
            <w:tcW w:w="2552" w:type="dxa"/>
            <w:tcBorders>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代理服务费</w:t>
            </w:r>
          </w:p>
        </w:tc>
        <w:tc>
          <w:tcPr>
            <w:tcW w:w="6111" w:type="dxa"/>
            <w:tcBorders>
              <w:left w:val="single" w:color="auto" w:sz="4" w:space="0"/>
            </w:tcBorders>
            <w:vAlign w:val="center"/>
          </w:tcPr>
          <w:p>
            <w:pPr>
              <w:spacing w:line="360" w:lineRule="auto"/>
              <w:ind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该费用参照《招标代理服务收费管理暂行办法》（计价格〔2002〕1980号）和《国家发展改革委办公厅关于招标代理服务收费有关问题的通知》（发改办价格〔2003〕857号以及《国家发展改革委关于进一步放开建设项目专业服务价格的通知》（发改价格（2015）299号）等文件的规定定额</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000元（大写:</w:t>
            </w:r>
            <w:r>
              <w:rPr>
                <w:rFonts w:hint="eastAsia" w:asciiTheme="minorEastAsia" w:hAnsiTheme="minorEastAsia" w:eastAsiaTheme="minorEastAsia"/>
                <w:sz w:val="24"/>
                <w:lang w:val="en-US" w:eastAsia="zh-CN"/>
              </w:rPr>
              <w:t>壹万</w:t>
            </w:r>
            <w:r>
              <w:rPr>
                <w:rFonts w:hint="eastAsia" w:asciiTheme="minorEastAsia" w:hAnsiTheme="minorEastAsia" w:eastAsiaTheme="minorEastAsia"/>
                <w:sz w:val="24"/>
              </w:rPr>
              <w:t>元整）计取，由中标供应商在领取中标通知书时向采购代理机构一次性支付。</w:t>
            </w:r>
          </w:p>
          <w:p>
            <w:pPr>
              <w:spacing w:line="360" w:lineRule="auto"/>
              <w:ind w:firstLine="243" w:firstLineChars="100"/>
              <w:jc w:val="left"/>
              <w:rPr>
                <w:rFonts w:asciiTheme="minorEastAsia" w:hAnsiTheme="minorEastAsia" w:eastAsiaTheme="minorEastAsia"/>
                <w:b/>
                <w:sz w:val="24"/>
              </w:rPr>
            </w:pPr>
            <w:r>
              <w:rPr>
                <w:rFonts w:hint="eastAsia" w:asciiTheme="minorEastAsia" w:hAnsiTheme="minorEastAsia" w:eastAsiaTheme="minorEastAsia"/>
                <w:b/>
                <w:sz w:val="24"/>
              </w:rPr>
              <w:t>收款名称：四川中久招标代理有限公司</w:t>
            </w:r>
          </w:p>
          <w:p>
            <w:pPr>
              <w:spacing w:line="360" w:lineRule="auto"/>
              <w:ind w:firstLine="243" w:firstLineChars="100"/>
              <w:jc w:val="left"/>
              <w:rPr>
                <w:rFonts w:asciiTheme="minorEastAsia" w:hAnsiTheme="minorEastAsia" w:eastAsiaTheme="minorEastAsia"/>
                <w:b/>
                <w:sz w:val="24"/>
              </w:rPr>
            </w:pPr>
            <w:r>
              <w:rPr>
                <w:rFonts w:hint="eastAsia" w:asciiTheme="minorEastAsia" w:hAnsiTheme="minorEastAsia" w:eastAsiaTheme="minorEastAsia"/>
                <w:b/>
                <w:sz w:val="24"/>
              </w:rPr>
              <w:t>开户银行：中</w:t>
            </w:r>
            <w:bookmarkStart w:id="164" w:name="_GoBack"/>
            <w:bookmarkEnd w:id="164"/>
            <w:r>
              <w:rPr>
                <w:rFonts w:hint="eastAsia" w:asciiTheme="minorEastAsia" w:hAnsiTheme="minorEastAsia" w:eastAsiaTheme="minorEastAsia"/>
                <w:b/>
                <w:sz w:val="24"/>
              </w:rPr>
              <w:t>国民生银行股份有限公司成都铁像寺支行</w:t>
            </w:r>
          </w:p>
          <w:p>
            <w:pPr>
              <w:spacing w:line="360" w:lineRule="auto"/>
              <w:ind w:firstLine="243" w:firstLineChars="100"/>
              <w:jc w:val="left"/>
              <w:rPr>
                <w:rFonts w:asciiTheme="minorEastAsia" w:hAnsiTheme="minorEastAsia" w:eastAsiaTheme="minorEastAsia"/>
                <w:sz w:val="24"/>
              </w:rPr>
            </w:pPr>
            <w:r>
              <w:rPr>
                <w:rFonts w:hint="eastAsia" w:asciiTheme="minorEastAsia" w:hAnsiTheme="minorEastAsia" w:eastAsiaTheme="minorEastAsia"/>
                <w:b/>
                <w:sz w:val="24"/>
              </w:rPr>
              <w:t>账    号：696950173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4" w:hRule="atLeast"/>
          <w:jc w:val="center"/>
        </w:trPr>
        <w:tc>
          <w:tcPr>
            <w:tcW w:w="838" w:type="dxa"/>
            <w:vAlign w:val="center"/>
          </w:tcPr>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22</w:t>
            </w:r>
          </w:p>
        </w:tc>
        <w:tc>
          <w:tcPr>
            <w:tcW w:w="2552" w:type="dxa"/>
            <w:tcBorders>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构成招标文件的</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其他文件</w:t>
            </w:r>
          </w:p>
        </w:tc>
        <w:tc>
          <w:tcPr>
            <w:tcW w:w="6111" w:type="dxa"/>
            <w:tcBorders>
              <w:left w:val="single" w:color="auto" w:sz="4" w:space="0"/>
            </w:tcBorders>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4" w:hRule="atLeast"/>
          <w:jc w:val="center"/>
        </w:trPr>
        <w:tc>
          <w:tcPr>
            <w:tcW w:w="838" w:type="dxa"/>
            <w:vAlign w:val="center"/>
          </w:tcPr>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23</w:t>
            </w:r>
          </w:p>
        </w:tc>
        <w:tc>
          <w:tcPr>
            <w:tcW w:w="2552" w:type="dxa"/>
            <w:tcBorders>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温馨提示</w:t>
            </w:r>
          </w:p>
        </w:tc>
        <w:tc>
          <w:tcPr>
            <w:tcW w:w="6111" w:type="dxa"/>
            <w:tcBorders>
              <w:left w:val="single" w:color="auto" w:sz="4" w:space="0"/>
            </w:tcBorders>
            <w:vAlign w:val="center"/>
          </w:tcPr>
          <w:p>
            <w:pPr>
              <w:spacing w:line="360" w:lineRule="auto"/>
              <w:ind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供应商需准备全流程所必需的硬件设备包括电脑（版本 win7 64位及以上）、麦克风、摄像头、CA证书等。建议使用同一台电脑完成投标、评标相关事宜，推荐安装 chrome 浏览器，且解密CA必须和加密CA为同一把。</w:t>
            </w:r>
          </w:p>
          <w:p>
            <w:pPr>
              <w:spacing w:line="360" w:lineRule="auto"/>
              <w:ind w:firstLine="243" w:firstLineChars="100"/>
              <w:jc w:val="left"/>
              <w:rPr>
                <w:rFonts w:asciiTheme="minorEastAsia" w:hAnsiTheme="minorEastAsia" w:eastAsiaTheme="minorEastAsia"/>
                <w:sz w:val="24"/>
              </w:rPr>
            </w:pPr>
            <w:r>
              <w:rPr>
                <w:rFonts w:hint="eastAsia" w:asciiTheme="minorEastAsia" w:hAnsiTheme="minorEastAsia" w:eastAsiaTheme="minorEastAsia"/>
                <w:sz w:val="24"/>
              </w:rPr>
              <w:t>2.政府采购云平台供应商注册地址：</w:t>
            </w:r>
          </w:p>
          <w:p>
            <w:pPr>
              <w:spacing w:line="360" w:lineRule="auto"/>
              <w:ind w:firstLine="243" w:firstLineChars="100"/>
              <w:jc w:val="left"/>
              <w:rPr>
                <w:rFonts w:asciiTheme="minorEastAsia" w:hAnsiTheme="minorEastAsia" w:eastAsiaTheme="minorEastAsia"/>
                <w:sz w:val="24"/>
              </w:rPr>
            </w:pPr>
            <w:r>
              <w:rPr>
                <w:rFonts w:asciiTheme="minorEastAsia" w:hAnsiTheme="minorEastAsia" w:eastAsiaTheme="minorEastAsia"/>
                <w:sz w:val="24"/>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atLeast"/>
          <w:jc w:val="center"/>
        </w:trPr>
        <w:tc>
          <w:tcPr>
            <w:tcW w:w="838" w:type="dxa"/>
            <w:vAlign w:val="center"/>
          </w:tcPr>
          <w:p>
            <w:pPr>
              <w:spacing w:line="360" w:lineRule="auto"/>
              <w:ind w:firstLine="243" w:firstLineChars="100"/>
              <w:rPr>
                <w:rFonts w:asciiTheme="minorEastAsia" w:hAnsiTheme="minorEastAsia" w:eastAsiaTheme="minorEastAsia"/>
                <w:sz w:val="24"/>
              </w:rPr>
            </w:pPr>
            <w:r>
              <w:rPr>
                <w:rFonts w:hint="eastAsia" w:asciiTheme="minorEastAsia" w:hAnsiTheme="minorEastAsia" w:eastAsiaTheme="minorEastAsia"/>
                <w:sz w:val="24"/>
              </w:rPr>
              <w:t>24</w:t>
            </w:r>
          </w:p>
        </w:tc>
        <w:tc>
          <w:tcPr>
            <w:tcW w:w="8663" w:type="dxa"/>
            <w:gridSpan w:val="2"/>
            <w:vAlign w:val="center"/>
          </w:tcPr>
          <w:p>
            <w:pPr>
              <w:pStyle w:val="39"/>
              <w:spacing w:line="360" w:lineRule="auto"/>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投标人须知附表与招标文件其他内容不一致时，以投标人须知前附表为准。</w:t>
            </w:r>
          </w:p>
        </w:tc>
      </w:tr>
    </w:tbl>
    <w:p>
      <w:pPr>
        <w:pStyle w:val="4"/>
        <w:spacing w:line="400" w:lineRule="exact"/>
        <w:jc w:val="center"/>
        <w:rPr>
          <w:rFonts w:asciiTheme="minorEastAsia" w:hAnsiTheme="minorEastAsia" w:eastAsiaTheme="minorEastAsia"/>
          <w:bCs w:val="0"/>
          <w:sz w:val="24"/>
          <w:szCs w:val="24"/>
        </w:rPr>
      </w:pPr>
    </w:p>
    <w:p>
      <w:pPr>
        <w:pStyle w:val="27"/>
        <w:rPr>
          <w:rFonts w:asciiTheme="minorEastAsia" w:hAnsiTheme="minorEastAsia" w:eastAsiaTheme="minorEastAsia"/>
          <w:szCs w:val="32"/>
        </w:rPr>
      </w:pPr>
      <w:r>
        <w:rPr>
          <w:rFonts w:asciiTheme="minorEastAsia" w:hAnsiTheme="minorEastAsia" w:eastAsiaTheme="minorEastAsia"/>
        </w:rPr>
        <w:br w:type="page"/>
      </w:r>
    </w:p>
    <w:p>
      <w:pPr>
        <w:pStyle w:val="4"/>
        <w:spacing w:line="400" w:lineRule="exact"/>
        <w:jc w:val="center"/>
        <w:rPr>
          <w:rFonts w:asciiTheme="minorEastAsia" w:hAnsiTheme="minorEastAsia" w:eastAsiaTheme="minorEastAsia"/>
          <w:bCs w:val="0"/>
          <w:sz w:val="28"/>
        </w:rPr>
      </w:pPr>
      <w:r>
        <w:rPr>
          <w:rFonts w:hint="eastAsia" w:asciiTheme="minorEastAsia" w:hAnsiTheme="minorEastAsia" w:eastAsiaTheme="minorEastAsia"/>
          <w:bCs w:val="0"/>
          <w:sz w:val="28"/>
        </w:rPr>
        <w:t>二、总  则</w:t>
      </w:r>
    </w:p>
    <w:p>
      <w:pPr>
        <w:spacing w:after="240" w:line="360" w:lineRule="auto"/>
        <w:rPr>
          <w:rFonts w:cs="宋体" w:asciiTheme="minorEastAsia" w:hAnsiTheme="minorEastAsia" w:eastAsiaTheme="minorEastAsia"/>
          <w:b/>
          <w:sz w:val="24"/>
        </w:rPr>
      </w:pPr>
      <w:bookmarkStart w:id="7" w:name="_Toc183582205"/>
      <w:bookmarkStart w:id="8" w:name="_Toc183682342"/>
      <w:bookmarkStart w:id="9" w:name="_Toc217446034"/>
      <w:r>
        <w:rPr>
          <w:rFonts w:hint="eastAsia" w:cs="宋体" w:asciiTheme="minorEastAsia" w:hAnsiTheme="minorEastAsia" w:eastAsiaTheme="minorEastAsia"/>
          <w:b/>
          <w:sz w:val="24"/>
        </w:rPr>
        <w:t>1. 适用范围</w:t>
      </w:r>
    </w:p>
    <w:p>
      <w:pPr>
        <w:tabs>
          <w:tab w:val="left" w:pos="7665"/>
        </w:tabs>
        <w:spacing w:line="360"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 本招标文件仅适用于本次公开招标采购项目。</w:t>
      </w:r>
    </w:p>
    <w:p>
      <w:pPr>
        <w:spacing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 有关定义</w:t>
      </w:r>
    </w:p>
    <w:p>
      <w:pPr>
        <w:spacing w:line="360" w:lineRule="auto"/>
        <w:rPr>
          <w:rFonts w:asciiTheme="minorEastAsia" w:hAnsiTheme="minorEastAsia" w:eastAsiaTheme="minorEastAsia"/>
          <w:sz w:val="24"/>
          <w:shd w:val="clear" w:color="auto" w:fill="FAFAFA"/>
        </w:rPr>
      </w:pPr>
      <w:r>
        <w:rPr>
          <w:rFonts w:hint="eastAsia" w:cs="宋体" w:asciiTheme="minorEastAsia" w:hAnsiTheme="minorEastAsia" w:eastAsiaTheme="minorEastAsia"/>
          <w:sz w:val="24"/>
        </w:rPr>
        <w:t xml:space="preserve">    2.1 “采购人”系指依法进行政府采购的国家机关、事业单位、团体组织。本次招标的采购人是</w:t>
      </w:r>
      <w:r>
        <w:rPr>
          <w:rFonts w:hint="eastAsia" w:cs="宋体" w:asciiTheme="minorEastAsia" w:hAnsiTheme="minorEastAsia" w:eastAsiaTheme="minorEastAsia"/>
          <w:b/>
          <w:bCs/>
          <w:sz w:val="24"/>
          <w:u w:val="single"/>
        </w:rPr>
        <w:t>都江堰市融媒体中心。</w:t>
      </w:r>
    </w:p>
    <w:p>
      <w:pPr>
        <w:tabs>
          <w:tab w:val="left" w:pos="7665"/>
        </w:tabs>
        <w:spacing w:line="360"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“采购代理机构” 系指根据采购人的委托依法办理招标事宜的采购机构。本次招标的采购代理机构是</w:t>
      </w:r>
      <w:r>
        <w:rPr>
          <w:rFonts w:hint="eastAsia" w:cs="宋体" w:asciiTheme="minorEastAsia" w:hAnsiTheme="minorEastAsia" w:eastAsiaTheme="minorEastAsia"/>
          <w:sz w:val="24"/>
          <w:u w:val="single"/>
        </w:rPr>
        <w:t>四川中久招标代理有限公司</w:t>
      </w:r>
      <w:r>
        <w:rPr>
          <w:rFonts w:hint="eastAsia" w:cs="宋体" w:asciiTheme="minorEastAsia" w:hAnsiTheme="minorEastAsia" w:eastAsiaTheme="minorEastAsia"/>
          <w:sz w:val="24"/>
        </w:rPr>
        <w:t>（简称“招标人”）。</w:t>
      </w:r>
    </w:p>
    <w:p>
      <w:pPr>
        <w:tabs>
          <w:tab w:val="left" w:pos="7665"/>
        </w:tabs>
        <w:spacing w:line="360"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“招标采购单位”系指“采购人”和“采购代理机构”的统称。</w:t>
      </w:r>
    </w:p>
    <w:p>
      <w:pPr>
        <w:tabs>
          <w:tab w:val="left" w:pos="7665"/>
        </w:tabs>
        <w:spacing w:line="360"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“投标人”系指购买了招标文件拟参加投标和向采购人提供相应服务的潜在供应商。</w:t>
      </w:r>
    </w:p>
    <w:p>
      <w:pPr>
        <w:spacing w:after="240" w:line="360" w:lineRule="auto"/>
        <w:rPr>
          <w:rFonts w:cs="宋体" w:asciiTheme="minorEastAsia" w:hAnsiTheme="minorEastAsia" w:eastAsiaTheme="minorEastAsia"/>
          <w:b/>
          <w:sz w:val="24"/>
        </w:rPr>
      </w:pPr>
      <w:bookmarkStart w:id="10" w:name="_Toc183582207"/>
      <w:bookmarkStart w:id="11" w:name="_Toc217390843"/>
      <w:bookmarkStart w:id="12" w:name="_Toc183682344"/>
      <w:bookmarkStart w:id="13" w:name="_Toc217446036"/>
      <w:r>
        <w:rPr>
          <w:rFonts w:hint="eastAsia" w:cs="宋体" w:asciiTheme="minorEastAsia" w:hAnsiTheme="minorEastAsia" w:eastAsiaTheme="minorEastAsia"/>
          <w:b/>
          <w:sz w:val="24"/>
        </w:rPr>
        <w:t>3. 合格的投标人</w:t>
      </w:r>
      <w:bookmarkEnd w:id="10"/>
      <w:bookmarkEnd w:id="11"/>
      <w:bookmarkEnd w:id="12"/>
      <w:bookmarkEnd w:id="13"/>
      <w:r>
        <w:rPr>
          <w:rFonts w:hint="eastAsia" w:cs="宋体" w:asciiTheme="minorEastAsia" w:hAnsiTheme="minorEastAsia" w:eastAsiaTheme="minorEastAsia"/>
          <w:b/>
          <w:sz w:val="24"/>
        </w:rPr>
        <w:t>（实质性要求）</w:t>
      </w:r>
    </w:p>
    <w:p>
      <w:pPr>
        <w:tabs>
          <w:tab w:val="left" w:pos="7665"/>
        </w:tabs>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合格的投标人应具备以下条件：</w:t>
      </w:r>
    </w:p>
    <w:p>
      <w:pPr>
        <w:tabs>
          <w:tab w:val="left" w:pos="7665"/>
        </w:tabs>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（1）本招标文件规定的供应商资格条件；</w:t>
      </w:r>
    </w:p>
    <w:p>
      <w:pPr>
        <w:tabs>
          <w:tab w:val="left" w:pos="7665"/>
        </w:tabs>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（2）遵守国家有关的法律、法规、规章和其他政策制度；</w:t>
      </w:r>
    </w:p>
    <w:p>
      <w:pPr>
        <w:tabs>
          <w:tab w:val="left" w:pos="7665"/>
        </w:tabs>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（3）向采购代理机构购买了招标文件。</w:t>
      </w:r>
    </w:p>
    <w:p>
      <w:pPr>
        <w:spacing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 投标费用（实质性要求）</w:t>
      </w:r>
    </w:p>
    <w:p>
      <w:pPr>
        <w:tabs>
          <w:tab w:val="left" w:pos="7665"/>
        </w:tabs>
        <w:spacing w:line="360" w:lineRule="auto"/>
        <w:ind w:firstLine="480"/>
        <w:rPr>
          <w:rFonts w:cs="宋体" w:asciiTheme="minorEastAsia" w:hAnsiTheme="minorEastAsia" w:eastAsiaTheme="minorEastAsia"/>
          <w:b/>
          <w:sz w:val="24"/>
        </w:rPr>
      </w:pPr>
      <w:r>
        <w:rPr>
          <w:rFonts w:hint="eastAsia" w:cs="宋体" w:asciiTheme="minorEastAsia" w:hAnsiTheme="minorEastAsia" w:eastAsiaTheme="minorEastAsia"/>
          <w:sz w:val="24"/>
        </w:rPr>
        <w:t>投标人参加投标的有关费用由投标人自行承担。</w:t>
      </w:r>
    </w:p>
    <w:p>
      <w:pPr>
        <w:spacing w:after="240" w:line="360" w:lineRule="auto"/>
        <w:rPr>
          <w:rFonts w:cs="宋体" w:asciiTheme="minorEastAsia" w:hAnsiTheme="minorEastAsia" w:eastAsiaTheme="minorEastAsia"/>
          <w:b/>
          <w:sz w:val="24"/>
        </w:rPr>
      </w:pPr>
      <w:bookmarkStart w:id="14" w:name="_Toc31158"/>
      <w:bookmarkStart w:id="15" w:name="_Toc18142"/>
      <w:bookmarkStart w:id="16" w:name="_Toc19658"/>
      <w:bookmarkStart w:id="17" w:name="_Toc29508"/>
      <w:bookmarkStart w:id="18" w:name="_Toc15456"/>
      <w:bookmarkStart w:id="19" w:name="_Toc23374"/>
      <w:r>
        <w:rPr>
          <w:rFonts w:hint="eastAsia" w:cs="宋体" w:asciiTheme="minorEastAsia" w:hAnsiTheme="minorEastAsia" w:eastAsiaTheme="minorEastAsia"/>
          <w:b/>
          <w:sz w:val="24"/>
        </w:rPr>
        <w:t>5、充分、公平竞争保障措施（实质性要求）</w:t>
      </w:r>
    </w:p>
    <w:p>
      <w:pPr>
        <w:spacing w:after="240" w:line="360" w:lineRule="auto"/>
        <w:ind w:firstLine="486" w:firstLineChars="200"/>
        <w:rPr>
          <w:rFonts w:cs="Arial" w:asciiTheme="minorEastAsia" w:hAnsiTheme="minorEastAsia" w:eastAsiaTheme="minorEastAsia"/>
          <w:kern w:val="0"/>
          <w:sz w:val="24"/>
        </w:rPr>
      </w:pPr>
      <w:bookmarkStart w:id="20" w:name="_Toc458594103"/>
      <w:r>
        <w:rPr>
          <w:rFonts w:hint="eastAsia" w:asciiTheme="minorEastAsia" w:hAnsiTheme="minorEastAsia" w:eastAsiaTheme="minorEastAsia"/>
          <w:b/>
          <w:sz w:val="24"/>
        </w:rPr>
        <w:t>5.1提供相同品牌产品处理。</w:t>
      </w:r>
      <w:r>
        <w:rPr>
          <w:rFonts w:hint="eastAsia" w:cs="Arial" w:asciiTheme="minorEastAsia" w:hAnsiTheme="minorEastAsia" w:eastAsiaTheme="minorEastAsia"/>
          <w:kern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0"/>
        <w:rPr>
          <w:sz w:val="24"/>
        </w:rPr>
      </w:pPr>
      <w:r>
        <w:rPr>
          <w:rFonts w:hint="eastAsia"/>
          <w:sz w:val="24"/>
        </w:rPr>
        <w:t>非单一产品采购项目中，多家供应商提供的部分或所有核心产品品牌相同的，视为提供相同品牌产品。核心产品为：室内全彩显示屏。</w:t>
      </w:r>
    </w:p>
    <w:p>
      <w:pPr>
        <w:spacing w:after="240" w:line="360" w:lineRule="auto"/>
        <w:ind w:firstLine="486" w:firstLineChars="200"/>
        <w:rPr>
          <w:rFonts w:cs="宋体" w:asciiTheme="minorEastAsia" w:hAnsiTheme="minorEastAsia" w:eastAsiaTheme="minorEastAsia"/>
          <w:b/>
          <w:sz w:val="24"/>
        </w:rPr>
      </w:pPr>
      <w:r>
        <w:rPr>
          <w:rFonts w:hint="eastAsia" w:cs="Arial" w:asciiTheme="minorEastAsia" w:hAnsiTheme="minorEastAsia" w:eastAsiaTheme="minorEastAsia"/>
          <w:kern w:val="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spacing w:line="360" w:lineRule="auto"/>
        <w:ind w:left="1" w:firstLine="486"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5.2利害关系供应商处理。</w:t>
      </w:r>
      <w:r>
        <w:rPr>
          <w:rFonts w:hint="eastAsia" w:asciiTheme="minorEastAsia" w:hAnsiTheme="minorEastAsia" w:eastAsiaTheme="minorEastAsia"/>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48"/>
        <w:spacing w:line="360" w:lineRule="auto"/>
        <w:ind w:left="1" w:firstLine="486"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5.3前期参与供应商处理。</w:t>
      </w:r>
      <w:r>
        <w:rPr>
          <w:rFonts w:hint="eastAsia" w:asciiTheme="minorEastAsia" w:hAnsiTheme="minorEastAsia" w:eastAsiaTheme="minorEastAsia"/>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8"/>
        <w:spacing w:line="360" w:lineRule="auto"/>
        <w:ind w:left="1" w:firstLine="486"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5.4利害关系代理人处理。</w:t>
      </w:r>
      <w:r>
        <w:rPr>
          <w:rFonts w:hint="eastAsia" w:asciiTheme="minorEastAsia" w:hAnsiTheme="minorEastAsia" w:eastAsiaTheme="minorEastAsia"/>
          <w:sz w:val="24"/>
          <w:szCs w:val="24"/>
        </w:rPr>
        <w:t>2家以上的供应商不得在同一合同项下的采购项目中，同时委托同一个自然人、同一家庭的人员、同一单位的人员作为其代理人，否则，其投标文件作为无效处理。</w:t>
      </w:r>
    </w:p>
    <w:p>
      <w:pPr>
        <w:pStyle w:val="4"/>
        <w:spacing w:line="360" w:lineRule="auto"/>
        <w:jc w:val="center"/>
        <w:rPr>
          <w:rFonts w:cs="宋体" w:asciiTheme="minorEastAsia" w:hAnsiTheme="minorEastAsia" w:eastAsiaTheme="minorEastAsia"/>
          <w:bCs w:val="0"/>
          <w:sz w:val="24"/>
          <w:szCs w:val="24"/>
        </w:rPr>
      </w:pPr>
      <w:r>
        <w:rPr>
          <w:rFonts w:hint="eastAsia" w:cs="宋体" w:asciiTheme="minorEastAsia" w:hAnsiTheme="minorEastAsia" w:eastAsiaTheme="minorEastAsia"/>
          <w:bCs w:val="0"/>
          <w:sz w:val="24"/>
          <w:szCs w:val="24"/>
        </w:rPr>
        <w:t>三、招标文件</w:t>
      </w:r>
      <w:bookmarkEnd w:id="14"/>
      <w:bookmarkEnd w:id="15"/>
      <w:bookmarkEnd w:id="16"/>
      <w:bookmarkEnd w:id="17"/>
      <w:bookmarkEnd w:id="18"/>
      <w:bookmarkEnd w:id="19"/>
      <w:bookmarkEnd w:id="20"/>
    </w:p>
    <w:p>
      <w:pPr>
        <w:spacing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6．招标文件的构成</w:t>
      </w:r>
    </w:p>
    <w:p>
      <w:pPr>
        <w:tabs>
          <w:tab w:val="left" w:pos="7665"/>
        </w:tabs>
        <w:spacing w:line="400" w:lineRule="exact"/>
        <w:rPr>
          <w:rFonts w:asciiTheme="minorEastAsia" w:hAnsiTheme="minorEastAsia" w:eastAsiaTheme="minorEastAsia"/>
          <w:sz w:val="24"/>
        </w:rPr>
      </w:pPr>
      <w:r>
        <w:rPr>
          <w:rFonts w:hint="eastAsia" w:asciiTheme="minorEastAsia" w:hAnsiTheme="minorEastAsia" w:eastAsiaTheme="minorEastAsia"/>
          <w:sz w:val="24"/>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（一）投标邀请；</w:t>
      </w:r>
    </w:p>
    <w:p>
      <w:pPr>
        <w:tabs>
          <w:tab w:val="left" w:pos="720"/>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（二）投标人须知；</w:t>
      </w:r>
    </w:p>
    <w:p>
      <w:pPr>
        <w:tabs>
          <w:tab w:val="left" w:pos="720"/>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（三）投标文件格式；</w:t>
      </w:r>
    </w:p>
    <w:p>
      <w:pPr>
        <w:tabs>
          <w:tab w:val="left" w:pos="720"/>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（四）投标人和投标产品的资格、资质性及其他类似效力要求；</w:t>
      </w:r>
    </w:p>
    <w:p>
      <w:pPr>
        <w:tabs>
          <w:tab w:val="left" w:pos="720"/>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（五）投标人应当提供的资格、资质性及其他类似效力要求的相关证明材料；</w:t>
      </w:r>
    </w:p>
    <w:p>
      <w:pPr>
        <w:tabs>
          <w:tab w:val="left" w:pos="720"/>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（六）招标项目技术、商务及其他要求；</w:t>
      </w:r>
    </w:p>
    <w:p>
      <w:pPr>
        <w:tabs>
          <w:tab w:val="left" w:pos="720"/>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（七）评标办法；</w:t>
      </w:r>
    </w:p>
    <w:p>
      <w:pPr>
        <w:tabs>
          <w:tab w:val="left" w:pos="720"/>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（八）合同主要条款。</w:t>
      </w:r>
    </w:p>
    <w:p>
      <w:pPr>
        <w:spacing w:before="240" w:after="240" w:line="360" w:lineRule="auto"/>
        <w:rPr>
          <w:rFonts w:cs="宋体" w:asciiTheme="minorEastAsia" w:hAnsiTheme="minorEastAsia" w:eastAsiaTheme="minorEastAsia"/>
          <w:b/>
          <w:sz w:val="24"/>
        </w:rPr>
      </w:pPr>
      <w:bookmarkStart w:id="21" w:name="_Toc183582211"/>
      <w:bookmarkStart w:id="22" w:name="_Toc183682348"/>
      <w:bookmarkStart w:id="23" w:name="_Toc217446040"/>
      <w:r>
        <w:rPr>
          <w:rFonts w:hint="eastAsia" w:cs="宋体" w:asciiTheme="minorEastAsia" w:hAnsiTheme="minorEastAsia" w:eastAsiaTheme="minorEastAsia"/>
          <w:b/>
          <w:sz w:val="24"/>
        </w:rPr>
        <w:t>7. 招标文件的澄清</w:t>
      </w:r>
      <w:bookmarkEnd w:id="21"/>
      <w:bookmarkEnd w:id="22"/>
      <w:r>
        <w:rPr>
          <w:rFonts w:hint="eastAsia" w:cs="宋体" w:asciiTheme="minorEastAsia" w:hAnsiTheme="minorEastAsia" w:eastAsiaTheme="minorEastAsia"/>
          <w:b/>
          <w:sz w:val="24"/>
        </w:rPr>
        <w:t>和修改</w:t>
      </w:r>
      <w:bookmarkEnd w:id="23"/>
    </w:p>
    <w:p>
      <w:pPr>
        <w:tabs>
          <w:tab w:val="left" w:pos="7665"/>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7.1招标采购单位可以依法对招标文件进行澄清或者修改。</w:t>
      </w:r>
    </w:p>
    <w:p>
      <w:pPr>
        <w:tabs>
          <w:tab w:val="left" w:pos="7665"/>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asciiTheme="minorEastAsia" w:hAnsiTheme="minorEastAsia" w:eastAsiaTheme="minorEastAsia"/>
          <w:sz w:val="24"/>
        </w:rPr>
        <w:t>15</w:t>
      </w:r>
      <w:r>
        <w:rPr>
          <w:rFonts w:hint="eastAsia" w:asciiTheme="minorEastAsia" w:hAnsiTheme="minorEastAsia" w:eastAsiaTheme="minorEastAsia"/>
          <w:sz w:val="24"/>
        </w:rPr>
        <w:t>日前、提交资格预审申请文件截止时间至少3日前；不足上述时间的，应当顺延提交投标文件、资格预审申请文件的截止时间。</w:t>
      </w:r>
    </w:p>
    <w:p>
      <w:pPr>
        <w:tabs>
          <w:tab w:val="left" w:pos="7665"/>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7.3 投标人认为需要对招标文件进行澄清或者修改的，可以以书面形式向招标采购单位构提出申请，但招标采购单位可以决定是否采纳投标人的申请事项。</w:t>
      </w:r>
    </w:p>
    <w:p>
      <w:pPr>
        <w:spacing w:before="240" w:after="240" w:line="360" w:lineRule="auto"/>
        <w:rPr>
          <w:rFonts w:cs="宋体" w:asciiTheme="minorEastAsia" w:hAnsiTheme="minorEastAsia" w:eastAsiaTheme="minorEastAsia"/>
          <w:b/>
          <w:sz w:val="24"/>
        </w:rPr>
      </w:pPr>
      <w:bookmarkStart w:id="24" w:name="_Toc208848971"/>
      <w:bookmarkStart w:id="25" w:name="_Toc217446041"/>
      <w:r>
        <w:rPr>
          <w:rFonts w:hint="eastAsia" w:cs="宋体" w:asciiTheme="minorEastAsia" w:hAnsiTheme="minorEastAsia" w:eastAsiaTheme="minorEastAsia"/>
          <w:b/>
          <w:sz w:val="24"/>
        </w:rPr>
        <w:t>8. 答疑会和现场考察</w:t>
      </w:r>
      <w:bookmarkEnd w:id="24"/>
      <w:bookmarkEnd w:id="25"/>
    </w:p>
    <w:p>
      <w:pPr>
        <w:tabs>
          <w:tab w:val="left" w:pos="7665"/>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8.2 供应商考察现场所发生的一切费用由供应商自己承担。</w:t>
      </w:r>
    </w:p>
    <w:p>
      <w:pPr>
        <w:pStyle w:val="4"/>
        <w:spacing w:line="360" w:lineRule="auto"/>
        <w:jc w:val="center"/>
        <w:rPr>
          <w:rFonts w:cs="宋体" w:asciiTheme="minorEastAsia" w:hAnsiTheme="minorEastAsia" w:eastAsiaTheme="minorEastAsia"/>
          <w:bCs w:val="0"/>
          <w:sz w:val="24"/>
          <w:szCs w:val="24"/>
        </w:rPr>
      </w:pPr>
      <w:r>
        <w:rPr>
          <w:rFonts w:hint="eastAsia" w:cs="宋体" w:asciiTheme="minorEastAsia" w:hAnsiTheme="minorEastAsia" w:eastAsiaTheme="minorEastAsia"/>
          <w:bCs w:val="0"/>
          <w:sz w:val="24"/>
          <w:szCs w:val="24"/>
        </w:rPr>
        <w:t>四、投标文件</w:t>
      </w:r>
    </w:p>
    <w:p>
      <w:pPr>
        <w:spacing w:after="240" w:line="360" w:lineRule="auto"/>
        <w:rPr>
          <w:rFonts w:cs="宋体" w:asciiTheme="minorEastAsia" w:hAnsiTheme="minorEastAsia" w:eastAsiaTheme="minorEastAsia"/>
          <w:b/>
          <w:sz w:val="24"/>
        </w:rPr>
      </w:pPr>
      <w:bookmarkStart w:id="26" w:name="_Toc183582215"/>
      <w:bookmarkStart w:id="27" w:name="_Toc217446043"/>
      <w:bookmarkStart w:id="28" w:name="_Toc183682352"/>
      <w:r>
        <w:rPr>
          <w:rFonts w:hint="eastAsia" w:cs="宋体" w:asciiTheme="minorEastAsia" w:hAnsiTheme="minorEastAsia" w:eastAsiaTheme="minorEastAsia"/>
          <w:b/>
          <w:sz w:val="24"/>
        </w:rPr>
        <w:t>9．投标文件的语言</w:t>
      </w:r>
      <w:bookmarkEnd w:id="26"/>
      <w:bookmarkEnd w:id="27"/>
      <w:bookmarkEnd w:id="28"/>
      <w:r>
        <w:rPr>
          <w:rFonts w:hint="eastAsia" w:cs="宋体" w:asciiTheme="minorEastAsia" w:hAnsiTheme="minorEastAsia" w:eastAsiaTheme="minorEastAsia"/>
          <w:b/>
          <w:sz w:val="24"/>
        </w:rPr>
        <w:t>（实质性要求）</w:t>
      </w:r>
    </w:p>
    <w:p>
      <w:pPr>
        <w:tabs>
          <w:tab w:val="left" w:pos="1134"/>
        </w:tabs>
        <w:spacing w:line="360" w:lineRule="auto"/>
        <w:ind w:firstLine="486" w:firstLineChars="200"/>
        <w:jc w:val="left"/>
        <w:rPr>
          <w:rFonts w:asciiTheme="minorEastAsia" w:hAnsiTheme="minorEastAsia" w:eastAsiaTheme="minorEastAsia"/>
          <w:sz w:val="24"/>
        </w:rPr>
      </w:pPr>
      <w:bookmarkStart w:id="29" w:name="_Toc217446044"/>
      <w:bookmarkStart w:id="30" w:name="_Toc183682353"/>
      <w:bookmarkStart w:id="31" w:name="_Toc183582216"/>
      <w:r>
        <w:rPr>
          <w:rFonts w:hint="eastAsia" w:asciiTheme="minorEastAsia" w:hAnsiTheme="minorEastAsia" w:eastAsiaTheme="minorEastAsia"/>
          <w:sz w:val="24"/>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主要负责人为外籍人士的，法定代表人/主要负责人的签字和护照除外。）</w:t>
      </w:r>
    </w:p>
    <w:p>
      <w:pPr>
        <w:tabs>
          <w:tab w:val="left" w:pos="1134"/>
        </w:tabs>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9.2 翻译的中文资料与外文资料如果出现差异和矛盾时，以中文为准。涉嫌虚假响应的按照相关法律法规处理。</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10．计量单位</w:t>
      </w:r>
      <w:bookmarkEnd w:id="29"/>
      <w:bookmarkEnd w:id="30"/>
      <w:bookmarkEnd w:id="31"/>
      <w:r>
        <w:rPr>
          <w:rFonts w:hint="eastAsia" w:cs="宋体" w:asciiTheme="minorEastAsia" w:hAnsiTheme="minorEastAsia" w:eastAsiaTheme="minorEastAsia"/>
          <w:b/>
          <w:sz w:val="24"/>
        </w:rPr>
        <w:t>（实质性要求）</w:t>
      </w:r>
    </w:p>
    <w:p>
      <w:pPr>
        <w:spacing w:line="400" w:lineRule="exact"/>
        <w:ind w:firstLine="475" w:firstLineChars="196"/>
        <w:rPr>
          <w:rFonts w:asciiTheme="minorEastAsia" w:hAnsiTheme="minorEastAsia" w:eastAsiaTheme="minorEastAsia"/>
          <w:sz w:val="24"/>
        </w:rPr>
      </w:pPr>
      <w:r>
        <w:rPr>
          <w:rFonts w:hint="eastAsia" w:asciiTheme="minorEastAsia" w:hAnsiTheme="minorEastAsia" w:eastAsiaTheme="minorEastAsia"/>
          <w:sz w:val="24"/>
        </w:rPr>
        <w:t>除招标文件中另有规定外，本次采购项目所有合同项下的投标均采用国家法定的计量单位。</w:t>
      </w:r>
    </w:p>
    <w:p>
      <w:pPr>
        <w:spacing w:before="240" w:line="360" w:lineRule="auto"/>
        <w:rPr>
          <w:rFonts w:cs="宋体" w:asciiTheme="minorEastAsia" w:hAnsiTheme="minorEastAsia" w:eastAsiaTheme="minorEastAsia"/>
          <w:b/>
          <w:sz w:val="24"/>
        </w:rPr>
      </w:pPr>
      <w:bookmarkStart w:id="32" w:name="_Toc217446045"/>
      <w:r>
        <w:rPr>
          <w:rFonts w:hint="eastAsia" w:cs="宋体" w:asciiTheme="minorEastAsia" w:hAnsiTheme="minorEastAsia" w:eastAsiaTheme="minorEastAsia"/>
          <w:b/>
          <w:sz w:val="24"/>
        </w:rPr>
        <w:t>11. 投标货币</w:t>
      </w:r>
      <w:bookmarkEnd w:id="32"/>
      <w:r>
        <w:rPr>
          <w:rFonts w:hint="eastAsia" w:cs="宋体" w:asciiTheme="minorEastAsia" w:hAnsiTheme="minorEastAsia" w:eastAsiaTheme="minorEastAsia"/>
          <w:b/>
          <w:sz w:val="24"/>
        </w:rPr>
        <w:t>（实质性要求）</w:t>
      </w:r>
    </w:p>
    <w:p>
      <w:pPr>
        <w:tabs>
          <w:tab w:val="left" w:pos="7665"/>
        </w:tabs>
        <w:spacing w:line="400" w:lineRule="exact"/>
        <w:ind w:left="13" w:hanging="118"/>
        <w:rPr>
          <w:rFonts w:asciiTheme="minorEastAsia" w:hAnsiTheme="minorEastAsia" w:eastAsiaTheme="minorEastAsia"/>
          <w:sz w:val="24"/>
        </w:rPr>
      </w:pPr>
      <w:r>
        <w:rPr>
          <w:rFonts w:hint="eastAsia" w:asciiTheme="minorEastAsia" w:hAnsiTheme="minorEastAsia" w:eastAsiaTheme="minorEastAsia"/>
          <w:sz w:val="24"/>
        </w:rPr>
        <w:t xml:space="preserve"> 本次招标项目的投标均以人民币报价。</w:t>
      </w:r>
    </w:p>
    <w:p>
      <w:pPr>
        <w:spacing w:before="240" w:line="360" w:lineRule="auto"/>
        <w:rPr>
          <w:rFonts w:cs="宋体" w:asciiTheme="minorEastAsia" w:hAnsiTheme="minorEastAsia" w:eastAsiaTheme="minorEastAsia"/>
          <w:b/>
          <w:sz w:val="24"/>
        </w:rPr>
      </w:pPr>
      <w:bookmarkStart w:id="33" w:name="_Toc217446046"/>
      <w:r>
        <w:rPr>
          <w:rFonts w:hint="eastAsia" w:cs="宋体" w:asciiTheme="minorEastAsia" w:hAnsiTheme="minorEastAsia" w:eastAsiaTheme="minorEastAsia"/>
          <w:b/>
          <w:sz w:val="24"/>
        </w:rPr>
        <w:t>12. 联合体投标</w:t>
      </w:r>
      <w:bookmarkEnd w:id="33"/>
      <w:r>
        <w:rPr>
          <w:rFonts w:hint="eastAsia" w:cs="宋体" w:asciiTheme="minorEastAsia" w:hAnsiTheme="minorEastAsia" w:eastAsiaTheme="minorEastAsia"/>
          <w:b/>
          <w:sz w:val="24"/>
        </w:rPr>
        <w:t>（是否接受见第一章投标邀请）（实质性要求）</w:t>
      </w:r>
    </w:p>
    <w:p>
      <w:pPr>
        <w:spacing w:before="240" w:line="360" w:lineRule="auto"/>
        <w:ind w:firstLine="486" w:firstLineChars="200"/>
        <w:rPr>
          <w:rFonts w:asciiTheme="minorEastAsia" w:hAnsiTheme="minorEastAsia" w:eastAsiaTheme="minorEastAsia"/>
          <w:sz w:val="24"/>
        </w:rPr>
      </w:pPr>
      <w:bookmarkStart w:id="34" w:name="_Toc217446047"/>
      <w:bookmarkStart w:id="35" w:name="_Toc308164797"/>
      <w:r>
        <w:rPr>
          <w:rFonts w:hint="eastAsia" w:asciiTheme="minorEastAsia" w:hAnsiTheme="minorEastAsia" w:eastAsiaTheme="minorEastAsia"/>
          <w:sz w:val="24"/>
        </w:rPr>
        <w:t>12.1 两个以上供应商可以组成一个联合体投标，以一个供应商的身份投标。以联合体形式参加投标的，联合体各方均应当符合《政府采购法》第二十二条第一款规定的条件。采购人根据采购项目的特殊要求规定供应商特定条件的，联合体各方中至少应当有一方符合采购人规定的特定条件。</w:t>
      </w:r>
    </w:p>
    <w:p>
      <w:pPr>
        <w:spacing w:before="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12.2 联合体各方之间应当签订联合体投标协议，明确约定联合体各方承担的工作和相应的责任，并将共同联合体投标协议连同投标文件一并提交招标采购单位。</w:t>
      </w:r>
    </w:p>
    <w:p>
      <w:pPr>
        <w:spacing w:before="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12.3 联合体应当确定其中一个单位为投标的全权代表，负责参加投标的一切事务，并承担投标及履约中应承担的全部责任与义务。</w:t>
      </w:r>
    </w:p>
    <w:p>
      <w:pPr>
        <w:spacing w:before="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12.4 联合体各方应当共同与采购人签订采购合同，就采购合同约定的事项对采购人承担连带责任。</w:t>
      </w:r>
    </w:p>
    <w:p>
      <w:pPr>
        <w:spacing w:before="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12.5联合体中有同类资质的供应商按照联合体分工承担相同工作的，应当按照资质等级较低的供应商确定资质等级。</w:t>
      </w:r>
    </w:p>
    <w:p>
      <w:pPr>
        <w:spacing w:before="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12.6以联合体形式参加政府采购活动的，联合体各方不得再单独参加或者与其他供应商另外组成联合体参加同一合同项下的政府采购活动。</w:t>
      </w:r>
    </w:p>
    <w:p>
      <w:pPr>
        <w:spacing w:before="240" w:line="360" w:lineRule="auto"/>
        <w:ind w:firstLine="486"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13. 知识产权</w:t>
      </w:r>
      <w:bookmarkEnd w:id="34"/>
      <w:bookmarkEnd w:id="35"/>
      <w:r>
        <w:rPr>
          <w:rFonts w:hint="eastAsia" w:cs="宋体" w:asciiTheme="minorEastAsia" w:hAnsiTheme="minorEastAsia" w:eastAsiaTheme="minorEastAsia"/>
          <w:b/>
          <w:sz w:val="24"/>
        </w:rPr>
        <w:t>（实质性要求）</w:t>
      </w:r>
    </w:p>
    <w:p>
      <w:pPr>
        <w:pStyle w:val="11"/>
        <w:spacing w:line="400" w:lineRule="exact"/>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1"/>
        <w:spacing w:line="400" w:lineRule="exact"/>
        <w:ind w:firstLine="486"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 采购人享有本项目实施过程中产生的知识成果及知识产权。</w:t>
      </w:r>
    </w:p>
    <w:p>
      <w:pPr>
        <w:spacing w:line="400" w:lineRule="exact"/>
        <w:ind w:firstLine="486" w:firstLineChars="200"/>
        <w:rPr>
          <w:rFonts w:asciiTheme="minorEastAsia" w:hAnsiTheme="minorEastAsia" w:eastAsiaTheme="minorEastAsia"/>
          <w:sz w:val="24"/>
        </w:rPr>
      </w:pPr>
      <w:r>
        <w:rPr>
          <w:rFonts w:hint="eastAsia" w:asciiTheme="minorEastAsia" w:hAnsiTheme="minorEastAsia" w:eastAsiaTheme="minorEastAsia"/>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5" w:firstLineChars="192"/>
        <w:rPr>
          <w:rFonts w:asciiTheme="minorEastAsia" w:hAnsiTheme="minorEastAsia" w:eastAsiaTheme="minorEastAsia"/>
          <w:sz w:val="24"/>
        </w:rPr>
      </w:pPr>
      <w:r>
        <w:rPr>
          <w:rFonts w:hint="eastAsia" w:asciiTheme="minorEastAsia" w:hAnsiTheme="minorEastAsia" w:eastAsiaTheme="minorEastAsia"/>
          <w:sz w:val="24"/>
        </w:rPr>
        <w:t xml:space="preserve">13.4 如采用投标人所不拥有的知识产权，则在投标报价中必须包括合法获取该知识产权的相关费用。 </w:t>
      </w:r>
    </w:p>
    <w:p>
      <w:pPr>
        <w:spacing w:before="240" w:after="240" w:line="360" w:lineRule="auto"/>
        <w:rPr>
          <w:rFonts w:cs="宋体" w:asciiTheme="minorEastAsia" w:hAnsiTheme="minorEastAsia" w:eastAsiaTheme="minorEastAsia"/>
          <w:b/>
          <w:sz w:val="24"/>
        </w:rPr>
      </w:pPr>
      <w:bookmarkStart w:id="36" w:name="_Toc308164798"/>
      <w:bookmarkStart w:id="37" w:name="_Toc183682354"/>
      <w:bookmarkStart w:id="38" w:name="_Toc217446048"/>
      <w:bookmarkStart w:id="39" w:name="_Toc183582217"/>
      <w:r>
        <w:rPr>
          <w:rFonts w:hint="eastAsia" w:cs="宋体" w:asciiTheme="minorEastAsia" w:hAnsiTheme="minorEastAsia" w:eastAsiaTheme="minorEastAsia"/>
          <w:b/>
          <w:sz w:val="24"/>
        </w:rPr>
        <w:t>14．投标文件的组成</w:t>
      </w:r>
      <w:bookmarkEnd w:id="36"/>
      <w:bookmarkEnd w:id="37"/>
      <w:bookmarkEnd w:id="38"/>
      <w:bookmarkEnd w:id="39"/>
    </w:p>
    <w:p>
      <w:pPr>
        <w:spacing w:line="360" w:lineRule="auto"/>
        <w:ind w:firstLine="486" w:firstLineChars="200"/>
        <w:rPr>
          <w:rFonts w:asciiTheme="minorEastAsia" w:hAnsiTheme="minorEastAsia" w:eastAsiaTheme="minorEastAsia"/>
          <w:sz w:val="24"/>
        </w:rPr>
      </w:pPr>
      <w:bookmarkStart w:id="40" w:name="_Toc308164799"/>
      <w:bookmarkStart w:id="41" w:name="_Toc217446049"/>
      <w:bookmarkStart w:id="42" w:name="_Toc183582218"/>
      <w:bookmarkStart w:id="43" w:name="_Toc183682355"/>
      <w:r>
        <w:rPr>
          <w:rFonts w:hint="eastAsia" w:asciiTheme="minorEastAsia" w:hAnsiTheme="minorEastAsia" w:eastAsiaTheme="minorEastAsia"/>
          <w:sz w:val="24"/>
        </w:rPr>
        <w:t>投标人应按照招标文件的规定和要求编制投标文件。投标人编写的投标文件应至少包括下列两部分文件：</w:t>
      </w:r>
    </w:p>
    <w:p>
      <w:pPr>
        <w:spacing w:line="360" w:lineRule="auto"/>
        <w:ind w:firstLine="486"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文件一：资格性投标文件（用于资格审查）</w:t>
      </w:r>
    </w:p>
    <w:p>
      <w:pPr>
        <w:spacing w:line="360" w:lineRule="auto"/>
        <w:ind w:firstLine="490" w:firstLineChars="202"/>
        <w:rPr>
          <w:rFonts w:cs="宋体" w:asciiTheme="minorEastAsia" w:hAnsiTheme="minorEastAsia" w:eastAsiaTheme="minorEastAsia"/>
          <w:sz w:val="24"/>
        </w:rPr>
      </w:pPr>
      <w:r>
        <w:rPr>
          <w:rFonts w:hint="eastAsia" w:cs="宋体" w:asciiTheme="minorEastAsia" w:hAnsiTheme="minorEastAsia" w:eastAsiaTheme="minorEastAsia"/>
          <w:sz w:val="24"/>
        </w:rPr>
        <w:t>严格按照第四、五章要求提供相关资格、资质性及其他类似效力要求的相关证明材料。</w:t>
      </w:r>
    </w:p>
    <w:p>
      <w:pPr>
        <w:spacing w:line="360" w:lineRule="auto"/>
        <w:ind w:firstLine="490" w:firstLineChars="202"/>
        <w:rPr>
          <w:rFonts w:cs="宋体" w:asciiTheme="minorEastAsia" w:hAnsiTheme="minorEastAsia" w:eastAsiaTheme="minorEastAsia"/>
          <w:b/>
          <w:sz w:val="24"/>
        </w:rPr>
      </w:pPr>
      <w:r>
        <w:rPr>
          <w:rFonts w:hint="eastAsia" w:cs="宋体" w:asciiTheme="minorEastAsia" w:hAnsiTheme="minorEastAsia" w:eastAsiaTheme="minorEastAsia"/>
          <w:b/>
          <w:sz w:val="24"/>
        </w:rPr>
        <w:t>文件二：其他投标文件（用于资格审查以外的评标）</w:t>
      </w:r>
    </w:p>
    <w:p>
      <w:pPr>
        <w:spacing w:line="360" w:lineRule="auto"/>
        <w:ind w:firstLine="490" w:firstLineChars="202"/>
        <w:rPr>
          <w:rFonts w:cs="宋体" w:asciiTheme="minorEastAsia" w:hAnsiTheme="minorEastAsia" w:eastAsiaTheme="minorEastAsia"/>
          <w:sz w:val="24"/>
        </w:rPr>
      </w:pPr>
      <w:r>
        <w:rPr>
          <w:rFonts w:hint="eastAsia" w:cs="宋体" w:asciiTheme="minorEastAsia" w:hAnsiTheme="minorEastAsia" w:eastAsiaTheme="minorEastAsia"/>
          <w:sz w:val="24"/>
        </w:rPr>
        <w:t>严格按照招标文件要求提供以下五个方面的相关材料：</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b/>
          <w:sz w:val="24"/>
        </w:rPr>
        <w:t>（一）报价部分。</w:t>
      </w:r>
      <w:r>
        <w:rPr>
          <w:rFonts w:hint="eastAsia" w:cs="宋体" w:asciiTheme="minorEastAsia" w:hAnsiTheme="minorEastAsia" w:eastAsiaTheme="minorEastAsia"/>
          <w:sz w:val="24"/>
        </w:rPr>
        <w:t>投标人按照招标文件要求填写的“开标一览表”和“分项报价明细表”。 本次招标报价要求：</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（1）投标人的报价是投标人响应招标项目要求的全部工作内容的价格体现，投标人须按招标文件第六章要求完整报价。</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（2）投标人每种货物只允许有一个报价，并且在合同履行过程中是固定不变的，任何有选择或可调整的报价将不予接受，并按无效投标处理。</w:t>
      </w:r>
    </w:p>
    <w:p>
      <w:pPr>
        <w:spacing w:line="360" w:lineRule="auto"/>
        <w:ind w:firstLine="250" w:firstLineChars="103"/>
        <w:rPr>
          <w:rFonts w:cs="宋体" w:asciiTheme="minorEastAsia" w:hAnsiTheme="minorEastAsia" w:eastAsiaTheme="minorEastAsia"/>
          <w:b/>
          <w:bCs/>
          <w:sz w:val="24"/>
        </w:rPr>
      </w:pPr>
      <w:r>
        <w:rPr>
          <w:rFonts w:hint="eastAsia" w:cs="宋体" w:asciiTheme="minorEastAsia" w:hAnsiTheme="minorEastAsia" w:eastAsiaTheme="minorEastAsia"/>
          <w:sz w:val="24"/>
        </w:rPr>
        <w:t>（3）在本次投标之前一周年内，投标人本次投标中对同一品牌同一型号相同配置的产品报价与其在中国境内其他地方的最低报价比例不得高于20%。</w:t>
      </w:r>
      <w:r>
        <w:rPr>
          <w:rFonts w:hint="eastAsia" w:cs="宋体" w:asciiTheme="minorEastAsia" w:hAnsiTheme="minorEastAsia" w:eastAsiaTheme="minorEastAsia"/>
          <w:b/>
          <w:sz w:val="24"/>
        </w:rPr>
        <w:t>(本项目不适用)</w:t>
      </w:r>
    </w:p>
    <w:p>
      <w:pPr>
        <w:spacing w:line="360" w:lineRule="auto"/>
        <w:ind w:firstLine="250" w:firstLineChars="103"/>
        <w:rPr>
          <w:rFonts w:cs="宋体" w:asciiTheme="minorEastAsia" w:hAnsiTheme="minorEastAsia" w:eastAsiaTheme="minorEastAsia"/>
          <w:b/>
          <w:bCs/>
          <w:sz w:val="24"/>
        </w:rPr>
      </w:pPr>
      <w:r>
        <w:rPr>
          <w:rFonts w:hint="eastAsia" w:cs="宋体" w:asciiTheme="minorEastAsia" w:hAnsiTheme="minorEastAsia" w:eastAsiaTheme="minorEastAsia"/>
          <w:b/>
          <w:bCs/>
          <w:sz w:val="24"/>
        </w:rPr>
        <w:t>（二）技术部分</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投标人按照招标文件要求做出的技术应答，主要是针对招标文件的技术指标、参数和技术要求做出的实质性响应和满足。投标人的技术应答包括下列内容：</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（1）投标产品的品牌、型号、配置；</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（2）投标产品本身的详细的技术指标和参数（应当尽可能提供检测报告、产品使用说明书、用户手册等材料予以佐证）；</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（3）技术方案、项目实施方案；</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（4）投标产品技术参数表；</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（5）产品彩页资料（需经过有关部门广告审核）；</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（6）产品工作环境条件；</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（7）产品验收标准和验收方法；</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（8）产品验收清单（注明各部件的品名、数量、价格、规格型号和原产地或生产厂家）。</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（9）  投标人认为需要提供的文件和资料。</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sz w:val="24"/>
        </w:rPr>
        <w:t>注：凡在投标文件中标的设备性能指标，必须真实准确，如招标人在验收或使用过程中发现投标人弄虚作假，经第三方验证属实，招标人有权要求投标人无条件退货并依据合同按投标人无法供货进行相关处罚。</w:t>
      </w:r>
    </w:p>
    <w:p>
      <w:pPr>
        <w:spacing w:line="360" w:lineRule="auto"/>
        <w:ind w:firstLine="250" w:firstLineChars="103"/>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（三）商务部分。投标人按照招标文件要求提供的有关文件及优惠承诺，包括下列内容：</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（1）投标函；</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 （2）投标人企业法人营业执照副本复印件；</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 （3）投标人代表不是法定代表人时提供针对本次投标的法定代表人授权书原件；</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（4）授权代表身份证复印件（投标人代表是法定代表人时提供法定代表人身份证复印件）；</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（5）投标人根据评分细则提供相关证明材料；</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6）投标人承诺给予采购人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实质性要求）；</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（7）其他对中标有利的投标人、投标产品和服务的证明材料；</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（8）招标代理服务费承诺书；</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（9）商务应答表；</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（10）投标人根据第四章和第五章资格要求、第六章技术参数和第七章评分细则提供的相关证明材料；</w:t>
      </w:r>
    </w:p>
    <w:p>
      <w:pPr>
        <w:spacing w:line="360" w:lineRule="auto"/>
        <w:ind w:firstLine="250" w:firstLineChars="103"/>
        <w:rPr>
          <w:rFonts w:cs="宋体" w:asciiTheme="minorEastAsia" w:hAnsiTheme="minorEastAsia" w:eastAsiaTheme="minorEastAsia"/>
          <w:bCs/>
          <w:sz w:val="24"/>
        </w:rPr>
      </w:pPr>
      <w:r>
        <w:rPr>
          <w:rFonts w:hint="eastAsia" w:cs="宋体" w:asciiTheme="minorEastAsia" w:hAnsiTheme="minorEastAsia" w:eastAsiaTheme="minorEastAsia"/>
          <w:bCs/>
          <w:sz w:val="24"/>
        </w:rPr>
        <w:t>（11）其他投标人认为需要提供的文件和资料。</w:t>
      </w:r>
    </w:p>
    <w:p>
      <w:pPr>
        <w:spacing w:line="360" w:lineRule="auto"/>
        <w:ind w:firstLine="250" w:firstLineChars="103"/>
        <w:rPr>
          <w:rFonts w:cs="宋体" w:asciiTheme="minorEastAsia" w:hAnsiTheme="minorEastAsia" w:eastAsiaTheme="minorEastAsia"/>
          <w:sz w:val="24"/>
        </w:rPr>
      </w:pPr>
      <w:r>
        <w:rPr>
          <w:rFonts w:hint="eastAsia" w:cs="宋体" w:asciiTheme="minorEastAsia" w:hAnsiTheme="minorEastAsia" w:eastAsiaTheme="minorEastAsia"/>
          <w:b/>
          <w:bCs/>
          <w:sz w:val="24"/>
        </w:rPr>
        <w:t>（四）其他部分。</w:t>
      </w:r>
      <w:r>
        <w:rPr>
          <w:rFonts w:hint="eastAsia" w:cs="宋体" w:asciiTheme="minorEastAsia" w:hAnsiTheme="minorEastAsia" w:eastAsiaTheme="minorEastAsia"/>
          <w:sz w:val="24"/>
        </w:rPr>
        <w:t>投标人按照招标文件要求作出的其他应答和承诺。</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15．投标文件格式</w:t>
      </w:r>
      <w:bookmarkEnd w:id="40"/>
      <w:bookmarkEnd w:id="41"/>
      <w:bookmarkEnd w:id="42"/>
      <w:bookmarkEnd w:id="43"/>
    </w:p>
    <w:p>
      <w:pPr>
        <w:tabs>
          <w:tab w:val="left" w:pos="7665"/>
        </w:tabs>
        <w:spacing w:line="400" w:lineRule="exact"/>
        <w:ind w:left="12" w:leftChars="6" w:firstLine="486" w:firstLineChars="200"/>
        <w:rPr>
          <w:rFonts w:asciiTheme="minorEastAsia" w:hAnsiTheme="minorEastAsia" w:eastAsiaTheme="minorEastAsia"/>
          <w:sz w:val="24"/>
        </w:rPr>
      </w:pPr>
      <w:r>
        <w:rPr>
          <w:rFonts w:hint="eastAsia" w:asciiTheme="minorEastAsia" w:hAnsiTheme="minorEastAsia" w:eastAsiaTheme="minorEastAsia"/>
          <w:sz w:val="24"/>
        </w:rPr>
        <w:t>15.1 投标人应执行招标文件第三章的规定要求。第三章格式中“注”的内容，投标人可自行决定是否保留在投标文件中，未保留的视为投标人默认接受“注”的内容。</w:t>
      </w:r>
    </w:p>
    <w:p>
      <w:pPr>
        <w:tabs>
          <w:tab w:val="left" w:pos="7665"/>
        </w:tabs>
        <w:spacing w:line="400" w:lineRule="exact"/>
        <w:ind w:left="12" w:leftChars="6" w:firstLine="486" w:firstLineChars="200"/>
        <w:rPr>
          <w:rFonts w:asciiTheme="minorEastAsia" w:hAnsiTheme="minorEastAsia" w:eastAsiaTheme="minorEastAsia"/>
          <w:sz w:val="24"/>
        </w:rPr>
      </w:pPr>
      <w:r>
        <w:rPr>
          <w:rFonts w:hint="eastAsia" w:asciiTheme="minorEastAsia" w:hAnsiTheme="minorEastAsia" w:eastAsiaTheme="minorEastAsia"/>
          <w:sz w:val="24"/>
        </w:rPr>
        <w:t>15.2 对于没有格式要求的投标文件由投标人自行编写。</w:t>
      </w:r>
    </w:p>
    <w:p>
      <w:pPr>
        <w:spacing w:before="240" w:after="240" w:line="360" w:lineRule="auto"/>
        <w:rPr>
          <w:rFonts w:cs="宋体" w:asciiTheme="minorEastAsia" w:hAnsiTheme="minorEastAsia" w:eastAsiaTheme="minorEastAsia"/>
          <w:b/>
          <w:sz w:val="24"/>
        </w:rPr>
      </w:pPr>
      <w:bookmarkStart w:id="44" w:name="_Toc308164800"/>
      <w:bookmarkStart w:id="45" w:name="_Toc183582223"/>
      <w:bookmarkStart w:id="46" w:name="_Toc217446050"/>
      <w:bookmarkStart w:id="47" w:name="_Toc183682360"/>
      <w:r>
        <w:rPr>
          <w:rFonts w:hint="eastAsia" w:cs="宋体" w:asciiTheme="minorEastAsia" w:hAnsiTheme="minorEastAsia" w:eastAsiaTheme="minorEastAsia"/>
          <w:b/>
          <w:sz w:val="24"/>
        </w:rPr>
        <w:t>16．投标保证金</w:t>
      </w:r>
      <w:bookmarkEnd w:id="44"/>
      <w:bookmarkEnd w:id="45"/>
      <w:bookmarkEnd w:id="46"/>
      <w:bookmarkEnd w:id="47"/>
      <w:r>
        <w:rPr>
          <w:rFonts w:hint="eastAsia" w:cs="宋体" w:asciiTheme="minorEastAsia" w:hAnsiTheme="minorEastAsia" w:eastAsiaTheme="minorEastAsia"/>
          <w:b/>
          <w:sz w:val="24"/>
        </w:rPr>
        <w:t>（实质性要求）</w:t>
      </w:r>
    </w:p>
    <w:p>
      <w:pPr>
        <w:spacing w:before="240" w:after="240" w:line="360" w:lineRule="auto"/>
        <w:ind w:firstLine="486" w:firstLineChars="200"/>
        <w:rPr>
          <w:rFonts w:asciiTheme="minorEastAsia" w:hAnsiTheme="minorEastAsia" w:eastAsiaTheme="minorEastAsia"/>
          <w:sz w:val="24"/>
        </w:rPr>
      </w:pPr>
      <w:bookmarkStart w:id="48" w:name="_Toc183582224"/>
      <w:bookmarkStart w:id="49" w:name="_Toc308164801"/>
      <w:bookmarkStart w:id="50" w:name="_Toc183682361"/>
      <w:bookmarkStart w:id="51" w:name="_Toc217446051"/>
      <w:r>
        <w:rPr>
          <w:rFonts w:hint="eastAsia" w:asciiTheme="minorEastAsia" w:hAnsiTheme="minorEastAsia" w:eastAsiaTheme="minorEastAsia"/>
          <w:sz w:val="24"/>
        </w:rPr>
        <w:t>本项目不收取投标保证金。</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17．投标有效期</w:t>
      </w:r>
      <w:bookmarkEnd w:id="48"/>
      <w:bookmarkEnd w:id="49"/>
      <w:bookmarkEnd w:id="50"/>
      <w:bookmarkEnd w:id="51"/>
      <w:r>
        <w:rPr>
          <w:rFonts w:hint="eastAsia" w:cs="宋体" w:asciiTheme="minorEastAsia" w:hAnsiTheme="minorEastAsia" w:eastAsiaTheme="minorEastAsia"/>
          <w:b/>
          <w:sz w:val="24"/>
        </w:rPr>
        <w:t>（实质性要求）</w:t>
      </w:r>
    </w:p>
    <w:p>
      <w:pPr>
        <w:tabs>
          <w:tab w:val="left" w:pos="7665"/>
        </w:tabs>
        <w:spacing w:line="400" w:lineRule="exact"/>
        <w:ind w:left="12" w:leftChars="6" w:firstLine="486" w:firstLineChars="200"/>
        <w:rPr>
          <w:rFonts w:asciiTheme="minorEastAsia" w:hAnsiTheme="minorEastAsia" w:eastAsiaTheme="minorEastAsia"/>
          <w:sz w:val="24"/>
        </w:rPr>
      </w:pPr>
      <w:r>
        <w:rPr>
          <w:rFonts w:hint="eastAsia" w:asciiTheme="minorEastAsia" w:hAnsiTheme="minorEastAsia" w:eastAsiaTheme="minorEastAsia"/>
          <w:sz w:val="24"/>
        </w:rPr>
        <w:t>17.1 本项目投标有效期为投标截止时间届满后60日历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2" w:leftChars="6" w:firstLine="364" w:firstLineChars="150"/>
        <w:rPr>
          <w:rFonts w:asciiTheme="minorEastAsia" w:hAnsiTheme="minorEastAsia" w:eastAsiaTheme="minorEastAsia"/>
          <w:sz w:val="24"/>
        </w:rPr>
      </w:pPr>
      <w:r>
        <w:rPr>
          <w:rFonts w:hint="eastAsia" w:asciiTheme="minorEastAsia" w:hAnsiTheme="minorEastAsia" w:eastAsiaTheme="minorEastAsia"/>
          <w:sz w:val="24"/>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2" w:leftChars="6" w:firstLine="364" w:firstLineChars="150"/>
        <w:rPr>
          <w:rFonts w:asciiTheme="minorEastAsia" w:hAnsiTheme="minorEastAsia" w:eastAsiaTheme="minorEastAsia"/>
          <w:sz w:val="24"/>
        </w:rPr>
      </w:pPr>
      <w:r>
        <w:rPr>
          <w:rFonts w:hint="eastAsia" w:asciiTheme="minorEastAsia" w:hAnsiTheme="minorEastAsia" w:eastAsiaTheme="minorEastAsia"/>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spacing w:before="240" w:after="240" w:line="360" w:lineRule="auto"/>
        <w:rPr>
          <w:rFonts w:cs="宋体" w:asciiTheme="minorEastAsia" w:hAnsiTheme="minorEastAsia" w:eastAsiaTheme="minorEastAsia"/>
          <w:b/>
          <w:sz w:val="24"/>
        </w:rPr>
      </w:pPr>
      <w:bookmarkStart w:id="52" w:name="_Toc217446052"/>
      <w:bookmarkStart w:id="53" w:name="_Toc183682362"/>
      <w:bookmarkStart w:id="54" w:name="_Toc308164802"/>
      <w:bookmarkStart w:id="55" w:name="_Toc183582225"/>
      <w:bookmarkStart w:id="56" w:name="_Toc183682364"/>
      <w:bookmarkStart w:id="57" w:name="_Toc183582227"/>
      <w:bookmarkStart w:id="58" w:name="_Toc217446054"/>
      <w:bookmarkStart w:id="59" w:name="_Toc308164804"/>
      <w:r>
        <w:rPr>
          <w:rFonts w:hint="eastAsia" w:cs="宋体" w:asciiTheme="minorEastAsia" w:hAnsiTheme="minorEastAsia" w:eastAsiaTheme="minorEastAsia"/>
          <w:b/>
          <w:sz w:val="24"/>
        </w:rPr>
        <w:t>18．投标文件的</w:t>
      </w:r>
      <w:bookmarkEnd w:id="52"/>
      <w:bookmarkEnd w:id="53"/>
      <w:bookmarkEnd w:id="54"/>
      <w:bookmarkEnd w:id="55"/>
      <w:r>
        <w:rPr>
          <w:rFonts w:hint="eastAsia" w:cs="宋体" w:asciiTheme="minorEastAsia" w:hAnsiTheme="minorEastAsia" w:eastAsiaTheme="minorEastAsia"/>
          <w:b/>
          <w:sz w:val="24"/>
        </w:rPr>
        <w:t>制作和签章、加密</w:t>
      </w:r>
    </w:p>
    <w:p>
      <w:pPr>
        <w:spacing w:before="240" w:after="240" w:line="360" w:lineRule="auto"/>
        <w:ind w:firstLine="486" w:firstLineChars="200"/>
        <w:rPr>
          <w:rFonts w:asciiTheme="minorEastAsia" w:hAnsiTheme="minorEastAsia" w:eastAsiaTheme="minorEastAsia"/>
          <w:sz w:val="24"/>
        </w:rPr>
      </w:pPr>
      <w:bookmarkStart w:id="60" w:name="_Toc308164803"/>
      <w:bookmarkStart w:id="61" w:name="_Toc217446053"/>
      <w:bookmarkStart w:id="62" w:name="_Toc183682363"/>
      <w:bookmarkStart w:id="63" w:name="_Toc89075877"/>
      <w:bookmarkStart w:id="64" w:name="_Toc183582226"/>
      <w:bookmarkStart w:id="65" w:name="_Toc77400781"/>
      <w:r>
        <w:rPr>
          <w:rFonts w:hint="eastAsia" w:asciiTheme="minorEastAsia" w:hAnsiTheme="minorEastAsia" w:eastAsiaTheme="minorEastAsia"/>
          <w:sz w:val="24"/>
        </w:rPr>
        <w:t>18.1本项目实行电子投标。投标人应先安装“政采云投标客户端”。（政府采购云平台—CA管理—绑定CA—下载驱动—“政采云投标客户端”立即下载）。投标人应按招标文件要求，通过“政采云投标客户端”制作、加密并提交投标文件。</w:t>
      </w:r>
      <w:r>
        <w:rPr>
          <w:rFonts w:hint="eastAsia" w:asciiTheme="minorEastAsia" w:hAnsiTheme="minorEastAsia" w:eastAsiaTheme="minorEastAsia"/>
          <w:b/>
          <w:sz w:val="24"/>
        </w:rPr>
        <w:t>（实质性要求）</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18.2 投标文件每页均应加盖投标人（法定名称）电子签章，不得使用投标人专用章（如经济合同章、投标专用章等）或下属单位印章代替。</w:t>
      </w:r>
      <w:r>
        <w:rPr>
          <w:rFonts w:hint="eastAsia" w:asciiTheme="minorEastAsia" w:hAnsiTheme="minorEastAsia" w:eastAsiaTheme="minorEastAsia"/>
          <w:b/>
          <w:sz w:val="24"/>
        </w:rPr>
        <w:t>（实质性要求）</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18.3 投标人应使用本企业CA数字证书对投标文件进行加密。</w:t>
      </w:r>
      <w:r>
        <w:rPr>
          <w:rFonts w:hint="eastAsia" w:asciiTheme="minorEastAsia" w:hAnsiTheme="minorEastAsia" w:eastAsiaTheme="minorEastAsia"/>
          <w:b/>
          <w:sz w:val="24"/>
        </w:rPr>
        <w:t>（实质性要求）</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18.4 招标文件若有修改，投标人根据修改后的招标文件制作或修改并递交投标文件。</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r>
        <w:rPr>
          <w:rFonts w:hint="eastAsia" w:asciiTheme="minorEastAsia" w:hAnsiTheme="minorEastAsia" w:eastAsiaTheme="minorEastAsia"/>
          <w:b/>
          <w:sz w:val="24"/>
        </w:rPr>
        <w:t>（实质性要求）</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19.</w:t>
      </w:r>
      <w:bookmarkEnd w:id="60"/>
      <w:bookmarkEnd w:id="61"/>
      <w:bookmarkEnd w:id="62"/>
      <w:bookmarkEnd w:id="63"/>
      <w:bookmarkEnd w:id="64"/>
      <w:bookmarkEnd w:id="65"/>
      <w:r>
        <w:rPr>
          <w:rFonts w:hint="eastAsia" w:cs="宋体" w:asciiTheme="minorEastAsia" w:hAnsiTheme="minorEastAsia" w:eastAsiaTheme="minorEastAsia"/>
          <w:b/>
          <w:sz w:val="24"/>
        </w:rPr>
        <w:t>投标文件的解密</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spacing w:before="240" w:after="240" w:line="360" w:lineRule="auto"/>
        <w:ind w:firstLine="486"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20．投标文件的</w:t>
      </w:r>
      <w:bookmarkEnd w:id="56"/>
      <w:bookmarkEnd w:id="57"/>
      <w:r>
        <w:rPr>
          <w:rFonts w:hint="eastAsia" w:cs="宋体" w:asciiTheme="minorEastAsia" w:hAnsiTheme="minorEastAsia" w:eastAsiaTheme="minorEastAsia"/>
          <w:b/>
          <w:sz w:val="24"/>
        </w:rPr>
        <w:t>递交</w:t>
      </w:r>
      <w:bookmarkEnd w:id="58"/>
      <w:bookmarkEnd w:id="59"/>
    </w:p>
    <w:p>
      <w:pPr>
        <w:spacing w:before="240" w:after="240" w:line="360" w:lineRule="auto"/>
        <w:ind w:firstLine="486" w:firstLineChars="200"/>
        <w:rPr>
          <w:rFonts w:asciiTheme="minorEastAsia" w:hAnsiTheme="minorEastAsia" w:eastAsiaTheme="minorEastAsia"/>
          <w:sz w:val="24"/>
        </w:rPr>
      </w:pPr>
      <w:bookmarkStart w:id="66" w:name="_Toc183682365"/>
      <w:bookmarkStart w:id="67" w:name="_Toc183582228"/>
      <w:bookmarkStart w:id="68" w:name="_Toc217446055"/>
      <w:r>
        <w:rPr>
          <w:rFonts w:hint="eastAsia" w:asciiTheme="minorEastAsia" w:hAnsiTheme="minorEastAsia" w:eastAsiaTheme="minorEastAsia"/>
          <w:sz w:val="24"/>
        </w:rPr>
        <w:t>20.1 投标人应当在投标文件递交截止时间前，将生成的已加密的电子投标文件成功递交至“政府采购云平台”。</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20.2投标人应充分考虑递交文件的不可预见因素，在投标截止时间后将无法递交。</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21．投标文件的修改和撤</w:t>
      </w:r>
      <w:bookmarkEnd w:id="66"/>
      <w:bookmarkEnd w:id="67"/>
      <w:r>
        <w:rPr>
          <w:rFonts w:hint="eastAsia" w:cs="宋体" w:asciiTheme="minorEastAsia" w:hAnsiTheme="minorEastAsia" w:eastAsiaTheme="minorEastAsia"/>
          <w:b/>
          <w:sz w:val="24"/>
        </w:rPr>
        <w:t>回</w:t>
      </w:r>
      <w:bookmarkEnd w:id="68"/>
    </w:p>
    <w:p>
      <w:pPr>
        <w:spacing w:line="360" w:lineRule="auto"/>
        <w:ind w:firstLine="486" w:firstLineChars="200"/>
        <w:rPr>
          <w:rFonts w:asciiTheme="minorEastAsia" w:hAnsiTheme="minorEastAsia" w:eastAsiaTheme="minorEastAsia"/>
          <w:sz w:val="24"/>
        </w:rPr>
      </w:pPr>
      <w:bookmarkStart w:id="69" w:name="_Toc217446056"/>
      <w:bookmarkStart w:id="70" w:name="_Toc77400782"/>
      <w:bookmarkStart w:id="71" w:name="_Toc183682368"/>
      <w:bookmarkStart w:id="72" w:name="_Toc89075878"/>
      <w:bookmarkStart w:id="73" w:name="_Toc183582231"/>
      <w:bookmarkStart w:id="74" w:name="_Toc308164805"/>
      <w:r>
        <w:rPr>
          <w:rFonts w:hint="eastAsia" w:asciiTheme="minorEastAsia" w:hAnsiTheme="minorEastAsia" w:eastAsiaTheme="minorEastAsia"/>
          <w:sz w:val="24"/>
        </w:rPr>
        <w:t>21.1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21.2 投标截止时间后，投标人不得对其递交的投标文件做任何补充、修改。</w:t>
      </w:r>
    </w:p>
    <w:p>
      <w:pPr>
        <w:pStyle w:val="10"/>
        <w:rPr>
          <w:sz w:val="24"/>
        </w:rPr>
      </w:pPr>
    </w:p>
    <w:p>
      <w:pPr>
        <w:ind w:firstLine="486" w:firstLineChars="200"/>
        <w:jc w:val="center"/>
        <w:rPr>
          <w:rFonts w:asciiTheme="minorEastAsia" w:hAnsiTheme="minorEastAsia" w:eastAsiaTheme="minorEastAsia"/>
          <w:b/>
          <w:sz w:val="24"/>
        </w:rPr>
      </w:pPr>
      <w:r>
        <w:rPr>
          <w:rFonts w:hint="eastAsia" w:asciiTheme="minorEastAsia" w:hAnsiTheme="minorEastAsia" w:eastAsiaTheme="minorEastAsia"/>
          <w:b/>
          <w:sz w:val="24"/>
        </w:rPr>
        <w:t>五、开标和中标</w:t>
      </w:r>
      <w:bookmarkEnd w:id="69"/>
      <w:bookmarkEnd w:id="70"/>
      <w:bookmarkEnd w:id="71"/>
      <w:bookmarkEnd w:id="72"/>
      <w:bookmarkEnd w:id="73"/>
      <w:bookmarkEnd w:id="74"/>
    </w:p>
    <w:p>
      <w:pPr>
        <w:spacing w:before="240" w:after="240" w:line="360" w:lineRule="auto"/>
        <w:rPr>
          <w:rFonts w:cs="宋体" w:asciiTheme="minorEastAsia" w:hAnsiTheme="minorEastAsia" w:eastAsiaTheme="minorEastAsia"/>
          <w:b/>
          <w:sz w:val="24"/>
        </w:rPr>
      </w:pPr>
      <w:bookmarkStart w:id="75" w:name="_Toc217446057"/>
      <w:bookmarkStart w:id="76" w:name="_Toc183682369"/>
      <w:bookmarkStart w:id="77" w:name="_Toc308164806"/>
      <w:bookmarkStart w:id="78" w:name="_Toc183582232"/>
      <w:r>
        <w:rPr>
          <w:rFonts w:hint="eastAsia" w:cs="宋体" w:asciiTheme="minorEastAsia" w:hAnsiTheme="minorEastAsia" w:eastAsiaTheme="minorEastAsia"/>
          <w:b/>
          <w:sz w:val="24"/>
        </w:rPr>
        <w:t>22．开标</w:t>
      </w:r>
      <w:bookmarkEnd w:id="75"/>
      <w:bookmarkEnd w:id="76"/>
      <w:bookmarkEnd w:id="77"/>
      <w:bookmarkEnd w:id="78"/>
      <w:r>
        <w:rPr>
          <w:rFonts w:hint="eastAsia" w:cs="宋体" w:asciiTheme="minorEastAsia" w:hAnsiTheme="minorEastAsia" w:eastAsiaTheme="minorEastAsia"/>
          <w:b/>
          <w:sz w:val="24"/>
        </w:rPr>
        <w:t>及开标程序</w:t>
      </w:r>
    </w:p>
    <w:p>
      <w:pPr>
        <w:spacing w:before="240" w:after="240" w:line="360" w:lineRule="auto"/>
        <w:ind w:firstLine="486" w:firstLineChars="200"/>
        <w:rPr>
          <w:rFonts w:asciiTheme="minorEastAsia" w:hAnsiTheme="minorEastAsia" w:eastAsiaTheme="minorEastAsia"/>
          <w:sz w:val="24"/>
        </w:rPr>
      </w:pPr>
      <w:bookmarkStart w:id="79" w:name="_Toc308164807"/>
      <w:bookmarkStart w:id="80" w:name="_Toc217446058"/>
      <w:r>
        <w:rPr>
          <w:rFonts w:hint="eastAsia" w:asciiTheme="minorEastAsia" w:hAnsiTheme="minorEastAsia" w:eastAsiaTheme="minorEastAsia"/>
          <w:sz w:val="24"/>
        </w:rPr>
        <w:t>22.1本项目为不见面开标项目。（递交电子投标文件的投标人不足3家的，不予开标。）</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22.2开标准备工作。投标人需在开标当日、投标截止时间前登录“政府采购云平台”，通过本项目“开标大厅”参与不见面开标。登录政府采购云平台—项目采购—开标评标—开标大厅（确保进入本项目开标大厅）。</w:t>
      </w:r>
    </w:p>
    <w:p>
      <w:pPr>
        <w:spacing w:before="240" w:after="240" w:line="360" w:lineRule="auto"/>
        <w:rPr>
          <w:rFonts w:asciiTheme="minorEastAsia" w:hAnsiTheme="minorEastAsia" w:eastAsiaTheme="minorEastAsia"/>
          <w:sz w:val="24"/>
        </w:rPr>
      </w:pPr>
      <w:r>
        <w:rPr>
          <w:rFonts w:hint="eastAsia" w:asciiTheme="minorEastAsia" w:hAnsiTheme="minorEastAsia" w:eastAsiaTheme="minorEastAsia"/>
          <w:sz w:val="24"/>
        </w:rPr>
        <w:t>提示：投标人未按时登录不见面开标系统，错过开标解密时间的，由投标人自行承担不利后果。</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22.3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22.6因断电、断网、系统故障或其他不可抗力等因素导致不见面开标系统无法正常运行的，开标活动中止或延迟，待系统恢复正常后继续进行开标活动。</w:t>
      </w:r>
    </w:p>
    <w:p>
      <w:pPr>
        <w:spacing w:before="240" w:after="240"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22.7不见面开标过程中，各方主体均应遵守互联网有关规定，不得发表与交易活动无关的言论。</w:t>
      </w:r>
    </w:p>
    <w:bookmarkEnd w:id="79"/>
    <w:bookmarkEnd w:id="80"/>
    <w:p>
      <w:pPr>
        <w:spacing w:before="240" w:after="240" w:line="360" w:lineRule="auto"/>
        <w:rPr>
          <w:rFonts w:cs="宋体" w:asciiTheme="minorEastAsia" w:hAnsiTheme="minorEastAsia" w:eastAsiaTheme="minorEastAsia"/>
          <w:b/>
          <w:sz w:val="24"/>
        </w:rPr>
      </w:pPr>
      <w:bookmarkStart w:id="81" w:name="_Toc183582238"/>
      <w:bookmarkStart w:id="82" w:name="_Toc183682375"/>
      <w:bookmarkStart w:id="83" w:name="_Toc217446063"/>
      <w:bookmarkStart w:id="84" w:name="_Toc308164809"/>
      <w:r>
        <w:rPr>
          <w:rFonts w:hint="eastAsia" w:cs="宋体" w:asciiTheme="minorEastAsia" w:hAnsiTheme="minorEastAsia" w:eastAsiaTheme="minorEastAsia"/>
          <w:b/>
          <w:sz w:val="24"/>
        </w:rPr>
        <w:t>2</w:t>
      </w:r>
      <w:r>
        <w:rPr>
          <w:rFonts w:cs="宋体" w:asciiTheme="minorEastAsia" w:hAnsiTheme="minorEastAsia" w:eastAsiaTheme="minorEastAsia"/>
          <w:b/>
          <w:sz w:val="24"/>
        </w:rPr>
        <w:t>3</w:t>
      </w:r>
      <w:r>
        <w:rPr>
          <w:rFonts w:hint="eastAsia" w:cs="宋体" w:asciiTheme="minorEastAsia" w:hAnsiTheme="minorEastAsia" w:eastAsiaTheme="minorEastAsia"/>
          <w:b/>
          <w:sz w:val="24"/>
        </w:rPr>
        <w:t>．开评标过程存档</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开标和评标过程进行全过程电子监控，并将电子监控资料存储介质留存归档。</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w:t>
      </w:r>
      <w:r>
        <w:rPr>
          <w:rFonts w:cs="宋体" w:asciiTheme="minorEastAsia" w:hAnsiTheme="minorEastAsia" w:eastAsiaTheme="minorEastAsia"/>
          <w:b/>
          <w:sz w:val="24"/>
        </w:rPr>
        <w:t>4</w:t>
      </w:r>
      <w:r>
        <w:rPr>
          <w:rFonts w:hint="eastAsia" w:cs="宋体" w:asciiTheme="minorEastAsia" w:hAnsiTheme="minorEastAsia" w:eastAsiaTheme="minorEastAsia"/>
          <w:b/>
          <w:sz w:val="24"/>
        </w:rPr>
        <w:t>.评标情况公告</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所有供应商投标文件资格性、符合性检查情况、采用综合评分法时的总得分和分项汇总得分情况、评标结果等将在四川政府采购网上采购结果公告栏中予以公告。</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w:t>
      </w:r>
      <w:r>
        <w:rPr>
          <w:rFonts w:cs="宋体" w:asciiTheme="minorEastAsia" w:hAnsiTheme="minorEastAsia" w:eastAsiaTheme="minorEastAsia"/>
          <w:b/>
          <w:sz w:val="24"/>
        </w:rPr>
        <w:t>5</w:t>
      </w:r>
      <w:r>
        <w:rPr>
          <w:rFonts w:hint="eastAsia" w:cs="宋体" w:asciiTheme="minorEastAsia" w:hAnsiTheme="minorEastAsia" w:eastAsiaTheme="minorEastAsia"/>
          <w:b/>
          <w:sz w:val="24"/>
        </w:rPr>
        <w:t>.中标通知</w:t>
      </w:r>
      <w:bookmarkEnd w:id="81"/>
      <w:bookmarkEnd w:id="82"/>
      <w:r>
        <w:rPr>
          <w:rFonts w:hint="eastAsia" w:cs="宋体" w:asciiTheme="minorEastAsia" w:hAnsiTheme="minorEastAsia" w:eastAsiaTheme="minorEastAsia"/>
          <w:b/>
          <w:sz w:val="24"/>
        </w:rPr>
        <w:t>书</w:t>
      </w:r>
      <w:bookmarkEnd w:id="83"/>
      <w:bookmarkEnd w:id="84"/>
    </w:p>
    <w:p>
      <w:pPr>
        <w:tabs>
          <w:tab w:val="left" w:pos="7665"/>
        </w:tabs>
        <w:adjustRightInd w:val="0"/>
        <w:snapToGrid w:val="0"/>
        <w:spacing w:line="360" w:lineRule="auto"/>
        <w:ind w:firstLine="480"/>
        <w:rPr>
          <w:rFonts w:hAnsi="宋体" w:cs="宋体"/>
          <w:sz w:val="24"/>
        </w:rPr>
      </w:pPr>
      <w:bookmarkStart w:id="85" w:name="_Toc308164810"/>
      <w:bookmarkStart w:id="86" w:name="_Toc217446064"/>
      <w:bookmarkStart w:id="87" w:name="_Toc183682377"/>
      <w:bookmarkStart w:id="88" w:name="_Toc183582240"/>
      <w:r>
        <w:rPr>
          <w:rFonts w:hint="eastAsia" w:hAnsi="宋体" w:cs="宋体"/>
          <w:sz w:val="24"/>
          <w:lang w:val="zh-CN"/>
        </w:rPr>
        <w:t>在四川政府采购网公告中标结果同时发出中标通知书，中标供应商自行登录政府采购云平台下载中标通知书</w:t>
      </w:r>
      <w:r>
        <w:rPr>
          <w:rFonts w:hint="eastAsia" w:hAnsi="宋体" w:cs="宋体"/>
          <w:sz w:val="24"/>
        </w:rPr>
        <w:t>。</w:t>
      </w:r>
    </w:p>
    <w:p>
      <w:pPr>
        <w:pStyle w:val="4"/>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六、签订及履行合同和验收</w:t>
      </w:r>
      <w:bookmarkEnd w:id="85"/>
      <w:bookmarkEnd w:id="86"/>
    </w:p>
    <w:p>
      <w:pPr>
        <w:spacing w:before="240" w:after="240" w:line="360" w:lineRule="auto"/>
        <w:rPr>
          <w:rFonts w:cs="宋体" w:asciiTheme="minorEastAsia" w:hAnsiTheme="minorEastAsia" w:eastAsiaTheme="minorEastAsia"/>
          <w:b/>
          <w:sz w:val="24"/>
        </w:rPr>
      </w:pPr>
      <w:bookmarkStart w:id="89" w:name="_Toc308164811"/>
      <w:bookmarkStart w:id="90" w:name="_Toc217446065"/>
      <w:r>
        <w:rPr>
          <w:rFonts w:hint="eastAsia" w:cs="宋体" w:asciiTheme="minorEastAsia" w:hAnsiTheme="minorEastAsia" w:eastAsiaTheme="minorEastAsia"/>
          <w:b/>
          <w:sz w:val="24"/>
        </w:rPr>
        <w:t>2</w:t>
      </w:r>
      <w:r>
        <w:rPr>
          <w:rFonts w:cs="宋体" w:asciiTheme="minorEastAsia" w:hAnsiTheme="minorEastAsia" w:eastAsiaTheme="minorEastAsia"/>
          <w:b/>
          <w:sz w:val="24"/>
        </w:rPr>
        <w:t>6</w:t>
      </w:r>
      <w:r>
        <w:rPr>
          <w:rFonts w:hint="eastAsia" w:cs="宋体" w:asciiTheme="minorEastAsia" w:hAnsiTheme="minorEastAsia" w:eastAsiaTheme="minorEastAsia"/>
          <w:b/>
          <w:sz w:val="24"/>
        </w:rPr>
        <w:t>. 签订合同</w:t>
      </w:r>
      <w:bookmarkEnd w:id="89"/>
      <w:bookmarkEnd w:id="90"/>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6</w:t>
      </w:r>
      <w:r>
        <w:rPr>
          <w:rFonts w:hint="eastAsia" w:asciiTheme="minorEastAsia" w:hAnsiTheme="minorEastAsia" w:eastAsiaTheme="minorEastAsia"/>
          <w:sz w:val="24"/>
        </w:rPr>
        <w:t>.1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5" w:firstLineChars="17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6</w:t>
      </w:r>
      <w:r>
        <w:rPr>
          <w:rFonts w:hint="eastAsia" w:asciiTheme="minorEastAsia" w:hAnsiTheme="minorEastAsia" w:eastAsiaTheme="minorEastAsia"/>
          <w:sz w:val="24"/>
        </w:rPr>
        <w:t>.2 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ind w:firstLine="425" w:firstLineChars="17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6</w:t>
      </w:r>
      <w:r>
        <w:rPr>
          <w:rFonts w:hint="eastAsia" w:asciiTheme="minorEastAsia" w:hAnsiTheme="minorEastAsia" w:eastAsiaTheme="minorEastAsia"/>
          <w:sz w:val="24"/>
        </w:rPr>
        <w:t>.3 中标人因不可抗力原因不能履行采购合同或放弃中标的，采购人可以与排在中标人之后第一位的中标候选人签订采购合同，以此类推。</w:t>
      </w:r>
    </w:p>
    <w:p>
      <w:pPr>
        <w:spacing w:line="360" w:lineRule="auto"/>
        <w:ind w:firstLine="425" w:firstLineChars="17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6</w:t>
      </w:r>
      <w:r>
        <w:rPr>
          <w:rFonts w:hint="eastAsia" w:asciiTheme="minorEastAsia" w:hAnsiTheme="minorEastAsia" w:eastAsiaTheme="minorEastAsia"/>
          <w:sz w:val="24"/>
        </w:rPr>
        <w:t>.4 中标人在合同签订之后7个工作日内，将签订的合同（壹份）送至采购代理机构进行合同编号。联系人：张女士，联系电话：</w:t>
      </w:r>
      <w:r>
        <w:rPr>
          <w:rFonts w:asciiTheme="minorEastAsia" w:hAnsiTheme="minorEastAsia" w:eastAsiaTheme="minorEastAsia"/>
          <w:sz w:val="24"/>
        </w:rPr>
        <w:t>028-61383989</w:t>
      </w:r>
      <w:r>
        <w:rPr>
          <w:rFonts w:hint="eastAsia" w:asciiTheme="minorEastAsia" w:hAnsiTheme="minorEastAsia" w:eastAsiaTheme="minorEastAsia"/>
          <w:sz w:val="24"/>
        </w:rPr>
        <w:t>。</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w:t>
      </w:r>
      <w:r>
        <w:rPr>
          <w:rFonts w:cs="宋体" w:asciiTheme="minorEastAsia" w:hAnsiTheme="minorEastAsia" w:eastAsiaTheme="minorEastAsia"/>
          <w:b/>
          <w:sz w:val="24"/>
        </w:rPr>
        <w:t>7</w:t>
      </w:r>
      <w:r>
        <w:rPr>
          <w:rFonts w:hint="eastAsia" w:cs="宋体" w:asciiTheme="minorEastAsia" w:hAnsiTheme="minorEastAsia" w:eastAsiaTheme="minorEastAsia"/>
          <w:b/>
          <w:sz w:val="24"/>
        </w:rPr>
        <w:t>. 合同分包（实质性要求）</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7</w:t>
      </w:r>
      <w:r>
        <w:rPr>
          <w:rFonts w:hint="eastAsia" w:asciiTheme="minorEastAsia" w:hAnsiTheme="minorEastAsia" w:eastAsiaTheme="minorEastAsia"/>
          <w:sz w:val="24"/>
        </w:rPr>
        <w:t>.1 经采购人同意，中标人可以依法采取分包方式履行合同。这种要求应当在合同签订之前征得采购人同意，并且分包供应商履行的分包项目的品牌、规格型号及技术要求等，必须与中标的一致。</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分包履行合同的部分应当为采购项目的非主体、非关键性工作，不属于中标人的主要合同义务。</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7</w:t>
      </w:r>
      <w:r>
        <w:rPr>
          <w:rFonts w:hint="eastAsia" w:asciiTheme="minorEastAsia" w:hAnsiTheme="minorEastAsia" w:eastAsiaTheme="minorEastAsia"/>
          <w:sz w:val="24"/>
        </w:rPr>
        <w:t>.2 采购合同实行分包履行的，中标人就采购项目和分包项目向采购人负责，分包供应商就分包项目承担责任。</w:t>
      </w:r>
    </w:p>
    <w:p>
      <w:pPr>
        <w:spacing w:line="360" w:lineRule="auto"/>
        <w:ind w:firstLine="546" w:firstLineChars="22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7</w:t>
      </w:r>
      <w:r>
        <w:rPr>
          <w:rFonts w:hint="eastAsia" w:asciiTheme="minorEastAsia" w:hAnsiTheme="minorEastAsia" w:eastAsiaTheme="minorEastAsia"/>
          <w:sz w:val="24"/>
        </w:rPr>
        <w:t>.3 中小企业依据</w:t>
      </w:r>
      <w:r>
        <w:rPr>
          <w:rFonts w:hint="eastAsia" w:ascii="宋体" w:hAnsi="宋体"/>
          <w:kern w:val="0"/>
          <w:sz w:val="24"/>
        </w:rPr>
        <w:t>《政府采购促进中小企业发展管理办法》（财库﹝2020﹞46 号）</w:t>
      </w:r>
      <w:r>
        <w:rPr>
          <w:rFonts w:hint="eastAsia" w:asciiTheme="minorEastAsia" w:hAnsiTheme="minorEastAsia" w:eastAsiaTheme="minorEastAsia"/>
          <w:sz w:val="24"/>
        </w:rPr>
        <w:t>规定的政策获取政府采购合同后，小型、微型企业不得分包或转包给大型、中型企业，中型企业不得分包或转包给大型企业。</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w:t>
      </w:r>
      <w:r>
        <w:rPr>
          <w:rFonts w:cs="宋体" w:asciiTheme="minorEastAsia" w:hAnsiTheme="minorEastAsia" w:eastAsiaTheme="minorEastAsia"/>
          <w:b/>
          <w:sz w:val="24"/>
        </w:rPr>
        <w:t>8</w:t>
      </w:r>
      <w:r>
        <w:rPr>
          <w:rFonts w:hint="eastAsia" w:cs="宋体" w:asciiTheme="minorEastAsia" w:hAnsiTheme="minorEastAsia" w:eastAsiaTheme="minorEastAsia"/>
          <w:b/>
          <w:sz w:val="24"/>
        </w:rPr>
        <w:t>.合同转包（实质性要求）</w:t>
      </w:r>
    </w:p>
    <w:p>
      <w:pPr>
        <w:spacing w:line="360" w:lineRule="auto"/>
        <w:ind w:firstLine="546" w:firstLineChars="225"/>
        <w:rPr>
          <w:rFonts w:asciiTheme="minorEastAsia" w:hAnsiTheme="minorEastAsia" w:eastAsiaTheme="minorEastAsia"/>
          <w:sz w:val="24"/>
        </w:rPr>
      </w:pPr>
      <w:r>
        <w:rPr>
          <w:rFonts w:hint="eastAsia" w:asciiTheme="minorEastAsia" w:hAnsiTheme="minorEastAsia" w:eastAsiaTheme="minor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6" w:firstLineChars="225"/>
        <w:rPr>
          <w:rFonts w:asciiTheme="minorEastAsia" w:hAnsiTheme="minorEastAsia" w:eastAsiaTheme="minorEastAsia"/>
          <w:sz w:val="24"/>
        </w:rPr>
      </w:pPr>
      <w:r>
        <w:rPr>
          <w:rFonts w:hint="eastAsia" w:asciiTheme="minorEastAsia" w:hAnsiTheme="minorEastAsia" w:eastAsiaTheme="minorEastAsia"/>
          <w:sz w:val="24"/>
        </w:rPr>
        <w:t>中标人转包的，视同拒绝履行政府采购合同义务，将依法追究法律责任。</w:t>
      </w:r>
    </w:p>
    <w:p>
      <w:pPr>
        <w:spacing w:before="240" w:after="240" w:line="360" w:lineRule="auto"/>
        <w:rPr>
          <w:rFonts w:cs="宋体" w:asciiTheme="minorEastAsia" w:hAnsiTheme="minorEastAsia" w:eastAsiaTheme="minorEastAsia"/>
          <w:b/>
          <w:sz w:val="24"/>
        </w:rPr>
      </w:pPr>
      <w:bookmarkStart w:id="91" w:name="_Toc217446066"/>
      <w:r>
        <w:rPr>
          <w:rFonts w:hint="eastAsia" w:cs="宋体" w:asciiTheme="minorEastAsia" w:hAnsiTheme="minorEastAsia" w:eastAsiaTheme="minorEastAsia"/>
          <w:b/>
          <w:sz w:val="24"/>
        </w:rPr>
        <w:t>29.</w:t>
      </w:r>
      <w:bookmarkEnd w:id="91"/>
      <w:r>
        <w:rPr>
          <w:rFonts w:hint="eastAsia" w:cs="宋体" w:asciiTheme="minorEastAsia" w:hAnsiTheme="minorEastAsia" w:eastAsiaTheme="minorEastAsia"/>
          <w:b/>
          <w:sz w:val="24"/>
        </w:rPr>
        <w:t xml:space="preserve"> 补充合同</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before="240" w:after="240" w:line="360" w:lineRule="auto"/>
        <w:rPr>
          <w:rFonts w:cs="宋体" w:asciiTheme="minorEastAsia" w:hAnsiTheme="minorEastAsia" w:eastAsiaTheme="minorEastAsia"/>
          <w:b/>
          <w:sz w:val="24"/>
        </w:rPr>
      </w:pPr>
      <w:bookmarkStart w:id="92" w:name="_Toc308164812"/>
      <w:bookmarkStart w:id="93" w:name="_Toc217446068"/>
      <w:r>
        <w:rPr>
          <w:rFonts w:hint="eastAsia" w:cs="宋体" w:asciiTheme="minorEastAsia" w:hAnsiTheme="minorEastAsia" w:eastAsiaTheme="minorEastAsia"/>
          <w:b/>
          <w:sz w:val="24"/>
        </w:rPr>
        <w:t>30. 履约保证金</w:t>
      </w:r>
      <w:bookmarkEnd w:id="92"/>
      <w:bookmarkEnd w:id="93"/>
      <w:r>
        <w:rPr>
          <w:rFonts w:hint="eastAsia" w:cs="宋体" w:asciiTheme="minorEastAsia" w:hAnsiTheme="minorEastAsia" w:eastAsiaTheme="minorEastAsia"/>
          <w:b/>
          <w:sz w:val="24"/>
        </w:rPr>
        <w:t>（实质性要求）</w:t>
      </w:r>
    </w:p>
    <w:p>
      <w:pPr>
        <w:spacing w:before="240" w:after="240" w:line="360" w:lineRule="auto"/>
        <w:ind w:firstLine="486" w:firstLineChars="200"/>
        <w:rPr>
          <w:rFonts w:asciiTheme="minorEastAsia" w:hAnsiTheme="minorEastAsia" w:eastAsiaTheme="minorEastAsia"/>
          <w:sz w:val="24"/>
        </w:rPr>
      </w:pPr>
      <w:bookmarkStart w:id="94" w:name="_Toc308164813"/>
      <w:bookmarkStart w:id="95" w:name="_Toc217446069"/>
      <w:r>
        <w:rPr>
          <w:rFonts w:hint="eastAsia" w:asciiTheme="minorEastAsia" w:hAnsiTheme="minorEastAsia" w:eastAsiaTheme="minorEastAsia"/>
          <w:sz w:val="24"/>
        </w:rPr>
        <w:t>本项目不收取履约保证金。</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31.合同公告</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32、合同备案</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采购人应当将政府采购合同副本自签订（双方当事人均已签字盖章）之日起七个工作日内通过四川政府采购网报同级财政部门备案。</w:t>
      </w:r>
    </w:p>
    <w:p>
      <w:pPr>
        <w:spacing w:before="240" w:after="240"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33. 履行合同</w:t>
      </w:r>
      <w:bookmarkEnd w:id="94"/>
      <w:bookmarkEnd w:id="95"/>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33.1 中标人与采购人签订合同后，合同双方应严格执行合同条款，履行合同规定的义务，保证合同的顺利完成。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33.2 在合同履行过程中，如发生合同纠纷，合同双方应按照《中华人民共和国民法典》的有关规定进行处理。</w:t>
      </w:r>
    </w:p>
    <w:p>
      <w:pPr>
        <w:spacing w:before="240" w:after="240" w:line="360" w:lineRule="auto"/>
        <w:rPr>
          <w:rFonts w:cs="宋体" w:asciiTheme="minorEastAsia" w:hAnsiTheme="minorEastAsia" w:eastAsiaTheme="minorEastAsia"/>
          <w:b/>
          <w:sz w:val="24"/>
        </w:rPr>
      </w:pPr>
      <w:bookmarkStart w:id="96" w:name="_Toc217446070"/>
      <w:bookmarkStart w:id="97" w:name="_Toc308164814"/>
      <w:r>
        <w:rPr>
          <w:rFonts w:hint="eastAsia" w:cs="宋体" w:asciiTheme="minorEastAsia" w:hAnsiTheme="minorEastAsia" w:eastAsiaTheme="minorEastAsia"/>
          <w:b/>
          <w:sz w:val="24"/>
        </w:rPr>
        <w:t>34. 验收</w:t>
      </w:r>
      <w:bookmarkEnd w:id="96"/>
      <w:bookmarkEnd w:id="97"/>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34.1本项目采购人及其委托的采购代理机构将严格按照政府采购相关法律法规以及《财政部关于进一步加强政府采购需求和履约验收管理的指导意见》(财库〔2016〕205 号)的要求进行验收。</w:t>
      </w:r>
    </w:p>
    <w:p>
      <w:pPr>
        <w:spacing w:before="240" w:after="240" w:line="360" w:lineRule="auto"/>
        <w:rPr>
          <w:rFonts w:cs="宋体" w:asciiTheme="minorEastAsia" w:hAnsiTheme="minorEastAsia" w:eastAsiaTheme="minorEastAsia"/>
          <w:b/>
          <w:sz w:val="24"/>
        </w:rPr>
      </w:pPr>
      <w:bookmarkStart w:id="98" w:name="_Toc217446077"/>
      <w:bookmarkStart w:id="99" w:name="_Toc308164818"/>
      <w:bookmarkStart w:id="100" w:name="_Toc217446071"/>
      <w:r>
        <w:rPr>
          <w:rFonts w:hint="eastAsia" w:cs="宋体" w:asciiTheme="minorEastAsia" w:hAnsiTheme="minorEastAsia" w:eastAsiaTheme="minorEastAsia"/>
          <w:b/>
          <w:sz w:val="24"/>
        </w:rPr>
        <w:t>35.资金支付</w:t>
      </w:r>
      <w:bookmarkEnd w:id="98"/>
      <w:bookmarkEnd w:id="99"/>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采购人将按照政府采购合同规定，及时向中标供应商支付采购资金。本项目采购资金采取直接支付，支付程序详见采购合同。</w:t>
      </w:r>
    </w:p>
    <w:bookmarkEnd w:id="87"/>
    <w:bookmarkEnd w:id="88"/>
    <w:bookmarkEnd w:id="100"/>
    <w:p>
      <w:pPr>
        <w:pStyle w:val="4"/>
        <w:spacing w:line="400" w:lineRule="exact"/>
        <w:jc w:val="center"/>
        <w:rPr>
          <w:rFonts w:asciiTheme="minorEastAsia" w:hAnsiTheme="minorEastAsia" w:eastAsiaTheme="minorEastAsia"/>
          <w:sz w:val="28"/>
          <w:szCs w:val="28"/>
        </w:rPr>
      </w:pPr>
      <w:bookmarkStart w:id="101" w:name="_Toc308164815"/>
      <w:bookmarkStart w:id="102" w:name="_Toc217446074"/>
      <w:bookmarkStart w:id="103" w:name="_Toc183582243"/>
      <w:bookmarkStart w:id="104" w:name="_Toc183682380"/>
      <w:r>
        <w:rPr>
          <w:rFonts w:hint="eastAsia" w:asciiTheme="minorEastAsia" w:hAnsiTheme="minorEastAsia" w:eastAsiaTheme="minorEastAsia"/>
          <w:sz w:val="28"/>
          <w:szCs w:val="28"/>
        </w:rPr>
        <w:t>七、投标纪律要求</w:t>
      </w:r>
      <w:bookmarkEnd w:id="101"/>
      <w:bookmarkEnd w:id="102"/>
    </w:p>
    <w:p>
      <w:pPr>
        <w:spacing w:before="240" w:after="240" w:line="360" w:lineRule="auto"/>
        <w:rPr>
          <w:rFonts w:cs="宋体" w:asciiTheme="minorEastAsia" w:hAnsiTheme="minorEastAsia" w:eastAsiaTheme="minorEastAsia"/>
          <w:b/>
          <w:sz w:val="24"/>
        </w:rPr>
      </w:pPr>
      <w:bookmarkStart w:id="105" w:name="_Toc217446075"/>
      <w:bookmarkStart w:id="106" w:name="_Toc308164816"/>
      <w:r>
        <w:rPr>
          <w:rFonts w:hint="eastAsia" w:cs="宋体" w:asciiTheme="minorEastAsia" w:hAnsiTheme="minorEastAsia" w:eastAsiaTheme="minorEastAsia"/>
          <w:b/>
          <w:sz w:val="24"/>
        </w:rPr>
        <w:t>36. 投标人不得具有的情形</w:t>
      </w:r>
      <w:bookmarkEnd w:id="105"/>
      <w:bookmarkEnd w:id="106"/>
    </w:p>
    <w:p>
      <w:pPr>
        <w:pStyle w:val="7"/>
        <w:spacing w:line="360" w:lineRule="auto"/>
        <w:ind w:firstLine="486"/>
        <w:rPr>
          <w:rFonts w:asciiTheme="minorEastAsia" w:hAnsiTheme="minorEastAsia" w:eastAsiaTheme="minorEastAsia"/>
          <w:sz w:val="24"/>
        </w:rPr>
      </w:pPr>
      <w:r>
        <w:rPr>
          <w:rFonts w:hint="eastAsia" w:asciiTheme="minorEastAsia" w:hAnsiTheme="minorEastAsia" w:eastAsiaTheme="minorEastAsia"/>
          <w:sz w:val="24"/>
        </w:rPr>
        <w:t>投标人参加本项目投标不得有下列情形：</w:t>
      </w:r>
    </w:p>
    <w:p>
      <w:pPr>
        <w:spacing w:line="360" w:lineRule="auto"/>
        <w:ind w:firstLine="465" w:firstLineChars="192"/>
        <w:rPr>
          <w:rFonts w:asciiTheme="minorEastAsia" w:hAnsiTheme="minorEastAsia" w:eastAsiaTheme="minorEastAsia"/>
          <w:sz w:val="24"/>
        </w:rPr>
      </w:pPr>
      <w:r>
        <w:rPr>
          <w:rFonts w:hint="eastAsia" w:asciiTheme="minorEastAsia" w:hAnsiTheme="minorEastAsia" w:eastAsiaTheme="minorEastAsia"/>
          <w:sz w:val="24"/>
        </w:rPr>
        <w:t>（1）提供虚假材料谋取中标；</w:t>
      </w:r>
    </w:p>
    <w:p>
      <w:pPr>
        <w:spacing w:line="360" w:lineRule="auto"/>
        <w:ind w:firstLine="465" w:firstLineChars="192"/>
        <w:rPr>
          <w:rFonts w:asciiTheme="minorEastAsia" w:hAnsiTheme="minorEastAsia" w:eastAsiaTheme="minorEastAsia"/>
          <w:sz w:val="24"/>
        </w:rPr>
      </w:pPr>
      <w:r>
        <w:rPr>
          <w:rFonts w:hint="eastAsia" w:asciiTheme="minorEastAsia" w:hAnsiTheme="minorEastAsia" w:eastAsiaTheme="minorEastAsia"/>
          <w:sz w:val="24"/>
        </w:rPr>
        <w:t>（2）采取不正当手段诋毁、排挤其他投标人；</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（3）与招标采购单位、其他投标人恶意串通；</w:t>
      </w:r>
    </w:p>
    <w:p>
      <w:pPr>
        <w:spacing w:line="360" w:lineRule="auto"/>
        <w:ind w:left="496" w:leftChars="233"/>
        <w:rPr>
          <w:rFonts w:asciiTheme="minorEastAsia" w:hAnsiTheme="minorEastAsia" w:eastAsiaTheme="minorEastAsia"/>
          <w:sz w:val="24"/>
        </w:rPr>
      </w:pPr>
      <w:r>
        <w:rPr>
          <w:rFonts w:hint="eastAsia" w:asciiTheme="minorEastAsia" w:hAnsiTheme="minorEastAsia" w:eastAsiaTheme="minorEastAsia"/>
          <w:sz w:val="24"/>
        </w:rPr>
        <w:t>（4）向招标采购单位、评标委员会成员行贿或者提供其他不正当利益；</w:t>
      </w:r>
    </w:p>
    <w:p>
      <w:pPr>
        <w:spacing w:line="360" w:lineRule="auto"/>
        <w:ind w:firstLine="465" w:firstLineChars="192"/>
        <w:rPr>
          <w:rFonts w:asciiTheme="minorEastAsia" w:hAnsiTheme="minorEastAsia" w:eastAsiaTheme="minorEastAsia"/>
          <w:sz w:val="24"/>
        </w:rPr>
      </w:pPr>
      <w:r>
        <w:rPr>
          <w:rFonts w:hint="eastAsia" w:asciiTheme="minorEastAsia" w:hAnsiTheme="minorEastAsia" w:eastAsiaTheme="minorEastAsia"/>
          <w:sz w:val="24"/>
        </w:rPr>
        <w:t>（5）在招标过程中与招标采购单位进行协商谈判；</w:t>
      </w:r>
    </w:p>
    <w:p>
      <w:pPr>
        <w:spacing w:line="360" w:lineRule="auto"/>
        <w:ind w:firstLine="465" w:firstLineChars="192"/>
        <w:rPr>
          <w:rFonts w:asciiTheme="minorEastAsia" w:hAnsiTheme="minorEastAsia" w:eastAsiaTheme="minorEastAsia"/>
          <w:sz w:val="24"/>
        </w:rPr>
      </w:pPr>
      <w:r>
        <w:rPr>
          <w:rFonts w:hint="eastAsia" w:asciiTheme="minorEastAsia" w:hAnsiTheme="minorEastAsia" w:eastAsiaTheme="minorEastAsia"/>
          <w:sz w:val="24"/>
        </w:rPr>
        <w:t>（6）中标或者成交后无正当理由拒不与采购人签订政府采购合同；</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（7）未按照采购文件确定的事项签订政府采购合同；</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（8）将政府采购合同转包或者违规分包；</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（9）提供假冒伪劣产品；</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（10）擅自变更、中止或者终止政府采购合同；</w:t>
      </w:r>
    </w:p>
    <w:p>
      <w:pPr>
        <w:spacing w:line="360" w:lineRule="auto"/>
        <w:ind w:firstLine="465" w:firstLineChars="192"/>
        <w:rPr>
          <w:rFonts w:asciiTheme="minorEastAsia" w:hAnsiTheme="minorEastAsia" w:eastAsiaTheme="minorEastAsia"/>
          <w:sz w:val="24"/>
        </w:rPr>
      </w:pPr>
      <w:r>
        <w:rPr>
          <w:rFonts w:hint="eastAsia" w:asciiTheme="minorEastAsia" w:hAnsiTheme="minorEastAsia" w:eastAsiaTheme="minorEastAsia"/>
          <w:sz w:val="24"/>
        </w:rPr>
        <w:t>（11）拒绝有关部门的监督检查或者向监督检查部门提供虚假情况；</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（12）法律法规规定的其他情形。</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投标人有上述情形的，按照规定追究法律责任，具备（1）-（10）条情形之一的，同时将取消中标资格或者认定中标无效。</w:t>
      </w:r>
    </w:p>
    <w:p>
      <w:pPr>
        <w:pStyle w:val="4"/>
        <w:spacing w:line="400" w:lineRule="exact"/>
        <w:jc w:val="center"/>
        <w:rPr>
          <w:rFonts w:asciiTheme="minorEastAsia" w:hAnsiTheme="minorEastAsia" w:eastAsiaTheme="minorEastAsia"/>
          <w:bCs w:val="0"/>
          <w:sz w:val="28"/>
          <w:szCs w:val="28"/>
        </w:rPr>
      </w:pPr>
      <w:bookmarkStart w:id="107" w:name="_Toc308164819"/>
      <w:bookmarkStart w:id="108" w:name="_Toc217446078"/>
      <w:r>
        <w:rPr>
          <w:rFonts w:hint="eastAsia" w:asciiTheme="minorEastAsia" w:hAnsiTheme="minorEastAsia" w:eastAsiaTheme="minorEastAsia"/>
          <w:bCs w:val="0"/>
          <w:sz w:val="28"/>
          <w:szCs w:val="28"/>
        </w:rPr>
        <w:t>八、询问、质疑和投诉</w:t>
      </w:r>
      <w:bookmarkEnd w:id="107"/>
      <w:bookmarkEnd w:id="108"/>
      <w:bookmarkStart w:id="109" w:name="_Toc217446079"/>
    </w:p>
    <w:bookmarkEnd w:id="109"/>
    <w:p>
      <w:pPr>
        <w:spacing w:before="240" w:after="240"/>
        <w:rPr>
          <w:rFonts w:cs="宋体" w:asciiTheme="minorEastAsia" w:hAnsiTheme="minorEastAsia" w:eastAsiaTheme="minorEastAsia"/>
          <w:b/>
          <w:sz w:val="24"/>
        </w:rPr>
      </w:pPr>
      <w:r>
        <w:rPr>
          <w:rFonts w:hint="eastAsia" w:cs="宋体" w:asciiTheme="minorEastAsia" w:hAnsiTheme="minorEastAsia" w:eastAsiaTheme="minorEastAsia"/>
          <w:b/>
          <w:sz w:val="24"/>
        </w:rPr>
        <w:t>3</w:t>
      </w:r>
      <w:bookmarkEnd w:id="103"/>
      <w:bookmarkEnd w:id="104"/>
      <w:r>
        <w:rPr>
          <w:rFonts w:hint="eastAsia" w:cs="宋体" w:asciiTheme="minorEastAsia" w:hAnsiTheme="minorEastAsia" w:eastAsiaTheme="minorEastAsia"/>
          <w:b/>
          <w:sz w:val="24"/>
        </w:rPr>
        <w:t>7．询问、质疑、投诉的接收和处理</w:t>
      </w:r>
    </w:p>
    <w:p>
      <w:pPr>
        <w:spacing w:before="240" w:after="240"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严格按照《中华人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line="400" w:lineRule="exact"/>
        <w:jc w:val="center"/>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九、其他</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38.本招标文件中所引相关法律制度规定，在政府采购中有变化的，按照变化后的相关法律制度规定执行。</w:t>
      </w:r>
    </w:p>
    <w:p>
      <w:pPr>
        <w:spacing w:before="240" w:after="240"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before="240" w:after="240"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39．（实质性要求）</w:t>
      </w:r>
      <w:r>
        <w:rPr>
          <w:rFonts w:hint="eastAsia" w:cs="宋体" w:asciiTheme="minorEastAsia" w:hAnsiTheme="minorEastAsia" w:eastAsiaTheme="minorEastAsia"/>
          <w:sz w:val="24"/>
        </w:rPr>
        <w:t>国家或行业主管部门对采购产品的技术标准、质量标准和资格资质条件等有强制性规定的，必须符合其要求。</w:t>
      </w:r>
    </w:p>
    <w:p>
      <w:pPr>
        <w:pStyle w:val="19"/>
        <w:widowControl w:val="0"/>
        <w:shd w:val="clear" w:color="auto" w:fill="FFFFFF"/>
        <w:adjustRightInd w:val="0"/>
        <w:snapToGrid w:val="0"/>
        <w:spacing w:before="0" w:beforeAutospacing="0" w:after="0" w:afterAutospacing="0" w:line="360" w:lineRule="auto"/>
        <w:ind w:firstLine="486"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40、本招标文件规定按日计算期间的，开始当天不计入，从次日开始计算。期限的最后一日是国家法定节假日的，顺延到节假日后的次日为期限的最后一日。</w:t>
      </w:r>
    </w:p>
    <w:p>
      <w:pPr>
        <w:pStyle w:val="19"/>
        <w:widowControl w:val="0"/>
        <w:shd w:val="clear" w:color="auto" w:fill="FFFFFF"/>
        <w:adjustRightInd w:val="0"/>
        <w:snapToGrid w:val="0"/>
        <w:spacing w:before="0" w:beforeAutospacing="0" w:after="0" w:afterAutospacing="0" w:line="360" w:lineRule="auto"/>
        <w:ind w:firstLine="486" w:firstLineChars="200"/>
        <w:jc w:val="both"/>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41、本招标文件所称的“以上”、“以下”、“内”、“以内”，包括本数；所称的“不足”，不包括本数。</w:t>
      </w:r>
    </w:p>
    <w:p>
      <w:pPr>
        <w:pStyle w:val="10"/>
        <w:rPr>
          <w:sz w:val="24"/>
        </w:rPr>
      </w:pPr>
    </w:p>
    <w:p>
      <w:pPr>
        <w:rPr>
          <w:rFonts w:asciiTheme="minorEastAsia" w:hAnsiTheme="minorEastAsia" w:eastAsiaTheme="minorEastAsia"/>
          <w:sz w:val="24"/>
        </w:rPr>
      </w:pPr>
    </w:p>
    <w:p>
      <w:pPr>
        <w:rPr>
          <w:rFonts w:asciiTheme="minorEastAsia" w:hAnsiTheme="minorEastAsia" w:eastAsiaTheme="minorEastAsia"/>
          <w:sz w:val="24"/>
        </w:rPr>
      </w:pPr>
    </w:p>
    <w:bookmarkEnd w:id="7"/>
    <w:bookmarkEnd w:id="8"/>
    <w:bookmarkEnd w:id="9"/>
    <w:p>
      <w:pPr>
        <w:pStyle w:val="3"/>
        <w:spacing w:line="240" w:lineRule="atLeast"/>
        <w:jc w:val="center"/>
        <w:rPr>
          <w:rFonts w:asciiTheme="minorEastAsia" w:hAnsiTheme="minorEastAsia" w:eastAsiaTheme="minorEastAsia"/>
          <w:b w:val="0"/>
          <w:sz w:val="36"/>
          <w:szCs w:val="36"/>
        </w:rPr>
      </w:pPr>
      <w:bookmarkStart w:id="110" w:name="_Toc489965589"/>
      <w:bookmarkStart w:id="111" w:name="_Toc217446083"/>
      <w:r>
        <w:rPr>
          <w:rFonts w:asciiTheme="minorEastAsia" w:hAnsiTheme="minorEastAsia" w:eastAsiaTheme="minorEastAsia"/>
          <w:sz w:val="24"/>
          <w:szCs w:val="24"/>
        </w:rPr>
        <w:br w:type="page"/>
      </w:r>
      <w:r>
        <w:rPr>
          <w:rFonts w:hint="eastAsia" w:asciiTheme="minorEastAsia" w:hAnsiTheme="minorEastAsia" w:eastAsiaTheme="minorEastAsia"/>
          <w:sz w:val="32"/>
          <w:szCs w:val="36"/>
        </w:rPr>
        <w:t>第三章 投标文件格式</w:t>
      </w:r>
      <w:bookmarkEnd w:id="110"/>
      <w:bookmarkStart w:id="112" w:name="_Toc217446082"/>
      <w:bookmarkStart w:id="113" w:name="_Toc308164821"/>
    </w:p>
    <w:p>
      <w:pPr>
        <w:rPr>
          <w:rFonts w:asciiTheme="minorEastAsia" w:hAnsiTheme="minorEastAsia" w:eastAsiaTheme="minorEastAsia"/>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二、本章所制投标文件格式有关表格中的备注栏，由投标人根据自身投标情况作解释性说明，不作为必填项。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三、本章所制投标文件格式中需要填写的相关内容事项，可能会与本采购项目无关，在不改变投标文件原义、不影响本项目采购需求的情况下，投标人可以不予填写，但应当注明。</w:t>
      </w:r>
    </w:p>
    <w:p>
      <w:pPr>
        <w:spacing w:line="360" w:lineRule="auto"/>
        <w:ind w:left="1"/>
        <w:jc w:val="center"/>
        <w:rPr>
          <w:rFonts w:asciiTheme="minorEastAsia" w:hAnsiTheme="minorEastAsia" w:eastAsiaTheme="minorEastAsia"/>
          <w:b/>
          <w:sz w:val="30"/>
          <w:szCs w:val="30"/>
        </w:rPr>
      </w:pPr>
      <w:r>
        <w:rPr>
          <w:rFonts w:asciiTheme="minorEastAsia" w:hAnsiTheme="minorEastAsia" w:eastAsiaTheme="minorEastAsia"/>
          <w:sz w:val="24"/>
        </w:rPr>
        <w:br w:type="page"/>
      </w:r>
      <w:bookmarkEnd w:id="112"/>
      <w:bookmarkEnd w:id="113"/>
      <w:r>
        <w:rPr>
          <w:rFonts w:asciiTheme="minorEastAsia" w:hAnsiTheme="minorEastAsia" w:eastAsiaTheme="minorEastAsia"/>
          <w:b/>
          <w:sz w:val="30"/>
          <w:szCs w:val="30"/>
        </w:rPr>
        <w:t xml:space="preserve">第一部分     </w:t>
      </w:r>
      <w:r>
        <w:rPr>
          <w:rFonts w:hint="eastAsia" w:asciiTheme="minorEastAsia" w:hAnsiTheme="minorEastAsia" w:eastAsiaTheme="minorEastAsia"/>
          <w:b/>
          <w:sz w:val="30"/>
          <w:szCs w:val="30"/>
        </w:rPr>
        <w:t>“</w:t>
      </w:r>
      <w:r>
        <w:rPr>
          <w:rFonts w:asciiTheme="minorEastAsia" w:hAnsiTheme="minorEastAsia" w:eastAsiaTheme="minorEastAsia"/>
          <w:b/>
          <w:sz w:val="30"/>
          <w:szCs w:val="30"/>
        </w:rPr>
        <w:t>资格性</w:t>
      </w:r>
      <w:r>
        <w:rPr>
          <w:rFonts w:hint="eastAsia" w:asciiTheme="minorEastAsia" w:hAnsiTheme="minorEastAsia" w:eastAsiaTheme="minorEastAsia"/>
          <w:b/>
          <w:sz w:val="30"/>
          <w:szCs w:val="30"/>
        </w:rPr>
        <w:t>投标</w:t>
      </w:r>
      <w:r>
        <w:rPr>
          <w:rFonts w:asciiTheme="minorEastAsia" w:hAnsiTheme="minorEastAsia" w:eastAsiaTheme="minorEastAsia"/>
          <w:b/>
          <w:sz w:val="30"/>
          <w:szCs w:val="30"/>
        </w:rPr>
        <w:t>文件</w:t>
      </w:r>
      <w:r>
        <w:rPr>
          <w:rFonts w:hint="eastAsia" w:asciiTheme="minorEastAsia" w:hAnsiTheme="minorEastAsia" w:eastAsiaTheme="minorEastAsia"/>
          <w:b/>
          <w:sz w:val="30"/>
          <w:szCs w:val="30"/>
        </w:rPr>
        <w:t>”</w:t>
      </w:r>
      <w:r>
        <w:rPr>
          <w:rFonts w:asciiTheme="minorEastAsia" w:hAnsiTheme="minorEastAsia" w:eastAsiaTheme="minorEastAsia"/>
          <w:b/>
          <w:sz w:val="30"/>
          <w:szCs w:val="30"/>
        </w:rPr>
        <w:t>格式</w:t>
      </w:r>
    </w:p>
    <w:p>
      <w:pPr>
        <w:rPr>
          <w:rFonts w:asciiTheme="minorEastAsia" w:hAnsiTheme="minorEastAsia" w:eastAsiaTheme="minorEastAsia"/>
          <w:sz w:val="24"/>
        </w:rPr>
      </w:pPr>
    </w:p>
    <w:p>
      <w:pPr>
        <w:widowControl/>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格式1-1</w:t>
      </w:r>
    </w:p>
    <w:p>
      <w:pPr>
        <w:spacing w:line="480" w:lineRule="auto"/>
        <w:rPr>
          <w:rFonts w:asciiTheme="minorEastAsia" w:hAnsiTheme="minorEastAsia" w:eastAsiaTheme="minorEastAsia"/>
        </w:rPr>
      </w:pPr>
    </w:p>
    <w:p>
      <w:pPr>
        <w:spacing w:line="360" w:lineRule="auto"/>
        <w:rPr>
          <w:rFonts w:ascii="黑体" w:hAnsi="黑体" w:eastAsia="黑体"/>
          <w:b/>
          <w:sz w:val="32"/>
          <w:szCs w:val="32"/>
        </w:rPr>
      </w:pPr>
      <w:r>
        <w:rPr>
          <w:rFonts w:hint="eastAsia" w:ascii="黑体" w:hAnsi="黑体" w:eastAsia="黑体"/>
          <w:b/>
          <w:sz w:val="32"/>
          <w:szCs w:val="32"/>
        </w:rPr>
        <w:t>封面：</w:t>
      </w:r>
    </w:p>
    <w:p>
      <w:pPr>
        <w:spacing w:line="360" w:lineRule="auto"/>
        <w:jc w:val="right"/>
        <w:rPr>
          <w:rFonts w:ascii="黑体" w:hAnsi="黑体" w:eastAsia="黑体"/>
          <w:b/>
          <w:sz w:val="36"/>
        </w:rPr>
      </w:pPr>
      <w:r>
        <w:rPr>
          <w:rFonts w:ascii="黑体" w:hAnsi="黑体" w:eastAsia="黑体"/>
          <w:b/>
          <w:sz w:val="36"/>
        </w:rPr>
        <w:t>（正本/副本）</w:t>
      </w:r>
    </w:p>
    <w:p>
      <w:pPr>
        <w:spacing w:line="360" w:lineRule="auto"/>
        <w:rPr>
          <w:rFonts w:ascii="黑体" w:hAnsi="黑体" w:eastAsia="黑体"/>
          <w:b/>
          <w:sz w:val="40"/>
          <w:szCs w:val="48"/>
        </w:rPr>
      </w:pPr>
    </w:p>
    <w:p>
      <w:pPr>
        <w:spacing w:line="360" w:lineRule="auto"/>
        <w:ind w:firstLine="1209" w:firstLineChars="300"/>
        <w:rPr>
          <w:rFonts w:ascii="黑体" w:hAnsi="黑体" w:eastAsia="黑体"/>
          <w:b/>
          <w:sz w:val="40"/>
          <w:szCs w:val="48"/>
        </w:rPr>
      </w:pPr>
      <w:r>
        <w:rPr>
          <w:rFonts w:hint="eastAsia" w:ascii="黑体" w:hAnsi="黑体" w:eastAsia="黑体"/>
          <w:b/>
          <w:sz w:val="40"/>
          <w:szCs w:val="48"/>
        </w:rPr>
        <w:t>项目名称：</w:t>
      </w:r>
    </w:p>
    <w:p>
      <w:pPr>
        <w:spacing w:line="360" w:lineRule="auto"/>
        <w:ind w:firstLine="1209" w:firstLineChars="300"/>
        <w:rPr>
          <w:rFonts w:ascii="黑体" w:hAnsi="黑体" w:eastAsia="黑体"/>
          <w:b/>
          <w:sz w:val="40"/>
          <w:szCs w:val="48"/>
          <w:u w:val="single"/>
        </w:rPr>
      </w:pPr>
      <w:r>
        <w:rPr>
          <w:rFonts w:hint="eastAsia" w:ascii="黑体" w:hAnsi="黑体" w:eastAsia="黑体"/>
          <w:b/>
          <w:sz w:val="40"/>
          <w:szCs w:val="48"/>
        </w:rPr>
        <w:t>招标编号：</w:t>
      </w:r>
    </w:p>
    <w:p>
      <w:pPr>
        <w:spacing w:line="360" w:lineRule="auto"/>
        <w:jc w:val="center"/>
        <w:rPr>
          <w:rFonts w:ascii="黑体" w:hAnsi="黑体" w:eastAsia="黑体"/>
          <w:b/>
          <w:sz w:val="52"/>
          <w:szCs w:val="52"/>
        </w:rPr>
      </w:pPr>
    </w:p>
    <w:p>
      <w:pPr>
        <w:spacing w:line="360" w:lineRule="auto"/>
        <w:jc w:val="center"/>
        <w:rPr>
          <w:rFonts w:ascii="黑体" w:hAnsi="黑体" w:eastAsia="黑体"/>
          <w:b/>
          <w:sz w:val="32"/>
          <w:szCs w:val="32"/>
        </w:rPr>
      </w:pPr>
      <w:r>
        <w:rPr>
          <w:rFonts w:hint="eastAsia" w:ascii="黑体" w:hAnsi="黑体" w:eastAsia="黑体"/>
          <w:b/>
          <w:sz w:val="52"/>
          <w:szCs w:val="52"/>
        </w:rPr>
        <w:t>资格性投标文件</w:t>
      </w:r>
    </w:p>
    <w:p>
      <w:pPr>
        <w:spacing w:line="360" w:lineRule="auto"/>
        <w:ind w:left="540"/>
        <w:rPr>
          <w:rFonts w:ascii="黑体" w:hAnsi="黑体" w:eastAsia="黑体"/>
          <w:b/>
          <w:sz w:val="32"/>
        </w:rPr>
      </w:pPr>
    </w:p>
    <w:p>
      <w:pPr>
        <w:pStyle w:val="27"/>
        <w:spacing w:line="480" w:lineRule="auto"/>
        <w:rPr>
          <w:rFonts w:ascii="黑体" w:hAnsi="黑体"/>
        </w:rPr>
      </w:pPr>
    </w:p>
    <w:p>
      <w:pPr>
        <w:spacing w:line="480" w:lineRule="auto"/>
        <w:ind w:firstLine="566" w:firstLineChars="200"/>
        <w:rPr>
          <w:rFonts w:ascii="黑体" w:hAnsi="黑体" w:eastAsia="黑体"/>
          <w:b/>
          <w:sz w:val="28"/>
          <w:u w:val="single"/>
        </w:rPr>
      </w:pPr>
      <w:r>
        <w:rPr>
          <w:rFonts w:ascii="黑体" w:hAnsi="黑体" w:eastAsia="黑体"/>
          <w:b/>
          <w:sz w:val="28"/>
        </w:rPr>
        <w:t>投标人名称</w:t>
      </w:r>
      <w:r>
        <w:rPr>
          <w:rFonts w:hint="eastAsia" w:ascii="黑体" w:hAnsi="黑体" w:eastAsia="黑体"/>
          <w:b/>
          <w:sz w:val="28"/>
        </w:rPr>
        <w:t>（全称并加盖公章）</w:t>
      </w:r>
      <w:r>
        <w:rPr>
          <w:rFonts w:ascii="黑体" w:hAnsi="黑体" w:eastAsia="黑体"/>
          <w:b/>
          <w:sz w:val="28"/>
        </w:rPr>
        <w:t>：</w:t>
      </w:r>
    </w:p>
    <w:p>
      <w:pPr>
        <w:spacing w:line="480" w:lineRule="auto"/>
        <w:ind w:left="540"/>
        <w:rPr>
          <w:rFonts w:ascii="黑体" w:hAnsi="黑体" w:eastAsia="黑体"/>
          <w:b/>
          <w:sz w:val="28"/>
          <w:u w:val="single"/>
        </w:rPr>
      </w:pPr>
      <w:r>
        <w:rPr>
          <w:rFonts w:ascii="黑体" w:hAnsi="黑体" w:eastAsia="黑体"/>
          <w:b/>
          <w:sz w:val="28"/>
        </w:rPr>
        <w:t>法定代表人</w:t>
      </w:r>
      <w:r>
        <w:rPr>
          <w:rFonts w:hint="eastAsia" w:ascii="黑体" w:hAnsi="黑体" w:eastAsia="黑体"/>
          <w:b/>
          <w:sz w:val="28"/>
        </w:rPr>
        <w:t>/主要负责人</w:t>
      </w:r>
      <w:r>
        <w:rPr>
          <w:rFonts w:ascii="黑体" w:hAnsi="黑体" w:eastAsia="黑体"/>
          <w:b/>
          <w:sz w:val="28"/>
        </w:rPr>
        <w:t>姓名（</w:t>
      </w:r>
      <w:r>
        <w:rPr>
          <w:rFonts w:hint="eastAsia" w:ascii="黑体" w:hAnsi="黑体" w:eastAsia="黑体"/>
          <w:b/>
          <w:sz w:val="28"/>
        </w:rPr>
        <w:t>签字或盖法人章）</w:t>
      </w:r>
      <w:r>
        <w:rPr>
          <w:rFonts w:ascii="黑体" w:hAnsi="黑体" w:eastAsia="黑体"/>
          <w:b/>
          <w:sz w:val="28"/>
        </w:rPr>
        <w:t>：</w:t>
      </w:r>
    </w:p>
    <w:p>
      <w:pPr>
        <w:spacing w:line="480" w:lineRule="auto"/>
        <w:ind w:left="540"/>
        <w:rPr>
          <w:rFonts w:ascii="黑体" w:hAnsi="黑体" w:eastAsia="黑体"/>
          <w:b/>
          <w:sz w:val="28"/>
          <w:u w:val="single"/>
        </w:rPr>
      </w:pPr>
      <w:r>
        <w:rPr>
          <w:rFonts w:ascii="黑体" w:hAnsi="黑体" w:eastAsia="黑体"/>
          <w:b/>
          <w:sz w:val="28"/>
        </w:rPr>
        <w:t>地址：</w:t>
      </w:r>
    </w:p>
    <w:p>
      <w:pPr>
        <w:spacing w:line="480" w:lineRule="auto"/>
        <w:ind w:left="540"/>
        <w:rPr>
          <w:rFonts w:ascii="黑体" w:hAnsi="黑体" w:eastAsia="黑体"/>
          <w:b/>
          <w:sz w:val="28"/>
          <w:u w:val="single"/>
        </w:rPr>
      </w:pPr>
      <w:r>
        <w:rPr>
          <w:rFonts w:ascii="黑体" w:hAnsi="黑体" w:eastAsia="黑体"/>
          <w:b/>
          <w:sz w:val="28"/>
        </w:rPr>
        <w:t>电话：</w:t>
      </w:r>
    </w:p>
    <w:p>
      <w:pPr>
        <w:spacing w:line="480" w:lineRule="auto"/>
        <w:ind w:left="540"/>
        <w:rPr>
          <w:rFonts w:ascii="黑体" w:hAnsi="黑体" w:eastAsia="黑体"/>
          <w:b/>
          <w:sz w:val="28"/>
          <w:u w:val="single"/>
        </w:rPr>
      </w:pPr>
      <w:r>
        <w:rPr>
          <w:rFonts w:hint="eastAsia" w:ascii="黑体" w:hAnsi="黑体" w:eastAsia="黑体"/>
          <w:b/>
          <w:sz w:val="28"/>
        </w:rPr>
        <w:t>授  权  代  表</w:t>
      </w:r>
      <w:r>
        <w:rPr>
          <w:rFonts w:ascii="黑体" w:hAnsi="黑体" w:eastAsia="黑体"/>
          <w:b/>
          <w:sz w:val="28"/>
        </w:rPr>
        <w:t>：</w:t>
      </w:r>
    </w:p>
    <w:p>
      <w:pPr>
        <w:widowControl/>
        <w:spacing w:line="480" w:lineRule="auto"/>
        <w:ind w:firstLine="566" w:firstLineChars="200"/>
        <w:jc w:val="left"/>
        <w:outlineLvl w:val="1"/>
        <w:rPr>
          <w:rFonts w:asciiTheme="minorEastAsia" w:hAnsiTheme="minorEastAsia" w:eastAsiaTheme="minorEastAsia"/>
          <w:b/>
          <w:szCs w:val="21"/>
        </w:rPr>
      </w:pPr>
      <w:r>
        <w:rPr>
          <w:rFonts w:ascii="黑体" w:hAnsi="黑体" w:eastAsia="黑体"/>
          <w:b/>
          <w:sz w:val="28"/>
        </w:rPr>
        <w:t>日期：年月日</w:t>
      </w:r>
      <w:r>
        <w:rPr>
          <w:rFonts w:asciiTheme="minorEastAsia" w:hAnsiTheme="minorEastAsia" w:eastAsiaTheme="minorEastAsia"/>
          <w:b/>
        </w:rPr>
        <w:br w:type="page"/>
      </w:r>
      <w:r>
        <w:rPr>
          <w:rFonts w:hint="eastAsia" w:asciiTheme="minorEastAsia" w:hAnsiTheme="minorEastAsia" w:eastAsiaTheme="minorEastAsia"/>
          <w:b/>
          <w:sz w:val="24"/>
        </w:rPr>
        <w:t>格式1-2</w:t>
      </w:r>
    </w:p>
    <w:p>
      <w:pPr>
        <w:rPr>
          <w:rFonts w:asciiTheme="minorEastAsia" w:hAnsiTheme="minorEastAsia" w:eastAsiaTheme="minorEastAsia"/>
          <w:b/>
          <w:sz w:val="28"/>
          <w:szCs w:val="28"/>
        </w:rPr>
      </w:pPr>
    </w:p>
    <w:p>
      <w:pPr>
        <w:spacing w:line="60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一、法定代表人/主要负责人授权书</w:t>
      </w:r>
    </w:p>
    <w:p>
      <w:pPr>
        <w:spacing w:before="240" w:line="480" w:lineRule="auto"/>
        <w:rPr>
          <w:rFonts w:asciiTheme="minorEastAsia" w:hAnsiTheme="minorEastAsia" w:eastAsiaTheme="minorEastAsia"/>
          <w:b/>
          <w:sz w:val="24"/>
          <w:u w:val="single"/>
        </w:rPr>
      </w:pPr>
      <w:r>
        <w:rPr>
          <w:rFonts w:hint="eastAsia" w:asciiTheme="minorEastAsia" w:hAnsiTheme="minorEastAsia" w:eastAsiaTheme="minorEastAsia"/>
          <w:b/>
          <w:sz w:val="24"/>
          <w:u w:val="single"/>
        </w:rPr>
        <w:t>四川中久招标代理有限公司（采购代理机构名称）：</w:t>
      </w: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本授权声明：XXXX XXXX（投标人名称）XXXX（法定代表人/主要负责人姓名、职务）授权XXXXXX（被授权人姓名、职务）为我方 “XXXX” 项目（招标编号：XXXX）投标活动的合法代表，以我方名义全权处理该项目有关投标、签订合同以及执行合同等一切事宜。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特此声明。</w:t>
      </w: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附：1）法定代表人/主要负责人身份证明书原件、法定代表人/主要负责人和被授权人（授权代表）身份证复印件</w:t>
      </w:r>
      <w:r>
        <w:rPr>
          <w:rFonts w:hint="eastAsia" w:cs="宋体" w:asciiTheme="minorEastAsia" w:hAnsiTheme="minorEastAsia" w:eastAsiaTheme="minorEastAsia"/>
          <w:sz w:val="24"/>
        </w:rPr>
        <w:t>（身份证双面均应复印且在有效期内，身份证复印件加盖公章）</w:t>
      </w:r>
      <w:r>
        <w:rPr>
          <w:rFonts w:hint="eastAsia" w:asciiTheme="minorEastAsia" w:hAnsiTheme="minorEastAsia" w:eastAsiaTheme="minorEastAsia"/>
          <w:sz w:val="24"/>
        </w:rPr>
        <w:t>。</w:t>
      </w:r>
    </w:p>
    <w:p>
      <w:pPr>
        <w:spacing w:line="48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2）投标文件由被授权人（授权代表）递交时适用。</w:t>
      </w: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法定代表人/主要负责人签字或者加盖个人名章：XXXX。</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授权代表签字：XXXX。</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投标人名称：XXXX（单位盖章）。</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日    期：XXXX。</w:t>
      </w:r>
    </w:p>
    <w:p>
      <w:pPr>
        <w:spacing w:before="240" w:after="240" w:line="480" w:lineRule="auto"/>
        <w:jc w:val="center"/>
        <w:rPr>
          <w:rFonts w:asciiTheme="minorEastAsia" w:hAnsiTheme="minorEastAsia" w:eastAsiaTheme="minorEastAsia"/>
          <w:b/>
          <w:szCs w:val="21"/>
        </w:rPr>
      </w:pPr>
      <w:r>
        <w:rPr>
          <w:rFonts w:asciiTheme="minorEastAsia" w:hAnsiTheme="minorEastAsia" w:eastAsiaTheme="minorEastAsia"/>
          <w:b/>
          <w:sz w:val="24"/>
        </w:rPr>
        <w:br w:type="page"/>
      </w:r>
    </w:p>
    <w:p>
      <w:pPr>
        <w:spacing w:before="240" w:after="240" w:line="480" w:lineRule="auto"/>
        <w:jc w:val="center"/>
        <w:rPr>
          <w:rFonts w:asciiTheme="minorEastAsia" w:hAnsiTheme="minorEastAsia" w:eastAsiaTheme="minorEastAsia"/>
          <w:b/>
          <w:szCs w:val="21"/>
        </w:rPr>
      </w:pPr>
    </w:p>
    <w:p>
      <w:pPr>
        <w:spacing w:before="240" w:after="240" w:line="480" w:lineRule="auto"/>
        <w:jc w:val="center"/>
        <w:rPr>
          <w:rFonts w:asciiTheme="minorEastAsia" w:hAnsiTheme="minorEastAsia" w:eastAsiaTheme="minorEastAsia"/>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、法定代表人/主要负责人身份证明书</w:t>
      </w:r>
    </w:p>
    <w:p>
      <w:pPr>
        <w:spacing w:before="240" w:line="480" w:lineRule="auto"/>
        <w:rPr>
          <w:rFonts w:cs="宋体" w:asciiTheme="minorEastAsia" w:hAnsiTheme="minorEastAsia" w:eastAsiaTheme="minorEastAsia"/>
          <w:b/>
          <w:sz w:val="24"/>
        </w:rPr>
      </w:pPr>
      <w:r>
        <w:rPr>
          <w:rFonts w:hint="eastAsia" w:asciiTheme="minorEastAsia" w:hAnsiTheme="minorEastAsia" w:eastAsiaTheme="minorEastAsia"/>
          <w:b/>
          <w:sz w:val="24"/>
          <w:u w:val="single"/>
        </w:rPr>
        <w:t>四川中久招标代理有限公司</w:t>
      </w:r>
      <w:r>
        <w:rPr>
          <w:rFonts w:hint="eastAsia" w:cs="宋体" w:asciiTheme="minorEastAsia" w:hAnsiTheme="minorEastAsia" w:eastAsiaTheme="minorEastAsia"/>
          <w:b/>
          <w:sz w:val="24"/>
        </w:rPr>
        <w:t>（采购代理机构名称）：</w:t>
      </w:r>
    </w:p>
    <w:p>
      <w:pPr>
        <w:spacing w:before="240" w:line="480" w:lineRule="auto"/>
        <w:ind w:firstLine="486" w:firstLineChars="200"/>
        <w:rPr>
          <w:rFonts w:cs="宋体" w:asciiTheme="minorEastAsia" w:hAnsiTheme="minorEastAsia" w:eastAsiaTheme="minorEastAsia"/>
          <w:sz w:val="24"/>
        </w:rPr>
      </w:pPr>
      <w:r>
        <w:rPr>
          <w:rFonts w:hint="eastAsia" w:asciiTheme="minorEastAsia" w:hAnsiTheme="minorEastAsia" w:eastAsiaTheme="minorEastAsia"/>
          <w:sz w:val="24"/>
        </w:rPr>
        <w:t>XXXX</w:t>
      </w:r>
      <w:r>
        <w:rPr>
          <w:rFonts w:hint="eastAsia" w:cs="宋体" w:asciiTheme="minorEastAsia" w:hAnsiTheme="minorEastAsia" w:eastAsiaTheme="minorEastAsia"/>
          <w:sz w:val="24"/>
        </w:rPr>
        <w:t xml:space="preserve"> （法定代表人</w:t>
      </w:r>
      <w:r>
        <w:rPr>
          <w:rFonts w:hint="eastAsia" w:asciiTheme="minorEastAsia" w:hAnsiTheme="minorEastAsia" w:eastAsiaTheme="minorEastAsia"/>
          <w:sz w:val="24"/>
        </w:rPr>
        <w:t>/主要负责人</w:t>
      </w:r>
      <w:r>
        <w:rPr>
          <w:rFonts w:hint="eastAsia" w:cs="宋体" w:asciiTheme="minorEastAsia" w:hAnsiTheme="minorEastAsia" w:eastAsiaTheme="minorEastAsia"/>
          <w:sz w:val="24"/>
        </w:rPr>
        <w:t xml:space="preserve">姓名）在 </w:t>
      </w:r>
      <w:r>
        <w:rPr>
          <w:rFonts w:hint="eastAsia" w:asciiTheme="minorEastAsia" w:hAnsiTheme="minorEastAsia" w:eastAsiaTheme="minorEastAsia"/>
          <w:sz w:val="24"/>
        </w:rPr>
        <w:t>XXXX</w:t>
      </w:r>
      <w:r>
        <w:rPr>
          <w:rFonts w:hint="eastAsia" w:cs="宋体" w:asciiTheme="minorEastAsia" w:hAnsiTheme="minorEastAsia" w:eastAsiaTheme="minorEastAsia"/>
          <w:sz w:val="24"/>
        </w:rPr>
        <w:t xml:space="preserve">（投标人名称）处 </w:t>
      </w:r>
      <w:r>
        <w:rPr>
          <w:rFonts w:hint="eastAsia" w:asciiTheme="minorEastAsia" w:hAnsiTheme="minorEastAsia" w:eastAsiaTheme="minorEastAsia"/>
          <w:sz w:val="24"/>
        </w:rPr>
        <w:t>XXXX</w:t>
      </w:r>
      <w:r>
        <w:rPr>
          <w:rFonts w:hint="eastAsia" w:cs="宋体" w:asciiTheme="minorEastAsia" w:hAnsiTheme="minorEastAsia" w:eastAsiaTheme="minorEastAsia"/>
          <w:sz w:val="24"/>
        </w:rPr>
        <w:t>（职务名称）职务，是</w:t>
      </w:r>
      <w:r>
        <w:rPr>
          <w:rFonts w:hint="eastAsia" w:asciiTheme="minorEastAsia" w:hAnsiTheme="minorEastAsia" w:eastAsiaTheme="minorEastAsia"/>
          <w:sz w:val="24"/>
        </w:rPr>
        <w:t>XXXX</w:t>
      </w:r>
      <w:r>
        <w:rPr>
          <w:rFonts w:hint="eastAsia" w:cs="宋体" w:asciiTheme="minorEastAsia" w:hAnsiTheme="minorEastAsia" w:eastAsiaTheme="minorEastAsia"/>
          <w:sz w:val="24"/>
        </w:rPr>
        <w:t>（投标人名称）的法定代表人</w:t>
      </w:r>
      <w:r>
        <w:rPr>
          <w:rFonts w:hint="eastAsia" w:asciiTheme="minorEastAsia" w:hAnsiTheme="minorEastAsia" w:eastAsiaTheme="minorEastAsia"/>
          <w:sz w:val="24"/>
        </w:rPr>
        <w:t>/主要负责人</w:t>
      </w:r>
      <w:r>
        <w:rPr>
          <w:rFonts w:hint="eastAsia" w:cs="宋体" w:asciiTheme="minorEastAsia" w:hAnsiTheme="minorEastAsia" w:eastAsiaTheme="minorEastAsia"/>
          <w:sz w:val="24"/>
        </w:rPr>
        <w:t>。</w:t>
      </w:r>
    </w:p>
    <w:p>
      <w:pPr>
        <w:spacing w:line="480" w:lineRule="auto"/>
        <w:ind w:firstLine="486" w:firstLineChars="200"/>
        <w:rPr>
          <w:rFonts w:cs="宋体" w:asciiTheme="minorEastAsia" w:hAnsiTheme="minorEastAsia" w:eastAsiaTheme="minorEastAsia"/>
          <w:sz w:val="24"/>
        </w:rPr>
      </w:pPr>
      <w:bookmarkStart w:id="114" w:name="_Toc263768866"/>
      <w:r>
        <w:rPr>
          <w:rFonts w:hint="eastAsia" w:cs="宋体" w:asciiTheme="minorEastAsia" w:hAnsiTheme="minorEastAsia" w:eastAsiaTheme="minorEastAsia"/>
          <w:sz w:val="24"/>
        </w:rPr>
        <w:t>特此证明。</w:t>
      </w:r>
      <w:bookmarkEnd w:id="114"/>
    </w:p>
    <w:p>
      <w:pPr>
        <w:spacing w:line="480" w:lineRule="auto"/>
        <w:ind w:firstLine="486" w:firstLineChars="200"/>
        <w:rPr>
          <w:rFonts w:cs="宋体" w:asciiTheme="minorEastAsia" w:hAnsiTheme="minorEastAsia" w:eastAsiaTheme="minorEastAsia"/>
          <w:sz w:val="24"/>
        </w:rPr>
      </w:pPr>
    </w:p>
    <w:p>
      <w:pPr>
        <w:spacing w:line="480" w:lineRule="auto"/>
        <w:ind w:firstLine="488" w:firstLineChars="201"/>
        <w:rPr>
          <w:rFonts w:cs="宋体" w:asciiTheme="minorEastAsia" w:hAnsiTheme="minorEastAsia" w:eastAsiaTheme="minorEastAsia"/>
          <w:sz w:val="24"/>
        </w:rPr>
      </w:pPr>
      <w:r>
        <w:rPr>
          <w:rFonts w:hint="eastAsia" w:cs="宋体" w:asciiTheme="minorEastAsia" w:hAnsiTheme="minorEastAsia" w:eastAsiaTheme="minorEastAsia"/>
          <w:sz w:val="24"/>
        </w:rPr>
        <w:t xml:space="preserve"> 说明：1）上述证明文件在投标文件中附有法定代表人</w:t>
      </w:r>
      <w:r>
        <w:rPr>
          <w:rFonts w:hint="eastAsia" w:asciiTheme="minorEastAsia" w:hAnsiTheme="minorEastAsia" w:eastAsiaTheme="minorEastAsia"/>
          <w:sz w:val="24"/>
        </w:rPr>
        <w:t>/主要负责人</w:t>
      </w:r>
      <w:r>
        <w:rPr>
          <w:rFonts w:hint="eastAsia" w:cs="宋体" w:asciiTheme="minorEastAsia" w:hAnsiTheme="minorEastAsia" w:eastAsiaTheme="minorEastAsia"/>
          <w:sz w:val="24"/>
        </w:rPr>
        <w:t>身份证复印件时才能生效（身份证双面均应复印且在有效期内，身份证复印件加盖公章）。</w:t>
      </w:r>
    </w:p>
    <w:p>
      <w:pPr>
        <w:spacing w:before="240" w:line="480" w:lineRule="auto"/>
        <w:ind w:firstLine="486" w:firstLineChars="200"/>
        <w:rPr>
          <w:rFonts w:cs="宋体" w:asciiTheme="minorEastAsia" w:hAnsiTheme="minorEastAsia" w:eastAsiaTheme="minorEastAsia"/>
          <w:sz w:val="24"/>
        </w:rPr>
      </w:pPr>
    </w:p>
    <w:p>
      <w:pPr>
        <w:spacing w:before="240" w:line="480"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法定代表人</w:t>
      </w:r>
      <w:r>
        <w:rPr>
          <w:rFonts w:hint="eastAsia" w:asciiTheme="minorEastAsia" w:hAnsiTheme="minorEastAsia" w:eastAsiaTheme="minorEastAsia"/>
          <w:sz w:val="24"/>
        </w:rPr>
        <w:t>/主要负责人</w:t>
      </w:r>
      <w:r>
        <w:rPr>
          <w:rFonts w:hint="eastAsia" w:cs="宋体" w:asciiTheme="minorEastAsia" w:hAnsiTheme="minorEastAsia" w:eastAsiaTheme="minorEastAsia"/>
          <w:sz w:val="24"/>
        </w:rPr>
        <w:t>（签字或盖法人章）：</w:t>
      </w:r>
      <w:r>
        <w:rPr>
          <w:rFonts w:hint="eastAsia" w:asciiTheme="minorEastAsia" w:hAnsiTheme="minorEastAsia" w:eastAsiaTheme="minorEastAsia"/>
          <w:sz w:val="24"/>
        </w:rPr>
        <w:t>XXXX。</w:t>
      </w:r>
    </w:p>
    <w:p>
      <w:pPr>
        <w:spacing w:before="240" w:line="480"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投标人名称：</w:t>
      </w:r>
      <w:r>
        <w:rPr>
          <w:rFonts w:hint="eastAsia" w:asciiTheme="minorEastAsia" w:hAnsiTheme="minorEastAsia" w:eastAsiaTheme="minorEastAsia"/>
          <w:sz w:val="24"/>
        </w:rPr>
        <w:t>XXXX（单位盖章）。</w:t>
      </w:r>
    </w:p>
    <w:p>
      <w:pPr>
        <w:spacing w:before="240" w:line="480"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日    期：</w:t>
      </w:r>
      <w:r>
        <w:rPr>
          <w:rFonts w:hint="eastAsia" w:asciiTheme="minorEastAsia" w:hAnsiTheme="minorEastAsia" w:eastAsiaTheme="minorEastAsia"/>
          <w:sz w:val="24"/>
        </w:rPr>
        <w:t>XXXX。</w:t>
      </w:r>
    </w:p>
    <w:p>
      <w:pPr>
        <w:spacing w:line="480" w:lineRule="auto"/>
        <w:ind w:left="540"/>
        <w:rPr>
          <w:rFonts w:asciiTheme="minorEastAsia" w:hAnsiTheme="minorEastAsia" w:eastAsiaTheme="minorEastAsia"/>
          <w:b/>
          <w:sz w:val="24"/>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widowControl/>
        <w:spacing w:line="360" w:lineRule="auto"/>
        <w:jc w:val="left"/>
        <w:outlineLvl w:val="1"/>
        <w:rPr>
          <w:rFonts w:asciiTheme="minorEastAsia" w:hAnsiTheme="minorEastAsia" w:eastAsiaTheme="minorEastAsia"/>
          <w:b/>
          <w:sz w:val="28"/>
          <w:szCs w:val="28"/>
        </w:rPr>
      </w:pPr>
      <w:r>
        <w:rPr>
          <w:rFonts w:asciiTheme="minorEastAsia" w:hAnsiTheme="minorEastAsia" w:eastAsiaTheme="minorEastAsia"/>
        </w:rPr>
        <w:br w:type="page"/>
      </w:r>
      <w:r>
        <w:rPr>
          <w:rFonts w:hint="eastAsia" w:asciiTheme="minorEastAsia" w:hAnsiTheme="minorEastAsia" w:eastAsiaTheme="minorEastAsia"/>
          <w:b/>
          <w:sz w:val="24"/>
        </w:rPr>
        <w:t>格式1-3</w:t>
      </w:r>
    </w:p>
    <w:p>
      <w:pPr>
        <w:spacing w:line="48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投标人资格、资质性其他类似效力要求承诺函</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u w:val="single"/>
        </w:rPr>
        <w:t>四川中久招标代理有限公司</w:t>
      </w:r>
      <w:r>
        <w:rPr>
          <w:rFonts w:hint="eastAsia" w:asciiTheme="minorEastAsia" w:hAnsiTheme="minorEastAsia" w:eastAsiaTheme="minorEastAsia"/>
          <w:b/>
          <w:sz w:val="24"/>
        </w:rPr>
        <w:t>（采购代理机构名称）：</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我公司作为本次采购项目的投标人，根据招标文件要求，现郑重承诺如下：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一、具备《中华人民共和国政府采购法》第二十二条第一款和本项目规定的条件：</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 xml:space="preserve">（一）具有独立承担民事责任的能力； </w:t>
      </w:r>
      <w:r>
        <w:rPr>
          <w:rFonts w:hint="eastAsia" w:asciiTheme="minorEastAsia" w:hAnsiTheme="minorEastAsia" w:eastAsiaTheme="minorEastAsia"/>
          <w:sz w:val="24"/>
        </w:rPr>
        <w:br w:type="textWrapping"/>
      </w:r>
      <w:r>
        <w:rPr>
          <w:rFonts w:hint="eastAsia" w:asciiTheme="minorEastAsia" w:hAnsiTheme="minorEastAsia" w:eastAsiaTheme="minorEastAsia"/>
          <w:sz w:val="24"/>
        </w:rPr>
        <w:t xml:space="preserve">　　（二）具有良好的商业信誉和健全的财务会计制度； </w:t>
      </w:r>
      <w:r>
        <w:rPr>
          <w:rFonts w:hint="eastAsia" w:asciiTheme="minorEastAsia" w:hAnsiTheme="minorEastAsia" w:eastAsiaTheme="minorEastAsia"/>
          <w:sz w:val="24"/>
        </w:rPr>
        <w:br w:type="textWrapping"/>
      </w:r>
      <w:r>
        <w:rPr>
          <w:rFonts w:hint="eastAsia" w:asciiTheme="minorEastAsia" w:hAnsiTheme="minorEastAsia" w:eastAsiaTheme="minorEastAsia"/>
          <w:sz w:val="24"/>
        </w:rPr>
        <w:t xml:space="preserve">　　（三）具有履行合同所必需的设备和专业技术能力； </w:t>
      </w:r>
      <w:r>
        <w:rPr>
          <w:rFonts w:hint="eastAsia" w:asciiTheme="minorEastAsia" w:hAnsiTheme="minorEastAsia" w:eastAsiaTheme="minorEastAsia"/>
          <w:sz w:val="24"/>
        </w:rPr>
        <w:br w:type="textWrapping"/>
      </w:r>
      <w:r>
        <w:rPr>
          <w:rFonts w:hint="eastAsia" w:asciiTheme="minorEastAsia" w:hAnsiTheme="minorEastAsia" w:eastAsiaTheme="minorEastAsia"/>
          <w:sz w:val="24"/>
        </w:rPr>
        <w:t xml:space="preserve">　　（四）有依法缴纳税收和社会保障资金的良好记录； </w:t>
      </w:r>
      <w:r>
        <w:rPr>
          <w:rFonts w:hint="eastAsia" w:asciiTheme="minorEastAsia" w:hAnsiTheme="minorEastAsia" w:eastAsiaTheme="minorEastAsia"/>
          <w:sz w:val="24"/>
        </w:rPr>
        <w:br w:type="textWrapping"/>
      </w:r>
      <w:r>
        <w:rPr>
          <w:rFonts w:hint="eastAsia" w:asciiTheme="minorEastAsia" w:hAnsiTheme="minorEastAsia" w:eastAsiaTheme="minorEastAsia"/>
          <w:sz w:val="24"/>
        </w:rPr>
        <w:t>　　（五）参加政府采购活动前三年内，在经营活动中没有重大违法记录；</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（六）法律、行政法规规定的其他条件；</w:t>
      </w:r>
    </w:p>
    <w:p>
      <w:pPr>
        <w:spacing w:line="360" w:lineRule="auto"/>
        <w:ind w:left="426" w:leftChars="200"/>
        <w:rPr>
          <w:rFonts w:asciiTheme="minorEastAsia" w:hAnsiTheme="minorEastAsia" w:eastAsiaTheme="minorEastAsia"/>
          <w:sz w:val="24"/>
        </w:rPr>
      </w:pPr>
      <w:r>
        <w:rPr>
          <w:rFonts w:hint="eastAsia" w:asciiTheme="minorEastAsia" w:hAnsiTheme="minorEastAsia" w:eastAsiaTheme="minorEastAsia"/>
          <w:sz w:val="24"/>
        </w:rPr>
        <w:t>（七）根据采购项目提出的特殊条件</w:t>
      </w:r>
      <w:r>
        <w:rPr>
          <w:rFonts w:asciiTheme="minorEastAsia" w:hAnsiTheme="minorEastAsia" w:eastAsiaTheme="minorEastAsia"/>
          <w:sz w:val="24"/>
        </w:rPr>
        <w:t>。</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二、根据采购项目提出的特殊条件。</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三、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四、截至投标截止日未被列入失信被执行人、重大税收违法案件当事人名单、政府采购严重违法失信行为记录名单。</w:t>
      </w:r>
    </w:p>
    <w:p>
      <w:pPr>
        <w:spacing w:line="360" w:lineRule="auto"/>
        <w:ind w:firstLine="486" w:firstLineChars="200"/>
        <w:rPr>
          <w:rFonts w:asciiTheme="minorEastAsia" w:hAnsiTheme="minorEastAsia" w:eastAsiaTheme="minorEastAsia"/>
          <w:sz w:val="24"/>
          <w:lang w:val="zh-CN"/>
        </w:rPr>
      </w:pPr>
      <w:r>
        <w:rPr>
          <w:rFonts w:hint="eastAsia" w:asciiTheme="minorEastAsia" w:hAnsiTheme="minorEastAsia" w:eastAsiaTheme="minorEastAsia"/>
          <w:sz w:val="24"/>
        </w:rPr>
        <w:t>五、我方承诺，参加本次政府采购活动前三年内，我单位及其现任法定代表人、主要负责人不具有行贿犯罪记录。</w:t>
      </w:r>
    </w:p>
    <w:p>
      <w:pPr>
        <w:spacing w:line="360" w:lineRule="auto"/>
        <w:ind w:firstLine="486"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六、我方承诺，根据国务院办公厅关于加快推进“多证合一”改革的指导意见(国办发〔2017〕41号)等政策要求，若资格要求涉及的登记、备案等有关事项和各类证照已实行多证合一导致我方无法提供该类证明材料的，我方将按照招标文件要求响应。</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本公司对上述承诺的内容事项真实性负责。如经查实上述承诺的内容事项存在虚假，我公司愿意接受以提供虚假材料谋取中标追究法律责任。</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投标人名称：XXXX（单位公章）。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    期：XXXX。</w:t>
      </w:r>
    </w:p>
    <w:p>
      <w:pPr>
        <w:widowControl/>
        <w:spacing w:line="360" w:lineRule="atLeast"/>
        <w:jc w:val="left"/>
        <w:outlineLvl w:val="1"/>
        <w:rPr>
          <w:rFonts w:asciiTheme="minorEastAsia" w:hAnsiTheme="minorEastAsia" w:eastAsiaTheme="minorEastAsia"/>
          <w:b/>
          <w:sz w:val="24"/>
        </w:rPr>
      </w:pPr>
      <w:r>
        <w:rPr>
          <w:rFonts w:asciiTheme="minorEastAsia" w:hAnsiTheme="minorEastAsia" w:eastAsiaTheme="minorEastAsia"/>
          <w:sz w:val="24"/>
        </w:rPr>
        <w:br w:type="page"/>
      </w:r>
      <w:r>
        <w:rPr>
          <w:rFonts w:hint="eastAsia" w:asciiTheme="minorEastAsia" w:hAnsiTheme="minorEastAsia" w:eastAsiaTheme="minorEastAsia"/>
          <w:b/>
          <w:sz w:val="24"/>
        </w:rPr>
        <w:t>格式1-4</w:t>
      </w:r>
    </w:p>
    <w:p>
      <w:pPr>
        <w:spacing w:line="400" w:lineRule="exact"/>
        <w:ind w:firstLine="426" w:firstLineChars="200"/>
        <w:jc w:val="center"/>
        <w:rPr>
          <w:rFonts w:asciiTheme="minorEastAsia" w:hAnsiTheme="minorEastAsia" w:eastAsiaTheme="minorEastAsia"/>
          <w:b/>
          <w:szCs w:val="21"/>
        </w:rPr>
      </w:pPr>
    </w:p>
    <w:p>
      <w:pPr>
        <w:spacing w:line="400" w:lineRule="exact"/>
        <w:ind w:firstLine="566" w:firstLineChars="200"/>
        <w:jc w:val="center"/>
        <w:rPr>
          <w:rFonts w:asciiTheme="minorEastAsia" w:hAnsiTheme="minorEastAsia" w:eastAsiaTheme="minorEastAsia"/>
          <w:b/>
          <w:sz w:val="28"/>
          <w:szCs w:val="28"/>
        </w:rPr>
      </w:pPr>
    </w:p>
    <w:p>
      <w:pPr>
        <w:spacing w:line="400" w:lineRule="exact"/>
        <w:ind w:firstLine="566"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充分、公平竞争保障措施的承诺函</w:t>
      </w:r>
    </w:p>
    <w:p>
      <w:pPr>
        <w:pStyle w:val="27"/>
        <w:ind w:firstLine="420"/>
        <w:rPr>
          <w:rFonts w:asciiTheme="minorEastAsia" w:hAnsiTheme="minorEastAsia" w:eastAsiaTheme="minorEastAsia"/>
          <w:sz w:val="21"/>
          <w:szCs w:val="21"/>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u w:val="single"/>
        </w:rPr>
        <w:t>四川中久招标代理有限公司</w:t>
      </w:r>
      <w:r>
        <w:rPr>
          <w:rFonts w:hint="eastAsia" w:asciiTheme="minorEastAsia" w:hAnsiTheme="minorEastAsia" w:eastAsiaTheme="minorEastAsia"/>
          <w:b/>
          <w:sz w:val="24"/>
        </w:rPr>
        <w:t>（采购代理机构名称）：</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我公司作为本次采购项目的供应商，根据招标文件要求，现郑重承诺如下：</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一、在参加本次采购活动中，不存在与单位负责人为同一人或者存在直接控股、管理关系的其他供应商参与同一合同项下的政府采购活动的行为。</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二、在参加本次采购活动中，不存在和其他供应商在同一合同项下的采购项目中，同时委托同一个自然人、同一家庭的人员、同一单位的人员作为代理人的行为。</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三、在参加本次采购活动中，不存在为采购项目提供整体设计、规范编制或者项目管理、监理、检测等服务行为。</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四、在参加本次采购活动中，不存在实际控制人或者中高级管理人员，同时是采购代理机构工作人员的行为。</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五、在参加本次采购活动中，不存在同一母公司的两家以上的子公司以不同供应商身份同时参加本项目同一合同项下的采购活动的行为。</w:t>
      </w: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六、在参加本次采购活动中，不存在与采购代理机构存在关联关系，不是采购代理机构的母公司或子公司。</w:t>
      </w:r>
    </w:p>
    <w:p>
      <w:pPr>
        <w:ind w:firstLine="486" w:firstLineChars="200"/>
        <w:rPr>
          <w:rFonts w:asciiTheme="minorEastAsia" w:hAnsiTheme="minorEastAsia" w:eastAsiaTheme="minorEastAsia"/>
          <w:sz w:val="24"/>
        </w:rPr>
      </w:pP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投标人名称：XXXX（单位公章）。</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日    期：XXXX。</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bookmarkStart w:id="115" w:name="_Toc531268576"/>
      <w:bookmarkStart w:id="116" w:name="_Toc531268468"/>
      <w:bookmarkStart w:id="117" w:name="_Toc515267755"/>
      <w:r>
        <w:rPr>
          <w:rFonts w:hint="eastAsia" w:asciiTheme="minorEastAsia" w:hAnsiTheme="minorEastAsia" w:eastAsiaTheme="minorEastAsia"/>
          <w:b/>
          <w:sz w:val="24"/>
        </w:rPr>
        <w:t>格式1-5</w:t>
      </w:r>
    </w:p>
    <w:p>
      <w:pPr>
        <w:spacing w:line="400" w:lineRule="exact"/>
        <w:ind w:firstLine="486" w:firstLineChars="200"/>
        <w:jc w:val="center"/>
        <w:rPr>
          <w:rFonts w:asciiTheme="minorEastAsia" w:hAnsiTheme="minorEastAsia" w:eastAsiaTheme="minorEastAsia"/>
          <w:b/>
          <w:sz w:val="24"/>
        </w:rPr>
      </w:pPr>
    </w:p>
    <w:p>
      <w:pPr>
        <w:spacing w:line="400" w:lineRule="exact"/>
        <w:ind w:firstLine="486" w:firstLineChars="200"/>
        <w:jc w:val="center"/>
        <w:rPr>
          <w:rFonts w:asciiTheme="minorEastAsia" w:hAnsiTheme="minorEastAsia" w:eastAsiaTheme="minorEastAsia"/>
          <w:b/>
          <w:sz w:val="24"/>
        </w:rPr>
      </w:pPr>
      <w:r>
        <w:rPr>
          <w:rFonts w:hint="eastAsia" w:asciiTheme="minorEastAsia" w:hAnsiTheme="minorEastAsia" w:eastAsiaTheme="minorEastAsia"/>
          <w:b/>
          <w:sz w:val="24"/>
        </w:rPr>
        <w:t>近三年在经营活动中没有重大违法记录的承诺函</w:t>
      </w:r>
      <w:bookmarkEnd w:id="115"/>
      <w:bookmarkEnd w:id="116"/>
      <w:bookmarkEnd w:id="117"/>
    </w:p>
    <w:p>
      <w:pPr>
        <w:adjustRightInd w:val="0"/>
        <w:snapToGrid w:val="0"/>
        <w:spacing w:line="480" w:lineRule="auto"/>
        <w:rPr>
          <w:rFonts w:cs="宋体" w:asciiTheme="minorEastAsia" w:hAnsiTheme="minorEastAsia" w:eastAsiaTheme="minorEastAsia"/>
          <w:sz w:val="24"/>
        </w:rPr>
      </w:pPr>
    </w:p>
    <w:p>
      <w:pPr>
        <w:adjustRightInd w:val="0"/>
        <w:snapToGrid w:val="0"/>
        <w:spacing w:line="480" w:lineRule="auto"/>
        <w:rPr>
          <w:rFonts w:cs="宋体" w:asciiTheme="minorEastAsia" w:hAnsiTheme="minorEastAsia" w:eastAsiaTheme="minorEastAsia"/>
          <w:b/>
          <w:sz w:val="24"/>
        </w:rPr>
      </w:pPr>
      <w:r>
        <w:rPr>
          <w:rFonts w:hint="eastAsia" w:asciiTheme="minorEastAsia" w:hAnsiTheme="minorEastAsia" w:eastAsiaTheme="minorEastAsia"/>
          <w:b/>
          <w:sz w:val="24"/>
          <w:u w:val="single"/>
        </w:rPr>
        <w:t>四川中久招标代理有限公司</w:t>
      </w:r>
      <w:r>
        <w:rPr>
          <w:rFonts w:hint="eastAsia" w:asciiTheme="minorEastAsia" w:hAnsiTheme="minorEastAsia" w:eastAsiaTheme="minorEastAsia"/>
          <w:b/>
          <w:sz w:val="24"/>
        </w:rPr>
        <w:t>（采购代理机构名称）：</w:t>
      </w:r>
    </w:p>
    <w:p>
      <w:pPr>
        <w:spacing w:line="480" w:lineRule="auto"/>
        <w:ind w:firstLine="486" w:firstLineChars="200"/>
        <w:rPr>
          <w:rFonts w:cs="宋体" w:asciiTheme="minorEastAsia" w:hAnsiTheme="minorEastAsia" w:eastAsiaTheme="minorEastAsia"/>
          <w:sz w:val="24"/>
        </w:rPr>
      </w:pPr>
      <w:r>
        <w:rPr>
          <w:rFonts w:hint="eastAsia" w:asciiTheme="minorEastAsia" w:hAnsiTheme="minorEastAsia" w:eastAsiaTheme="minorEastAsia"/>
          <w:sz w:val="24"/>
        </w:rPr>
        <w:t>本公司（投标供应商名称）参加（项目名称）（招标编号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）的投标活动，</w:t>
      </w:r>
      <w:r>
        <w:rPr>
          <w:rFonts w:hint="eastAsia" w:cs="宋体" w:asciiTheme="minorEastAsia" w:hAnsiTheme="minorEastAsia" w:eastAsiaTheme="minorEastAsia"/>
          <w:sz w:val="24"/>
        </w:rPr>
        <w:t>现承诺我单位在参加政府采购活动前三年内，在经营活动中没有重大违法记录。</w:t>
      </w:r>
    </w:p>
    <w:p>
      <w:pPr>
        <w:spacing w:line="480" w:lineRule="auto"/>
        <w:ind w:firstLine="486" w:firstLineChars="200"/>
        <w:rPr>
          <w:rFonts w:cs="宋体" w:asciiTheme="minorEastAsia" w:hAnsiTheme="minorEastAsia" w:eastAsiaTheme="minorEastAsia"/>
          <w:sz w:val="24"/>
        </w:rPr>
      </w:pPr>
      <w:r>
        <w:rPr>
          <w:rFonts w:hint="eastAsia" w:cs="Arial" w:asciiTheme="minorEastAsia" w:hAnsiTheme="minorEastAsia" w:eastAsiaTheme="minorEastAsia"/>
          <w:sz w:val="24"/>
        </w:rPr>
        <w:t>如违反以上承诺，本单位愿承担一切法律责任。</w:t>
      </w:r>
    </w:p>
    <w:p>
      <w:pPr>
        <w:jc w:val="left"/>
        <w:rPr>
          <w:rFonts w:asciiTheme="minorEastAsia" w:hAnsiTheme="minorEastAsia" w:eastAsiaTheme="minorEastAsia"/>
          <w:sz w:val="24"/>
        </w:rPr>
      </w:pP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注：本项目“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w:t>
      </w: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pStyle w:val="27"/>
        <w:ind w:firstLine="420"/>
        <w:rPr>
          <w:rFonts w:asciiTheme="minorEastAsia" w:hAnsiTheme="minorEastAsia" w:eastAsiaTheme="minorEastAsia"/>
          <w:szCs w:val="24"/>
        </w:rPr>
      </w:pP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投标人名称：XXXX（单位公章）。</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widowControl/>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sz w:val="24"/>
        </w:rPr>
        <w:t>日    期：XXXX。</w:t>
      </w:r>
    </w:p>
    <w:p>
      <w:pPr>
        <w:rPr>
          <w:rFonts w:asciiTheme="minorEastAsia" w:hAnsiTheme="minorEastAsia" w:eastAsiaTheme="minorEastAsia"/>
          <w:b/>
          <w:sz w:val="24"/>
        </w:rPr>
      </w:pPr>
      <w:r>
        <w:rPr>
          <w:rFonts w:asciiTheme="minorEastAsia" w:hAnsiTheme="minorEastAsia" w:eastAsiaTheme="minorEastAsia"/>
          <w:b/>
          <w:sz w:val="24"/>
        </w:rPr>
        <w:br w:type="page"/>
      </w:r>
    </w:p>
    <w:p>
      <w:pPr>
        <w:rPr>
          <w:rFonts w:asciiTheme="minorEastAsia" w:hAnsiTheme="minorEastAsia" w:eastAsiaTheme="minorEastAsia"/>
          <w:b/>
          <w:sz w:val="24"/>
        </w:rPr>
      </w:pPr>
      <w:r>
        <w:rPr>
          <w:rFonts w:hint="eastAsia" w:asciiTheme="minorEastAsia" w:hAnsiTheme="minorEastAsia" w:eastAsiaTheme="minorEastAsia"/>
          <w:b/>
          <w:sz w:val="24"/>
        </w:rPr>
        <w:t>格式1-6</w:t>
      </w:r>
    </w:p>
    <w:p>
      <w:pPr>
        <w:widowControl/>
        <w:spacing w:line="360" w:lineRule="auto"/>
        <w:jc w:val="left"/>
        <w:outlineLvl w:val="1"/>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中小企业声明函</w:t>
      </w:r>
    </w:p>
    <w:p>
      <w:pPr>
        <w:pStyle w:val="51"/>
        <w:ind w:firstLine="480"/>
        <w:rPr>
          <w:color w:val="auto"/>
        </w:rPr>
      </w:pP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本公司（联合体）郑重声明，根据《政府采购促进中小企业发展管理办法》（财库﹝2020﹞46 号）的规定，本公司（联合体）参加</w:t>
      </w:r>
      <w:r>
        <w:rPr>
          <w:rFonts w:hint="eastAsia" w:asciiTheme="minorEastAsia" w:hAnsiTheme="minorEastAsia" w:eastAsiaTheme="minorEastAsia"/>
          <w:sz w:val="24"/>
          <w:u w:val="single"/>
        </w:rPr>
        <w:t>（单位名称）</w:t>
      </w:r>
      <w:r>
        <w:rPr>
          <w:rFonts w:hint="eastAsia" w:asciiTheme="minorEastAsia" w:hAnsiTheme="minorEastAsia" w:eastAsiaTheme="minorEastAsia"/>
          <w:sz w:val="24"/>
        </w:rPr>
        <w:t>的</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采购活动，提供的货物全部由符合政策要求的中小企业制造。相关企业（含联合体中的中小企业、签订分包意向协议的中小企业） 的具体情况如下：</w:t>
      </w: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1. </w:t>
      </w:r>
      <w:r>
        <w:rPr>
          <w:rFonts w:hint="eastAsia" w:asciiTheme="minorEastAsia" w:hAnsiTheme="minorEastAsia" w:eastAsiaTheme="minorEastAsia"/>
          <w:sz w:val="24"/>
          <w:u w:val="single"/>
        </w:rPr>
        <w:t>（ 标 的 名 称 ）</w:t>
      </w:r>
      <w:r>
        <w:rPr>
          <w:rFonts w:hint="eastAsia" w:asciiTheme="minorEastAsia" w:hAnsiTheme="minorEastAsia" w:eastAsiaTheme="minorEastAsia"/>
          <w:sz w:val="24"/>
        </w:rPr>
        <w:t xml:space="preserve"> ， 属 于 </w:t>
      </w:r>
      <w:r>
        <w:rPr>
          <w:rFonts w:hint="eastAsia" w:asciiTheme="minorEastAsia" w:hAnsiTheme="minorEastAsia" w:eastAsiaTheme="minorEastAsia"/>
          <w:sz w:val="24"/>
          <w:u w:val="single"/>
        </w:rPr>
        <w:t>（ 采 购 文 件 中 明 确 的 所 属 行 业 ）</w:t>
      </w:r>
      <w:r>
        <w:rPr>
          <w:rFonts w:hint="eastAsia" w:asciiTheme="minorEastAsia" w:hAnsiTheme="minorEastAsia" w:eastAsiaTheme="minorEastAsia"/>
          <w:sz w:val="24"/>
        </w:rPr>
        <w:t xml:space="preserve"> 行业；制造商为</w:t>
      </w:r>
      <w:r>
        <w:rPr>
          <w:rFonts w:hint="eastAsia" w:asciiTheme="minorEastAsia" w:hAnsiTheme="minorEastAsia" w:eastAsiaTheme="minorEastAsia"/>
          <w:sz w:val="24"/>
          <w:u w:val="single"/>
        </w:rPr>
        <w:t>（企业名称）</w:t>
      </w:r>
      <w:r>
        <w:rPr>
          <w:rFonts w:hint="eastAsia" w:asciiTheme="minorEastAsia" w:hAnsiTheme="minorEastAsia" w:eastAsiaTheme="minorEastAsia"/>
          <w:sz w:val="24"/>
        </w:rPr>
        <w:t>，从业人员人，营业收入为</w:t>
      </w:r>
      <w:r>
        <w:rPr>
          <w:rFonts w:hint="eastAsia" w:asciiTheme="minorEastAsia" w:hAnsiTheme="minorEastAsia" w:eastAsiaTheme="minorEastAsia"/>
          <w:sz w:val="24"/>
          <w:u w:val="single"/>
        </w:rPr>
        <w:tab/>
      </w:r>
      <w:r>
        <w:rPr>
          <w:rFonts w:hint="eastAsia" w:asciiTheme="minorEastAsia" w:hAnsiTheme="minorEastAsia" w:eastAsiaTheme="minorEastAsia"/>
          <w:sz w:val="24"/>
        </w:rPr>
        <w:t>万元，资产总额为万元，属于（中型企业、小型企业、微型企业）；</w:t>
      </w: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u w:val="single"/>
        </w:rPr>
        <w:t>（ 标 的 名 称 ）</w:t>
      </w:r>
      <w:r>
        <w:rPr>
          <w:rFonts w:hint="eastAsia" w:asciiTheme="minorEastAsia" w:hAnsiTheme="minorEastAsia" w:eastAsiaTheme="minorEastAsia"/>
          <w:sz w:val="24"/>
        </w:rPr>
        <w:t xml:space="preserve"> ， 属 于 </w:t>
      </w:r>
      <w:r>
        <w:rPr>
          <w:rFonts w:hint="eastAsia" w:asciiTheme="minorEastAsia" w:hAnsiTheme="minorEastAsia" w:eastAsiaTheme="minorEastAsia"/>
          <w:sz w:val="24"/>
          <w:u w:val="single"/>
        </w:rPr>
        <w:t>（ 采 购 文 件 中 明 确 的 所 属 行 业 ）</w:t>
      </w:r>
      <w:r>
        <w:rPr>
          <w:rFonts w:hint="eastAsia" w:asciiTheme="minorEastAsia" w:hAnsiTheme="minorEastAsia" w:eastAsiaTheme="minorEastAsia"/>
          <w:sz w:val="24"/>
        </w:rPr>
        <w:t xml:space="preserve"> 行业；制造商为</w:t>
      </w:r>
      <w:r>
        <w:rPr>
          <w:rFonts w:hint="eastAsia" w:asciiTheme="minorEastAsia" w:hAnsiTheme="minorEastAsia" w:eastAsiaTheme="minorEastAsia"/>
          <w:sz w:val="24"/>
          <w:u w:val="single"/>
        </w:rPr>
        <w:t>（企业名称）</w:t>
      </w:r>
      <w:r>
        <w:rPr>
          <w:rFonts w:hint="eastAsia" w:asciiTheme="minorEastAsia" w:hAnsiTheme="minorEastAsia" w:eastAsiaTheme="minorEastAsia"/>
          <w:sz w:val="24"/>
        </w:rPr>
        <w:t>，从业人员人，营业收入为</w:t>
      </w:r>
      <w:r>
        <w:rPr>
          <w:rFonts w:hint="eastAsia" w:asciiTheme="minorEastAsia" w:hAnsiTheme="minorEastAsia" w:eastAsiaTheme="minorEastAsia"/>
          <w:sz w:val="24"/>
          <w:u w:val="single"/>
        </w:rPr>
        <w:tab/>
      </w:r>
      <w:r>
        <w:rPr>
          <w:rFonts w:hint="eastAsia" w:asciiTheme="minorEastAsia" w:hAnsiTheme="minorEastAsia" w:eastAsiaTheme="minorEastAsia"/>
          <w:sz w:val="24"/>
        </w:rPr>
        <w:t>万元，资产总额为万元，属于（中型企业、小型企业、微型企业）；</w:t>
      </w: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pacing w:line="360" w:lineRule="auto"/>
        <w:ind w:firstLine="486" w:firstLineChars="200"/>
        <w:jc w:val="left"/>
        <w:rPr>
          <w:rFonts w:asciiTheme="minorEastAsia" w:hAnsiTheme="minorEastAsia" w:eastAsiaTheme="minorEastAsia"/>
          <w:sz w:val="24"/>
        </w:rPr>
      </w:pP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企业名称（盖章）：日期：</w:t>
      </w:r>
    </w:p>
    <w:p>
      <w:pPr>
        <w:spacing w:line="360" w:lineRule="auto"/>
        <w:ind w:firstLine="486" w:firstLineChars="200"/>
        <w:jc w:val="left"/>
        <w:rPr>
          <w:rFonts w:asciiTheme="minorEastAsia" w:hAnsiTheme="minorEastAsia" w:eastAsiaTheme="minorEastAsia"/>
          <w:sz w:val="24"/>
        </w:rPr>
      </w:pPr>
    </w:p>
    <w:p>
      <w:pPr>
        <w:spacing w:line="360" w:lineRule="auto"/>
        <w:ind w:firstLine="486" w:firstLineChars="200"/>
        <w:jc w:val="left"/>
        <w:rPr>
          <w:rFonts w:asciiTheme="minorEastAsia" w:hAnsiTheme="minorEastAsia" w:eastAsiaTheme="minorEastAsia"/>
          <w:sz w:val="24"/>
        </w:rPr>
      </w:pPr>
      <w:r>
        <w:rPr>
          <w:rFonts w:hint="eastAsia" w:asciiTheme="minorEastAsia" w:hAnsiTheme="minorEastAsia" w:eastAsiaTheme="minorEastAsia"/>
          <w:sz w:val="24"/>
        </w:rPr>
        <w:t>注：</w:t>
      </w:r>
    </w:p>
    <w:p>
      <w:pPr>
        <w:spacing w:line="360" w:lineRule="auto"/>
        <w:ind w:firstLine="486" w:firstLineChars="20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从业人员、营业收入、资产总额填报上一年度数据，无上一年度数据的新成立企业可不填报。</w:t>
      </w:r>
    </w:p>
    <w:p>
      <w:pPr>
        <w:pStyle w:val="2"/>
        <w:rPr>
          <w:rFonts w:asciiTheme="minorEastAsia" w:hAnsiTheme="minorEastAsia" w:eastAsiaTheme="minorEastAsia"/>
          <w:sz w:val="24"/>
          <w:lang w:val="zh-CN"/>
        </w:rPr>
      </w:pPr>
    </w:p>
    <w:p>
      <w:pPr>
        <w:rPr>
          <w:rFonts w:asciiTheme="minorEastAsia" w:hAnsiTheme="minorEastAsia" w:eastAsiaTheme="minorEastAsia"/>
          <w:sz w:val="24"/>
          <w:lang w:val="zh-CN"/>
        </w:rPr>
      </w:pPr>
    </w:p>
    <w:p>
      <w:pPr>
        <w:pStyle w:val="2"/>
        <w:rPr>
          <w:rFonts w:asciiTheme="minorEastAsia" w:hAnsiTheme="minorEastAsia" w:eastAsiaTheme="minorEastAsia"/>
          <w:sz w:val="24"/>
          <w:lang w:val="zh-CN"/>
        </w:rPr>
      </w:pPr>
    </w:p>
    <w:p>
      <w:pPr>
        <w:rPr>
          <w:rFonts w:asciiTheme="minorEastAsia" w:hAnsiTheme="minorEastAsia" w:eastAsiaTheme="minorEastAsia"/>
          <w:sz w:val="24"/>
          <w:lang w:val="zh-CN"/>
        </w:rPr>
      </w:pPr>
    </w:p>
    <w:p>
      <w:pPr>
        <w:pStyle w:val="2"/>
        <w:rPr>
          <w:rFonts w:asciiTheme="minorEastAsia" w:hAnsiTheme="minorEastAsia" w:eastAsiaTheme="minorEastAsia"/>
          <w:sz w:val="24"/>
          <w:lang w:val="zh-CN"/>
        </w:rPr>
      </w:pPr>
    </w:p>
    <w:p>
      <w:pPr>
        <w:rPr>
          <w:rFonts w:asciiTheme="minorEastAsia" w:hAnsiTheme="minorEastAsia" w:eastAsiaTheme="minorEastAsia"/>
          <w:sz w:val="24"/>
          <w:lang w:val="zh-CN"/>
        </w:rPr>
      </w:pPr>
    </w:p>
    <w:p>
      <w:pPr>
        <w:pStyle w:val="2"/>
        <w:rPr>
          <w:rFonts w:asciiTheme="minorEastAsia" w:hAnsiTheme="minorEastAsia" w:eastAsiaTheme="minorEastAsia"/>
          <w:sz w:val="24"/>
          <w:lang w:val="zh-CN"/>
        </w:rPr>
      </w:pPr>
    </w:p>
    <w:p>
      <w:pPr>
        <w:rPr>
          <w:lang w:val="zh-CN"/>
        </w:rPr>
      </w:pPr>
    </w:p>
    <w:p>
      <w:pPr>
        <w:spacing w:line="360" w:lineRule="auto"/>
        <w:ind w:firstLine="486" w:firstLineChars="200"/>
        <w:jc w:val="left"/>
        <w:rPr>
          <w:rFonts w:asciiTheme="minorEastAsia" w:hAnsiTheme="minorEastAsia" w:eastAsiaTheme="minorEastAsia"/>
          <w:b/>
          <w:sz w:val="24"/>
        </w:rPr>
      </w:pPr>
      <w:r>
        <w:rPr>
          <w:rFonts w:hint="eastAsia" w:asciiTheme="minorEastAsia" w:hAnsiTheme="minorEastAsia" w:eastAsiaTheme="minorEastAsia"/>
          <w:b/>
          <w:sz w:val="24"/>
        </w:rPr>
        <w:t>格式1-7</w:t>
      </w:r>
    </w:p>
    <w:p>
      <w:pPr>
        <w:pStyle w:val="2"/>
      </w:pPr>
    </w:p>
    <w:p>
      <w:pPr>
        <w:spacing w:line="480" w:lineRule="auto"/>
        <w:jc w:val="center"/>
        <w:rPr>
          <w:rFonts w:asciiTheme="minorEastAsia" w:hAnsiTheme="minorEastAsia" w:eastAsiaTheme="minorEastAsia"/>
          <w:b/>
          <w:sz w:val="24"/>
        </w:rPr>
      </w:pPr>
      <w:bookmarkStart w:id="118" w:name="OLE_LINK14"/>
      <w:bookmarkStart w:id="119" w:name="OLE_LINK13"/>
      <w:r>
        <w:rPr>
          <w:rFonts w:hint="eastAsia" w:asciiTheme="minorEastAsia" w:hAnsiTheme="minorEastAsia" w:eastAsiaTheme="minorEastAsia"/>
          <w:b/>
          <w:sz w:val="24"/>
        </w:rPr>
        <w:t>残疾人福利性单位声明函</w:t>
      </w:r>
    </w:p>
    <w:bookmarkEnd w:id="118"/>
    <w:bookmarkEnd w:id="119"/>
    <w:p>
      <w:pPr>
        <w:spacing w:line="480" w:lineRule="auto"/>
        <w:rPr>
          <w:rFonts w:cs="宋体" w:asciiTheme="minorEastAsia" w:hAnsiTheme="minorEastAsia" w:eastAsiaTheme="minorEastAsia"/>
          <w:b/>
          <w:spacing w:val="6"/>
          <w:sz w:val="24"/>
        </w:rPr>
      </w:pPr>
    </w:p>
    <w:p>
      <w:pPr>
        <w:spacing w:line="480" w:lineRule="auto"/>
        <w:ind w:firstLine="510" w:firstLineChars="200"/>
        <w:rPr>
          <w:rFonts w:ascii="宋体" w:hAnsi="宋体"/>
          <w:spacing w:val="6"/>
          <w:sz w:val="24"/>
        </w:rPr>
      </w:pPr>
      <w:r>
        <w:rPr>
          <w:rFonts w:hint="eastAsia" w:cs="宋体" w:asciiTheme="minorEastAsia" w:hAnsiTheme="minorEastAsia" w:eastAsiaTheme="minorEastAsia"/>
          <w:spacing w:val="6"/>
          <w:sz w:val="24"/>
        </w:rPr>
        <w:t>本单位郑重声明，根据《财政部民政部中国残疾人联合会关于促进残疾人就业政府采购政策的通知》（财库</w:t>
      </w:r>
      <w:r>
        <w:rPr>
          <w:rFonts w:hint="eastAsia" w:cs="宋体" w:asciiTheme="minorEastAsia" w:hAnsiTheme="minorEastAsia" w:eastAsiaTheme="minorEastAsia"/>
          <w:sz w:val="24"/>
        </w:rPr>
        <w:t>〔2017〕 141</w:t>
      </w:r>
      <w:r>
        <w:rPr>
          <w:rFonts w:hint="eastAsia" w:cs="宋体" w:asciiTheme="minorEastAsia" w:hAnsiTheme="minorEastAsia" w:eastAsiaTheme="minorEastAsia"/>
          <w:spacing w:val="6"/>
          <w:sz w:val="24"/>
        </w:rPr>
        <w:t>号）的规定，本单位为符合条件的残疾人福利性单位，</w:t>
      </w:r>
      <w:r>
        <w:rPr>
          <w:rFonts w:hint="eastAsia" w:ascii="宋体" w:hAnsi="宋体"/>
          <w:spacing w:val="6"/>
          <w:sz w:val="24"/>
        </w:rPr>
        <w:t>且本单位参加单位的项目采购活动提供本单位服务，或者提供其他残疾人福利性单位的服务。</w:t>
      </w:r>
    </w:p>
    <w:p>
      <w:pPr>
        <w:spacing w:line="480" w:lineRule="auto"/>
        <w:ind w:firstLine="510"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本单位对上述声明的真实性负责。如有虚假，将依法承担相应责任。</w:t>
      </w:r>
    </w:p>
    <w:p>
      <w:pPr>
        <w:spacing w:line="480" w:lineRule="auto"/>
        <w:rPr>
          <w:rFonts w:cs="宋体" w:asciiTheme="minorEastAsia" w:hAnsiTheme="minorEastAsia" w:eastAsiaTheme="minorEastAsia"/>
          <w:spacing w:val="6"/>
          <w:sz w:val="24"/>
        </w:rPr>
      </w:pPr>
    </w:p>
    <w:p>
      <w:pPr>
        <w:spacing w:line="480" w:lineRule="auto"/>
        <w:rPr>
          <w:rFonts w:cs="宋体" w:asciiTheme="minorEastAsia" w:hAnsiTheme="minorEastAsia" w:eastAsiaTheme="minorEastAsia"/>
          <w:spacing w:val="6"/>
          <w:sz w:val="24"/>
        </w:rPr>
      </w:pPr>
    </w:p>
    <w:p>
      <w:pPr>
        <w:tabs>
          <w:tab w:val="left" w:pos="4860"/>
        </w:tabs>
        <w:spacing w:line="480" w:lineRule="auto"/>
        <w:ind w:right="156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单位名称（盖章）：</w:t>
      </w:r>
      <w:r>
        <w:rPr>
          <w:rFonts w:hint="eastAsia" w:asciiTheme="minorEastAsia" w:hAnsiTheme="minorEastAsia" w:eastAsiaTheme="minorEastAsia"/>
          <w:sz w:val="24"/>
        </w:rPr>
        <w:t>xxxxxxxxxxxx</w:t>
      </w:r>
    </w:p>
    <w:p>
      <w:pPr>
        <w:spacing w:line="480" w:lineRule="auto"/>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日  期：</w:t>
      </w:r>
      <w:r>
        <w:rPr>
          <w:rFonts w:hint="eastAsia" w:asciiTheme="minorEastAsia" w:hAnsiTheme="minorEastAsia" w:eastAsiaTheme="minorEastAsia"/>
          <w:sz w:val="24"/>
        </w:rPr>
        <w:t>xxxxxxxxxxxx</w:t>
      </w:r>
    </w:p>
    <w:p>
      <w:pPr>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注：1、残疾人福利性单位视同小型、微型企业，享受预留份额、评审中价格扣除等促进中小企业发展的政府采购政策。残疾人福利性单位属于小型、微型企业的，不重复享受政策。投标人为非残疾人福利性单位的，可不提供此声明。</w:t>
      </w:r>
    </w:p>
    <w:p>
      <w:pPr>
        <w:pStyle w:val="57"/>
        <w:numPr>
          <w:ilvl w:val="0"/>
          <w:numId w:val="2"/>
        </w:numPr>
        <w:spacing w:line="276"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若未提供此表的则不享受残疾人企业价格折扣。</w:t>
      </w:r>
    </w:p>
    <w:p>
      <w:pPr>
        <w:spacing w:line="276" w:lineRule="auto"/>
        <w:ind w:left="420"/>
        <w:rPr>
          <w:rFonts w:cs="宋体" w:asciiTheme="minorEastAsia" w:hAnsiTheme="minorEastAsia" w:eastAsiaTheme="minorEastAsia"/>
          <w:sz w:val="24"/>
        </w:rPr>
      </w:pPr>
      <w:r>
        <w:rPr>
          <w:rFonts w:hint="eastAsia" w:cs="宋体" w:asciiTheme="minorEastAsia" w:hAnsiTheme="minorEastAsia" w:eastAsiaTheme="minorEastAsia"/>
          <w:sz w:val="24"/>
        </w:rPr>
        <w:t>3、享受政府采购支持政策的残疾人福利性单位应当同时满足以下条件：</w:t>
      </w:r>
    </w:p>
    <w:p>
      <w:pPr>
        <w:spacing w:line="276"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（1）安置的残疾人占本单位在职职工人数的比例不低于25%（含25%），并且安置的残疾人人数不少于10人（含10人）；</w:t>
      </w:r>
    </w:p>
    <w:p>
      <w:pPr>
        <w:spacing w:line="276"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（2）依法与安置的每位残疾人签订了一年以上（含一年）的劳动合同或服务协议；</w:t>
      </w:r>
    </w:p>
    <w:p>
      <w:pPr>
        <w:spacing w:line="276"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（3）为安置的每位残疾人按月足额缴纳了基本养老保险、基本医疗保险、失业保险、工伤保险和生育保险等社会保险费；</w:t>
      </w:r>
    </w:p>
    <w:p>
      <w:pPr>
        <w:spacing w:line="276"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（4）通过银行等金融机构向安置的每位残疾人，按月支付了不低于单位所在区县适用的经省级人民政府批准的月最低工资标准的工资。</w:t>
      </w:r>
    </w:p>
    <w:p>
      <w:pPr>
        <w:spacing w:line="276" w:lineRule="auto"/>
        <w:ind w:firstLine="486"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（5）提供本单位制造的货物、承担的工程或者服务（以下简称产品），或者提供其他残疾人福利性单位制造的货物（不包括使用非残疾人福利性单位注册商标的货物）。</w:t>
      </w:r>
    </w:p>
    <w:p>
      <w:pPr>
        <w:widowControl/>
        <w:spacing w:line="360" w:lineRule="auto"/>
        <w:jc w:val="left"/>
        <w:outlineLvl w:val="1"/>
        <w:rPr>
          <w:rFonts w:asciiTheme="minorEastAsia" w:hAnsiTheme="minorEastAsia" w:eastAsiaTheme="minorEastAsia"/>
          <w:b/>
          <w:sz w:val="24"/>
        </w:rPr>
      </w:pPr>
    </w:p>
    <w:p>
      <w:pPr>
        <w:pStyle w:val="10"/>
      </w:pPr>
    </w:p>
    <w:p>
      <w:pPr>
        <w:widowControl/>
        <w:jc w:val="left"/>
        <w:rPr>
          <w:rFonts w:asciiTheme="minorEastAsia" w:hAnsiTheme="minorEastAsia" w:eastAsiaTheme="minorEastAsia"/>
          <w:b/>
          <w:sz w:val="24"/>
        </w:rPr>
      </w:pPr>
      <w:r>
        <w:rPr>
          <w:rFonts w:hint="eastAsia" w:asciiTheme="minorEastAsia" w:hAnsiTheme="minorEastAsia" w:eastAsiaTheme="minorEastAsia"/>
          <w:b/>
          <w:sz w:val="24"/>
        </w:rPr>
        <w:t>格式1-8</w:t>
      </w:r>
    </w:p>
    <w:p>
      <w:pPr>
        <w:spacing w:line="480" w:lineRule="auto"/>
        <w:jc w:val="center"/>
        <w:rPr>
          <w:rFonts w:asciiTheme="minorEastAsia" w:hAnsiTheme="minorEastAsia" w:eastAsiaTheme="minorEastAsia"/>
          <w:b/>
          <w:sz w:val="28"/>
          <w:szCs w:val="28"/>
        </w:rPr>
      </w:pPr>
      <w:bookmarkStart w:id="120" w:name="_Toc3811"/>
      <w:r>
        <w:rPr>
          <w:rFonts w:hint="eastAsia" w:asciiTheme="minorEastAsia" w:hAnsiTheme="minorEastAsia" w:eastAsiaTheme="minorEastAsia"/>
          <w:b/>
          <w:sz w:val="28"/>
          <w:szCs w:val="28"/>
        </w:rPr>
        <w:t>监狱企业的证明文件</w:t>
      </w:r>
      <w:bookmarkEnd w:id="120"/>
    </w:p>
    <w:p>
      <w:pPr>
        <w:spacing w:line="480" w:lineRule="auto"/>
        <w:ind w:firstLine="450" w:firstLineChars="200"/>
        <w:rPr>
          <w:rFonts w:cs="宋体" w:asciiTheme="minorEastAsia" w:hAnsiTheme="minorEastAsia" w:eastAsiaTheme="minorEastAsia"/>
          <w:spacing w:val="6"/>
          <w:szCs w:val="21"/>
        </w:rPr>
      </w:pPr>
    </w:p>
    <w:p>
      <w:pPr>
        <w:spacing w:line="480" w:lineRule="auto"/>
        <w:ind w:firstLine="450" w:firstLineChars="200"/>
        <w:rPr>
          <w:rFonts w:cs="宋体" w:asciiTheme="minorEastAsia" w:hAnsiTheme="minorEastAsia" w:eastAsiaTheme="minorEastAsia"/>
          <w:spacing w:val="6"/>
          <w:szCs w:val="21"/>
        </w:rPr>
      </w:pPr>
    </w:p>
    <w:p>
      <w:pPr>
        <w:spacing w:line="480" w:lineRule="auto"/>
        <w:ind w:firstLine="510"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spacing w:line="480" w:lineRule="auto"/>
        <w:ind w:firstLine="510" w:firstLineChars="200"/>
        <w:rPr>
          <w:rFonts w:cs="宋体" w:asciiTheme="minorEastAsia" w:hAnsiTheme="minorEastAsia" w:eastAsiaTheme="minorEastAsia"/>
          <w:spacing w:val="6"/>
          <w:sz w:val="24"/>
        </w:rPr>
        <w:sectPr>
          <w:pgSz w:w="11906" w:h="16838"/>
          <w:pgMar w:top="1440" w:right="1587" w:bottom="1440" w:left="1627" w:header="850" w:footer="992" w:gutter="0"/>
          <w:cols w:space="720" w:num="1"/>
          <w:docGrid w:type="linesAndChars" w:linePitch="317" w:charSpace="640"/>
        </w:sectPr>
      </w:pPr>
      <w:r>
        <w:rPr>
          <w:rFonts w:hint="eastAsia" w:cs="宋体" w:asciiTheme="minorEastAsia" w:hAnsiTheme="minorEastAsia" w:eastAsiaTheme="minorEastAsia"/>
          <w:spacing w:val="6"/>
          <w:sz w:val="24"/>
        </w:rPr>
        <w:t xml:space="preserve">   2、若未提供此表的则不享受监狱企业价格折扣。</w:t>
      </w:r>
    </w:p>
    <w:p>
      <w:pPr>
        <w:rPr>
          <w:rFonts w:asciiTheme="minorEastAsia" w:hAnsiTheme="minorEastAsia" w:eastAsiaTheme="minorEastAsia"/>
          <w:bCs/>
          <w:sz w:val="24"/>
        </w:rPr>
      </w:pPr>
    </w:p>
    <w:p>
      <w:pPr>
        <w:rPr>
          <w:rFonts w:asciiTheme="minorEastAsia" w:hAnsiTheme="minorEastAsia" w:eastAsiaTheme="minorEastAsia"/>
          <w:b/>
          <w:sz w:val="24"/>
        </w:rPr>
      </w:pPr>
      <w:r>
        <w:rPr>
          <w:rFonts w:hint="eastAsia" w:asciiTheme="minorEastAsia" w:hAnsiTheme="minorEastAsia" w:eastAsiaTheme="minorEastAsia"/>
          <w:b/>
          <w:sz w:val="24"/>
        </w:rPr>
        <w:t>格式1-9</w:t>
      </w:r>
    </w:p>
    <w:p>
      <w:pPr>
        <w:pStyle w:val="10"/>
      </w:pPr>
    </w:p>
    <w:p>
      <w:pPr>
        <w:spacing w:line="480" w:lineRule="auto"/>
        <w:ind w:firstLine="691" w:firstLineChars="246"/>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投标人和投标产品其他资格、资质性及其他类似效力要求的相关证明材料</w:t>
      </w:r>
    </w:p>
    <w:p>
      <w:pPr>
        <w:spacing w:line="48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注：投标人应按招标文件第五章相关要求提供佐证材料，有格式要求的从其要求，无格式要求的格式自拟。</w:t>
      </w:r>
    </w:p>
    <w:p>
      <w:pPr>
        <w:rPr>
          <w:rFonts w:asciiTheme="minorEastAsia" w:hAnsiTheme="minorEastAsia" w:eastAsiaTheme="minorEastAsia"/>
        </w:rPr>
      </w:pPr>
    </w:p>
    <w:p>
      <w:pPr>
        <w:tabs>
          <w:tab w:val="left" w:pos="900"/>
        </w:tabs>
        <w:spacing w:line="360" w:lineRule="auto"/>
        <w:jc w:val="center"/>
        <w:rPr>
          <w:rFonts w:asciiTheme="minorEastAsia" w:hAnsiTheme="minorEastAsia" w:eastAsiaTheme="minorEastAsia"/>
          <w:b/>
          <w:sz w:val="30"/>
          <w:szCs w:val="30"/>
        </w:rPr>
      </w:pPr>
      <w:r>
        <w:rPr>
          <w:rFonts w:asciiTheme="minorEastAsia" w:hAnsiTheme="minorEastAsia" w:eastAsiaTheme="minorEastAsia"/>
          <w:b/>
          <w:sz w:val="32"/>
          <w:szCs w:val="32"/>
        </w:rPr>
        <w:br w:type="page"/>
      </w:r>
      <w:r>
        <w:rPr>
          <w:rFonts w:asciiTheme="minorEastAsia" w:hAnsiTheme="minorEastAsia" w:eastAsiaTheme="minorEastAsia"/>
          <w:b/>
          <w:sz w:val="30"/>
          <w:szCs w:val="30"/>
        </w:rPr>
        <w:t>第</w:t>
      </w:r>
      <w:r>
        <w:rPr>
          <w:rFonts w:hint="eastAsia" w:asciiTheme="minorEastAsia" w:hAnsiTheme="minorEastAsia" w:eastAsiaTheme="minorEastAsia"/>
          <w:b/>
          <w:sz w:val="30"/>
          <w:szCs w:val="30"/>
        </w:rPr>
        <w:t>二</w:t>
      </w:r>
      <w:r>
        <w:rPr>
          <w:rFonts w:asciiTheme="minorEastAsia" w:hAnsiTheme="minorEastAsia" w:eastAsiaTheme="minorEastAsia"/>
          <w:b/>
          <w:sz w:val="30"/>
          <w:szCs w:val="30"/>
        </w:rPr>
        <w:t xml:space="preserve">部分     </w:t>
      </w:r>
      <w:r>
        <w:rPr>
          <w:rFonts w:hint="eastAsia" w:asciiTheme="minorEastAsia" w:hAnsiTheme="minorEastAsia" w:eastAsiaTheme="minorEastAsia"/>
          <w:b/>
          <w:sz w:val="30"/>
          <w:szCs w:val="30"/>
        </w:rPr>
        <w:t>“其他投标</w:t>
      </w:r>
      <w:r>
        <w:rPr>
          <w:rFonts w:asciiTheme="minorEastAsia" w:hAnsiTheme="minorEastAsia" w:eastAsiaTheme="minorEastAsia"/>
          <w:b/>
          <w:sz w:val="30"/>
          <w:szCs w:val="30"/>
        </w:rPr>
        <w:t>文件</w:t>
      </w:r>
      <w:r>
        <w:rPr>
          <w:rFonts w:hint="eastAsia" w:asciiTheme="minorEastAsia" w:hAnsiTheme="minorEastAsia" w:eastAsiaTheme="minorEastAsia"/>
          <w:b/>
          <w:sz w:val="30"/>
          <w:szCs w:val="30"/>
        </w:rPr>
        <w:t>”</w:t>
      </w:r>
      <w:r>
        <w:rPr>
          <w:rFonts w:asciiTheme="minorEastAsia" w:hAnsiTheme="minorEastAsia" w:eastAsiaTheme="minorEastAsia"/>
          <w:b/>
          <w:sz w:val="30"/>
          <w:szCs w:val="30"/>
        </w:rPr>
        <w:t>格式</w:t>
      </w:r>
    </w:p>
    <w:p>
      <w:pPr>
        <w:widowControl/>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格式2-1</w:t>
      </w:r>
    </w:p>
    <w:p>
      <w:pPr>
        <w:rPr>
          <w:rFonts w:asciiTheme="minorEastAsia" w:hAnsiTheme="minorEastAsia" w:eastAsiaTheme="minorEastAsia"/>
        </w:rPr>
      </w:pPr>
    </w:p>
    <w:p>
      <w:pPr>
        <w:spacing w:line="360" w:lineRule="auto"/>
        <w:rPr>
          <w:rFonts w:ascii="黑体" w:hAnsi="黑体" w:eastAsia="黑体"/>
          <w:b/>
          <w:sz w:val="32"/>
          <w:szCs w:val="32"/>
        </w:rPr>
      </w:pPr>
      <w:r>
        <w:rPr>
          <w:rFonts w:hint="eastAsia" w:ascii="黑体" w:hAnsi="黑体" w:eastAsia="黑体"/>
          <w:b/>
          <w:sz w:val="32"/>
          <w:szCs w:val="32"/>
        </w:rPr>
        <w:t>封面：</w:t>
      </w:r>
    </w:p>
    <w:p>
      <w:pPr>
        <w:spacing w:line="360" w:lineRule="auto"/>
        <w:jc w:val="right"/>
        <w:rPr>
          <w:rFonts w:ascii="黑体" w:hAnsi="黑体" w:eastAsia="黑体"/>
          <w:b/>
          <w:sz w:val="36"/>
        </w:rPr>
      </w:pPr>
      <w:r>
        <w:rPr>
          <w:rFonts w:ascii="黑体" w:hAnsi="黑体" w:eastAsia="黑体"/>
          <w:b/>
          <w:sz w:val="36"/>
        </w:rPr>
        <w:t>（正本/副本）</w:t>
      </w:r>
    </w:p>
    <w:p>
      <w:pPr>
        <w:spacing w:line="360" w:lineRule="auto"/>
        <w:rPr>
          <w:rFonts w:ascii="黑体" w:hAnsi="黑体" w:eastAsia="黑体"/>
          <w:b/>
          <w:sz w:val="32"/>
          <w:szCs w:val="32"/>
        </w:rPr>
      </w:pPr>
    </w:p>
    <w:p>
      <w:pPr>
        <w:spacing w:line="360" w:lineRule="auto"/>
        <w:rPr>
          <w:rFonts w:ascii="黑体" w:hAnsi="黑体" w:eastAsia="黑体"/>
          <w:b/>
          <w:sz w:val="32"/>
          <w:szCs w:val="32"/>
        </w:rPr>
      </w:pPr>
    </w:p>
    <w:p>
      <w:pPr>
        <w:spacing w:line="360" w:lineRule="auto"/>
        <w:ind w:firstLine="1205" w:firstLineChars="300"/>
        <w:rPr>
          <w:rFonts w:ascii="黑体" w:hAnsi="黑体" w:eastAsia="黑体"/>
          <w:b/>
          <w:sz w:val="40"/>
          <w:szCs w:val="48"/>
        </w:rPr>
      </w:pPr>
      <w:r>
        <w:rPr>
          <w:rFonts w:hint="eastAsia" w:ascii="黑体" w:hAnsi="黑体" w:eastAsia="黑体"/>
          <w:b/>
          <w:sz w:val="40"/>
          <w:szCs w:val="48"/>
        </w:rPr>
        <w:t>项目名称：</w:t>
      </w:r>
    </w:p>
    <w:p>
      <w:pPr>
        <w:spacing w:line="360" w:lineRule="auto"/>
        <w:ind w:firstLine="1205" w:firstLineChars="300"/>
        <w:rPr>
          <w:rFonts w:ascii="黑体" w:hAnsi="黑体" w:eastAsia="黑体"/>
          <w:b/>
          <w:sz w:val="40"/>
          <w:szCs w:val="48"/>
          <w:u w:val="single"/>
        </w:rPr>
      </w:pPr>
      <w:r>
        <w:rPr>
          <w:rFonts w:hint="eastAsia" w:ascii="黑体" w:hAnsi="黑体" w:eastAsia="黑体"/>
          <w:b/>
          <w:sz w:val="40"/>
          <w:szCs w:val="48"/>
        </w:rPr>
        <w:t>招标编号：</w:t>
      </w:r>
    </w:p>
    <w:p>
      <w:pPr>
        <w:pStyle w:val="27"/>
        <w:ind w:firstLine="420"/>
        <w:rPr>
          <w:rFonts w:ascii="黑体" w:hAnsi="黑体"/>
        </w:rPr>
      </w:pPr>
    </w:p>
    <w:p>
      <w:pPr>
        <w:spacing w:line="360" w:lineRule="auto"/>
        <w:jc w:val="center"/>
        <w:rPr>
          <w:rFonts w:ascii="黑体" w:hAnsi="黑体" w:eastAsia="黑体"/>
          <w:b/>
          <w:sz w:val="32"/>
          <w:szCs w:val="32"/>
        </w:rPr>
      </w:pPr>
      <w:r>
        <w:rPr>
          <w:rFonts w:hint="eastAsia" w:ascii="黑体" w:hAnsi="黑体" w:eastAsia="黑体"/>
          <w:b/>
          <w:sz w:val="52"/>
          <w:szCs w:val="52"/>
        </w:rPr>
        <w:t>其他投标文件</w:t>
      </w:r>
    </w:p>
    <w:p>
      <w:pPr>
        <w:spacing w:line="480" w:lineRule="auto"/>
        <w:rPr>
          <w:rFonts w:ascii="黑体" w:hAnsi="黑体" w:eastAsia="黑体"/>
          <w:b/>
          <w:sz w:val="28"/>
        </w:rPr>
      </w:pPr>
    </w:p>
    <w:p>
      <w:pPr>
        <w:pStyle w:val="27"/>
        <w:rPr>
          <w:rFonts w:ascii="黑体" w:hAnsi="黑体"/>
        </w:rPr>
      </w:pPr>
    </w:p>
    <w:p>
      <w:pPr>
        <w:spacing w:line="480" w:lineRule="auto"/>
        <w:ind w:left="540"/>
        <w:rPr>
          <w:rFonts w:ascii="黑体" w:hAnsi="黑体" w:eastAsia="黑体"/>
          <w:b/>
          <w:sz w:val="28"/>
          <w:u w:val="single"/>
        </w:rPr>
      </w:pPr>
      <w:r>
        <w:rPr>
          <w:rFonts w:ascii="黑体" w:hAnsi="黑体" w:eastAsia="黑体"/>
          <w:b/>
          <w:sz w:val="28"/>
        </w:rPr>
        <w:t>投标人名称</w:t>
      </w:r>
      <w:r>
        <w:rPr>
          <w:rFonts w:hint="eastAsia" w:ascii="黑体" w:hAnsi="黑体" w:eastAsia="黑体"/>
          <w:b/>
          <w:sz w:val="28"/>
        </w:rPr>
        <w:t>（全称并加盖公章）</w:t>
      </w:r>
      <w:r>
        <w:rPr>
          <w:rFonts w:ascii="黑体" w:hAnsi="黑体" w:eastAsia="黑体"/>
          <w:b/>
          <w:sz w:val="28"/>
        </w:rPr>
        <w:t>：</w:t>
      </w:r>
    </w:p>
    <w:p>
      <w:pPr>
        <w:spacing w:line="480" w:lineRule="auto"/>
        <w:ind w:left="540"/>
        <w:rPr>
          <w:rFonts w:ascii="黑体" w:hAnsi="黑体" w:eastAsia="黑体"/>
          <w:b/>
          <w:sz w:val="28"/>
          <w:u w:val="single"/>
        </w:rPr>
      </w:pPr>
      <w:r>
        <w:rPr>
          <w:rFonts w:ascii="黑体" w:hAnsi="黑体" w:eastAsia="黑体"/>
          <w:b/>
          <w:sz w:val="28"/>
        </w:rPr>
        <w:t>法定代表人</w:t>
      </w:r>
      <w:r>
        <w:rPr>
          <w:rFonts w:hint="eastAsia" w:ascii="黑体" w:hAnsi="黑体" w:eastAsia="黑体"/>
          <w:b/>
          <w:sz w:val="28"/>
        </w:rPr>
        <w:t>/主要负责人</w:t>
      </w:r>
      <w:r>
        <w:rPr>
          <w:rFonts w:ascii="黑体" w:hAnsi="黑体" w:eastAsia="黑体"/>
          <w:b/>
          <w:sz w:val="28"/>
        </w:rPr>
        <w:t>姓名（</w:t>
      </w:r>
      <w:r>
        <w:rPr>
          <w:rFonts w:hint="eastAsia" w:ascii="黑体" w:hAnsi="黑体" w:eastAsia="黑体"/>
          <w:b/>
          <w:sz w:val="28"/>
        </w:rPr>
        <w:t>签字或盖法人章）</w:t>
      </w:r>
      <w:r>
        <w:rPr>
          <w:rFonts w:ascii="黑体" w:hAnsi="黑体" w:eastAsia="黑体"/>
          <w:b/>
          <w:sz w:val="28"/>
        </w:rPr>
        <w:t>：</w:t>
      </w:r>
    </w:p>
    <w:p>
      <w:pPr>
        <w:spacing w:line="480" w:lineRule="auto"/>
        <w:ind w:left="540"/>
        <w:rPr>
          <w:rFonts w:ascii="黑体" w:hAnsi="黑体" w:eastAsia="黑体"/>
          <w:b/>
          <w:sz w:val="28"/>
          <w:u w:val="single"/>
        </w:rPr>
      </w:pPr>
      <w:r>
        <w:rPr>
          <w:rFonts w:ascii="黑体" w:hAnsi="黑体" w:eastAsia="黑体"/>
          <w:b/>
          <w:sz w:val="28"/>
        </w:rPr>
        <w:t>地址：</w:t>
      </w:r>
    </w:p>
    <w:p>
      <w:pPr>
        <w:spacing w:line="480" w:lineRule="auto"/>
        <w:ind w:left="540"/>
        <w:rPr>
          <w:rFonts w:ascii="黑体" w:hAnsi="黑体" w:eastAsia="黑体"/>
          <w:b/>
          <w:sz w:val="28"/>
          <w:u w:val="single"/>
        </w:rPr>
      </w:pPr>
      <w:r>
        <w:rPr>
          <w:rFonts w:ascii="黑体" w:hAnsi="黑体" w:eastAsia="黑体"/>
          <w:b/>
          <w:sz w:val="28"/>
        </w:rPr>
        <w:t>电话：</w:t>
      </w:r>
    </w:p>
    <w:p>
      <w:pPr>
        <w:spacing w:line="480" w:lineRule="auto"/>
        <w:ind w:left="540"/>
        <w:rPr>
          <w:rFonts w:ascii="黑体" w:hAnsi="黑体" w:eastAsia="黑体"/>
          <w:b/>
          <w:sz w:val="28"/>
          <w:u w:val="single"/>
        </w:rPr>
      </w:pPr>
      <w:r>
        <w:rPr>
          <w:rFonts w:hint="eastAsia" w:ascii="黑体" w:hAnsi="黑体" w:eastAsia="黑体"/>
          <w:b/>
          <w:sz w:val="28"/>
        </w:rPr>
        <w:t>授  权  代  表</w:t>
      </w:r>
      <w:r>
        <w:rPr>
          <w:rFonts w:ascii="黑体" w:hAnsi="黑体" w:eastAsia="黑体"/>
          <w:b/>
          <w:sz w:val="28"/>
        </w:rPr>
        <w:t>：</w:t>
      </w:r>
    </w:p>
    <w:p>
      <w:pPr>
        <w:spacing w:line="480" w:lineRule="auto"/>
        <w:ind w:left="540"/>
        <w:rPr>
          <w:rFonts w:ascii="黑体" w:hAnsi="黑体" w:eastAsia="黑体"/>
          <w:b/>
          <w:sz w:val="28"/>
        </w:rPr>
      </w:pPr>
      <w:r>
        <w:rPr>
          <w:rFonts w:ascii="黑体" w:hAnsi="黑体" w:eastAsia="黑体"/>
          <w:b/>
          <w:sz w:val="28"/>
        </w:rPr>
        <w:t>日期：年月日</w:t>
      </w:r>
    </w:p>
    <w:p>
      <w:pPr>
        <w:widowControl/>
        <w:spacing w:line="360" w:lineRule="auto"/>
        <w:jc w:val="left"/>
        <w:outlineLvl w:val="1"/>
        <w:rPr>
          <w:rFonts w:asciiTheme="minorEastAsia" w:hAnsiTheme="minorEastAsia" w:eastAsiaTheme="minorEastAsia"/>
          <w:b/>
          <w:sz w:val="24"/>
        </w:rPr>
      </w:pPr>
      <w:r>
        <w:rPr>
          <w:rFonts w:asciiTheme="minorEastAsia" w:hAnsiTheme="minorEastAsia" w:eastAsiaTheme="minorEastAsia"/>
          <w:szCs w:val="21"/>
        </w:rPr>
        <w:br w:type="page"/>
      </w:r>
      <w:r>
        <w:rPr>
          <w:rFonts w:hint="eastAsia" w:asciiTheme="minorEastAsia" w:hAnsiTheme="minorEastAsia" w:eastAsiaTheme="minorEastAsia"/>
          <w:b/>
          <w:sz w:val="24"/>
        </w:rPr>
        <w:t>格式2-2</w:t>
      </w:r>
    </w:p>
    <w:p>
      <w:pPr>
        <w:rPr>
          <w:rFonts w:asciiTheme="minorEastAsia" w:hAnsiTheme="minorEastAsia" w:eastAsiaTheme="minorEastAsia"/>
        </w:rPr>
      </w:pPr>
    </w:p>
    <w:p>
      <w:pPr>
        <w:spacing w:line="48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投 标 函</w:t>
      </w:r>
    </w:p>
    <w:p>
      <w:pPr>
        <w:rPr>
          <w:rFonts w:asciiTheme="minorEastAsia" w:hAnsiTheme="minorEastAsia" w:eastAsiaTheme="minorEastAsia"/>
        </w:rPr>
      </w:pPr>
    </w:p>
    <w:p>
      <w:pPr>
        <w:spacing w:line="480" w:lineRule="auto"/>
        <w:rPr>
          <w:rFonts w:asciiTheme="minorEastAsia" w:hAnsiTheme="minorEastAsia" w:eastAsiaTheme="minorEastAsia"/>
          <w:b/>
        </w:rPr>
      </w:pPr>
      <w:r>
        <w:rPr>
          <w:rFonts w:hint="eastAsia" w:asciiTheme="minorEastAsia" w:hAnsiTheme="minorEastAsia" w:eastAsiaTheme="minorEastAsia"/>
          <w:b/>
          <w:u w:val="single"/>
        </w:rPr>
        <w:t>四川中久招标代理有限公司</w:t>
      </w:r>
      <w:r>
        <w:rPr>
          <w:rFonts w:hint="eastAsia" w:asciiTheme="minorEastAsia" w:hAnsiTheme="minorEastAsia" w:eastAsiaTheme="minorEastAsia"/>
          <w:b/>
        </w:rPr>
        <w:t>（采购代理机构名称）：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我方全面研究了“XXXXXXXX”项目（招标编号：XXXX）招标文件，决定参加贵单位组织的本项目投标。我方授权XXXX（姓名、职务）代表我方XXXX（投标单位的名称）全权处理本项目投标的有关事宜。</w:t>
      </w:r>
    </w:p>
    <w:p>
      <w:pPr>
        <w:spacing w:line="360"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一、我方自愿按照招标文件规定的各项要求向采购人提供所需服务，经综合考虑服务所涉及的总体费用后投标报价为：</w:t>
      </w:r>
      <w:r>
        <w:rPr>
          <w:rFonts w:hint="eastAsia" w:cs="宋体" w:asciiTheme="minorEastAsia" w:hAnsiTheme="minorEastAsia" w:eastAsiaTheme="minorEastAsia"/>
          <w:sz w:val="24"/>
        </w:rPr>
        <w:t>总投标价为人民币XX万元（大写：XXXX）。</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二、一旦我方中标，我方将严格履行政府采购合同规定的责任和义务。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三、我方同意本招标文件依据《四川省政府采购当事人诚信管理办法》（川财采【2015】33号文件）对我方可能存在的失信行为进行的惩戒。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四、我方为本项目提交的投标文件1份，用于开标唱标的“开标一览表”一式1份。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五、我方同意本次招标的投标有效期为投标截止时间届满后60日历天。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六、我方愿意提供贵公司可能另外要求的，与投标有关的文件资料，并保证我方已提供和将要提供的文件资料是真实、准确的。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投标人名称：XXXX（单位公章）。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通讯地址：XXXX。</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邮政编码：XXXX。</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联系电话：XXXX。</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传    真：XXXX。</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    期：XXXX年XXXX月XXXX日。</w:t>
      </w:r>
    </w:p>
    <w:p>
      <w:pPr>
        <w:pStyle w:val="10"/>
        <w:rPr>
          <w:sz w:val="24"/>
        </w:rPr>
      </w:pPr>
    </w:p>
    <w:p>
      <w:pPr>
        <w:rPr>
          <w:sz w:val="24"/>
        </w:rPr>
      </w:pPr>
    </w:p>
    <w:p>
      <w:pPr>
        <w:widowControl/>
        <w:spacing w:line="360" w:lineRule="auto"/>
        <w:jc w:val="left"/>
        <w:outlineLvl w:val="1"/>
        <w:rPr>
          <w:rFonts w:asciiTheme="minorEastAsia" w:hAnsiTheme="minorEastAsia" w:eastAsiaTheme="minorEastAsia"/>
          <w:b/>
          <w:sz w:val="24"/>
        </w:rPr>
      </w:pPr>
    </w:p>
    <w:p>
      <w:pPr>
        <w:widowControl/>
        <w:spacing w:line="360" w:lineRule="auto"/>
        <w:jc w:val="left"/>
        <w:outlineLvl w:val="1"/>
        <w:rPr>
          <w:rFonts w:asciiTheme="minorEastAsia" w:hAnsiTheme="minorEastAsia" w:eastAsiaTheme="minorEastAsia"/>
          <w:b/>
          <w:sz w:val="24"/>
        </w:rPr>
      </w:pPr>
    </w:p>
    <w:p>
      <w:pPr>
        <w:widowControl/>
        <w:spacing w:line="360" w:lineRule="auto"/>
        <w:jc w:val="left"/>
        <w:outlineLvl w:val="1"/>
        <w:rPr>
          <w:rFonts w:asciiTheme="minorEastAsia" w:hAnsiTheme="minorEastAsia" w:eastAsiaTheme="minorEastAsia"/>
          <w:b/>
          <w:sz w:val="24"/>
        </w:rPr>
      </w:pPr>
    </w:p>
    <w:p>
      <w:pPr>
        <w:widowControl/>
        <w:spacing w:line="360" w:lineRule="auto"/>
        <w:jc w:val="left"/>
        <w:outlineLvl w:val="1"/>
        <w:rPr>
          <w:rFonts w:asciiTheme="minorEastAsia" w:hAnsiTheme="minorEastAsia" w:eastAsiaTheme="minorEastAsia"/>
          <w:b/>
          <w:sz w:val="28"/>
          <w:szCs w:val="28"/>
        </w:rPr>
      </w:pPr>
      <w:r>
        <w:rPr>
          <w:rFonts w:hint="eastAsia" w:asciiTheme="minorEastAsia" w:hAnsiTheme="minorEastAsia" w:eastAsiaTheme="minorEastAsia"/>
          <w:b/>
          <w:sz w:val="24"/>
        </w:rPr>
        <w:t>格式2-3</w:t>
      </w:r>
    </w:p>
    <w:p>
      <w:pPr>
        <w:spacing w:line="48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承诺函</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u w:val="single"/>
        </w:rPr>
        <w:t>四川中久招标代理有限公司</w:t>
      </w:r>
      <w:r>
        <w:rPr>
          <w:rFonts w:hint="eastAsia" w:asciiTheme="minorEastAsia" w:hAnsiTheme="minorEastAsia" w:eastAsiaTheme="minorEastAsia"/>
          <w:b/>
          <w:sz w:val="24"/>
        </w:rPr>
        <w:t>（采购代理机构名称）：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我公司作为本次采购项目的投标人，根据招标文件要求，现郑重承诺如下：</w:t>
      </w:r>
    </w:p>
    <w:p>
      <w:pPr>
        <w:spacing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一、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auto"/>
        <w:ind w:left="480" w:hanging="480" w:hangingChars="200"/>
        <w:rPr>
          <w:rFonts w:asciiTheme="minorEastAsia" w:hAnsiTheme="minorEastAsia" w:eastAsiaTheme="minorEastAsia"/>
          <w:sz w:val="24"/>
        </w:rPr>
      </w:pPr>
      <w:r>
        <w:rPr>
          <w:rFonts w:hint="eastAsia" w:asciiTheme="minorEastAsia" w:hAnsiTheme="minorEastAsia" w:eastAsiaTheme="minorEastAsia"/>
          <w:sz w:val="24"/>
        </w:rPr>
        <w:t>二、如果有《四川省政府采购当事人诚信管理办法》（川财采[2015]33号）规定的记入诚信档案的失信行为，将在投标文件中全面如实反映。</w:t>
      </w:r>
    </w:p>
    <w:p>
      <w:pPr>
        <w:spacing w:line="360" w:lineRule="auto"/>
        <w:ind w:left="480" w:hanging="480" w:hangingChars="200"/>
        <w:rPr>
          <w:rFonts w:asciiTheme="minorEastAsia" w:hAnsiTheme="minorEastAsia" w:eastAsiaTheme="minorEastAsia"/>
          <w:sz w:val="24"/>
        </w:rPr>
      </w:pPr>
      <w:r>
        <w:rPr>
          <w:rFonts w:hint="eastAsia" w:asciiTheme="minorEastAsia" w:hAnsiTheme="minorEastAsia" w:eastAsiaTheme="minorEastAsia"/>
          <w:sz w:val="24"/>
        </w:rPr>
        <w:t>三、投标文件中提供的能够给予我公司带来优惠、好处的任何材料资料和技术、服务、商务等响应承诺情况都是真实的、有效的、合法的。</w:t>
      </w:r>
    </w:p>
    <w:p>
      <w:pPr>
        <w:spacing w:line="360" w:lineRule="auto"/>
        <w:ind w:left="480" w:hanging="480" w:hangingChars="200"/>
        <w:rPr>
          <w:rFonts w:asciiTheme="minorEastAsia" w:hAnsiTheme="minorEastAsia" w:eastAsiaTheme="minorEastAsia"/>
          <w:sz w:val="24"/>
        </w:rPr>
      </w:pPr>
      <w:r>
        <w:rPr>
          <w:rFonts w:hint="eastAsia" w:asciiTheme="minorEastAsia" w:hAnsiTheme="minorEastAsia" w:eastAsiaTheme="minorEastAsia"/>
          <w:sz w:val="24"/>
        </w:rPr>
        <w:t>四、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spacing w:line="360" w:lineRule="auto"/>
        <w:ind w:left="480" w:hanging="480" w:hangingChars="200"/>
        <w:rPr>
          <w:rFonts w:asciiTheme="minorEastAsia" w:hAnsiTheme="minorEastAsia" w:eastAsiaTheme="minorEastAsia"/>
          <w:sz w:val="24"/>
        </w:rPr>
      </w:pPr>
      <w:r>
        <w:rPr>
          <w:rFonts w:hint="eastAsia" w:asciiTheme="minorEastAsia" w:hAnsiTheme="minorEastAsia" w:eastAsiaTheme="minorEastAsia"/>
          <w:sz w:val="24"/>
        </w:rPr>
        <w:t>五、如本项目招标采购过程中涉及到知识产权等相关方面，我公司承诺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 除非招标文件特别规定，采购人享有本项目实施过程中产生的知识成果及知识产权。我公司将在采购项目实施过程中采用自有或者第三方知识成果的，将在投标文件中载明，并提供相关知识产权证明文件。使用该知识成果后，我公司承诺提供无限期支持，采购人享有使用权（含采购人委托第三方在该项目后续开发的使用权）。如采用我公司所不拥有的知识产权，则在报价中包括合法获取该知识产权的相关费用。</w:t>
      </w:r>
    </w:p>
    <w:p>
      <w:pPr>
        <w:spacing w:line="360" w:lineRule="auto"/>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本公司对上述承诺的内容事项真实性负责。如经查实上述承诺的内容事项存在虚假，我公司愿意接受以提供虚假材料谋取中标追究法律责任。</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投标人名称：XXXX（单位公章）。</w:t>
      </w:r>
    </w:p>
    <w:p>
      <w:pPr>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pStyle w:val="2"/>
      </w:pPr>
    </w:p>
    <w:p>
      <w:pPr>
        <w:rPr>
          <w:rFonts w:asciiTheme="minorEastAsia" w:hAnsiTheme="minorEastAsia" w:eastAsiaTheme="minorEastAsia"/>
          <w:sz w:val="24"/>
        </w:rPr>
        <w:sectPr>
          <w:footerReference r:id="rId5" w:type="default"/>
          <w:pgSz w:w="11907" w:h="16840"/>
          <w:pgMar w:top="1440" w:right="1474" w:bottom="1440" w:left="1474" w:header="851" w:footer="850" w:gutter="0"/>
          <w:pgNumType w:start="1"/>
          <w:cols w:space="720" w:num="1"/>
          <w:docGrid w:linePitch="312" w:charSpace="0"/>
        </w:sectPr>
      </w:pPr>
      <w:r>
        <w:rPr>
          <w:rFonts w:hint="eastAsia" w:asciiTheme="minorEastAsia" w:hAnsiTheme="minorEastAsia" w:eastAsiaTheme="minorEastAsia"/>
          <w:sz w:val="24"/>
        </w:rPr>
        <w:t>日    期：XXXX。</w:t>
      </w:r>
    </w:p>
    <w:bookmarkEnd w:id="111"/>
    <w:p>
      <w:pPr>
        <w:spacing w:line="360" w:lineRule="auto"/>
        <w:ind w:left="1"/>
        <w:jc w:val="left"/>
        <w:rPr>
          <w:rFonts w:asciiTheme="minorEastAsia" w:hAnsiTheme="minorEastAsia" w:eastAsiaTheme="minorEastAsia"/>
        </w:rPr>
      </w:pPr>
      <w:bookmarkStart w:id="121" w:name="_Toc217446084"/>
      <w:r>
        <w:rPr>
          <w:rFonts w:hint="eastAsia" w:asciiTheme="minorEastAsia" w:hAnsiTheme="minorEastAsia" w:eastAsiaTheme="minorEastAsia"/>
          <w:b/>
          <w:sz w:val="24"/>
        </w:rPr>
        <w:t>格式2-4</w:t>
      </w:r>
    </w:p>
    <w:p>
      <w:pPr>
        <w:rPr>
          <w:rFonts w:asciiTheme="minorEastAsia" w:hAnsiTheme="minorEastAsia" w:eastAsiaTheme="minorEastAsia"/>
        </w:rPr>
      </w:pPr>
    </w:p>
    <w:bookmarkEnd w:id="121"/>
    <w:p>
      <w:pPr>
        <w:spacing w:line="480" w:lineRule="auto"/>
        <w:jc w:val="center"/>
        <w:rPr>
          <w:rFonts w:asciiTheme="minorEastAsia" w:hAnsiTheme="minorEastAsia" w:eastAsiaTheme="minorEastAsia"/>
          <w:b/>
          <w:sz w:val="28"/>
          <w:szCs w:val="28"/>
        </w:rPr>
      </w:pPr>
      <w:bookmarkStart w:id="122" w:name="_Toc217446085"/>
    </w:p>
    <w:p>
      <w:pPr>
        <w:spacing w:line="48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开标一览表</w:t>
      </w:r>
      <w:bookmarkEnd w:id="122"/>
    </w:p>
    <w:p>
      <w:pPr>
        <w:rPr>
          <w:rFonts w:asciiTheme="minorEastAsia" w:hAnsiTheme="minorEastAsia" w:eastAsiaTheme="minorEastAsia"/>
        </w:rPr>
      </w:pPr>
    </w:p>
    <w:p>
      <w:pPr>
        <w:rPr>
          <w:rFonts w:asciiTheme="minorEastAsia" w:hAnsiTheme="minorEastAsia" w:eastAsiaTheme="minorEastAsia"/>
          <w:sz w:val="24"/>
        </w:rPr>
      </w:pPr>
      <w:r>
        <w:rPr>
          <w:rFonts w:hint="eastAsia" w:asciiTheme="minorEastAsia" w:hAnsiTheme="minorEastAsia" w:eastAsiaTheme="minorEastAsia"/>
          <w:sz w:val="24"/>
        </w:rPr>
        <w:t>项目编号：</w:t>
      </w:r>
    </w:p>
    <w:tbl>
      <w:tblPr>
        <w:tblStyle w:val="21"/>
        <w:tblpPr w:leftFromText="180" w:rightFromText="180" w:vertAnchor="text" w:horzAnchor="page" w:tblpX="1545" w:tblpY="195"/>
        <w:tblOverlap w:val="never"/>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926"/>
        <w:gridCol w:w="2308"/>
        <w:gridCol w:w="135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80" w:type="dxa"/>
            <w:vAlign w:val="center"/>
          </w:tcPr>
          <w:p>
            <w:pPr>
              <w:widowControl/>
              <w:spacing w:line="360" w:lineRule="atLeast"/>
              <w:ind w:firstLine="240" w:firstLineChars="100"/>
              <w:jc w:val="left"/>
              <w:outlineLvl w:val="1"/>
              <w:rPr>
                <w:rFonts w:ascii="宋体" w:hAnsi="宋体" w:cs="宋体"/>
                <w:kern w:val="0"/>
                <w:sz w:val="24"/>
              </w:rPr>
            </w:pPr>
            <w:r>
              <w:rPr>
                <w:rFonts w:hint="eastAsia" w:ascii="宋体" w:hAnsi="宋体" w:cs="宋体"/>
                <w:kern w:val="0"/>
                <w:sz w:val="24"/>
              </w:rPr>
              <w:t>序号</w:t>
            </w:r>
          </w:p>
        </w:tc>
        <w:tc>
          <w:tcPr>
            <w:tcW w:w="2926" w:type="dxa"/>
            <w:vAlign w:val="center"/>
          </w:tcPr>
          <w:p>
            <w:pPr>
              <w:widowControl/>
              <w:spacing w:line="360" w:lineRule="atLeast"/>
              <w:jc w:val="center"/>
              <w:outlineLvl w:val="1"/>
              <w:rPr>
                <w:rFonts w:ascii="宋体" w:hAnsi="宋体" w:cs="宋体"/>
                <w:kern w:val="0"/>
                <w:sz w:val="24"/>
              </w:rPr>
            </w:pPr>
            <w:r>
              <w:rPr>
                <w:rFonts w:hint="eastAsia" w:ascii="宋体" w:hAnsi="宋体" w:cs="宋体"/>
                <w:kern w:val="0"/>
                <w:sz w:val="24"/>
              </w:rPr>
              <w:t>类别名称</w:t>
            </w:r>
          </w:p>
        </w:tc>
        <w:tc>
          <w:tcPr>
            <w:tcW w:w="2308" w:type="dxa"/>
            <w:vAlign w:val="center"/>
          </w:tcPr>
          <w:p>
            <w:pPr>
              <w:widowControl/>
              <w:spacing w:line="360" w:lineRule="atLeast"/>
              <w:jc w:val="center"/>
              <w:outlineLvl w:val="1"/>
              <w:rPr>
                <w:rFonts w:ascii="宋体" w:hAnsi="宋体" w:cs="宋体"/>
                <w:kern w:val="0"/>
                <w:sz w:val="24"/>
              </w:rPr>
            </w:pPr>
            <w:r>
              <w:rPr>
                <w:rFonts w:hint="eastAsia" w:ascii="宋体" w:hAnsi="宋体" w:cs="宋体"/>
                <w:kern w:val="0"/>
                <w:sz w:val="24"/>
              </w:rPr>
              <w:t>投标总价</w:t>
            </w:r>
          </w:p>
          <w:p>
            <w:pPr>
              <w:widowControl/>
              <w:spacing w:line="360" w:lineRule="atLeast"/>
              <w:jc w:val="center"/>
              <w:outlineLvl w:val="1"/>
              <w:rPr>
                <w:rFonts w:ascii="宋体" w:hAnsi="宋体" w:cs="宋体"/>
                <w:kern w:val="0"/>
                <w:sz w:val="24"/>
              </w:rPr>
            </w:pPr>
            <w:r>
              <w:rPr>
                <w:rFonts w:hint="eastAsia" w:ascii="宋体" w:hAnsi="宋体" w:cs="宋体"/>
                <w:kern w:val="0"/>
                <w:sz w:val="24"/>
              </w:rPr>
              <w:t>（万元）</w:t>
            </w:r>
          </w:p>
        </w:tc>
        <w:tc>
          <w:tcPr>
            <w:tcW w:w="1350" w:type="dxa"/>
            <w:vAlign w:val="center"/>
          </w:tcPr>
          <w:p>
            <w:pPr>
              <w:widowControl/>
              <w:spacing w:line="360" w:lineRule="atLeast"/>
              <w:jc w:val="center"/>
              <w:outlineLvl w:val="1"/>
              <w:rPr>
                <w:rFonts w:ascii="宋体" w:hAnsi="宋体" w:cs="宋体"/>
                <w:b/>
                <w:kern w:val="0"/>
                <w:sz w:val="24"/>
              </w:rPr>
            </w:pPr>
            <w:r>
              <w:rPr>
                <w:rFonts w:hint="eastAsia" w:ascii="宋体" w:hAnsi="宋体" w:cs="宋体"/>
                <w:kern w:val="0"/>
                <w:sz w:val="24"/>
              </w:rPr>
              <w:t>交货安装</w:t>
            </w:r>
          </w:p>
          <w:p>
            <w:pPr>
              <w:widowControl/>
              <w:spacing w:line="360" w:lineRule="atLeast"/>
              <w:jc w:val="center"/>
              <w:outlineLvl w:val="1"/>
              <w:rPr>
                <w:rFonts w:ascii="宋体" w:hAnsi="宋体" w:cs="宋体"/>
                <w:kern w:val="0"/>
                <w:sz w:val="24"/>
              </w:rPr>
            </w:pPr>
            <w:r>
              <w:rPr>
                <w:rFonts w:hint="eastAsia" w:ascii="宋体" w:hAnsi="宋体" w:cs="宋体"/>
                <w:kern w:val="0"/>
                <w:sz w:val="24"/>
              </w:rPr>
              <w:t>时间</w:t>
            </w:r>
          </w:p>
        </w:tc>
        <w:tc>
          <w:tcPr>
            <w:tcW w:w="1468" w:type="dxa"/>
            <w:vAlign w:val="center"/>
          </w:tcPr>
          <w:p>
            <w:pPr>
              <w:widowControl/>
              <w:spacing w:line="360" w:lineRule="atLeast"/>
              <w:ind w:left="-8" w:leftChars="-4" w:firstLine="84" w:firstLineChars="35"/>
              <w:jc w:val="left"/>
              <w:outlineLvl w:val="1"/>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80" w:type="dxa"/>
          </w:tcPr>
          <w:p>
            <w:pPr>
              <w:widowControl/>
              <w:spacing w:line="360" w:lineRule="atLeast"/>
              <w:jc w:val="left"/>
              <w:outlineLvl w:val="1"/>
              <w:rPr>
                <w:rFonts w:ascii="宋体" w:hAnsi="宋体" w:cs="宋体"/>
                <w:kern w:val="0"/>
                <w:sz w:val="24"/>
              </w:rPr>
            </w:pPr>
          </w:p>
        </w:tc>
        <w:tc>
          <w:tcPr>
            <w:tcW w:w="2926" w:type="dxa"/>
            <w:vAlign w:val="center"/>
          </w:tcPr>
          <w:p>
            <w:pPr>
              <w:widowControl/>
              <w:spacing w:line="360" w:lineRule="atLeast"/>
              <w:ind w:firstLine="470" w:firstLineChars="196"/>
              <w:jc w:val="left"/>
              <w:outlineLvl w:val="1"/>
              <w:rPr>
                <w:rFonts w:ascii="宋体" w:hAnsi="宋体" w:cs="宋体"/>
                <w:kern w:val="0"/>
                <w:sz w:val="24"/>
              </w:rPr>
            </w:pPr>
          </w:p>
        </w:tc>
        <w:tc>
          <w:tcPr>
            <w:tcW w:w="2308" w:type="dxa"/>
            <w:vAlign w:val="center"/>
          </w:tcPr>
          <w:p>
            <w:pPr>
              <w:widowControl/>
              <w:spacing w:line="360" w:lineRule="atLeast"/>
              <w:ind w:firstLine="470" w:firstLineChars="196"/>
              <w:jc w:val="left"/>
              <w:outlineLvl w:val="1"/>
              <w:rPr>
                <w:rFonts w:ascii="宋体" w:hAnsi="宋体" w:cs="宋体"/>
                <w:kern w:val="0"/>
                <w:sz w:val="24"/>
              </w:rPr>
            </w:pPr>
          </w:p>
        </w:tc>
        <w:tc>
          <w:tcPr>
            <w:tcW w:w="1350" w:type="dxa"/>
            <w:vAlign w:val="center"/>
          </w:tcPr>
          <w:p>
            <w:pPr>
              <w:widowControl/>
              <w:spacing w:line="360" w:lineRule="atLeast"/>
              <w:ind w:firstLine="470" w:firstLineChars="196"/>
              <w:jc w:val="left"/>
              <w:outlineLvl w:val="1"/>
              <w:rPr>
                <w:rFonts w:ascii="宋体" w:hAnsi="宋体" w:cs="宋体"/>
                <w:kern w:val="0"/>
                <w:sz w:val="24"/>
              </w:rPr>
            </w:pPr>
          </w:p>
        </w:tc>
        <w:tc>
          <w:tcPr>
            <w:tcW w:w="1468" w:type="dxa"/>
            <w:vAlign w:val="center"/>
          </w:tcPr>
          <w:p>
            <w:pPr>
              <w:widowControl/>
              <w:spacing w:line="360" w:lineRule="atLeast"/>
              <w:ind w:firstLine="470" w:firstLineChars="196"/>
              <w:jc w:val="left"/>
              <w:outlineLvl w:val="1"/>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132" w:type="dxa"/>
            <w:gridSpan w:val="5"/>
            <w:tcBorders>
              <w:bottom w:val="single" w:color="auto" w:sz="4" w:space="0"/>
            </w:tcBorders>
          </w:tcPr>
          <w:p>
            <w:pPr>
              <w:widowControl/>
              <w:spacing w:line="360" w:lineRule="atLeast"/>
              <w:jc w:val="left"/>
              <w:outlineLvl w:val="1"/>
              <w:rPr>
                <w:rFonts w:ascii="宋体" w:hAnsi="宋体" w:cs="宋体"/>
                <w:kern w:val="0"/>
                <w:sz w:val="24"/>
              </w:rPr>
            </w:pPr>
            <w:r>
              <w:rPr>
                <w:rFonts w:hint="eastAsia" w:ascii="宋体" w:hAnsi="宋体" w:cs="宋体"/>
                <w:kern w:val="0"/>
                <w:sz w:val="24"/>
              </w:rPr>
              <w:t>投标报价总价：大写：</w:t>
            </w:r>
          </w:p>
          <w:p>
            <w:pPr>
              <w:widowControl/>
              <w:spacing w:line="360" w:lineRule="atLeast"/>
              <w:ind w:firstLine="1680" w:firstLineChars="700"/>
              <w:jc w:val="left"/>
              <w:outlineLvl w:val="1"/>
              <w:rPr>
                <w:rFonts w:ascii="宋体" w:hAnsi="宋体" w:cs="宋体"/>
                <w:kern w:val="0"/>
                <w:sz w:val="24"/>
              </w:rPr>
            </w:pPr>
            <w:r>
              <w:rPr>
                <w:rFonts w:hint="eastAsia" w:ascii="宋体" w:hAnsi="宋体" w:cs="宋体"/>
                <w:kern w:val="0"/>
                <w:sz w:val="24"/>
              </w:rPr>
              <w:t xml:space="preserve">小写：                    （万元）                          </w:t>
            </w:r>
          </w:p>
        </w:tc>
      </w:tr>
    </w:tbl>
    <w:p>
      <w:pPr>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注：1. 投标人投标报价总价超过本项目最高限价的，做无效投标处理。</w:t>
      </w:r>
    </w:p>
    <w:p>
      <w:pPr>
        <w:spacing w:line="360" w:lineRule="auto"/>
        <w:ind w:left="720" w:hanging="720" w:hangingChars="300"/>
        <w:rPr>
          <w:rFonts w:asciiTheme="minorEastAsia" w:hAnsiTheme="minorEastAsia" w:eastAsiaTheme="minorEastAsia"/>
          <w:sz w:val="24"/>
        </w:rPr>
      </w:pPr>
      <w:r>
        <w:rPr>
          <w:rFonts w:hint="eastAsia" w:asciiTheme="minorEastAsia" w:hAnsiTheme="minorEastAsia" w:eastAsiaTheme="minorEastAsia"/>
          <w:sz w:val="24"/>
        </w:rPr>
        <w:t>2.报价应是最终用户验收合格后的总价，</w:t>
      </w:r>
      <w:r>
        <w:rPr>
          <w:rFonts w:hint="eastAsia" w:asciiTheme="minorEastAsia" w:hAnsiTheme="minorEastAsia" w:eastAsiaTheme="minorEastAsia"/>
          <w:color w:val="FF0000"/>
          <w:sz w:val="24"/>
        </w:rPr>
        <w:t>所报价格应包括该产品的所有材料、包装、运输费，企业利税及</w:t>
      </w:r>
      <w:r>
        <w:rPr>
          <w:rFonts w:ascii="Calibri" w:hAnsi="Calibri" w:cs="Calibri"/>
          <w:color w:val="FF0000"/>
        </w:rPr>
        <w:t>施工辅材、设备安装调试等</w:t>
      </w:r>
      <w:r>
        <w:rPr>
          <w:rFonts w:hint="eastAsia" w:asciiTheme="minorEastAsia" w:hAnsiTheme="minorEastAsia" w:eastAsiaTheme="minorEastAsia"/>
          <w:color w:val="FF0000"/>
          <w:sz w:val="24"/>
        </w:rPr>
        <w:t>其他一切费用</w:t>
      </w:r>
      <w:r>
        <w:rPr>
          <w:rFonts w:hint="eastAsia"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3.“开标一览表”为多页的，每页均需由法定代表人或授权代表签字并盖投标人印章。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4.“开标一览表”以包为单位填写。</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投标人名称：XXXX（单位公章）。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360" w:lineRule="auto"/>
        <w:rPr>
          <w:rFonts w:asciiTheme="minorEastAsia" w:hAnsiTheme="minorEastAsia" w:eastAsiaTheme="minorEastAsia"/>
          <w:b/>
          <w:sz w:val="24"/>
        </w:rPr>
        <w:sectPr>
          <w:footerReference r:id="rId6" w:type="default"/>
          <w:pgSz w:w="11907" w:h="16840"/>
          <w:pgMar w:top="1440" w:right="1474" w:bottom="1440" w:left="1474" w:header="851" w:footer="850" w:gutter="0"/>
          <w:pgNumType w:start="1"/>
          <w:cols w:space="720" w:num="1"/>
          <w:docGrid w:linePitch="312" w:charSpace="0"/>
        </w:sectPr>
      </w:pPr>
      <w:r>
        <w:rPr>
          <w:rFonts w:hint="eastAsia" w:asciiTheme="minorEastAsia" w:hAnsiTheme="minorEastAsia" w:eastAsiaTheme="minorEastAsia"/>
          <w:sz w:val="24"/>
        </w:rPr>
        <w:t>投标日期：XXXX。</w:t>
      </w:r>
    </w:p>
    <w:p>
      <w:pPr>
        <w:spacing w:line="360" w:lineRule="auto"/>
        <w:ind w:left="1"/>
        <w:jc w:val="left"/>
        <w:rPr>
          <w:rFonts w:asciiTheme="minorEastAsia" w:hAnsiTheme="minorEastAsia" w:eastAsiaTheme="minorEastAsia"/>
          <w:b/>
          <w:sz w:val="24"/>
        </w:rPr>
      </w:pPr>
      <w:bookmarkStart w:id="123" w:name="_Toc217446087"/>
      <w:r>
        <w:rPr>
          <w:rFonts w:hint="eastAsia" w:asciiTheme="minorEastAsia" w:hAnsiTheme="minorEastAsia" w:eastAsiaTheme="minorEastAsia"/>
          <w:b/>
          <w:sz w:val="24"/>
        </w:rPr>
        <w:t>格式2-5</w:t>
      </w:r>
    </w:p>
    <w:p>
      <w:pPr>
        <w:tabs>
          <w:tab w:val="left" w:pos="3433"/>
          <w:tab w:val="center" w:pos="4856"/>
        </w:tabs>
        <w:spacing w:line="480" w:lineRule="auto"/>
        <w:jc w:val="center"/>
        <w:rPr>
          <w:rFonts w:ascii="宋体" w:hAnsi="宋体"/>
          <w:b/>
          <w:sz w:val="28"/>
          <w:szCs w:val="28"/>
        </w:rPr>
      </w:pPr>
    </w:p>
    <w:p>
      <w:pPr>
        <w:tabs>
          <w:tab w:val="left" w:pos="3433"/>
          <w:tab w:val="center" w:pos="4856"/>
        </w:tabs>
        <w:spacing w:line="480" w:lineRule="auto"/>
        <w:jc w:val="center"/>
        <w:rPr>
          <w:rFonts w:ascii="宋体" w:hAnsi="宋体"/>
          <w:b/>
          <w:sz w:val="24"/>
        </w:rPr>
      </w:pPr>
      <w:r>
        <w:rPr>
          <w:rFonts w:hint="eastAsia" w:ascii="宋体" w:hAnsi="宋体"/>
          <w:b/>
          <w:sz w:val="24"/>
        </w:rPr>
        <w:t>分项报价明细表</w:t>
      </w:r>
    </w:p>
    <w:p>
      <w:pPr>
        <w:pStyle w:val="10"/>
        <w:rPr>
          <w:sz w:val="24"/>
        </w:rPr>
      </w:pPr>
    </w:p>
    <w:p>
      <w:pPr>
        <w:widowControl/>
        <w:spacing w:line="360" w:lineRule="atLeast"/>
        <w:outlineLvl w:val="1"/>
        <w:rPr>
          <w:rFonts w:asciiTheme="minorEastAsia" w:hAnsiTheme="minorEastAsia" w:eastAsiaTheme="minorEastAsia"/>
          <w:sz w:val="24"/>
        </w:rPr>
      </w:pPr>
      <w:r>
        <w:rPr>
          <w:rFonts w:hint="eastAsia" w:asciiTheme="minorEastAsia" w:hAnsiTheme="minorEastAsia" w:eastAsiaTheme="minorEastAsia"/>
          <w:sz w:val="24"/>
        </w:rPr>
        <w:t>项目编号：</w:t>
      </w:r>
    </w:p>
    <w:tbl>
      <w:tblPr>
        <w:tblStyle w:val="21"/>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872"/>
        <w:gridCol w:w="851"/>
        <w:gridCol w:w="1532"/>
        <w:gridCol w:w="141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tLeast"/>
              <w:jc w:val="center"/>
              <w:outlineLvl w:val="1"/>
              <w:rPr>
                <w:rFonts w:ascii="宋体" w:hAnsi="宋体" w:cs="宋体"/>
                <w:sz w:val="24"/>
              </w:rPr>
            </w:pPr>
            <w:r>
              <w:rPr>
                <w:rFonts w:hint="eastAsia" w:ascii="宋体" w:hAnsi="宋体" w:cs="宋体"/>
                <w:sz w:val="24"/>
              </w:rPr>
              <w:t>序号</w:t>
            </w:r>
          </w:p>
        </w:tc>
        <w:tc>
          <w:tcPr>
            <w:tcW w:w="1275" w:type="dxa"/>
            <w:vAlign w:val="center"/>
          </w:tcPr>
          <w:p>
            <w:pPr>
              <w:widowControl/>
              <w:spacing w:line="360" w:lineRule="atLeast"/>
              <w:jc w:val="center"/>
              <w:outlineLvl w:val="1"/>
              <w:rPr>
                <w:rFonts w:ascii="宋体" w:hAnsi="宋体" w:cs="宋体"/>
                <w:sz w:val="24"/>
              </w:rPr>
            </w:pPr>
            <w:r>
              <w:rPr>
                <w:rFonts w:hint="eastAsia" w:ascii="宋体" w:hAnsi="宋体" w:cs="宋体"/>
                <w:sz w:val="24"/>
              </w:rPr>
              <w:t>货物名称</w:t>
            </w:r>
          </w:p>
        </w:tc>
        <w:tc>
          <w:tcPr>
            <w:tcW w:w="1360" w:type="dxa"/>
            <w:vAlign w:val="center"/>
          </w:tcPr>
          <w:p>
            <w:pPr>
              <w:widowControl/>
              <w:spacing w:line="360" w:lineRule="atLeast"/>
              <w:jc w:val="center"/>
              <w:outlineLvl w:val="1"/>
              <w:rPr>
                <w:rFonts w:ascii="宋体" w:hAnsi="宋体" w:cs="宋体"/>
                <w:sz w:val="24"/>
              </w:rPr>
            </w:pPr>
            <w:r>
              <w:rPr>
                <w:rFonts w:hint="eastAsia" w:ascii="宋体" w:hAnsi="宋体" w:cs="宋体"/>
                <w:sz w:val="24"/>
              </w:rPr>
              <w:t>规格型号</w:t>
            </w:r>
          </w:p>
        </w:tc>
        <w:tc>
          <w:tcPr>
            <w:tcW w:w="888" w:type="dxa"/>
            <w:vAlign w:val="center"/>
          </w:tcPr>
          <w:p>
            <w:pPr>
              <w:widowControl/>
              <w:spacing w:line="360" w:lineRule="atLeast"/>
              <w:jc w:val="center"/>
              <w:outlineLvl w:val="1"/>
              <w:rPr>
                <w:rFonts w:ascii="宋体" w:hAnsi="宋体" w:cs="宋体"/>
                <w:sz w:val="24"/>
              </w:rPr>
            </w:pPr>
            <w:r>
              <w:rPr>
                <w:rFonts w:hint="eastAsia" w:ascii="宋体" w:hAnsi="宋体" w:cs="宋体"/>
                <w:sz w:val="24"/>
              </w:rPr>
              <w:t>品牌</w:t>
            </w:r>
          </w:p>
        </w:tc>
        <w:tc>
          <w:tcPr>
            <w:tcW w:w="872" w:type="dxa"/>
            <w:vAlign w:val="center"/>
          </w:tcPr>
          <w:p>
            <w:pPr>
              <w:widowControl/>
              <w:spacing w:line="360" w:lineRule="atLeast"/>
              <w:jc w:val="center"/>
              <w:outlineLvl w:val="1"/>
              <w:rPr>
                <w:rFonts w:ascii="宋体" w:hAnsi="宋体" w:cs="宋体"/>
                <w:sz w:val="24"/>
              </w:rPr>
            </w:pPr>
            <w:r>
              <w:rPr>
                <w:rFonts w:hint="eastAsia" w:ascii="宋体" w:hAnsi="宋体" w:cs="宋体"/>
                <w:sz w:val="24"/>
              </w:rPr>
              <w:t>单位</w:t>
            </w:r>
          </w:p>
        </w:tc>
        <w:tc>
          <w:tcPr>
            <w:tcW w:w="851" w:type="dxa"/>
            <w:vAlign w:val="center"/>
          </w:tcPr>
          <w:p>
            <w:pPr>
              <w:widowControl/>
              <w:spacing w:line="360" w:lineRule="atLeast"/>
              <w:jc w:val="center"/>
              <w:outlineLvl w:val="1"/>
              <w:rPr>
                <w:rFonts w:ascii="宋体" w:hAnsi="宋体" w:cs="宋体"/>
                <w:sz w:val="24"/>
              </w:rPr>
            </w:pPr>
            <w:r>
              <w:rPr>
                <w:rFonts w:hint="eastAsia" w:ascii="宋体" w:hAnsi="宋体" w:cs="宋体"/>
                <w:sz w:val="24"/>
              </w:rPr>
              <w:t>数量</w:t>
            </w:r>
          </w:p>
        </w:tc>
        <w:tc>
          <w:tcPr>
            <w:tcW w:w="1532" w:type="dxa"/>
            <w:vAlign w:val="center"/>
          </w:tcPr>
          <w:p>
            <w:pPr>
              <w:widowControl/>
              <w:spacing w:line="360" w:lineRule="atLeast"/>
              <w:jc w:val="center"/>
              <w:outlineLvl w:val="1"/>
              <w:rPr>
                <w:rFonts w:ascii="宋体" w:hAnsi="宋体" w:cs="宋体"/>
                <w:sz w:val="24"/>
              </w:rPr>
            </w:pPr>
            <w:r>
              <w:rPr>
                <w:rFonts w:hint="eastAsia" w:ascii="宋体" w:hAnsi="宋体" w:cs="宋体"/>
                <w:sz w:val="24"/>
              </w:rPr>
              <w:t>单价（万元）</w:t>
            </w:r>
          </w:p>
        </w:tc>
        <w:tc>
          <w:tcPr>
            <w:tcW w:w="1417" w:type="dxa"/>
            <w:vAlign w:val="center"/>
          </w:tcPr>
          <w:p>
            <w:pPr>
              <w:widowControl/>
              <w:spacing w:line="360" w:lineRule="atLeast"/>
              <w:jc w:val="center"/>
              <w:outlineLvl w:val="1"/>
              <w:rPr>
                <w:rFonts w:ascii="宋体" w:hAnsi="宋体" w:cs="宋体"/>
                <w:sz w:val="24"/>
              </w:rPr>
            </w:pPr>
            <w:r>
              <w:rPr>
                <w:rFonts w:hint="eastAsia" w:ascii="宋体" w:hAnsi="宋体" w:cs="宋体"/>
                <w:sz w:val="24"/>
              </w:rPr>
              <w:t>总价（万元）</w:t>
            </w:r>
          </w:p>
        </w:tc>
        <w:tc>
          <w:tcPr>
            <w:tcW w:w="736" w:type="dxa"/>
            <w:vAlign w:val="center"/>
          </w:tcPr>
          <w:p>
            <w:pPr>
              <w:widowControl/>
              <w:spacing w:line="360" w:lineRule="atLeast"/>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5" w:firstLineChars="196"/>
              <w:jc w:val="left"/>
              <w:outlineLvl w:val="1"/>
              <w:rPr>
                <w:rFonts w:ascii="宋体" w:hAnsi="宋体" w:cs="宋体"/>
                <w:sz w:val="24"/>
              </w:rPr>
            </w:pPr>
          </w:p>
        </w:tc>
        <w:tc>
          <w:tcPr>
            <w:tcW w:w="1275" w:type="dxa"/>
            <w:vAlign w:val="center"/>
          </w:tcPr>
          <w:p>
            <w:pPr>
              <w:widowControl/>
              <w:spacing w:line="360" w:lineRule="atLeast"/>
              <w:ind w:firstLine="475" w:firstLineChars="196"/>
              <w:jc w:val="left"/>
              <w:outlineLvl w:val="1"/>
              <w:rPr>
                <w:rFonts w:ascii="宋体" w:hAnsi="宋体" w:cs="宋体"/>
                <w:sz w:val="24"/>
              </w:rPr>
            </w:pPr>
          </w:p>
        </w:tc>
        <w:tc>
          <w:tcPr>
            <w:tcW w:w="1360" w:type="dxa"/>
            <w:vAlign w:val="center"/>
          </w:tcPr>
          <w:p>
            <w:pPr>
              <w:widowControl/>
              <w:spacing w:line="360" w:lineRule="atLeast"/>
              <w:ind w:firstLine="475" w:firstLineChars="196"/>
              <w:jc w:val="left"/>
              <w:outlineLvl w:val="1"/>
              <w:rPr>
                <w:rFonts w:ascii="宋体" w:hAnsi="宋体" w:cs="宋体"/>
                <w:sz w:val="24"/>
              </w:rPr>
            </w:pPr>
          </w:p>
        </w:tc>
        <w:tc>
          <w:tcPr>
            <w:tcW w:w="888" w:type="dxa"/>
            <w:vAlign w:val="center"/>
          </w:tcPr>
          <w:p>
            <w:pPr>
              <w:widowControl/>
              <w:spacing w:line="360" w:lineRule="atLeast"/>
              <w:ind w:firstLine="475" w:firstLineChars="196"/>
              <w:jc w:val="left"/>
              <w:outlineLvl w:val="1"/>
              <w:rPr>
                <w:rFonts w:ascii="宋体" w:hAnsi="宋体" w:cs="宋体"/>
                <w:sz w:val="24"/>
              </w:rPr>
            </w:pPr>
          </w:p>
        </w:tc>
        <w:tc>
          <w:tcPr>
            <w:tcW w:w="872" w:type="dxa"/>
            <w:vAlign w:val="center"/>
          </w:tcPr>
          <w:p>
            <w:pPr>
              <w:widowControl/>
              <w:spacing w:line="360" w:lineRule="atLeast"/>
              <w:ind w:firstLine="475" w:firstLineChars="196"/>
              <w:jc w:val="left"/>
              <w:outlineLvl w:val="1"/>
              <w:rPr>
                <w:rFonts w:ascii="宋体" w:hAnsi="宋体" w:cs="宋体"/>
                <w:sz w:val="24"/>
              </w:rPr>
            </w:pPr>
          </w:p>
        </w:tc>
        <w:tc>
          <w:tcPr>
            <w:tcW w:w="851" w:type="dxa"/>
            <w:vAlign w:val="center"/>
          </w:tcPr>
          <w:p>
            <w:pPr>
              <w:widowControl/>
              <w:spacing w:line="360" w:lineRule="atLeast"/>
              <w:ind w:firstLine="475" w:firstLineChars="196"/>
              <w:jc w:val="left"/>
              <w:outlineLvl w:val="1"/>
              <w:rPr>
                <w:rFonts w:ascii="宋体" w:hAnsi="宋体" w:cs="宋体"/>
                <w:sz w:val="24"/>
              </w:rPr>
            </w:pPr>
          </w:p>
        </w:tc>
        <w:tc>
          <w:tcPr>
            <w:tcW w:w="1532" w:type="dxa"/>
            <w:vAlign w:val="center"/>
          </w:tcPr>
          <w:p>
            <w:pPr>
              <w:widowControl/>
              <w:spacing w:line="360" w:lineRule="atLeast"/>
              <w:ind w:firstLine="475" w:firstLineChars="196"/>
              <w:jc w:val="left"/>
              <w:outlineLvl w:val="1"/>
              <w:rPr>
                <w:rFonts w:ascii="宋体" w:hAnsi="宋体" w:cs="宋体"/>
                <w:sz w:val="24"/>
              </w:rPr>
            </w:pPr>
          </w:p>
        </w:tc>
        <w:tc>
          <w:tcPr>
            <w:tcW w:w="1417" w:type="dxa"/>
            <w:vAlign w:val="center"/>
          </w:tcPr>
          <w:p>
            <w:pPr>
              <w:widowControl/>
              <w:spacing w:line="360" w:lineRule="atLeast"/>
              <w:ind w:firstLine="475" w:firstLineChars="196"/>
              <w:jc w:val="left"/>
              <w:outlineLvl w:val="1"/>
              <w:rPr>
                <w:rFonts w:ascii="宋体" w:hAnsi="宋体" w:cs="宋体"/>
                <w:sz w:val="24"/>
              </w:rPr>
            </w:pPr>
          </w:p>
        </w:tc>
        <w:tc>
          <w:tcPr>
            <w:tcW w:w="736" w:type="dxa"/>
            <w:vAlign w:val="center"/>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5" w:firstLineChars="196"/>
              <w:jc w:val="left"/>
              <w:outlineLvl w:val="1"/>
              <w:rPr>
                <w:rFonts w:ascii="宋体" w:hAnsi="宋体" w:cs="宋体"/>
                <w:sz w:val="24"/>
              </w:rPr>
            </w:pPr>
          </w:p>
        </w:tc>
        <w:tc>
          <w:tcPr>
            <w:tcW w:w="1275" w:type="dxa"/>
            <w:vAlign w:val="center"/>
          </w:tcPr>
          <w:p>
            <w:pPr>
              <w:widowControl/>
              <w:spacing w:line="360" w:lineRule="atLeast"/>
              <w:ind w:firstLine="475" w:firstLineChars="196"/>
              <w:jc w:val="left"/>
              <w:outlineLvl w:val="1"/>
              <w:rPr>
                <w:rFonts w:ascii="宋体" w:hAnsi="宋体" w:cs="宋体"/>
                <w:sz w:val="24"/>
              </w:rPr>
            </w:pPr>
          </w:p>
        </w:tc>
        <w:tc>
          <w:tcPr>
            <w:tcW w:w="1360" w:type="dxa"/>
            <w:vAlign w:val="center"/>
          </w:tcPr>
          <w:p>
            <w:pPr>
              <w:widowControl/>
              <w:spacing w:line="360" w:lineRule="atLeast"/>
              <w:ind w:firstLine="475" w:firstLineChars="196"/>
              <w:jc w:val="left"/>
              <w:outlineLvl w:val="1"/>
              <w:rPr>
                <w:rFonts w:ascii="宋体" w:hAnsi="宋体" w:cs="宋体"/>
                <w:sz w:val="24"/>
              </w:rPr>
            </w:pPr>
          </w:p>
        </w:tc>
        <w:tc>
          <w:tcPr>
            <w:tcW w:w="888" w:type="dxa"/>
            <w:vAlign w:val="center"/>
          </w:tcPr>
          <w:p>
            <w:pPr>
              <w:widowControl/>
              <w:spacing w:line="360" w:lineRule="atLeast"/>
              <w:ind w:firstLine="475" w:firstLineChars="196"/>
              <w:jc w:val="left"/>
              <w:outlineLvl w:val="1"/>
              <w:rPr>
                <w:rFonts w:ascii="宋体" w:hAnsi="宋体" w:cs="宋体"/>
                <w:sz w:val="24"/>
              </w:rPr>
            </w:pPr>
          </w:p>
        </w:tc>
        <w:tc>
          <w:tcPr>
            <w:tcW w:w="872" w:type="dxa"/>
            <w:vAlign w:val="center"/>
          </w:tcPr>
          <w:p>
            <w:pPr>
              <w:widowControl/>
              <w:spacing w:line="360" w:lineRule="atLeast"/>
              <w:ind w:firstLine="475" w:firstLineChars="196"/>
              <w:jc w:val="left"/>
              <w:outlineLvl w:val="1"/>
              <w:rPr>
                <w:rFonts w:ascii="宋体" w:hAnsi="宋体" w:cs="宋体"/>
                <w:sz w:val="24"/>
              </w:rPr>
            </w:pPr>
          </w:p>
        </w:tc>
        <w:tc>
          <w:tcPr>
            <w:tcW w:w="851" w:type="dxa"/>
            <w:vAlign w:val="center"/>
          </w:tcPr>
          <w:p>
            <w:pPr>
              <w:widowControl/>
              <w:spacing w:line="360" w:lineRule="atLeast"/>
              <w:ind w:firstLine="475" w:firstLineChars="196"/>
              <w:jc w:val="left"/>
              <w:outlineLvl w:val="1"/>
              <w:rPr>
                <w:rFonts w:ascii="宋体" w:hAnsi="宋体" w:cs="宋体"/>
                <w:sz w:val="24"/>
              </w:rPr>
            </w:pPr>
          </w:p>
        </w:tc>
        <w:tc>
          <w:tcPr>
            <w:tcW w:w="1532" w:type="dxa"/>
            <w:vAlign w:val="center"/>
          </w:tcPr>
          <w:p>
            <w:pPr>
              <w:widowControl/>
              <w:spacing w:line="360" w:lineRule="atLeast"/>
              <w:ind w:firstLine="475" w:firstLineChars="196"/>
              <w:jc w:val="left"/>
              <w:outlineLvl w:val="1"/>
              <w:rPr>
                <w:rFonts w:ascii="宋体" w:hAnsi="宋体" w:cs="宋体"/>
                <w:sz w:val="24"/>
              </w:rPr>
            </w:pPr>
          </w:p>
        </w:tc>
        <w:tc>
          <w:tcPr>
            <w:tcW w:w="1417" w:type="dxa"/>
            <w:vAlign w:val="center"/>
          </w:tcPr>
          <w:p>
            <w:pPr>
              <w:widowControl/>
              <w:spacing w:line="360" w:lineRule="atLeast"/>
              <w:ind w:firstLine="475" w:firstLineChars="196"/>
              <w:jc w:val="left"/>
              <w:outlineLvl w:val="1"/>
              <w:rPr>
                <w:rFonts w:ascii="宋体" w:hAnsi="宋体" w:cs="宋体"/>
                <w:sz w:val="24"/>
              </w:rPr>
            </w:pPr>
          </w:p>
        </w:tc>
        <w:tc>
          <w:tcPr>
            <w:tcW w:w="736" w:type="dxa"/>
            <w:vAlign w:val="center"/>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5" w:firstLineChars="196"/>
              <w:jc w:val="left"/>
              <w:outlineLvl w:val="1"/>
              <w:rPr>
                <w:rFonts w:ascii="宋体" w:hAnsi="宋体" w:cs="宋体"/>
                <w:sz w:val="24"/>
              </w:rPr>
            </w:pPr>
          </w:p>
        </w:tc>
        <w:tc>
          <w:tcPr>
            <w:tcW w:w="1275" w:type="dxa"/>
            <w:vAlign w:val="center"/>
          </w:tcPr>
          <w:p>
            <w:pPr>
              <w:widowControl/>
              <w:spacing w:line="360" w:lineRule="atLeast"/>
              <w:ind w:firstLine="475" w:firstLineChars="196"/>
              <w:jc w:val="left"/>
              <w:outlineLvl w:val="1"/>
              <w:rPr>
                <w:rFonts w:ascii="宋体" w:hAnsi="宋体" w:cs="宋体"/>
                <w:sz w:val="24"/>
              </w:rPr>
            </w:pPr>
          </w:p>
        </w:tc>
        <w:tc>
          <w:tcPr>
            <w:tcW w:w="1360" w:type="dxa"/>
            <w:vAlign w:val="center"/>
          </w:tcPr>
          <w:p>
            <w:pPr>
              <w:widowControl/>
              <w:spacing w:line="360" w:lineRule="atLeast"/>
              <w:ind w:firstLine="475" w:firstLineChars="196"/>
              <w:jc w:val="left"/>
              <w:outlineLvl w:val="1"/>
              <w:rPr>
                <w:rFonts w:ascii="宋体" w:hAnsi="宋体" w:cs="宋体"/>
                <w:sz w:val="24"/>
              </w:rPr>
            </w:pPr>
          </w:p>
        </w:tc>
        <w:tc>
          <w:tcPr>
            <w:tcW w:w="888" w:type="dxa"/>
            <w:vAlign w:val="center"/>
          </w:tcPr>
          <w:p>
            <w:pPr>
              <w:widowControl/>
              <w:spacing w:line="360" w:lineRule="atLeast"/>
              <w:ind w:firstLine="475" w:firstLineChars="196"/>
              <w:jc w:val="left"/>
              <w:outlineLvl w:val="1"/>
              <w:rPr>
                <w:rFonts w:ascii="宋体" w:hAnsi="宋体" w:cs="宋体"/>
                <w:sz w:val="24"/>
              </w:rPr>
            </w:pPr>
          </w:p>
        </w:tc>
        <w:tc>
          <w:tcPr>
            <w:tcW w:w="872" w:type="dxa"/>
            <w:vAlign w:val="center"/>
          </w:tcPr>
          <w:p>
            <w:pPr>
              <w:widowControl/>
              <w:spacing w:line="360" w:lineRule="atLeast"/>
              <w:ind w:firstLine="475" w:firstLineChars="196"/>
              <w:jc w:val="left"/>
              <w:outlineLvl w:val="1"/>
              <w:rPr>
                <w:rFonts w:ascii="宋体" w:hAnsi="宋体" w:cs="宋体"/>
                <w:sz w:val="24"/>
              </w:rPr>
            </w:pPr>
          </w:p>
        </w:tc>
        <w:tc>
          <w:tcPr>
            <w:tcW w:w="851" w:type="dxa"/>
            <w:vAlign w:val="center"/>
          </w:tcPr>
          <w:p>
            <w:pPr>
              <w:widowControl/>
              <w:spacing w:line="360" w:lineRule="atLeast"/>
              <w:ind w:firstLine="475" w:firstLineChars="196"/>
              <w:jc w:val="left"/>
              <w:outlineLvl w:val="1"/>
              <w:rPr>
                <w:rFonts w:ascii="宋体" w:hAnsi="宋体" w:cs="宋体"/>
                <w:sz w:val="24"/>
              </w:rPr>
            </w:pPr>
          </w:p>
        </w:tc>
        <w:tc>
          <w:tcPr>
            <w:tcW w:w="1532" w:type="dxa"/>
            <w:vAlign w:val="center"/>
          </w:tcPr>
          <w:p>
            <w:pPr>
              <w:widowControl/>
              <w:spacing w:line="360" w:lineRule="atLeast"/>
              <w:ind w:firstLine="475" w:firstLineChars="196"/>
              <w:jc w:val="left"/>
              <w:outlineLvl w:val="1"/>
              <w:rPr>
                <w:rFonts w:ascii="宋体" w:hAnsi="宋体" w:cs="宋体"/>
                <w:sz w:val="24"/>
              </w:rPr>
            </w:pPr>
          </w:p>
        </w:tc>
        <w:tc>
          <w:tcPr>
            <w:tcW w:w="1417" w:type="dxa"/>
            <w:vAlign w:val="center"/>
          </w:tcPr>
          <w:p>
            <w:pPr>
              <w:widowControl/>
              <w:spacing w:line="360" w:lineRule="atLeast"/>
              <w:ind w:firstLine="475" w:firstLineChars="196"/>
              <w:jc w:val="left"/>
              <w:outlineLvl w:val="1"/>
              <w:rPr>
                <w:rFonts w:ascii="宋体" w:hAnsi="宋体" w:cs="宋体"/>
                <w:sz w:val="24"/>
              </w:rPr>
            </w:pPr>
          </w:p>
        </w:tc>
        <w:tc>
          <w:tcPr>
            <w:tcW w:w="736" w:type="dxa"/>
            <w:vAlign w:val="center"/>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tLeast"/>
              <w:ind w:firstLine="475" w:firstLineChars="196"/>
              <w:jc w:val="left"/>
              <w:outlineLvl w:val="1"/>
              <w:rPr>
                <w:rFonts w:ascii="宋体" w:hAnsi="宋体" w:cs="宋体"/>
                <w:sz w:val="24"/>
              </w:rPr>
            </w:pPr>
          </w:p>
        </w:tc>
        <w:tc>
          <w:tcPr>
            <w:tcW w:w="1275" w:type="dxa"/>
            <w:vAlign w:val="center"/>
          </w:tcPr>
          <w:p>
            <w:pPr>
              <w:widowControl/>
              <w:spacing w:line="360" w:lineRule="atLeast"/>
              <w:ind w:firstLine="475" w:firstLineChars="196"/>
              <w:jc w:val="left"/>
              <w:outlineLvl w:val="1"/>
              <w:rPr>
                <w:rFonts w:ascii="宋体" w:hAnsi="宋体" w:cs="宋体"/>
                <w:sz w:val="24"/>
              </w:rPr>
            </w:pPr>
          </w:p>
        </w:tc>
        <w:tc>
          <w:tcPr>
            <w:tcW w:w="1360" w:type="dxa"/>
            <w:vAlign w:val="center"/>
          </w:tcPr>
          <w:p>
            <w:pPr>
              <w:widowControl/>
              <w:spacing w:line="360" w:lineRule="atLeast"/>
              <w:ind w:firstLine="475" w:firstLineChars="196"/>
              <w:jc w:val="left"/>
              <w:outlineLvl w:val="1"/>
              <w:rPr>
                <w:rFonts w:ascii="宋体" w:hAnsi="宋体" w:cs="宋体"/>
                <w:sz w:val="24"/>
              </w:rPr>
            </w:pPr>
          </w:p>
        </w:tc>
        <w:tc>
          <w:tcPr>
            <w:tcW w:w="888" w:type="dxa"/>
            <w:vAlign w:val="center"/>
          </w:tcPr>
          <w:p>
            <w:pPr>
              <w:widowControl/>
              <w:spacing w:line="360" w:lineRule="atLeast"/>
              <w:ind w:firstLine="475" w:firstLineChars="196"/>
              <w:jc w:val="left"/>
              <w:outlineLvl w:val="1"/>
              <w:rPr>
                <w:rFonts w:ascii="宋体" w:hAnsi="宋体" w:cs="宋体"/>
                <w:sz w:val="24"/>
              </w:rPr>
            </w:pPr>
          </w:p>
        </w:tc>
        <w:tc>
          <w:tcPr>
            <w:tcW w:w="872" w:type="dxa"/>
            <w:vAlign w:val="center"/>
          </w:tcPr>
          <w:p>
            <w:pPr>
              <w:widowControl/>
              <w:spacing w:line="360" w:lineRule="atLeast"/>
              <w:ind w:firstLine="475" w:firstLineChars="196"/>
              <w:jc w:val="left"/>
              <w:outlineLvl w:val="1"/>
              <w:rPr>
                <w:rFonts w:ascii="宋体" w:hAnsi="宋体" w:cs="宋体"/>
                <w:sz w:val="24"/>
              </w:rPr>
            </w:pPr>
          </w:p>
        </w:tc>
        <w:tc>
          <w:tcPr>
            <w:tcW w:w="851" w:type="dxa"/>
            <w:vAlign w:val="center"/>
          </w:tcPr>
          <w:p>
            <w:pPr>
              <w:widowControl/>
              <w:spacing w:line="360" w:lineRule="atLeast"/>
              <w:ind w:firstLine="475" w:firstLineChars="196"/>
              <w:jc w:val="left"/>
              <w:outlineLvl w:val="1"/>
              <w:rPr>
                <w:rFonts w:ascii="宋体" w:hAnsi="宋体" w:cs="宋体"/>
                <w:sz w:val="24"/>
              </w:rPr>
            </w:pPr>
          </w:p>
        </w:tc>
        <w:tc>
          <w:tcPr>
            <w:tcW w:w="1532" w:type="dxa"/>
            <w:vAlign w:val="center"/>
          </w:tcPr>
          <w:p>
            <w:pPr>
              <w:widowControl/>
              <w:spacing w:line="360" w:lineRule="atLeast"/>
              <w:ind w:firstLine="475" w:firstLineChars="196"/>
              <w:jc w:val="left"/>
              <w:outlineLvl w:val="1"/>
              <w:rPr>
                <w:rFonts w:ascii="宋体" w:hAnsi="宋体" w:cs="宋体"/>
                <w:sz w:val="24"/>
              </w:rPr>
            </w:pPr>
          </w:p>
        </w:tc>
        <w:tc>
          <w:tcPr>
            <w:tcW w:w="1417" w:type="dxa"/>
            <w:vAlign w:val="center"/>
          </w:tcPr>
          <w:p>
            <w:pPr>
              <w:widowControl/>
              <w:spacing w:line="360" w:lineRule="atLeast"/>
              <w:ind w:firstLine="475" w:firstLineChars="196"/>
              <w:jc w:val="left"/>
              <w:outlineLvl w:val="1"/>
              <w:rPr>
                <w:rFonts w:ascii="宋体" w:hAnsi="宋体" w:cs="宋体"/>
                <w:sz w:val="24"/>
              </w:rPr>
            </w:pPr>
          </w:p>
        </w:tc>
        <w:tc>
          <w:tcPr>
            <w:tcW w:w="736" w:type="dxa"/>
            <w:vAlign w:val="center"/>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5" w:firstLineChars="196"/>
              <w:jc w:val="left"/>
              <w:outlineLvl w:val="1"/>
              <w:rPr>
                <w:rFonts w:ascii="宋体" w:hAnsi="宋体" w:cs="宋体"/>
                <w:sz w:val="24"/>
              </w:rPr>
            </w:pPr>
          </w:p>
        </w:tc>
        <w:tc>
          <w:tcPr>
            <w:tcW w:w="1275" w:type="dxa"/>
            <w:vAlign w:val="center"/>
          </w:tcPr>
          <w:p>
            <w:pPr>
              <w:widowControl/>
              <w:spacing w:line="360" w:lineRule="atLeast"/>
              <w:ind w:firstLine="475" w:firstLineChars="196"/>
              <w:jc w:val="left"/>
              <w:outlineLvl w:val="1"/>
              <w:rPr>
                <w:rFonts w:ascii="宋体" w:hAnsi="宋体" w:cs="宋体"/>
                <w:sz w:val="24"/>
              </w:rPr>
            </w:pPr>
          </w:p>
        </w:tc>
        <w:tc>
          <w:tcPr>
            <w:tcW w:w="1360" w:type="dxa"/>
            <w:vAlign w:val="center"/>
          </w:tcPr>
          <w:p>
            <w:pPr>
              <w:widowControl/>
              <w:spacing w:line="360" w:lineRule="atLeast"/>
              <w:ind w:firstLine="475" w:firstLineChars="196"/>
              <w:jc w:val="left"/>
              <w:outlineLvl w:val="1"/>
              <w:rPr>
                <w:rFonts w:ascii="宋体" w:hAnsi="宋体" w:cs="宋体"/>
                <w:sz w:val="24"/>
              </w:rPr>
            </w:pPr>
          </w:p>
        </w:tc>
        <w:tc>
          <w:tcPr>
            <w:tcW w:w="888" w:type="dxa"/>
            <w:vAlign w:val="center"/>
          </w:tcPr>
          <w:p>
            <w:pPr>
              <w:widowControl/>
              <w:spacing w:line="360" w:lineRule="atLeast"/>
              <w:ind w:firstLine="475" w:firstLineChars="196"/>
              <w:jc w:val="left"/>
              <w:outlineLvl w:val="1"/>
              <w:rPr>
                <w:rFonts w:ascii="宋体" w:hAnsi="宋体" w:cs="宋体"/>
                <w:sz w:val="24"/>
              </w:rPr>
            </w:pPr>
          </w:p>
        </w:tc>
        <w:tc>
          <w:tcPr>
            <w:tcW w:w="872" w:type="dxa"/>
            <w:vAlign w:val="center"/>
          </w:tcPr>
          <w:p>
            <w:pPr>
              <w:widowControl/>
              <w:spacing w:line="360" w:lineRule="atLeast"/>
              <w:ind w:firstLine="475" w:firstLineChars="196"/>
              <w:jc w:val="left"/>
              <w:outlineLvl w:val="1"/>
              <w:rPr>
                <w:rFonts w:ascii="宋体" w:hAnsi="宋体" w:cs="宋体"/>
                <w:sz w:val="24"/>
              </w:rPr>
            </w:pPr>
          </w:p>
        </w:tc>
        <w:tc>
          <w:tcPr>
            <w:tcW w:w="851" w:type="dxa"/>
            <w:vAlign w:val="center"/>
          </w:tcPr>
          <w:p>
            <w:pPr>
              <w:widowControl/>
              <w:spacing w:line="360" w:lineRule="atLeast"/>
              <w:ind w:firstLine="475" w:firstLineChars="196"/>
              <w:jc w:val="left"/>
              <w:outlineLvl w:val="1"/>
              <w:rPr>
                <w:rFonts w:ascii="宋体" w:hAnsi="宋体" w:cs="宋体"/>
                <w:sz w:val="24"/>
              </w:rPr>
            </w:pPr>
          </w:p>
        </w:tc>
        <w:tc>
          <w:tcPr>
            <w:tcW w:w="1532" w:type="dxa"/>
            <w:vAlign w:val="center"/>
          </w:tcPr>
          <w:p>
            <w:pPr>
              <w:widowControl/>
              <w:spacing w:line="360" w:lineRule="atLeast"/>
              <w:ind w:firstLine="475" w:firstLineChars="196"/>
              <w:jc w:val="left"/>
              <w:outlineLvl w:val="1"/>
              <w:rPr>
                <w:rFonts w:ascii="宋体" w:hAnsi="宋体" w:cs="宋体"/>
                <w:sz w:val="24"/>
              </w:rPr>
            </w:pPr>
          </w:p>
        </w:tc>
        <w:tc>
          <w:tcPr>
            <w:tcW w:w="1417" w:type="dxa"/>
            <w:vAlign w:val="center"/>
          </w:tcPr>
          <w:p>
            <w:pPr>
              <w:widowControl/>
              <w:spacing w:line="360" w:lineRule="atLeast"/>
              <w:ind w:firstLine="475" w:firstLineChars="196"/>
              <w:jc w:val="left"/>
              <w:outlineLvl w:val="1"/>
              <w:rPr>
                <w:rFonts w:ascii="宋体" w:hAnsi="宋体" w:cs="宋体"/>
                <w:sz w:val="24"/>
              </w:rPr>
            </w:pPr>
          </w:p>
        </w:tc>
        <w:tc>
          <w:tcPr>
            <w:tcW w:w="736" w:type="dxa"/>
            <w:vAlign w:val="center"/>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5" w:firstLineChars="196"/>
              <w:jc w:val="left"/>
              <w:outlineLvl w:val="1"/>
              <w:rPr>
                <w:rFonts w:ascii="宋体" w:hAnsi="宋体" w:cs="宋体"/>
                <w:sz w:val="24"/>
              </w:rPr>
            </w:pPr>
          </w:p>
        </w:tc>
        <w:tc>
          <w:tcPr>
            <w:tcW w:w="1275" w:type="dxa"/>
            <w:vAlign w:val="center"/>
          </w:tcPr>
          <w:p>
            <w:pPr>
              <w:widowControl/>
              <w:spacing w:line="360" w:lineRule="atLeast"/>
              <w:ind w:firstLine="475" w:firstLineChars="196"/>
              <w:jc w:val="left"/>
              <w:outlineLvl w:val="1"/>
              <w:rPr>
                <w:rFonts w:ascii="宋体" w:hAnsi="宋体" w:cs="宋体"/>
                <w:sz w:val="24"/>
              </w:rPr>
            </w:pPr>
          </w:p>
        </w:tc>
        <w:tc>
          <w:tcPr>
            <w:tcW w:w="1360" w:type="dxa"/>
            <w:vAlign w:val="center"/>
          </w:tcPr>
          <w:p>
            <w:pPr>
              <w:widowControl/>
              <w:spacing w:line="360" w:lineRule="atLeast"/>
              <w:ind w:firstLine="475" w:firstLineChars="196"/>
              <w:jc w:val="left"/>
              <w:outlineLvl w:val="1"/>
              <w:rPr>
                <w:rFonts w:ascii="宋体" w:hAnsi="宋体" w:cs="宋体"/>
                <w:sz w:val="24"/>
              </w:rPr>
            </w:pPr>
          </w:p>
        </w:tc>
        <w:tc>
          <w:tcPr>
            <w:tcW w:w="888" w:type="dxa"/>
            <w:vAlign w:val="center"/>
          </w:tcPr>
          <w:p>
            <w:pPr>
              <w:widowControl/>
              <w:spacing w:line="360" w:lineRule="atLeast"/>
              <w:ind w:firstLine="475" w:firstLineChars="196"/>
              <w:jc w:val="left"/>
              <w:outlineLvl w:val="1"/>
              <w:rPr>
                <w:rFonts w:ascii="宋体" w:hAnsi="宋体" w:cs="宋体"/>
                <w:sz w:val="24"/>
              </w:rPr>
            </w:pPr>
          </w:p>
        </w:tc>
        <w:tc>
          <w:tcPr>
            <w:tcW w:w="872" w:type="dxa"/>
            <w:vAlign w:val="center"/>
          </w:tcPr>
          <w:p>
            <w:pPr>
              <w:widowControl/>
              <w:spacing w:line="360" w:lineRule="atLeast"/>
              <w:ind w:firstLine="475" w:firstLineChars="196"/>
              <w:jc w:val="left"/>
              <w:outlineLvl w:val="1"/>
              <w:rPr>
                <w:rFonts w:ascii="宋体" w:hAnsi="宋体" w:cs="宋体"/>
                <w:sz w:val="24"/>
              </w:rPr>
            </w:pPr>
          </w:p>
        </w:tc>
        <w:tc>
          <w:tcPr>
            <w:tcW w:w="851" w:type="dxa"/>
            <w:vAlign w:val="center"/>
          </w:tcPr>
          <w:p>
            <w:pPr>
              <w:widowControl/>
              <w:spacing w:line="360" w:lineRule="atLeast"/>
              <w:ind w:firstLine="475" w:firstLineChars="196"/>
              <w:jc w:val="left"/>
              <w:outlineLvl w:val="1"/>
              <w:rPr>
                <w:rFonts w:ascii="宋体" w:hAnsi="宋体" w:cs="宋体"/>
                <w:sz w:val="24"/>
              </w:rPr>
            </w:pPr>
          </w:p>
        </w:tc>
        <w:tc>
          <w:tcPr>
            <w:tcW w:w="1532" w:type="dxa"/>
            <w:vAlign w:val="center"/>
          </w:tcPr>
          <w:p>
            <w:pPr>
              <w:widowControl/>
              <w:spacing w:line="360" w:lineRule="atLeast"/>
              <w:ind w:firstLine="475" w:firstLineChars="196"/>
              <w:jc w:val="left"/>
              <w:outlineLvl w:val="1"/>
              <w:rPr>
                <w:rFonts w:ascii="宋体" w:hAnsi="宋体" w:cs="宋体"/>
                <w:sz w:val="24"/>
              </w:rPr>
            </w:pPr>
          </w:p>
        </w:tc>
        <w:tc>
          <w:tcPr>
            <w:tcW w:w="1417" w:type="dxa"/>
            <w:vAlign w:val="center"/>
          </w:tcPr>
          <w:p>
            <w:pPr>
              <w:widowControl/>
              <w:spacing w:line="360" w:lineRule="atLeast"/>
              <w:ind w:firstLine="475" w:firstLineChars="196"/>
              <w:jc w:val="left"/>
              <w:outlineLvl w:val="1"/>
              <w:rPr>
                <w:rFonts w:ascii="宋体" w:hAnsi="宋体" w:cs="宋体"/>
                <w:sz w:val="24"/>
              </w:rPr>
            </w:pPr>
          </w:p>
        </w:tc>
        <w:tc>
          <w:tcPr>
            <w:tcW w:w="736" w:type="dxa"/>
            <w:vAlign w:val="center"/>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808" w:type="dxa"/>
            <w:gridSpan w:val="9"/>
            <w:tcBorders>
              <w:top w:val="single" w:color="auto" w:sz="4" w:space="0"/>
              <w:bottom w:val="single" w:color="auto" w:sz="4" w:space="0"/>
            </w:tcBorders>
            <w:vAlign w:val="center"/>
          </w:tcPr>
          <w:p>
            <w:pPr>
              <w:widowControl/>
              <w:spacing w:line="360" w:lineRule="atLeast"/>
              <w:jc w:val="left"/>
              <w:outlineLvl w:val="1"/>
              <w:rPr>
                <w:rFonts w:ascii="宋体" w:hAnsi="宋体" w:cs="宋体"/>
                <w:sz w:val="24"/>
              </w:rPr>
            </w:pPr>
            <w:r>
              <w:rPr>
                <w:rFonts w:hint="eastAsia" w:ascii="宋体" w:hAnsi="宋体" w:cs="宋体"/>
                <w:sz w:val="24"/>
              </w:rPr>
              <w:t>分项报价合计（万元）：     大写：</w:t>
            </w:r>
            <w:r>
              <w:rPr>
                <w:rFonts w:hint="eastAsia" w:ascii="宋体" w:hAnsi="宋体" w:cs="宋体"/>
                <w:sz w:val="24"/>
                <w:u w:val="single"/>
              </w:rPr>
              <w:t xml:space="preserve">人民币               </w:t>
            </w:r>
          </w:p>
        </w:tc>
      </w:tr>
    </w:tbl>
    <w:p>
      <w:pPr>
        <w:pStyle w:val="10"/>
        <w:rPr>
          <w:sz w:val="24"/>
        </w:rPr>
      </w:pPr>
    </w:p>
    <w:p>
      <w:pPr>
        <w:widowControl/>
        <w:spacing w:line="360" w:lineRule="auto"/>
        <w:ind w:firstLine="475" w:firstLineChars="196"/>
        <w:jc w:val="left"/>
        <w:outlineLvl w:val="1"/>
        <w:rPr>
          <w:rFonts w:ascii="宋体" w:hAnsi="宋体"/>
          <w:sz w:val="24"/>
        </w:rPr>
      </w:pPr>
      <w:r>
        <w:rPr>
          <w:rFonts w:hint="eastAsia" w:ascii="宋体" w:hAnsi="宋体"/>
          <w:sz w:val="24"/>
        </w:rPr>
        <w:t>注：1、投标人应填写“分项报价明细表”详细报出投标总价的各个组成部分的报价。</w:t>
      </w:r>
    </w:p>
    <w:p>
      <w:pPr>
        <w:widowControl/>
        <w:spacing w:line="360" w:lineRule="auto"/>
        <w:ind w:firstLine="961" w:firstLineChars="396"/>
        <w:jc w:val="left"/>
        <w:outlineLvl w:val="1"/>
        <w:rPr>
          <w:rFonts w:ascii="宋体" w:hAnsi="宋体"/>
          <w:sz w:val="24"/>
        </w:rPr>
      </w:pPr>
      <w:r>
        <w:rPr>
          <w:rFonts w:hint="eastAsia" w:ascii="宋体" w:hAnsi="宋体"/>
          <w:sz w:val="24"/>
        </w:rPr>
        <w:t>2、“分项报价明细表”各分项报价合计应当与“开标一览表”报价合计相等。</w:t>
      </w:r>
    </w:p>
    <w:p>
      <w:pPr>
        <w:widowControl/>
        <w:spacing w:line="360" w:lineRule="atLeast"/>
        <w:ind w:firstLine="475" w:firstLineChars="196"/>
        <w:jc w:val="left"/>
        <w:outlineLvl w:val="1"/>
        <w:rPr>
          <w:rFonts w:ascii="宋体" w:hAnsi="宋体"/>
          <w:sz w:val="24"/>
        </w:rPr>
      </w:pPr>
    </w:p>
    <w:p>
      <w:pPr>
        <w:pStyle w:val="28"/>
        <w:rPr>
          <w:rFonts w:asciiTheme="minorEastAsia" w:hAnsiTheme="minorEastAsia" w:eastAsiaTheme="minorEastAsia"/>
        </w:rPr>
      </w:pPr>
    </w:p>
    <w:p>
      <w:pPr>
        <w:pStyle w:val="28"/>
        <w:rPr>
          <w:rFonts w:asciiTheme="minorEastAsia" w:hAnsiTheme="minorEastAsia" w:eastAsiaTheme="minorEastAsia"/>
        </w:rPr>
      </w:pPr>
    </w:p>
    <w:p>
      <w:pPr>
        <w:spacing w:line="480" w:lineRule="auto"/>
        <w:rPr>
          <w:rFonts w:asciiTheme="minorEastAsia" w:hAnsiTheme="minorEastAsia" w:eastAsiaTheme="minorEastAsia"/>
        </w:rPr>
      </w:pPr>
    </w:p>
    <w:p>
      <w:pPr>
        <w:widowControl/>
        <w:spacing w:line="360" w:lineRule="auto"/>
        <w:ind w:firstLine="961" w:firstLineChars="396"/>
        <w:jc w:val="left"/>
        <w:outlineLvl w:val="1"/>
        <w:rPr>
          <w:rFonts w:ascii="宋体" w:hAnsi="宋体"/>
          <w:sz w:val="24"/>
        </w:rPr>
      </w:pPr>
      <w:r>
        <w:rPr>
          <w:rFonts w:hint="eastAsia" w:ascii="宋体" w:hAnsi="宋体"/>
          <w:sz w:val="24"/>
        </w:rPr>
        <w:t>投标人名称：XXXX（单位公章）。</w:t>
      </w:r>
    </w:p>
    <w:p>
      <w:pPr>
        <w:widowControl/>
        <w:spacing w:line="360" w:lineRule="auto"/>
        <w:ind w:firstLine="961" w:firstLineChars="396"/>
        <w:jc w:val="left"/>
        <w:outlineLvl w:val="1"/>
        <w:rPr>
          <w:rFonts w:ascii="宋体" w:hAnsi="宋体"/>
          <w:sz w:val="24"/>
        </w:rPr>
      </w:pPr>
      <w:r>
        <w:rPr>
          <w:rFonts w:hint="eastAsia" w:ascii="宋体" w:hAnsi="宋体"/>
          <w:sz w:val="24"/>
        </w:rPr>
        <w:t>法定代表人/主要负责人或授权代表（签字或加盖个人名章）：XXXX。</w:t>
      </w:r>
    </w:p>
    <w:p>
      <w:pPr>
        <w:widowControl/>
        <w:spacing w:line="360" w:lineRule="auto"/>
        <w:ind w:firstLine="961" w:firstLineChars="396"/>
        <w:jc w:val="left"/>
        <w:outlineLvl w:val="1"/>
        <w:rPr>
          <w:rFonts w:ascii="宋体" w:hAnsi="宋体"/>
          <w:sz w:val="24"/>
        </w:rPr>
      </w:pPr>
      <w:r>
        <w:rPr>
          <w:rFonts w:hint="eastAsia" w:ascii="宋体" w:hAnsi="宋体"/>
          <w:sz w:val="24"/>
        </w:rPr>
        <w:t>日    期：XXXX。</w:t>
      </w:r>
    </w:p>
    <w:p>
      <w:pPr>
        <w:widowControl/>
        <w:spacing w:line="360" w:lineRule="auto"/>
        <w:ind w:firstLine="961" w:firstLineChars="396"/>
        <w:jc w:val="left"/>
        <w:outlineLvl w:val="1"/>
        <w:rPr>
          <w:rFonts w:ascii="宋体" w:hAnsi="宋体"/>
          <w:sz w:val="24"/>
        </w:rPr>
      </w:pPr>
      <w:r>
        <w:rPr>
          <w:rFonts w:hint="eastAsia" w:ascii="宋体" w:hAnsi="宋体"/>
          <w:sz w:val="24"/>
        </w:rPr>
        <w:br w:type="page"/>
      </w:r>
    </w:p>
    <w:p>
      <w:pPr>
        <w:widowControl/>
        <w:spacing w:line="360" w:lineRule="atLeast"/>
        <w:jc w:val="left"/>
        <w:outlineLvl w:val="1"/>
        <w:rPr>
          <w:rFonts w:asciiTheme="minorEastAsia" w:hAnsiTheme="minorEastAsia" w:eastAsiaTheme="minorEastAsia"/>
          <w:b/>
          <w:sz w:val="24"/>
        </w:rPr>
      </w:pPr>
      <w:r>
        <w:rPr>
          <w:rFonts w:hint="eastAsia" w:asciiTheme="minorEastAsia" w:hAnsiTheme="minorEastAsia" w:eastAsiaTheme="minorEastAsia"/>
          <w:b/>
          <w:sz w:val="24"/>
        </w:rPr>
        <w:t>格式2-6</w:t>
      </w:r>
    </w:p>
    <w:p>
      <w:pPr>
        <w:spacing w:line="480" w:lineRule="auto"/>
        <w:jc w:val="center"/>
        <w:rPr>
          <w:rFonts w:asciiTheme="minorEastAsia" w:hAnsiTheme="minorEastAsia" w:eastAsiaTheme="minorEastAsia"/>
          <w:b/>
          <w:sz w:val="24"/>
        </w:rPr>
      </w:pPr>
      <w:r>
        <w:rPr>
          <w:rFonts w:hint="eastAsia" w:asciiTheme="minorEastAsia" w:hAnsiTheme="minorEastAsia" w:eastAsiaTheme="minorEastAsia"/>
          <w:b/>
          <w:sz w:val="24"/>
        </w:rPr>
        <w:t>商务应答表</w:t>
      </w:r>
      <w:bookmarkEnd w:id="123"/>
    </w:p>
    <w:p>
      <w:pPr>
        <w:spacing w:line="480" w:lineRule="auto"/>
        <w:rPr>
          <w:rFonts w:asciiTheme="minorEastAsia" w:hAnsiTheme="minorEastAsia" w:eastAsiaTheme="minorEastAsia"/>
          <w:sz w:val="24"/>
        </w:rPr>
      </w:pP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872"/>
        <w:gridCol w:w="29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序号</w:t>
            </w:r>
          </w:p>
        </w:tc>
        <w:tc>
          <w:tcPr>
            <w:tcW w:w="2872" w:type="dxa"/>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招标文件要求</w:t>
            </w:r>
          </w:p>
        </w:tc>
        <w:tc>
          <w:tcPr>
            <w:tcW w:w="2976" w:type="dxa"/>
            <w:vAlign w:val="center"/>
          </w:tcPr>
          <w:p>
            <w:pPr>
              <w:widowControl/>
              <w:spacing w:line="480" w:lineRule="auto"/>
              <w:ind w:firstLine="972" w:firstLineChars="400"/>
              <w:outlineLvl w:val="1"/>
              <w:rPr>
                <w:rFonts w:asciiTheme="minorEastAsia" w:hAnsiTheme="minorEastAsia" w:eastAsiaTheme="minorEastAsia"/>
                <w:sz w:val="24"/>
              </w:rPr>
            </w:pPr>
            <w:r>
              <w:rPr>
                <w:rFonts w:hint="eastAsia" w:asciiTheme="minorEastAsia" w:hAnsiTheme="minorEastAsia" w:eastAsiaTheme="minorEastAsia"/>
                <w:sz w:val="24"/>
              </w:rPr>
              <w:t>投标应答</w:t>
            </w:r>
          </w:p>
        </w:tc>
        <w:tc>
          <w:tcPr>
            <w:tcW w:w="1985" w:type="dxa"/>
            <w:vAlign w:val="center"/>
          </w:tcPr>
          <w:p>
            <w:pPr>
              <w:widowControl/>
              <w:spacing w:line="480" w:lineRule="auto"/>
              <w:ind w:firstLine="718" w:firstLineChars="296"/>
              <w:outlineLvl w:val="1"/>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480" w:lineRule="auto"/>
              <w:ind w:firstLine="475" w:firstLineChars="196"/>
              <w:jc w:val="left"/>
              <w:outlineLvl w:val="1"/>
              <w:rPr>
                <w:rFonts w:asciiTheme="minorEastAsia" w:hAnsiTheme="minorEastAsia" w:eastAsiaTheme="minorEastAsia"/>
                <w:sz w:val="24"/>
              </w:rPr>
            </w:pPr>
          </w:p>
        </w:tc>
        <w:tc>
          <w:tcPr>
            <w:tcW w:w="2872" w:type="dxa"/>
          </w:tcPr>
          <w:p>
            <w:pPr>
              <w:widowControl/>
              <w:spacing w:line="480" w:lineRule="auto"/>
              <w:ind w:firstLine="475" w:firstLineChars="196"/>
              <w:jc w:val="left"/>
              <w:outlineLvl w:val="1"/>
              <w:rPr>
                <w:rFonts w:asciiTheme="minorEastAsia" w:hAnsiTheme="minorEastAsia" w:eastAsiaTheme="minorEastAsia"/>
                <w:sz w:val="24"/>
              </w:rPr>
            </w:pPr>
          </w:p>
        </w:tc>
        <w:tc>
          <w:tcPr>
            <w:tcW w:w="2976" w:type="dxa"/>
          </w:tcPr>
          <w:p>
            <w:pPr>
              <w:widowControl/>
              <w:spacing w:line="480" w:lineRule="auto"/>
              <w:ind w:firstLine="475" w:firstLineChars="196"/>
              <w:jc w:val="left"/>
              <w:outlineLvl w:val="1"/>
              <w:rPr>
                <w:rFonts w:asciiTheme="minorEastAsia" w:hAnsiTheme="minorEastAsia" w:eastAsiaTheme="minorEastAsia"/>
                <w:sz w:val="24"/>
              </w:rPr>
            </w:pPr>
          </w:p>
        </w:tc>
        <w:tc>
          <w:tcPr>
            <w:tcW w:w="198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480" w:lineRule="auto"/>
              <w:ind w:firstLine="475" w:firstLineChars="196"/>
              <w:jc w:val="left"/>
              <w:outlineLvl w:val="1"/>
              <w:rPr>
                <w:rFonts w:asciiTheme="minorEastAsia" w:hAnsiTheme="minorEastAsia" w:eastAsiaTheme="minorEastAsia"/>
                <w:sz w:val="24"/>
              </w:rPr>
            </w:pPr>
          </w:p>
        </w:tc>
        <w:tc>
          <w:tcPr>
            <w:tcW w:w="2872" w:type="dxa"/>
          </w:tcPr>
          <w:p>
            <w:pPr>
              <w:widowControl/>
              <w:spacing w:line="480" w:lineRule="auto"/>
              <w:ind w:firstLine="475" w:firstLineChars="196"/>
              <w:jc w:val="left"/>
              <w:outlineLvl w:val="1"/>
              <w:rPr>
                <w:rFonts w:asciiTheme="minorEastAsia" w:hAnsiTheme="minorEastAsia" w:eastAsiaTheme="minorEastAsia"/>
                <w:sz w:val="24"/>
              </w:rPr>
            </w:pPr>
          </w:p>
        </w:tc>
        <w:tc>
          <w:tcPr>
            <w:tcW w:w="2976" w:type="dxa"/>
          </w:tcPr>
          <w:p>
            <w:pPr>
              <w:widowControl/>
              <w:spacing w:line="480" w:lineRule="auto"/>
              <w:ind w:firstLine="475" w:firstLineChars="196"/>
              <w:jc w:val="left"/>
              <w:outlineLvl w:val="1"/>
              <w:rPr>
                <w:rFonts w:asciiTheme="minorEastAsia" w:hAnsiTheme="minorEastAsia" w:eastAsiaTheme="minorEastAsia"/>
                <w:sz w:val="24"/>
              </w:rPr>
            </w:pPr>
          </w:p>
        </w:tc>
        <w:tc>
          <w:tcPr>
            <w:tcW w:w="198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480" w:lineRule="auto"/>
              <w:ind w:firstLine="475" w:firstLineChars="196"/>
              <w:jc w:val="left"/>
              <w:outlineLvl w:val="1"/>
              <w:rPr>
                <w:rFonts w:asciiTheme="minorEastAsia" w:hAnsiTheme="minorEastAsia" w:eastAsiaTheme="minorEastAsia"/>
                <w:sz w:val="24"/>
              </w:rPr>
            </w:pPr>
          </w:p>
        </w:tc>
        <w:tc>
          <w:tcPr>
            <w:tcW w:w="2872" w:type="dxa"/>
          </w:tcPr>
          <w:p>
            <w:pPr>
              <w:widowControl/>
              <w:spacing w:line="480" w:lineRule="auto"/>
              <w:ind w:firstLine="475" w:firstLineChars="196"/>
              <w:jc w:val="left"/>
              <w:outlineLvl w:val="1"/>
              <w:rPr>
                <w:rFonts w:asciiTheme="minorEastAsia" w:hAnsiTheme="minorEastAsia" w:eastAsiaTheme="minorEastAsia"/>
                <w:sz w:val="24"/>
              </w:rPr>
            </w:pPr>
          </w:p>
        </w:tc>
        <w:tc>
          <w:tcPr>
            <w:tcW w:w="2976" w:type="dxa"/>
          </w:tcPr>
          <w:p>
            <w:pPr>
              <w:widowControl/>
              <w:spacing w:line="480" w:lineRule="auto"/>
              <w:ind w:firstLine="475" w:firstLineChars="196"/>
              <w:jc w:val="left"/>
              <w:outlineLvl w:val="1"/>
              <w:rPr>
                <w:rFonts w:asciiTheme="minorEastAsia" w:hAnsiTheme="minorEastAsia" w:eastAsiaTheme="minorEastAsia"/>
                <w:sz w:val="24"/>
              </w:rPr>
            </w:pPr>
          </w:p>
        </w:tc>
        <w:tc>
          <w:tcPr>
            <w:tcW w:w="198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480" w:lineRule="auto"/>
              <w:ind w:firstLine="475" w:firstLineChars="196"/>
              <w:jc w:val="left"/>
              <w:outlineLvl w:val="1"/>
              <w:rPr>
                <w:rFonts w:asciiTheme="minorEastAsia" w:hAnsiTheme="minorEastAsia" w:eastAsiaTheme="minorEastAsia"/>
                <w:sz w:val="24"/>
              </w:rPr>
            </w:pPr>
          </w:p>
        </w:tc>
        <w:tc>
          <w:tcPr>
            <w:tcW w:w="2872" w:type="dxa"/>
          </w:tcPr>
          <w:p>
            <w:pPr>
              <w:widowControl/>
              <w:spacing w:line="480" w:lineRule="auto"/>
              <w:ind w:firstLine="475" w:firstLineChars="196"/>
              <w:jc w:val="left"/>
              <w:outlineLvl w:val="1"/>
              <w:rPr>
                <w:rFonts w:asciiTheme="minorEastAsia" w:hAnsiTheme="minorEastAsia" w:eastAsiaTheme="minorEastAsia"/>
                <w:sz w:val="24"/>
              </w:rPr>
            </w:pPr>
          </w:p>
        </w:tc>
        <w:tc>
          <w:tcPr>
            <w:tcW w:w="2976" w:type="dxa"/>
          </w:tcPr>
          <w:p>
            <w:pPr>
              <w:widowControl/>
              <w:spacing w:line="480" w:lineRule="auto"/>
              <w:ind w:firstLine="475" w:firstLineChars="196"/>
              <w:jc w:val="left"/>
              <w:outlineLvl w:val="1"/>
              <w:rPr>
                <w:rFonts w:asciiTheme="minorEastAsia" w:hAnsiTheme="minorEastAsia" w:eastAsiaTheme="minorEastAsia"/>
                <w:sz w:val="24"/>
              </w:rPr>
            </w:pPr>
          </w:p>
        </w:tc>
        <w:tc>
          <w:tcPr>
            <w:tcW w:w="1985" w:type="dxa"/>
          </w:tcPr>
          <w:p>
            <w:pPr>
              <w:widowControl/>
              <w:spacing w:line="480" w:lineRule="auto"/>
              <w:ind w:firstLine="475" w:firstLineChars="196"/>
              <w:jc w:val="left"/>
              <w:outlineLvl w:val="1"/>
              <w:rPr>
                <w:rFonts w:asciiTheme="minorEastAsia" w:hAnsiTheme="minorEastAsia" w:eastAsiaTheme="minorEastAsia"/>
                <w:sz w:val="24"/>
              </w:rPr>
            </w:pPr>
          </w:p>
        </w:tc>
      </w:tr>
    </w:tbl>
    <w:p>
      <w:pPr>
        <w:widowControl/>
        <w:spacing w:line="360" w:lineRule="atLeast"/>
        <w:ind w:firstLine="475" w:firstLineChars="196"/>
        <w:jc w:val="left"/>
        <w:outlineLvl w:val="1"/>
        <w:rPr>
          <w:rFonts w:asciiTheme="minorEastAsia" w:hAnsiTheme="minorEastAsia" w:eastAsiaTheme="minorEastAsia"/>
          <w:sz w:val="24"/>
        </w:rPr>
      </w:pPr>
    </w:p>
    <w:p>
      <w:pPr>
        <w:spacing w:line="480" w:lineRule="auto"/>
        <w:ind w:left="607" w:leftChars="57" w:hanging="486" w:hangingChars="200"/>
        <w:rPr>
          <w:rFonts w:ascii="宋体" w:hAnsi="宋体"/>
          <w:sz w:val="24"/>
        </w:rPr>
      </w:pPr>
      <w:r>
        <w:rPr>
          <w:rFonts w:ascii="宋体" w:hAnsi="宋体"/>
          <w:sz w:val="24"/>
        </w:rPr>
        <w:t>注： 1. 投标人若填写则应把采购项目的全部商务要求列入此表。</w:t>
      </w:r>
    </w:p>
    <w:p>
      <w:pPr>
        <w:spacing w:line="480" w:lineRule="auto"/>
        <w:ind w:firstLine="729" w:firstLineChars="300"/>
        <w:rPr>
          <w:rFonts w:ascii="宋体" w:hAnsi="宋体"/>
          <w:sz w:val="24"/>
        </w:rPr>
      </w:pPr>
      <w:r>
        <w:rPr>
          <w:rFonts w:ascii="宋体" w:hAnsi="宋体"/>
          <w:sz w:val="24"/>
        </w:rPr>
        <w:t>2．投标人若填写则应按照采购项目商务要求的顺序对应填写。</w:t>
      </w:r>
    </w:p>
    <w:p>
      <w:pPr>
        <w:spacing w:line="480" w:lineRule="auto"/>
        <w:ind w:firstLine="729" w:firstLineChars="300"/>
        <w:rPr>
          <w:rFonts w:ascii="宋体" w:hAnsi="宋体"/>
          <w:sz w:val="24"/>
        </w:rPr>
      </w:pPr>
      <w:r>
        <w:rPr>
          <w:rFonts w:ascii="宋体" w:hAnsi="宋体"/>
          <w:sz w:val="24"/>
        </w:rPr>
        <w:t>3．投标人若填写则应据实填写，不得虚假填写，否则将取消其投标或中标资格。</w:t>
      </w:r>
    </w:p>
    <w:p>
      <w:pPr>
        <w:spacing w:line="480" w:lineRule="auto"/>
        <w:ind w:firstLine="729" w:firstLineChars="300"/>
        <w:rPr>
          <w:rFonts w:ascii="宋体" w:hAnsi="宋体"/>
          <w:sz w:val="24"/>
        </w:rPr>
      </w:pPr>
      <w:r>
        <w:rPr>
          <w:rFonts w:ascii="宋体" w:hAnsi="宋体"/>
          <w:sz w:val="24"/>
        </w:rPr>
        <w:t>4. 投标人若不填写则视为完全响应招标文件要求。</w:t>
      </w:r>
    </w:p>
    <w:p>
      <w:pPr>
        <w:rPr>
          <w:rFonts w:asciiTheme="minorEastAsia" w:hAnsiTheme="minorEastAsia" w:eastAsiaTheme="minorEastAsia"/>
          <w:sz w:val="24"/>
        </w:rPr>
      </w:pPr>
    </w:p>
    <w:p>
      <w:pPr>
        <w:spacing w:line="48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投标人名称：XXXX（单位盖章）。</w:t>
      </w:r>
    </w:p>
    <w:p>
      <w:pPr>
        <w:spacing w:line="48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48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投标日期: XXXX。</w:t>
      </w:r>
    </w:p>
    <w:p>
      <w:pPr>
        <w:spacing w:line="480" w:lineRule="auto"/>
        <w:rPr>
          <w:rFonts w:asciiTheme="minorEastAsia" w:hAnsiTheme="minorEastAsia" w:eastAsiaTheme="minorEastAsia"/>
          <w:sz w:val="24"/>
        </w:rPr>
      </w:pPr>
      <w:bookmarkStart w:id="124" w:name="_Toc217446088"/>
    </w:p>
    <w:p>
      <w:pPr>
        <w:widowControl/>
        <w:spacing w:line="360" w:lineRule="atLeast"/>
        <w:jc w:val="left"/>
        <w:outlineLvl w:val="1"/>
        <w:rPr>
          <w:rFonts w:asciiTheme="minorEastAsia" w:hAnsiTheme="minorEastAsia" w:eastAsiaTheme="minorEastAsia"/>
          <w:b/>
          <w:sz w:val="24"/>
        </w:rPr>
      </w:pPr>
      <w:r>
        <w:rPr>
          <w:rFonts w:asciiTheme="minorEastAsia" w:hAnsiTheme="minorEastAsia" w:eastAsiaTheme="minorEastAsia"/>
          <w:b/>
          <w:sz w:val="24"/>
        </w:rPr>
        <w:br w:type="page"/>
      </w:r>
      <w:r>
        <w:rPr>
          <w:rFonts w:hint="eastAsia" w:asciiTheme="minorEastAsia" w:hAnsiTheme="minorEastAsia" w:eastAsiaTheme="minorEastAsia"/>
          <w:b/>
          <w:sz w:val="24"/>
        </w:rPr>
        <w:t>格式2-7</w:t>
      </w:r>
    </w:p>
    <w:p>
      <w:pPr>
        <w:spacing w:after="240" w:line="48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投标人基本情况表</w:t>
      </w:r>
      <w:bookmarkEnd w:id="124"/>
    </w:p>
    <w:tbl>
      <w:tblPr>
        <w:tblStyle w:val="21"/>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486"/>
        <w:gridCol w:w="364"/>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投标人名称</w:t>
            </w:r>
          </w:p>
        </w:tc>
        <w:tc>
          <w:tcPr>
            <w:tcW w:w="6693" w:type="dxa"/>
            <w:gridSpan w:val="7"/>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注册地址</w:t>
            </w:r>
          </w:p>
        </w:tc>
        <w:tc>
          <w:tcPr>
            <w:tcW w:w="3443" w:type="dxa"/>
            <w:gridSpan w:val="3"/>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320"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1930" w:type="dxa"/>
            <w:gridSpan w:val="3"/>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联系方式</w:t>
            </w:r>
          </w:p>
        </w:tc>
        <w:tc>
          <w:tcPr>
            <w:tcW w:w="957"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联系人</w:t>
            </w:r>
          </w:p>
        </w:tc>
        <w:tc>
          <w:tcPr>
            <w:tcW w:w="2486"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320" w:type="dxa"/>
            <w:vAlign w:val="center"/>
          </w:tcPr>
          <w:p>
            <w:pPr>
              <w:widowControl/>
              <w:spacing w:line="360" w:lineRule="auto"/>
              <w:ind w:firstLine="243" w:firstLineChars="100"/>
              <w:outlineLvl w:val="1"/>
              <w:rPr>
                <w:rFonts w:asciiTheme="minorEastAsia" w:hAnsiTheme="minorEastAsia" w:eastAsiaTheme="minorEastAsia"/>
                <w:sz w:val="24"/>
              </w:rPr>
            </w:pPr>
            <w:r>
              <w:rPr>
                <w:rFonts w:hint="eastAsia" w:asciiTheme="minorEastAsia" w:hAnsiTheme="minorEastAsia" w:eastAsiaTheme="minorEastAsia"/>
                <w:sz w:val="24"/>
              </w:rPr>
              <w:t>电话</w:t>
            </w:r>
          </w:p>
        </w:tc>
        <w:tc>
          <w:tcPr>
            <w:tcW w:w="1930" w:type="dxa"/>
            <w:gridSpan w:val="3"/>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spacing w:line="360" w:lineRule="auto"/>
              <w:jc w:val="center"/>
              <w:rPr>
                <w:rFonts w:asciiTheme="minorEastAsia" w:hAnsiTheme="minorEastAsia" w:eastAsiaTheme="minorEastAsia"/>
                <w:sz w:val="24"/>
              </w:rPr>
            </w:pPr>
          </w:p>
        </w:tc>
        <w:tc>
          <w:tcPr>
            <w:tcW w:w="957"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传真</w:t>
            </w:r>
          </w:p>
        </w:tc>
        <w:tc>
          <w:tcPr>
            <w:tcW w:w="2486"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320" w:type="dxa"/>
            <w:vAlign w:val="center"/>
          </w:tcPr>
          <w:p>
            <w:pPr>
              <w:widowControl/>
              <w:spacing w:line="360" w:lineRule="auto"/>
              <w:ind w:firstLine="243" w:firstLineChars="100"/>
              <w:outlineLvl w:val="1"/>
              <w:rPr>
                <w:rFonts w:asciiTheme="minorEastAsia" w:hAnsiTheme="minorEastAsia" w:eastAsiaTheme="minorEastAsia"/>
                <w:sz w:val="24"/>
              </w:rPr>
            </w:pPr>
            <w:r>
              <w:rPr>
                <w:rFonts w:hint="eastAsia" w:asciiTheme="minorEastAsia" w:hAnsiTheme="minorEastAsia" w:eastAsiaTheme="minorEastAsia"/>
                <w:sz w:val="24"/>
              </w:rPr>
              <w:t>网址</w:t>
            </w:r>
          </w:p>
        </w:tc>
        <w:tc>
          <w:tcPr>
            <w:tcW w:w="1930" w:type="dxa"/>
            <w:gridSpan w:val="3"/>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组织结构</w:t>
            </w:r>
          </w:p>
        </w:tc>
        <w:tc>
          <w:tcPr>
            <w:tcW w:w="6693" w:type="dxa"/>
            <w:gridSpan w:val="7"/>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法定代表人/主要负责人</w:t>
            </w:r>
          </w:p>
        </w:tc>
        <w:tc>
          <w:tcPr>
            <w:tcW w:w="957"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姓名</w:t>
            </w:r>
          </w:p>
        </w:tc>
        <w:tc>
          <w:tcPr>
            <w:tcW w:w="1239" w:type="dxa"/>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247"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技术职称</w:t>
            </w:r>
          </w:p>
        </w:tc>
        <w:tc>
          <w:tcPr>
            <w:tcW w:w="1320" w:type="dxa"/>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850" w:type="dxa"/>
            <w:gridSpan w:val="2"/>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电话</w:t>
            </w:r>
          </w:p>
        </w:tc>
        <w:tc>
          <w:tcPr>
            <w:tcW w:w="1080" w:type="dxa"/>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技术负责人</w:t>
            </w:r>
          </w:p>
        </w:tc>
        <w:tc>
          <w:tcPr>
            <w:tcW w:w="957"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姓名</w:t>
            </w:r>
          </w:p>
        </w:tc>
        <w:tc>
          <w:tcPr>
            <w:tcW w:w="1239" w:type="dxa"/>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247"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技术职称</w:t>
            </w:r>
          </w:p>
        </w:tc>
        <w:tc>
          <w:tcPr>
            <w:tcW w:w="1320" w:type="dxa"/>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850" w:type="dxa"/>
            <w:gridSpan w:val="2"/>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电话</w:t>
            </w:r>
          </w:p>
        </w:tc>
        <w:tc>
          <w:tcPr>
            <w:tcW w:w="1080" w:type="dxa"/>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成立时间</w:t>
            </w:r>
          </w:p>
        </w:tc>
        <w:tc>
          <w:tcPr>
            <w:tcW w:w="2196"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4497" w:type="dxa"/>
            <w:gridSpan w:val="5"/>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企业资质等级</w:t>
            </w:r>
          </w:p>
        </w:tc>
        <w:tc>
          <w:tcPr>
            <w:tcW w:w="2196"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247" w:type="dxa"/>
            <w:vMerge w:val="restart"/>
            <w:vAlign w:val="center"/>
          </w:tcPr>
          <w:p>
            <w:pPr>
              <w:widowControl/>
              <w:spacing w:line="360" w:lineRule="auto"/>
              <w:ind w:firstLine="475" w:firstLineChars="196"/>
              <w:jc w:val="center"/>
              <w:outlineLvl w:val="1"/>
              <w:rPr>
                <w:rFonts w:asciiTheme="minorEastAsia" w:hAnsiTheme="minorEastAsia" w:eastAsiaTheme="minorEastAsia"/>
                <w:sz w:val="24"/>
              </w:rPr>
            </w:pPr>
            <w:r>
              <w:rPr>
                <w:rFonts w:hint="eastAsia" w:asciiTheme="minorEastAsia" w:hAnsiTheme="minorEastAsia" w:eastAsiaTheme="minorEastAsia"/>
                <w:sz w:val="24"/>
              </w:rPr>
              <w:t>其中</w:t>
            </w:r>
          </w:p>
        </w:tc>
        <w:tc>
          <w:tcPr>
            <w:tcW w:w="1806" w:type="dxa"/>
            <w:gridSpan w:val="2"/>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项目经理</w:t>
            </w:r>
          </w:p>
        </w:tc>
        <w:tc>
          <w:tcPr>
            <w:tcW w:w="1444"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营业执照号</w:t>
            </w:r>
          </w:p>
        </w:tc>
        <w:tc>
          <w:tcPr>
            <w:tcW w:w="2196"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247" w:type="dxa"/>
            <w:vMerge w:val="continue"/>
            <w:vAlign w:val="center"/>
          </w:tcPr>
          <w:p>
            <w:pPr>
              <w:spacing w:line="360" w:lineRule="auto"/>
              <w:jc w:val="center"/>
              <w:rPr>
                <w:rFonts w:asciiTheme="minorEastAsia" w:hAnsiTheme="minorEastAsia" w:eastAsiaTheme="minorEastAsia"/>
                <w:sz w:val="24"/>
              </w:rPr>
            </w:pPr>
          </w:p>
        </w:tc>
        <w:tc>
          <w:tcPr>
            <w:tcW w:w="1806" w:type="dxa"/>
            <w:gridSpan w:val="2"/>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高级职称人员</w:t>
            </w:r>
          </w:p>
        </w:tc>
        <w:tc>
          <w:tcPr>
            <w:tcW w:w="1444"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注册资金</w:t>
            </w:r>
          </w:p>
        </w:tc>
        <w:tc>
          <w:tcPr>
            <w:tcW w:w="2196"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247" w:type="dxa"/>
            <w:vMerge w:val="continue"/>
            <w:vAlign w:val="center"/>
          </w:tcPr>
          <w:p>
            <w:pPr>
              <w:spacing w:line="360" w:lineRule="auto"/>
              <w:jc w:val="center"/>
              <w:rPr>
                <w:rFonts w:asciiTheme="minorEastAsia" w:hAnsiTheme="minorEastAsia" w:eastAsiaTheme="minorEastAsia"/>
                <w:sz w:val="24"/>
              </w:rPr>
            </w:pPr>
          </w:p>
        </w:tc>
        <w:tc>
          <w:tcPr>
            <w:tcW w:w="1806" w:type="dxa"/>
            <w:gridSpan w:val="2"/>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中级职称人员</w:t>
            </w:r>
          </w:p>
        </w:tc>
        <w:tc>
          <w:tcPr>
            <w:tcW w:w="1444"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开户银行</w:t>
            </w:r>
          </w:p>
        </w:tc>
        <w:tc>
          <w:tcPr>
            <w:tcW w:w="2196"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247" w:type="dxa"/>
            <w:vMerge w:val="continue"/>
            <w:vAlign w:val="center"/>
          </w:tcPr>
          <w:p>
            <w:pPr>
              <w:spacing w:line="360" w:lineRule="auto"/>
              <w:jc w:val="center"/>
              <w:rPr>
                <w:rFonts w:asciiTheme="minorEastAsia" w:hAnsiTheme="minorEastAsia" w:eastAsiaTheme="minorEastAsia"/>
                <w:sz w:val="24"/>
              </w:rPr>
            </w:pPr>
          </w:p>
        </w:tc>
        <w:tc>
          <w:tcPr>
            <w:tcW w:w="1806" w:type="dxa"/>
            <w:gridSpan w:val="2"/>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初级职称人员</w:t>
            </w:r>
          </w:p>
        </w:tc>
        <w:tc>
          <w:tcPr>
            <w:tcW w:w="1444"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uto"/>
              <w:ind w:firstLine="475" w:firstLineChars="196"/>
              <w:jc w:val="center"/>
              <w:outlineLvl w:val="1"/>
              <w:rPr>
                <w:rFonts w:asciiTheme="minorEastAsia" w:hAnsiTheme="minorEastAsia" w:eastAsiaTheme="minorEastAsia"/>
                <w:sz w:val="24"/>
              </w:rPr>
            </w:pPr>
            <w:r>
              <w:rPr>
                <w:rFonts w:hint="eastAsia" w:asciiTheme="minorEastAsia" w:hAnsiTheme="minorEastAsia" w:eastAsiaTheme="minorEastAsia"/>
                <w:sz w:val="24"/>
              </w:rPr>
              <w:t>账号</w:t>
            </w:r>
          </w:p>
        </w:tc>
        <w:tc>
          <w:tcPr>
            <w:tcW w:w="2196"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c>
          <w:tcPr>
            <w:tcW w:w="1247" w:type="dxa"/>
            <w:vMerge w:val="continue"/>
            <w:vAlign w:val="center"/>
          </w:tcPr>
          <w:p>
            <w:pPr>
              <w:spacing w:line="360" w:lineRule="auto"/>
              <w:jc w:val="center"/>
              <w:rPr>
                <w:rFonts w:asciiTheme="minorEastAsia" w:hAnsiTheme="minorEastAsia" w:eastAsiaTheme="minorEastAsia"/>
                <w:sz w:val="24"/>
              </w:rPr>
            </w:pPr>
          </w:p>
        </w:tc>
        <w:tc>
          <w:tcPr>
            <w:tcW w:w="1806" w:type="dxa"/>
            <w:gridSpan w:val="2"/>
            <w:vAlign w:val="center"/>
          </w:tcPr>
          <w:p>
            <w:pPr>
              <w:widowControl/>
              <w:spacing w:line="360" w:lineRule="auto"/>
              <w:ind w:firstLine="718" w:firstLineChars="296"/>
              <w:outlineLvl w:val="1"/>
              <w:rPr>
                <w:rFonts w:asciiTheme="minorEastAsia" w:hAnsiTheme="minorEastAsia" w:eastAsiaTheme="minorEastAsia"/>
                <w:sz w:val="24"/>
              </w:rPr>
            </w:pPr>
            <w:r>
              <w:rPr>
                <w:rFonts w:hint="eastAsia" w:asciiTheme="minorEastAsia" w:hAnsiTheme="minorEastAsia" w:eastAsiaTheme="minorEastAsia"/>
                <w:sz w:val="24"/>
              </w:rPr>
              <w:t>技工</w:t>
            </w:r>
          </w:p>
        </w:tc>
        <w:tc>
          <w:tcPr>
            <w:tcW w:w="1444" w:type="dxa"/>
            <w:gridSpan w:val="2"/>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25" w:hRule="atLeast"/>
        </w:trPr>
        <w:tc>
          <w:tcPr>
            <w:tcW w:w="1522"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经营范围</w:t>
            </w:r>
          </w:p>
        </w:tc>
        <w:tc>
          <w:tcPr>
            <w:tcW w:w="6693" w:type="dxa"/>
            <w:gridSpan w:val="7"/>
            <w:vAlign w:val="center"/>
          </w:tcPr>
          <w:p>
            <w:pPr>
              <w:widowControl/>
              <w:spacing w:line="360" w:lineRule="auto"/>
              <w:ind w:firstLine="475" w:firstLineChars="196"/>
              <w:jc w:val="center"/>
              <w:outlineLvl w:val="1"/>
              <w:rPr>
                <w:rFonts w:asciiTheme="minorEastAsia" w:hAnsiTheme="minorEastAsia" w:eastAsiaTheme="min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1522" w:type="dxa"/>
            <w:vAlign w:val="center"/>
          </w:tcPr>
          <w:p>
            <w:pPr>
              <w:widowControl/>
              <w:spacing w:line="360" w:lineRule="auto"/>
              <w:ind w:firstLine="475" w:firstLineChars="196"/>
              <w:outlineLvl w:val="1"/>
              <w:rPr>
                <w:rFonts w:asciiTheme="minorEastAsia" w:hAnsiTheme="minorEastAsia" w:eastAsiaTheme="minorEastAsia"/>
                <w:sz w:val="24"/>
              </w:rPr>
            </w:pPr>
            <w:r>
              <w:rPr>
                <w:rFonts w:hint="eastAsia" w:asciiTheme="minorEastAsia" w:hAnsiTheme="minorEastAsia" w:eastAsiaTheme="minorEastAsia"/>
                <w:sz w:val="24"/>
              </w:rPr>
              <w:t>备注</w:t>
            </w:r>
          </w:p>
        </w:tc>
        <w:tc>
          <w:tcPr>
            <w:tcW w:w="6693" w:type="dxa"/>
            <w:gridSpan w:val="7"/>
            <w:vAlign w:val="center"/>
          </w:tcPr>
          <w:p>
            <w:pPr>
              <w:widowControl/>
              <w:spacing w:line="360" w:lineRule="auto"/>
              <w:ind w:firstLine="475" w:firstLineChars="196"/>
              <w:jc w:val="center"/>
              <w:outlineLvl w:val="1"/>
              <w:rPr>
                <w:rFonts w:asciiTheme="minorEastAsia" w:hAnsiTheme="minorEastAsia" w:eastAsiaTheme="minorEastAsia"/>
                <w:sz w:val="24"/>
              </w:rPr>
            </w:pPr>
          </w:p>
        </w:tc>
      </w:tr>
    </w:tbl>
    <w:p>
      <w:pPr>
        <w:pStyle w:val="14"/>
        <w:spacing w:line="360" w:lineRule="auto"/>
        <w:ind w:left="426"/>
        <w:rPr>
          <w:rFonts w:asciiTheme="minorEastAsia" w:hAnsiTheme="minorEastAsia" w:eastAsiaTheme="minorEastAsia"/>
          <w:bCs/>
          <w:sz w:val="24"/>
        </w:rPr>
      </w:pPr>
      <w:r>
        <w:rPr>
          <w:rFonts w:hint="eastAsia" w:asciiTheme="minorEastAsia" w:hAnsiTheme="minorEastAsia" w:eastAsiaTheme="minorEastAsia"/>
          <w:bCs/>
          <w:sz w:val="24"/>
        </w:rPr>
        <w:t>注：1、事业单位、其他组织及自然人根据实际情况据实填写此表，若未填报完善不影响资质及效力。2、空白项用“/”填写。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投标人名称：XXXX（单位盖章）。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360" w:lineRule="auto"/>
        <w:rPr>
          <w:rFonts w:asciiTheme="minorEastAsia" w:hAnsiTheme="minorEastAsia" w:eastAsiaTheme="minorEastAsia"/>
        </w:rPr>
      </w:pPr>
      <w:r>
        <w:rPr>
          <w:rFonts w:hint="eastAsia" w:asciiTheme="minorEastAsia" w:hAnsiTheme="minorEastAsia" w:eastAsiaTheme="minorEastAsia"/>
          <w:sz w:val="24"/>
        </w:rPr>
        <w:t>投标日期: XXXX。</w:t>
      </w:r>
    </w:p>
    <w:p>
      <w:pPr>
        <w:pStyle w:val="27"/>
        <w:numPr>
          <w:ilvl w:val="0"/>
          <w:numId w:val="0"/>
        </w:numPr>
        <w:rPr>
          <w:rFonts w:asciiTheme="minorEastAsia" w:hAnsiTheme="minorEastAsia" w:eastAsiaTheme="minorEastAsia"/>
        </w:rPr>
      </w:pPr>
      <w:r>
        <w:rPr>
          <w:rFonts w:hint="eastAsia" w:asciiTheme="minorEastAsia" w:hAnsiTheme="minorEastAsia" w:eastAsiaTheme="minorEastAsia"/>
        </w:rPr>
        <w:t>格式2-8</w:t>
      </w:r>
    </w:p>
    <w:p>
      <w:pPr>
        <w:spacing w:line="360" w:lineRule="auto"/>
        <w:jc w:val="center"/>
        <w:rPr>
          <w:rFonts w:asciiTheme="minorEastAsia" w:hAnsiTheme="minorEastAsia" w:eastAsiaTheme="minorEastAsia"/>
          <w:b/>
          <w:sz w:val="28"/>
          <w:szCs w:val="28"/>
        </w:rPr>
      </w:pPr>
      <w:bookmarkStart w:id="125" w:name="_Toc217446089"/>
      <w:r>
        <w:rPr>
          <w:rFonts w:hint="eastAsia" w:asciiTheme="minorEastAsia" w:hAnsiTheme="minorEastAsia" w:eastAsiaTheme="minorEastAsia"/>
          <w:b/>
          <w:sz w:val="28"/>
          <w:szCs w:val="28"/>
        </w:rPr>
        <w:t>投标人类似项目业绩一览表</w:t>
      </w:r>
      <w:bookmarkEnd w:id="125"/>
    </w:p>
    <w:p>
      <w:pPr>
        <w:spacing w:line="360" w:lineRule="auto"/>
        <w:jc w:val="center"/>
        <w:rPr>
          <w:rFonts w:asciiTheme="minorEastAsia" w:hAnsiTheme="minorEastAsia" w:eastAsiaTheme="minorEastAsia"/>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44"/>
        <w:gridCol w:w="1843"/>
        <w:gridCol w:w="2080"/>
        <w:gridCol w:w="1417"/>
        <w:gridCol w:w="1418"/>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tcBorders>
              <w:top w:val="single" w:color="auto" w:sz="4" w:space="0"/>
            </w:tcBorders>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年份</w:t>
            </w:r>
          </w:p>
        </w:tc>
        <w:tc>
          <w:tcPr>
            <w:tcW w:w="1843"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用户名称</w:t>
            </w:r>
          </w:p>
        </w:tc>
        <w:tc>
          <w:tcPr>
            <w:tcW w:w="2080"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1417"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完成时间</w:t>
            </w:r>
          </w:p>
        </w:tc>
        <w:tc>
          <w:tcPr>
            <w:tcW w:w="1418"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276" w:type="dxa"/>
            <w:vAlign w:val="center"/>
          </w:tcPr>
          <w:p>
            <w:pPr>
              <w:widowControl/>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tcBorders>
              <w:right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tcBorders>
              <w:left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tcBorders>
              <w:right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tcBorders>
              <w:left w:val="single" w:color="auto" w:sz="4" w:space="0"/>
              <w:right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tcBorders>
              <w:left w:val="single" w:color="auto" w:sz="4" w:space="0"/>
              <w:right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tcBorders>
              <w:left w:val="single" w:color="auto" w:sz="4" w:space="0"/>
              <w:right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Borders>
              <w:left w:val="single" w:color="auto" w:sz="4" w:space="0"/>
              <w:right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Borders>
              <w:left w:val="single" w:color="auto" w:sz="4" w:space="0"/>
              <w:right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44"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144" w:type="dxa"/>
            <w:tcBorders>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tcBorders>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tcBorders>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tcBorders>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Borders>
              <w:bottom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Borders>
              <w:bottom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144"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Borders>
              <w:top w:val="single" w:color="auto" w:sz="4" w:space="0"/>
              <w:bottom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Borders>
              <w:top w:val="single" w:color="auto" w:sz="4" w:space="0"/>
              <w:bottom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144"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Borders>
              <w:top w:val="single" w:color="auto" w:sz="4" w:space="0"/>
              <w:bottom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Borders>
              <w:top w:val="single" w:color="auto" w:sz="4" w:space="0"/>
              <w:bottom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144"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tcBorders>
              <w:top w:val="single" w:color="auto" w:sz="4" w:space="0"/>
              <w:bottom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Borders>
              <w:top w:val="single" w:color="auto" w:sz="4" w:space="0"/>
              <w:bottom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Borders>
              <w:top w:val="single" w:color="auto" w:sz="4" w:space="0"/>
              <w:bottom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144" w:type="dxa"/>
            <w:tcBorders>
              <w:top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843" w:type="dxa"/>
            <w:tcBorders>
              <w:top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2080" w:type="dxa"/>
            <w:tcBorders>
              <w:top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7" w:type="dxa"/>
            <w:tcBorders>
              <w:top w:val="single" w:color="auto" w:sz="4" w:space="0"/>
            </w:tcBorders>
            <w:vAlign w:val="center"/>
          </w:tcPr>
          <w:p>
            <w:pPr>
              <w:widowControl/>
              <w:spacing w:line="360" w:lineRule="auto"/>
              <w:ind w:firstLine="416" w:firstLineChars="196"/>
              <w:jc w:val="left"/>
              <w:outlineLvl w:val="1"/>
              <w:rPr>
                <w:rFonts w:asciiTheme="minorEastAsia" w:hAnsiTheme="minorEastAsia" w:eastAsiaTheme="minorEastAsia"/>
                <w:szCs w:val="21"/>
              </w:rPr>
            </w:pPr>
          </w:p>
        </w:tc>
        <w:tc>
          <w:tcPr>
            <w:tcW w:w="1418" w:type="dxa"/>
            <w:tcBorders>
              <w:top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c>
          <w:tcPr>
            <w:tcW w:w="1276" w:type="dxa"/>
            <w:tcBorders>
              <w:top w:val="single" w:color="auto" w:sz="4" w:space="0"/>
            </w:tcBorders>
          </w:tcPr>
          <w:p>
            <w:pPr>
              <w:widowControl/>
              <w:spacing w:line="360" w:lineRule="auto"/>
              <w:ind w:firstLine="416" w:firstLineChars="196"/>
              <w:jc w:val="left"/>
              <w:outlineLvl w:val="1"/>
              <w:rPr>
                <w:rFonts w:asciiTheme="minorEastAsia" w:hAnsiTheme="minorEastAsia" w:eastAsiaTheme="minorEastAsia"/>
                <w:szCs w:val="21"/>
              </w:rPr>
            </w:pPr>
          </w:p>
        </w:tc>
      </w:tr>
    </w:tbl>
    <w:p>
      <w:pPr>
        <w:rPr>
          <w:rFonts w:asciiTheme="minorEastAsia" w:hAnsiTheme="minorEastAsia" w:eastAsiaTheme="minorEastAsia"/>
        </w:rPr>
      </w:pPr>
    </w:p>
    <w:p>
      <w:pPr>
        <w:rPr>
          <w:rFonts w:cs="宋体" w:asciiTheme="minorEastAsia" w:hAnsiTheme="minorEastAsia" w:eastAsiaTheme="minorEastAsia"/>
          <w:sz w:val="24"/>
        </w:rPr>
      </w:pPr>
      <w:bookmarkStart w:id="126" w:name="_Toc496689388"/>
      <w:bookmarkStart w:id="127" w:name="_Toc496689116"/>
      <w:r>
        <w:rPr>
          <w:rFonts w:hint="eastAsia" w:cs="宋体" w:asciiTheme="minorEastAsia" w:hAnsiTheme="minorEastAsia" w:eastAsiaTheme="minorEastAsia"/>
          <w:sz w:val="24"/>
        </w:rPr>
        <w:t>注：以上业绩仅限于投标人自己实施的业绩，需提供招标文件要求的有关书面证明材料。</w:t>
      </w:r>
      <w:bookmarkEnd w:id="126"/>
      <w:bookmarkEnd w:id="127"/>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投标人名称：XXXX（单位盖章）。</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投标日期: XXXX。</w:t>
      </w:r>
    </w:p>
    <w:p>
      <w:pPr>
        <w:widowControl/>
        <w:spacing w:line="360" w:lineRule="atLeast"/>
        <w:jc w:val="left"/>
        <w:outlineLvl w:val="1"/>
        <w:rPr>
          <w:rFonts w:asciiTheme="minorEastAsia" w:hAnsiTheme="minorEastAsia" w:eastAsiaTheme="minorEastAsia"/>
        </w:rPr>
      </w:pPr>
      <w:bookmarkStart w:id="128" w:name="_Toc217446091"/>
    </w:p>
    <w:p>
      <w:pPr>
        <w:widowControl/>
        <w:spacing w:line="360" w:lineRule="atLeast"/>
        <w:jc w:val="left"/>
        <w:outlineLvl w:val="1"/>
        <w:rPr>
          <w:rFonts w:asciiTheme="minorEastAsia" w:hAnsiTheme="minorEastAsia" w:eastAsiaTheme="minorEastAsia"/>
        </w:rPr>
      </w:pPr>
    </w:p>
    <w:p>
      <w:pPr>
        <w:widowControl/>
        <w:spacing w:line="480" w:lineRule="auto"/>
        <w:jc w:val="left"/>
        <w:outlineLvl w:val="1"/>
        <w:rPr>
          <w:rFonts w:asciiTheme="minorEastAsia" w:hAnsiTheme="minorEastAsia"/>
          <w:b/>
          <w:sz w:val="24"/>
        </w:rPr>
      </w:pPr>
      <w:r>
        <w:rPr>
          <w:rFonts w:hint="eastAsia" w:asciiTheme="minorEastAsia" w:hAnsiTheme="minorEastAsia"/>
          <w:b/>
          <w:sz w:val="24"/>
        </w:rPr>
        <w:t>格式2-9</w:t>
      </w:r>
    </w:p>
    <w:p>
      <w:pPr>
        <w:widowControl/>
        <w:spacing w:line="360" w:lineRule="atLeast"/>
        <w:jc w:val="center"/>
        <w:outlineLvl w:val="1"/>
        <w:rPr>
          <w:rFonts w:asciiTheme="minorEastAsia" w:hAnsiTheme="minorEastAsia"/>
          <w:b/>
          <w:sz w:val="28"/>
          <w:szCs w:val="28"/>
        </w:rPr>
      </w:pPr>
      <w:r>
        <w:rPr>
          <w:rFonts w:hint="eastAsia" w:asciiTheme="minorEastAsia" w:hAnsiTheme="minorEastAsia"/>
          <w:b/>
          <w:sz w:val="28"/>
          <w:szCs w:val="28"/>
        </w:rPr>
        <w:t>投标产品技术参数偏离表</w:t>
      </w:r>
    </w:p>
    <w:p>
      <w:pPr>
        <w:spacing w:line="480" w:lineRule="auto"/>
        <w:jc w:val="left"/>
        <w:rPr>
          <w:rFonts w:asciiTheme="minorEastAsia" w:hAnsiTheme="minorEastAsia"/>
          <w:b/>
          <w:sz w:val="24"/>
        </w:rPr>
      </w:pPr>
      <w:r>
        <w:rPr>
          <w:rFonts w:hint="eastAsia" w:hAnsi="宋体" w:cs="宋体"/>
          <w:sz w:val="24"/>
        </w:rPr>
        <w:t>项目编号：</w:t>
      </w:r>
    </w:p>
    <w:tbl>
      <w:tblPr>
        <w:tblStyle w:val="2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4"/>
        <w:gridCol w:w="2583"/>
        <w:gridCol w:w="2552"/>
        <w:gridCol w:w="113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spacing w:line="360" w:lineRule="atLeast"/>
              <w:jc w:val="center"/>
              <w:outlineLvl w:val="1"/>
              <w:rPr>
                <w:rFonts w:ascii="宋体" w:hAnsi="宋体" w:cs="宋体"/>
                <w:sz w:val="24"/>
              </w:rPr>
            </w:pPr>
            <w:r>
              <w:rPr>
                <w:rFonts w:hint="eastAsia" w:ascii="宋体" w:hAnsi="宋体" w:cs="宋体"/>
                <w:sz w:val="24"/>
              </w:rPr>
              <w:t>序号</w:t>
            </w:r>
          </w:p>
        </w:tc>
        <w:tc>
          <w:tcPr>
            <w:tcW w:w="1554" w:type="dxa"/>
            <w:vAlign w:val="center"/>
          </w:tcPr>
          <w:p>
            <w:pPr>
              <w:widowControl/>
              <w:spacing w:line="360" w:lineRule="atLeast"/>
              <w:jc w:val="center"/>
              <w:outlineLvl w:val="1"/>
              <w:rPr>
                <w:rFonts w:ascii="宋体" w:hAnsi="宋体" w:cs="宋体"/>
                <w:sz w:val="24"/>
              </w:rPr>
            </w:pPr>
            <w:r>
              <w:rPr>
                <w:rFonts w:hint="eastAsia" w:ascii="宋体" w:hAnsi="宋体" w:cs="宋体"/>
                <w:sz w:val="24"/>
              </w:rPr>
              <w:t>货物（设备）名称</w:t>
            </w:r>
          </w:p>
        </w:tc>
        <w:tc>
          <w:tcPr>
            <w:tcW w:w="2583" w:type="dxa"/>
            <w:vAlign w:val="center"/>
          </w:tcPr>
          <w:p>
            <w:pPr>
              <w:widowControl/>
              <w:spacing w:line="360" w:lineRule="atLeast"/>
              <w:jc w:val="center"/>
              <w:outlineLvl w:val="1"/>
              <w:rPr>
                <w:rFonts w:ascii="宋体" w:hAnsi="宋体" w:cs="宋体"/>
                <w:sz w:val="24"/>
              </w:rPr>
            </w:pPr>
            <w:r>
              <w:rPr>
                <w:rFonts w:hint="eastAsia" w:ascii="宋体" w:hAnsi="宋体" w:cs="宋体"/>
                <w:sz w:val="24"/>
              </w:rPr>
              <w:t>招标文件要求</w:t>
            </w:r>
          </w:p>
        </w:tc>
        <w:tc>
          <w:tcPr>
            <w:tcW w:w="2552" w:type="dxa"/>
            <w:vAlign w:val="center"/>
          </w:tcPr>
          <w:p>
            <w:pPr>
              <w:widowControl/>
              <w:spacing w:line="360" w:lineRule="atLeast"/>
              <w:jc w:val="center"/>
              <w:outlineLvl w:val="1"/>
              <w:rPr>
                <w:rFonts w:ascii="宋体" w:hAnsi="宋体" w:cs="宋体"/>
                <w:sz w:val="24"/>
              </w:rPr>
            </w:pPr>
            <w:r>
              <w:rPr>
                <w:rFonts w:hint="eastAsia" w:ascii="宋体" w:hAnsi="宋体" w:cs="宋体"/>
                <w:sz w:val="24"/>
              </w:rPr>
              <w:t>投标产品技术参数</w:t>
            </w:r>
          </w:p>
        </w:tc>
        <w:tc>
          <w:tcPr>
            <w:tcW w:w="1134" w:type="dxa"/>
            <w:vAlign w:val="center"/>
          </w:tcPr>
          <w:p>
            <w:pPr>
              <w:widowControl/>
              <w:spacing w:line="360" w:lineRule="atLeast"/>
              <w:jc w:val="center"/>
              <w:outlineLvl w:val="1"/>
              <w:rPr>
                <w:rFonts w:ascii="宋体" w:hAnsi="宋体" w:cs="宋体"/>
                <w:sz w:val="24"/>
              </w:rPr>
            </w:pPr>
            <w:r>
              <w:rPr>
                <w:rFonts w:hint="eastAsia" w:ascii="宋体" w:hAnsi="宋体" w:cs="宋体"/>
                <w:sz w:val="24"/>
              </w:rPr>
              <w:t>正/负/</w:t>
            </w:r>
          </w:p>
          <w:p>
            <w:pPr>
              <w:widowControl/>
              <w:spacing w:line="360" w:lineRule="atLeast"/>
              <w:jc w:val="center"/>
              <w:outlineLvl w:val="1"/>
              <w:rPr>
                <w:rFonts w:ascii="宋体" w:hAnsi="宋体" w:cs="宋体"/>
                <w:sz w:val="24"/>
              </w:rPr>
            </w:pPr>
            <w:r>
              <w:rPr>
                <w:rFonts w:hint="eastAsia" w:ascii="宋体" w:hAnsi="宋体" w:cs="宋体"/>
                <w:sz w:val="24"/>
              </w:rPr>
              <w:t>无偏离</w:t>
            </w:r>
          </w:p>
        </w:tc>
        <w:tc>
          <w:tcPr>
            <w:tcW w:w="1244" w:type="dxa"/>
            <w:vAlign w:val="center"/>
          </w:tcPr>
          <w:p>
            <w:pPr>
              <w:widowControl/>
              <w:spacing w:line="360" w:lineRule="atLeast"/>
              <w:jc w:val="center"/>
              <w:outlineLvl w:val="1"/>
              <w:rPr>
                <w:rFonts w:ascii="宋体" w:hAnsi="宋体" w:cs="宋体"/>
                <w:sz w:val="24"/>
              </w:rPr>
            </w:pPr>
            <w:r>
              <w:rPr>
                <w:rFonts w:hint="eastAsia" w:ascii="宋体" w:hAnsi="宋体" w:cs="宋体"/>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5" w:firstLineChars="196"/>
              <w:jc w:val="left"/>
              <w:outlineLvl w:val="1"/>
              <w:rPr>
                <w:rFonts w:ascii="宋体" w:hAnsi="宋体" w:cs="宋体"/>
                <w:sz w:val="24"/>
              </w:rPr>
            </w:pPr>
          </w:p>
        </w:tc>
        <w:tc>
          <w:tcPr>
            <w:tcW w:w="1554" w:type="dxa"/>
          </w:tcPr>
          <w:p>
            <w:pPr>
              <w:widowControl/>
              <w:spacing w:line="360" w:lineRule="atLeast"/>
              <w:ind w:firstLine="475" w:firstLineChars="196"/>
              <w:jc w:val="left"/>
              <w:outlineLvl w:val="1"/>
              <w:rPr>
                <w:rFonts w:ascii="宋体" w:hAnsi="宋体" w:cs="宋体"/>
                <w:sz w:val="24"/>
              </w:rPr>
            </w:pPr>
          </w:p>
        </w:tc>
        <w:tc>
          <w:tcPr>
            <w:tcW w:w="2583" w:type="dxa"/>
          </w:tcPr>
          <w:p>
            <w:pPr>
              <w:widowControl/>
              <w:spacing w:line="360" w:lineRule="atLeast"/>
              <w:ind w:firstLine="475" w:firstLineChars="196"/>
              <w:jc w:val="left"/>
              <w:outlineLvl w:val="1"/>
              <w:rPr>
                <w:rFonts w:ascii="宋体" w:hAnsi="宋体" w:cs="宋体"/>
                <w:sz w:val="24"/>
              </w:rPr>
            </w:pPr>
          </w:p>
        </w:tc>
        <w:tc>
          <w:tcPr>
            <w:tcW w:w="2552" w:type="dxa"/>
          </w:tcPr>
          <w:p>
            <w:pPr>
              <w:widowControl/>
              <w:spacing w:line="360" w:lineRule="atLeast"/>
              <w:ind w:firstLine="475" w:firstLineChars="196"/>
              <w:jc w:val="left"/>
              <w:outlineLvl w:val="1"/>
              <w:rPr>
                <w:rFonts w:ascii="宋体" w:hAnsi="宋体" w:cs="宋体"/>
                <w:sz w:val="24"/>
              </w:rPr>
            </w:pPr>
          </w:p>
        </w:tc>
        <w:tc>
          <w:tcPr>
            <w:tcW w:w="1134" w:type="dxa"/>
          </w:tcPr>
          <w:p>
            <w:pPr>
              <w:widowControl/>
              <w:spacing w:line="360" w:lineRule="atLeast"/>
              <w:ind w:firstLine="475" w:firstLineChars="196"/>
              <w:jc w:val="left"/>
              <w:outlineLvl w:val="1"/>
              <w:rPr>
                <w:rFonts w:ascii="宋体" w:hAnsi="宋体" w:cs="宋体"/>
                <w:sz w:val="24"/>
              </w:rPr>
            </w:pPr>
          </w:p>
        </w:tc>
        <w:tc>
          <w:tcPr>
            <w:tcW w:w="1244" w:type="dxa"/>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5" w:firstLineChars="196"/>
              <w:jc w:val="left"/>
              <w:outlineLvl w:val="1"/>
              <w:rPr>
                <w:rFonts w:ascii="宋体" w:hAnsi="宋体" w:cs="宋体"/>
                <w:sz w:val="24"/>
              </w:rPr>
            </w:pPr>
          </w:p>
        </w:tc>
        <w:tc>
          <w:tcPr>
            <w:tcW w:w="1554" w:type="dxa"/>
          </w:tcPr>
          <w:p>
            <w:pPr>
              <w:widowControl/>
              <w:spacing w:line="360" w:lineRule="atLeast"/>
              <w:ind w:firstLine="475" w:firstLineChars="196"/>
              <w:jc w:val="left"/>
              <w:outlineLvl w:val="1"/>
              <w:rPr>
                <w:rFonts w:ascii="宋体" w:hAnsi="宋体" w:cs="宋体"/>
                <w:sz w:val="24"/>
              </w:rPr>
            </w:pPr>
          </w:p>
        </w:tc>
        <w:tc>
          <w:tcPr>
            <w:tcW w:w="2583" w:type="dxa"/>
          </w:tcPr>
          <w:p>
            <w:pPr>
              <w:widowControl/>
              <w:spacing w:line="360" w:lineRule="atLeast"/>
              <w:ind w:firstLine="475" w:firstLineChars="196"/>
              <w:jc w:val="left"/>
              <w:outlineLvl w:val="1"/>
              <w:rPr>
                <w:rFonts w:ascii="宋体" w:hAnsi="宋体" w:cs="宋体"/>
                <w:sz w:val="24"/>
              </w:rPr>
            </w:pPr>
          </w:p>
        </w:tc>
        <w:tc>
          <w:tcPr>
            <w:tcW w:w="2552" w:type="dxa"/>
          </w:tcPr>
          <w:p>
            <w:pPr>
              <w:widowControl/>
              <w:spacing w:line="360" w:lineRule="atLeast"/>
              <w:ind w:firstLine="475" w:firstLineChars="196"/>
              <w:jc w:val="left"/>
              <w:outlineLvl w:val="1"/>
              <w:rPr>
                <w:rFonts w:ascii="宋体" w:hAnsi="宋体" w:cs="宋体"/>
                <w:sz w:val="24"/>
              </w:rPr>
            </w:pPr>
          </w:p>
        </w:tc>
        <w:tc>
          <w:tcPr>
            <w:tcW w:w="1134" w:type="dxa"/>
          </w:tcPr>
          <w:p>
            <w:pPr>
              <w:widowControl/>
              <w:spacing w:line="360" w:lineRule="atLeast"/>
              <w:ind w:firstLine="475" w:firstLineChars="196"/>
              <w:jc w:val="left"/>
              <w:outlineLvl w:val="1"/>
              <w:rPr>
                <w:rFonts w:ascii="宋体" w:hAnsi="宋体" w:cs="宋体"/>
                <w:sz w:val="24"/>
              </w:rPr>
            </w:pPr>
          </w:p>
        </w:tc>
        <w:tc>
          <w:tcPr>
            <w:tcW w:w="1244" w:type="dxa"/>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5" w:firstLineChars="196"/>
              <w:jc w:val="left"/>
              <w:outlineLvl w:val="1"/>
              <w:rPr>
                <w:rFonts w:ascii="宋体" w:hAnsi="宋体" w:cs="宋体"/>
                <w:sz w:val="24"/>
              </w:rPr>
            </w:pPr>
          </w:p>
        </w:tc>
        <w:tc>
          <w:tcPr>
            <w:tcW w:w="1554" w:type="dxa"/>
          </w:tcPr>
          <w:p>
            <w:pPr>
              <w:widowControl/>
              <w:spacing w:line="360" w:lineRule="atLeast"/>
              <w:ind w:firstLine="475" w:firstLineChars="196"/>
              <w:jc w:val="left"/>
              <w:outlineLvl w:val="1"/>
              <w:rPr>
                <w:rFonts w:ascii="宋体" w:hAnsi="宋体" w:cs="宋体"/>
                <w:sz w:val="24"/>
              </w:rPr>
            </w:pPr>
          </w:p>
        </w:tc>
        <w:tc>
          <w:tcPr>
            <w:tcW w:w="2583" w:type="dxa"/>
          </w:tcPr>
          <w:p>
            <w:pPr>
              <w:widowControl/>
              <w:spacing w:line="360" w:lineRule="atLeast"/>
              <w:ind w:firstLine="475" w:firstLineChars="196"/>
              <w:jc w:val="left"/>
              <w:outlineLvl w:val="1"/>
              <w:rPr>
                <w:rFonts w:ascii="宋体" w:hAnsi="宋体" w:cs="宋体"/>
                <w:sz w:val="24"/>
              </w:rPr>
            </w:pPr>
          </w:p>
        </w:tc>
        <w:tc>
          <w:tcPr>
            <w:tcW w:w="2552" w:type="dxa"/>
          </w:tcPr>
          <w:p>
            <w:pPr>
              <w:widowControl/>
              <w:spacing w:line="360" w:lineRule="atLeast"/>
              <w:ind w:firstLine="475" w:firstLineChars="196"/>
              <w:jc w:val="left"/>
              <w:outlineLvl w:val="1"/>
              <w:rPr>
                <w:rFonts w:ascii="宋体" w:hAnsi="宋体" w:cs="宋体"/>
                <w:sz w:val="24"/>
              </w:rPr>
            </w:pPr>
          </w:p>
        </w:tc>
        <w:tc>
          <w:tcPr>
            <w:tcW w:w="1134" w:type="dxa"/>
          </w:tcPr>
          <w:p>
            <w:pPr>
              <w:widowControl/>
              <w:spacing w:line="360" w:lineRule="atLeast"/>
              <w:ind w:firstLine="475" w:firstLineChars="196"/>
              <w:jc w:val="left"/>
              <w:outlineLvl w:val="1"/>
              <w:rPr>
                <w:rFonts w:ascii="宋体" w:hAnsi="宋体" w:cs="宋体"/>
                <w:sz w:val="24"/>
              </w:rPr>
            </w:pPr>
          </w:p>
        </w:tc>
        <w:tc>
          <w:tcPr>
            <w:tcW w:w="1244" w:type="dxa"/>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5" w:firstLineChars="196"/>
              <w:jc w:val="left"/>
              <w:outlineLvl w:val="1"/>
              <w:rPr>
                <w:rFonts w:ascii="宋体" w:hAnsi="宋体" w:cs="宋体"/>
                <w:sz w:val="24"/>
              </w:rPr>
            </w:pPr>
          </w:p>
        </w:tc>
        <w:tc>
          <w:tcPr>
            <w:tcW w:w="1554" w:type="dxa"/>
          </w:tcPr>
          <w:p>
            <w:pPr>
              <w:widowControl/>
              <w:spacing w:line="360" w:lineRule="atLeast"/>
              <w:ind w:firstLine="475" w:firstLineChars="196"/>
              <w:jc w:val="left"/>
              <w:outlineLvl w:val="1"/>
              <w:rPr>
                <w:rFonts w:ascii="宋体" w:hAnsi="宋体" w:cs="宋体"/>
                <w:sz w:val="24"/>
              </w:rPr>
            </w:pPr>
          </w:p>
        </w:tc>
        <w:tc>
          <w:tcPr>
            <w:tcW w:w="2583" w:type="dxa"/>
          </w:tcPr>
          <w:p>
            <w:pPr>
              <w:widowControl/>
              <w:spacing w:line="360" w:lineRule="atLeast"/>
              <w:ind w:firstLine="475" w:firstLineChars="196"/>
              <w:jc w:val="left"/>
              <w:outlineLvl w:val="1"/>
              <w:rPr>
                <w:rFonts w:ascii="宋体" w:hAnsi="宋体" w:cs="宋体"/>
                <w:sz w:val="24"/>
              </w:rPr>
            </w:pPr>
          </w:p>
        </w:tc>
        <w:tc>
          <w:tcPr>
            <w:tcW w:w="2552" w:type="dxa"/>
          </w:tcPr>
          <w:p>
            <w:pPr>
              <w:widowControl/>
              <w:spacing w:line="360" w:lineRule="atLeast"/>
              <w:ind w:firstLine="475" w:firstLineChars="196"/>
              <w:jc w:val="left"/>
              <w:outlineLvl w:val="1"/>
              <w:rPr>
                <w:rFonts w:ascii="宋体" w:hAnsi="宋体" w:cs="宋体"/>
                <w:sz w:val="24"/>
              </w:rPr>
            </w:pPr>
          </w:p>
        </w:tc>
        <w:tc>
          <w:tcPr>
            <w:tcW w:w="1134" w:type="dxa"/>
          </w:tcPr>
          <w:p>
            <w:pPr>
              <w:widowControl/>
              <w:spacing w:line="360" w:lineRule="atLeast"/>
              <w:ind w:firstLine="475" w:firstLineChars="196"/>
              <w:jc w:val="left"/>
              <w:outlineLvl w:val="1"/>
              <w:rPr>
                <w:rFonts w:ascii="宋体" w:hAnsi="宋体" w:cs="宋体"/>
                <w:sz w:val="24"/>
              </w:rPr>
            </w:pPr>
          </w:p>
        </w:tc>
        <w:tc>
          <w:tcPr>
            <w:tcW w:w="1244" w:type="dxa"/>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5" w:firstLineChars="196"/>
              <w:jc w:val="left"/>
              <w:outlineLvl w:val="1"/>
              <w:rPr>
                <w:rFonts w:ascii="宋体" w:hAnsi="宋体" w:cs="宋体"/>
                <w:sz w:val="24"/>
              </w:rPr>
            </w:pPr>
          </w:p>
        </w:tc>
        <w:tc>
          <w:tcPr>
            <w:tcW w:w="1554" w:type="dxa"/>
          </w:tcPr>
          <w:p>
            <w:pPr>
              <w:widowControl/>
              <w:spacing w:line="360" w:lineRule="atLeast"/>
              <w:ind w:firstLine="475" w:firstLineChars="196"/>
              <w:jc w:val="left"/>
              <w:outlineLvl w:val="1"/>
              <w:rPr>
                <w:rFonts w:ascii="宋体" w:hAnsi="宋体" w:cs="宋体"/>
                <w:sz w:val="24"/>
              </w:rPr>
            </w:pPr>
          </w:p>
        </w:tc>
        <w:tc>
          <w:tcPr>
            <w:tcW w:w="2583" w:type="dxa"/>
          </w:tcPr>
          <w:p>
            <w:pPr>
              <w:widowControl/>
              <w:spacing w:line="360" w:lineRule="atLeast"/>
              <w:ind w:firstLine="475" w:firstLineChars="196"/>
              <w:jc w:val="left"/>
              <w:outlineLvl w:val="1"/>
              <w:rPr>
                <w:rFonts w:ascii="宋体" w:hAnsi="宋体" w:cs="宋体"/>
                <w:sz w:val="24"/>
              </w:rPr>
            </w:pPr>
          </w:p>
        </w:tc>
        <w:tc>
          <w:tcPr>
            <w:tcW w:w="2552" w:type="dxa"/>
          </w:tcPr>
          <w:p>
            <w:pPr>
              <w:widowControl/>
              <w:spacing w:line="360" w:lineRule="atLeast"/>
              <w:ind w:firstLine="475" w:firstLineChars="196"/>
              <w:jc w:val="left"/>
              <w:outlineLvl w:val="1"/>
              <w:rPr>
                <w:rFonts w:ascii="宋体" w:hAnsi="宋体" w:cs="宋体"/>
                <w:sz w:val="24"/>
              </w:rPr>
            </w:pPr>
          </w:p>
        </w:tc>
        <w:tc>
          <w:tcPr>
            <w:tcW w:w="1134" w:type="dxa"/>
          </w:tcPr>
          <w:p>
            <w:pPr>
              <w:widowControl/>
              <w:spacing w:line="360" w:lineRule="atLeast"/>
              <w:ind w:firstLine="475" w:firstLineChars="196"/>
              <w:jc w:val="left"/>
              <w:outlineLvl w:val="1"/>
              <w:rPr>
                <w:rFonts w:ascii="宋体" w:hAnsi="宋体" w:cs="宋体"/>
                <w:sz w:val="24"/>
              </w:rPr>
            </w:pPr>
          </w:p>
        </w:tc>
        <w:tc>
          <w:tcPr>
            <w:tcW w:w="1244" w:type="dxa"/>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09" w:type="dxa"/>
          </w:tcPr>
          <w:p>
            <w:pPr>
              <w:widowControl/>
              <w:spacing w:line="360" w:lineRule="atLeast"/>
              <w:ind w:firstLine="475" w:firstLineChars="196"/>
              <w:jc w:val="left"/>
              <w:outlineLvl w:val="1"/>
              <w:rPr>
                <w:rFonts w:ascii="宋体" w:hAnsi="宋体" w:cs="宋体"/>
                <w:sz w:val="24"/>
              </w:rPr>
            </w:pPr>
          </w:p>
        </w:tc>
        <w:tc>
          <w:tcPr>
            <w:tcW w:w="1554" w:type="dxa"/>
          </w:tcPr>
          <w:p>
            <w:pPr>
              <w:widowControl/>
              <w:spacing w:line="360" w:lineRule="atLeast"/>
              <w:ind w:firstLine="475" w:firstLineChars="196"/>
              <w:jc w:val="left"/>
              <w:outlineLvl w:val="1"/>
              <w:rPr>
                <w:rFonts w:ascii="宋体" w:hAnsi="宋体" w:cs="宋体"/>
                <w:sz w:val="24"/>
              </w:rPr>
            </w:pPr>
          </w:p>
        </w:tc>
        <w:tc>
          <w:tcPr>
            <w:tcW w:w="2583" w:type="dxa"/>
          </w:tcPr>
          <w:p>
            <w:pPr>
              <w:widowControl/>
              <w:spacing w:line="360" w:lineRule="atLeast"/>
              <w:ind w:firstLine="475" w:firstLineChars="196"/>
              <w:jc w:val="left"/>
              <w:outlineLvl w:val="1"/>
              <w:rPr>
                <w:rFonts w:ascii="宋体" w:hAnsi="宋体" w:cs="宋体"/>
                <w:sz w:val="24"/>
              </w:rPr>
            </w:pPr>
          </w:p>
        </w:tc>
        <w:tc>
          <w:tcPr>
            <w:tcW w:w="2552" w:type="dxa"/>
          </w:tcPr>
          <w:p>
            <w:pPr>
              <w:widowControl/>
              <w:spacing w:line="360" w:lineRule="atLeast"/>
              <w:ind w:firstLine="475" w:firstLineChars="196"/>
              <w:jc w:val="left"/>
              <w:outlineLvl w:val="1"/>
              <w:rPr>
                <w:rFonts w:ascii="宋体" w:hAnsi="宋体" w:cs="宋体"/>
                <w:sz w:val="24"/>
              </w:rPr>
            </w:pPr>
          </w:p>
        </w:tc>
        <w:tc>
          <w:tcPr>
            <w:tcW w:w="1134" w:type="dxa"/>
          </w:tcPr>
          <w:p>
            <w:pPr>
              <w:widowControl/>
              <w:spacing w:line="360" w:lineRule="atLeast"/>
              <w:ind w:firstLine="475" w:firstLineChars="196"/>
              <w:jc w:val="left"/>
              <w:outlineLvl w:val="1"/>
              <w:rPr>
                <w:rFonts w:ascii="宋体" w:hAnsi="宋体" w:cs="宋体"/>
                <w:sz w:val="24"/>
              </w:rPr>
            </w:pPr>
          </w:p>
        </w:tc>
        <w:tc>
          <w:tcPr>
            <w:tcW w:w="1244" w:type="dxa"/>
          </w:tcPr>
          <w:p>
            <w:pPr>
              <w:widowControl/>
              <w:spacing w:line="360" w:lineRule="atLeast"/>
              <w:ind w:firstLine="475"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5" w:firstLineChars="196"/>
              <w:jc w:val="left"/>
              <w:outlineLvl w:val="1"/>
              <w:rPr>
                <w:rFonts w:ascii="宋体" w:hAnsi="宋体" w:cs="宋体"/>
                <w:sz w:val="24"/>
              </w:rPr>
            </w:pPr>
          </w:p>
        </w:tc>
        <w:tc>
          <w:tcPr>
            <w:tcW w:w="1554" w:type="dxa"/>
          </w:tcPr>
          <w:p>
            <w:pPr>
              <w:widowControl/>
              <w:spacing w:line="360" w:lineRule="atLeast"/>
              <w:ind w:firstLine="475" w:firstLineChars="196"/>
              <w:jc w:val="left"/>
              <w:outlineLvl w:val="1"/>
              <w:rPr>
                <w:rFonts w:ascii="宋体" w:hAnsi="宋体" w:cs="宋体"/>
                <w:sz w:val="24"/>
              </w:rPr>
            </w:pPr>
          </w:p>
        </w:tc>
        <w:tc>
          <w:tcPr>
            <w:tcW w:w="2583" w:type="dxa"/>
          </w:tcPr>
          <w:p>
            <w:pPr>
              <w:widowControl/>
              <w:spacing w:line="360" w:lineRule="atLeast"/>
              <w:ind w:firstLine="475" w:firstLineChars="196"/>
              <w:jc w:val="left"/>
              <w:outlineLvl w:val="1"/>
              <w:rPr>
                <w:rFonts w:ascii="宋体" w:hAnsi="宋体" w:cs="宋体"/>
                <w:sz w:val="24"/>
              </w:rPr>
            </w:pPr>
          </w:p>
        </w:tc>
        <w:tc>
          <w:tcPr>
            <w:tcW w:w="2552" w:type="dxa"/>
          </w:tcPr>
          <w:p>
            <w:pPr>
              <w:widowControl/>
              <w:spacing w:line="360" w:lineRule="atLeast"/>
              <w:ind w:firstLine="475" w:firstLineChars="196"/>
              <w:jc w:val="left"/>
              <w:outlineLvl w:val="1"/>
              <w:rPr>
                <w:rFonts w:ascii="宋体" w:hAnsi="宋体" w:cs="宋体"/>
                <w:sz w:val="24"/>
              </w:rPr>
            </w:pPr>
          </w:p>
        </w:tc>
        <w:tc>
          <w:tcPr>
            <w:tcW w:w="1134" w:type="dxa"/>
          </w:tcPr>
          <w:p>
            <w:pPr>
              <w:widowControl/>
              <w:spacing w:line="360" w:lineRule="atLeast"/>
              <w:ind w:firstLine="475" w:firstLineChars="196"/>
              <w:jc w:val="left"/>
              <w:outlineLvl w:val="1"/>
              <w:rPr>
                <w:rFonts w:ascii="宋体" w:hAnsi="宋体" w:cs="宋体"/>
                <w:sz w:val="24"/>
              </w:rPr>
            </w:pPr>
          </w:p>
        </w:tc>
        <w:tc>
          <w:tcPr>
            <w:tcW w:w="1244" w:type="dxa"/>
          </w:tcPr>
          <w:p>
            <w:pPr>
              <w:widowControl/>
              <w:spacing w:line="360" w:lineRule="atLeast"/>
              <w:ind w:firstLine="475" w:firstLineChars="196"/>
              <w:jc w:val="left"/>
              <w:outlineLvl w:val="1"/>
              <w:rPr>
                <w:rFonts w:ascii="宋体" w:hAnsi="宋体" w:cs="宋体"/>
                <w:sz w:val="24"/>
              </w:rPr>
            </w:pPr>
          </w:p>
        </w:tc>
      </w:tr>
    </w:tbl>
    <w:p>
      <w:pPr>
        <w:widowControl/>
        <w:spacing w:line="360" w:lineRule="atLeast"/>
        <w:ind w:firstLine="475" w:firstLineChars="196"/>
        <w:jc w:val="left"/>
        <w:outlineLvl w:val="1"/>
        <w:rPr>
          <w:rFonts w:asciiTheme="minorEastAsia" w:hAnsiTheme="minorEastAsia"/>
          <w:sz w:val="24"/>
        </w:rPr>
      </w:pPr>
    </w:p>
    <w:p>
      <w:pPr>
        <w:widowControl/>
        <w:spacing w:line="360" w:lineRule="auto"/>
        <w:ind w:firstLine="475" w:firstLineChars="196"/>
        <w:jc w:val="left"/>
        <w:outlineLvl w:val="1"/>
        <w:rPr>
          <w:rFonts w:ascii="宋体" w:hAnsi="宋体" w:cs="宋体"/>
          <w:sz w:val="24"/>
        </w:rPr>
      </w:pPr>
      <w:r>
        <w:rPr>
          <w:rFonts w:hint="eastAsia" w:ascii="宋体" w:hAnsi="宋体" w:cs="宋体"/>
          <w:sz w:val="24"/>
        </w:rPr>
        <w:t>注：</w:t>
      </w:r>
    </w:p>
    <w:p>
      <w:pPr>
        <w:widowControl/>
        <w:spacing w:line="360" w:lineRule="auto"/>
        <w:ind w:firstLine="475" w:firstLineChars="196"/>
        <w:jc w:val="left"/>
        <w:outlineLvl w:val="1"/>
        <w:rPr>
          <w:rFonts w:ascii="宋体" w:hAnsi="宋体" w:cs="宋体"/>
          <w:sz w:val="24"/>
        </w:rPr>
      </w:pPr>
      <w:r>
        <w:rPr>
          <w:rFonts w:hint="eastAsia" w:ascii="宋体" w:hAnsi="宋体" w:cs="宋体"/>
          <w:sz w:val="24"/>
        </w:rPr>
        <w:t>1. 供应商必须把招标文件第六章“第二部分  技术参数”的全部技术参数列入此表。</w:t>
      </w:r>
    </w:p>
    <w:p>
      <w:pPr>
        <w:widowControl/>
        <w:spacing w:line="360" w:lineRule="auto"/>
        <w:ind w:firstLine="486" w:firstLineChars="200"/>
        <w:jc w:val="left"/>
        <w:outlineLvl w:val="1"/>
        <w:rPr>
          <w:rFonts w:ascii="宋体" w:hAnsi="宋体" w:cs="宋体"/>
          <w:sz w:val="24"/>
        </w:rPr>
      </w:pPr>
      <w:r>
        <w:rPr>
          <w:rFonts w:hint="eastAsia" w:ascii="宋体" w:hAnsi="宋体" w:cs="宋体"/>
          <w:sz w:val="24"/>
        </w:rPr>
        <w:t>2．按照招标项目技术要求的顺序对应填写。</w:t>
      </w:r>
    </w:p>
    <w:p>
      <w:pPr>
        <w:widowControl/>
        <w:spacing w:line="360" w:lineRule="auto"/>
        <w:ind w:firstLine="486" w:firstLineChars="200"/>
        <w:jc w:val="left"/>
        <w:outlineLvl w:val="1"/>
        <w:rPr>
          <w:rFonts w:ascii="宋体" w:hAnsi="宋体" w:cs="宋体"/>
          <w:sz w:val="24"/>
        </w:rPr>
      </w:pPr>
      <w:r>
        <w:rPr>
          <w:rFonts w:hint="eastAsia" w:ascii="宋体" w:hAnsi="宋体" w:cs="宋体"/>
          <w:sz w:val="24"/>
        </w:rPr>
        <w:t>3．供应商必须据实填写，不得虚假填写，否则将取消其投标或中标资格。</w:t>
      </w:r>
    </w:p>
    <w:p>
      <w:pPr>
        <w:widowControl/>
        <w:spacing w:line="360" w:lineRule="auto"/>
        <w:ind w:firstLine="475" w:firstLineChars="196"/>
        <w:jc w:val="left"/>
        <w:outlineLvl w:val="1"/>
        <w:rPr>
          <w:rFonts w:ascii="宋体" w:hAnsi="宋体" w:cs="宋体"/>
          <w:sz w:val="24"/>
        </w:rPr>
      </w:pPr>
    </w:p>
    <w:p>
      <w:pPr>
        <w:widowControl/>
        <w:spacing w:line="360" w:lineRule="auto"/>
        <w:ind w:firstLine="475" w:firstLineChars="196"/>
        <w:jc w:val="left"/>
        <w:outlineLvl w:val="1"/>
        <w:rPr>
          <w:rFonts w:ascii="宋体" w:hAnsi="宋体" w:cs="宋体"/>
          <w:sz w:val="24"/>
        </w:rPr>
      </w:pPr>
    </w:p>
    <w:p>
      <w:pPr>
        <w:widowControl/>
        <w:spacing w:line="360" w:lineRule="auto"/>
        <w:jc w:val="left"/>
        <w:outlineLvl w:val="1"/>
        <w:rPr>
          <w:rFonts w:ascii="宋体" w:hAnsi="宋体" w:cs="宋体"/>
          <w:sz w:val="24"/>
        </w:rPr>
      </w:pPr>
    </w:p>
    <w:p>
      <w:pPr>
        <w:widowControl/>
        <w:spacing w:line="360" w:lineRule="auto"/>
        <w:ind w:firstLine="475"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uto"/>
        <w:ind w:firstLine="475" w:firstLineChars="196"/>
        <w:jc w:val="left"/>
        <w:outlineLvl w:val="1"/>
        <w:rPr>
          <w:rFonts w:ascii="宋体" w:hAnsi="宋体" w:cs="宋体"/>
          <w:sz w:val="24"/>
        </w:rPr>
      </w:pPr>
      <w:r>
        <w:rPr>
          <w:rFonts w:hint="eastAsia" w:ascii="宋体" w:hAnsi="宋体" w:cs="宋体"/>
          <w:sz w:val="24"/>
        </w:rPr>
        <w:t>法定代表人</w:t>
      </w:r>
      <w:r>
        <w:rPr>
          <w:rFonts w:hint="eastAsia" w:asciiTheme="minorEastAsia" w:hAnsiTheme="minorEastAsia" w:cstheme="minorEastAsia"/>
          <w:sz w:val="24"/>
        </w:rPr>
        <w:t>/主要负责人</w:t>
      </w:r>
      <w:r>
        <w:rPr>
          <w:rFonts w:hint="eastAsia" w:ascii="宋体" w:hAnsi="宋体" w:cs="宋体"/>
          <w:sz w:val="24"/>
        </w:rPr>
        <w:t>或授权代表（签字或加盖个人名章）：XXXX。</w:t>
      </w:r>
    </w:p>
    <w:p>
      <w:pPr>
        <w:widowControl/>
        <w:spacing w:line="360" w:lineRule="auto"/>
        <w:ind w:firstLine="475"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jc w:val="left"/>
        <w:outlineLvl w:val="1"/>
        <w:rPr>
          <w:rFonts w:asciiTheme="minorEastAsia" w:hAnsiTheme="minorEastAsia" w:eastAsiaTheme="minorEastAsia"/>
          <w:sz w:val="24"/>
        </w:rPr>
      </w:pPr>
    </w:p>
    <w:p>
      <w:pPr>
        <w:widowControl/>
        <w:spacing w:line="360" w:lineRule="atLeast"/>
        <w:jc w:val="left"/>
        <w:outlineLvl w:val="1"/>
        <w:rPr>
          <w:rFonts w:asciiTheme="minorEastAsia" w:hAnsiTheme="minorEastAsia" w:eastAsiaTheme="minorEastAsia"/>
          <w:b/>
          <w:sz w:val="24"/>
        </w:rPr>
      </w:pPr>
      <w:r>
        <w:rPr>
          <w:rFonts w:asciiTheme="minorEastAsia" w:hAnsiTheme="minorEastAsia" w:eastAsiaTheme="minorEastAsia"/>
          <w:sz w:val="24"/>
        </w:rPr>
        <w:br w:type="page"/>
      </w:r>
      <w:r>
        <w:rPr>
          <w:rFonts w:hint="eastAsia" w:asciiTheme="minorEastAsia" w:hAnsiTheme="minorEastAsia" w:eastAsiaTheme="minorEastAsia"/>
          <w:b/>
          <w:sz w:val="24"/>
        </w:rPr>
        <w:t>格式2-10</w:t>
      </w:r>
    </w:p>
    <w:p>
      <w:pPr>
        <w:widowControl/>
        <w:spacing w:line="360" w:lineRule="atLeast"/>
        <w:jc w:val="left"/>
        <w:outlineLvl w:val="1"/>
        <w:rPr>
          <w:rFonts w:asciiTheme="minorEastAsia" w:hAnsiTheme="minorEastAsia" w:eastAsiaTheme="minorEastAsia"/>
          <w:b/>
          <w:sz w:val="24"/>
        </w:rPr>
      </w:pPr>
      <w:bookmarkStart w:id="129" w:name="_Toc217446090"/>
    </w:p>
    <w:bookmarkEnd w:id="129"/>
    <w:p>
      <w:pPr>
        <w:spacing w:line="480" w:lineRule="auto"/>
        <w:jc w:val="center"/>
        <w:rPr>
          <w:rFonts w:asciiTheme="minorEastAsia" w:hAnsiTheme="minorEastAsia" w:eastAsiaTheme="minorEastAsia"/>
          <w:b/>
          <w:sz w:val="24"/>
        </w:rPr>
      </w:pPr>
      <w:r>
        <w:rPr>
          <w:rFonts w:asciiTheme="minorEastAsia" w:hAnsiTheme="minorEastAsia" w:eastAsiaTheme="minorEastAsia"/>
          <w:b/>
          <w:sz w:val="24"/>
        </w:rPr>
        <w:t>服务应答表</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项目编号：</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872"/>
        <w:gridCol w:w="29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序号</w:t>
            </w:r>
          </w:p>
        </w:tc>
        <w:tc>
          <w:tcPr>
            <w:tcW w:w="2872" w:type="dxa"/>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招标文件要求</w:t>
            </w:r>
          </w:p>
        </w:tc>
        <w:tc>
          <w:tcPr>
            <w:tcW w:w="2976" w:type="dxa"/>
            <w:vAlign w:val="center"/>
          </w:tcPr>
          <w:p>
            <w:pPr>
              <w:widowControl/>
              <w:spacing w:line="480" w:lineRule="auto"/>
              <w:ind w:firstLine="972" w:firstLineChars="400"/>
              <w:outlineLvl w:val="1"/>
              <w:rPr>
                <w:rFonts w:asciiTheme="minorEastAsia" w:hAnsiTheme="minorEastAsia" w:eastAsiaTheme="minorEastAsia"/>
                <w:sz w:val="24"/>
              </w:rPr>
            </w:pPr>
            <w:r>
              <w:rPr>
                <w:rFonts w:hint="eastAsia" w:asciiTheme="minorEastAsia" w:hAnsiTheme="minorEastAsia" w:eastAsiaTheme="minorEastAsia"/>
                <w:sz w:val="24"/>
              </w:rPr>
              <w:t>投标应答</w:t>
            </w:r>
          </w:p>
        </w:tc>
        <w:tc>
          <w:tcPr>
            <w:tcW w:w="1985" w:type="dxa"/>
            <w:vAlign w:val="center"/>
          </w:tcPr>
          <w:p>
            <w:pPr>
              <w:widowControl/>
              <w:spacing w:line="480" w:lineRule="auto"/>
              <w:ind w:firstLine="718" w:firstLineChars="296"/>
              <w:outlineLvl w:val="1"/>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480" w:lineRule="auto"/>
              <w:ind w:firstLine="475" w:firstLineChars="196"/>
              <w:jc w:val="left"/>
              <w:outlineLvl w:val="1"/>
              <w:rPr>
                <w:rFonts w:asciiTheme="minorEastAsia" w:hAnsiTheme="minorEastAsia" w:eastAsiaTheme="minorEastAsia"/>
                <w:sz w:val="24"/>
              </w:rPr>
            </w:pPr>
          </w:p>
        </w:tc>
        <w:tc>
          <w:tcPr>
            <w:tcW w:w="2872" w:type="dxa"/>
          </w:tcPr>
          <w:p>
            <w:pPr>
              <w:widowControl/>
              <w:spacing w:line="480" w:lineRule="auto"/>
              <w:ind w:firstLine="475" w:firstLineChars="196"/>
              <w:jc w:val="left"/>
              <w:outlineLvl w:val="1"/>
              <w:rPr>
                <w:rFonts w:asciiTheme="minorEastAsia" w:hAnsiTheme="minorEastAsia" w:eastAsiaTheme="minorEastAsia"/>
                <w:sz w:val="24"/>
              </w:rPr>
            </w:pPr>
          </w:p>
        </w:tc>
        <w:tc>
          <w:tcPr>
            <w:tcW w:w="2976" w:type="dxa"/>
          </w:tcPr>
          <w:p>
            <w:pPr>
              <w:widowControl/>
              <w:spacing w:line="480" w:lineRule="auto"/>
              <w:ind w:firstLine="475" w:firstLineChars="196"/>
              <w:jc w:val="left"/>
              <w:outlineLvl w:val="1"/>
              <w:rPr>
                <w:rFonts w:asciiTheme="minorEastAsia" w:hAnsiTheme="minorEastAsia" w:eastAsiaTheme="minorEastAsia"/>
                <w:sz w:val="24"/>
              </w:rPr>
            </w:pPr>
          </w:p>
        </w:tc>
        <w:tc>
          <w:tcPr>
            <w:tcW w:w="198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480" w:lineRule="auto"/>
              <w:ind w:firstLine="475" w:firstLineChars="196"/>
              <w:jc w:val="left"/>
              <w:outlineLvl w:val="1"/>
              <w:rPr>
                <w:rFonts w:asciiTheme="minorEastAsia" w:hAnsiTheme="minorEastAsia" w:eastAsiaTheme="minorEastAsia"/>
                <w:sz w:val="24"/>
              </w:rPr>
            </w:pPr>
          </w:p>
        </w:tc>
        <w:tc>
          <w:tcPr>
            <w:tcW w:w="2872" w:type="dxa"/>
          </w:tcPr>
          <w:p>
            <w:pPr>
              <w:widowControl/>
              <w:spacing w:line="480" w:lineRule="auto"/>
              <w:ind w:firstLine="475" w:firstLineChars="196"/>
              <w:jc w:val="left"/>
              <w:outlineLvl w:val="1"/>
              <w:rPr>
                <w:rFonts w:asciiTheme="minorEastAsia" w:hAnsiTheme="minorEastAsia" w:eastAsiaTheme="minorEastAsia"/>
                <w:sz w:val="24"/>
              </w:rPr>
            </w:pPr>
          </w:p>
        </w:tc>
        <w:tc>
          <w:tcPr>
            <w:tcW w:w="2976" w:type="dxa"/>
          </w:tcPr>
          <w:p>
            <w:pPr>
              <w:widowControl/>
              <w:spacing w:line="480" w:lineRule="auto"/>
              <w:ind w:firstLine="475" w:firstLineChars="196"/>
              <w:jc w:val="left"/>
              <w:outlineLvl w:val="1"/>
              <w:rPr>
                <w:rFonts w:asciiTheme="minorEastAsia" w:hAnsiTheme="minorEastAsia" w:eastAsiaTheme="minorEastAsia"/>
                <w:sz w:val="24"/>
              </w:rPr>
            </w:pPr>
          </w:p>
        </w:tc>
        <w:tc>
          <w:tcPr>
            <w:tcW w:w="198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480" w:lineRule="auto"/>
              <w:ind w:firstLine="475" w:firstLineChars="196"/>
              <w:jc w:val="left"/>
              <w:outlineLvl w:val="1"/>
              <w:rPr>
                <w:rFonts w:asciiTheme="minorEastAsia" w:hAnsiTheme="minorEastAsia" w:eastAsiaTheme="minorEastAsia"/>
                <w:sz w:val="24"/>
              </w:rPr>
            </w:pPr>
          </w:p>
        </w:tc>
        <w:tc>
          <w:tcPr>
            <w:tcW w:w="2872" w:type="dxa"/>
          </w:tcPr>
          <w:p>
            <w:pPr>
              <w:widowControl/>
              <w:spacing w:line="480" w:lineRule="auto"/>
              <w:ind w:firstLine="475" w:firstLineChars="196"/>
              <w:jc w:val="left"/>
              <w:outlineLvl w:val="1"/>
              <w:rPr>
                <w:rFonts w:asciiTheme="minorEastAsia" w:hAnsiTheme="minorEastAsia" w:eastAsiaTheme="minorEastAsia"/>
                <w:sz w:val="24"/>
              </w:rPr>
            </w:pPr>
          </w:p>
        </w:tc>
        <w:tc>
          <w:tcPr>
            <w:tcW w:w="2976" w:type="dxa"/>
          </w:tcPr>
          <w:p>
            <w:pPr>
              <w:widowControl/>
              <w:spacing w:line="480" w:lineRule="auto"/>
              <w:ind w:firstLine="475" w:firstLineChars="196"/>
              <w:jc w:val="left"/>
              <w:outlineLvl w:val="1"/>
              <w:rPr>
                <w:rFonts w:asciiTheme="minorEastAsia" w:hAnsiTheme="minorEastAsia" w:eastAsiaTheme="minorEastAsia"/>
                <w:sz w:val="24"/>
              </w:rPr>
            </w:pPr>
          </w:p>
        </w:tc>
        <w:tc>
          <w:tcPr>
            <w:tcW w:w="198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480" w:lineRule="auto"/>
              <w:ind w:firstLine="475" w:firstLineChars="196"/>
              <w:jc w:val="left"/>
              <w:outlineLvl w:val="1"/>
              <w:rPr>
                <w:rFonts w:asciiTheme="minorEastAsia" w:hAnsiTheme="minorEastAsia" w:eastAsiaTheme="minorEastAsia"/>
                <w:sz w:val="24"/>
              </w:rPr>
            </w:pPr>
          </w:p>
        </w:tc>
        <w:tc>
          <w:tcPr>
            <w:tcW w:w="2872" w:type="dxa"/>
          </w:tcPr>
          <w:p>
            <w:pPr>
              <w:widowControl/>
              <w:spacing w:line="480" w:lineRule="auto"/>
              <w:ind w:firstLine="475" w:firstLineChars="196"/>
              <w:jc w:val="left"/>
              <w:outlineLvl w:val="1"/>
              <w:rPr>
                <w:rFonts w:asciiTheme="minorEastAsia" w:hAnsiTheme="minorEastAsia" w:eastAsiaTheme="minorEastAsia"/>
                <w:sz w:val="24"/>
              </w:rPr>
            </w:pPr>
          </w:p>
        </w:tc>
        <w:tc>
          <w:tcPr>
            <w:tcW w:w="2976" w:type="dxa"/>
          </w:tcPr>
          <w:p>
            <w:pPr>
              <w:widowControl/>
              <w:spacing w:line="480" w:lineRule="auto"/>
              <w:ind w:firstLine="475" w:firstLineChars="196"/>
              <w:jc w:val="left"/>
              <w:outlineLvl w:val="1"/>
              <w:rPr>
                <w:rFonts w:asciiTheme="minorEastAsia" w:hAnsiTheme="minorEastAsia" w:eastAsiaTheme="minorEastAsia"/>
                <w:sz w:val="24"/>
              </w:rPr>
            </w:pPr>
          </w:p>
        </w:tc>
        <w:tc>
          <w:tcPr>
            <w:tcW w:w="1985" w:type="dxa"/>
          </w:tcPr>
          <w:p>
            <w:pPr>
              <w:widowControl/>
              <w:spacing w:line="480" w:lineRule="auto"/>
              <w:ind w:firstLine="475" w:firstLineChars="196"/>
              <w:jc w:val="left"/>
              <w:outlineLvl w:val="1"/>
              <w:rPr>
                <w:rFonts w:asciiTheme="minorEastAsia" w:hAnsiTheme="minorEastAsia" w:eastAsiaTheme="minorEastAsia"/>
                <w:sz w:val="24"/>
              </w:rPr>
            </w:pPr>
          </w:p>
        </w:tc>
      </w:tr>
    </w:tbl>
    <w:p>
      <w:pPr>
        <w:widowControl/>
        <w:spacing w:line="360" w:lineRule="atLeast"/>
        <w:ind w:firstLine="475" w:firstLineChars="196"/>
        <w:jc w:val="left"/>
        <w:outlineLvl w:val="1"/>
        <w:rPr>
          <w:rFonts w:asciiTheme="minorEastAsia" w:hAnsiTheme="minorEastAsia" w:eastAsiaTheme="minorEastAsia"/>
          <w:sz w:val="24"/>
        </w:rPr>
      </w:pPr>
    </w:p>
    <w:p>
      <w:pPr>
        <w:spacing w:line="480" w:lineRule="auto"/>
        <w:ind w:left="607" w:leftChars="57" w:hanging="486" w:hangingChars="200"/>
        <w:rPr>
          <w:rFonts w:ascii="宋体" w:hAnsi="宋体"/>
          <w:sz w:val="24"/>
        </w:rPr>
      </w:pPr>
      <w:r>
        <w:rPr>
          <w:rFonts w:ascii="宋体" w:hAnsi="宋体"/>
          <w:sz w:val="24"/>
        </w:rPr>
        <w:t>注： 1. 投标人若填写则应把采购项目的</w:t>
      </w:r>
      <w:r>
        <w:rPr>
          <w:rFonts w:hint="eastAsia" w:ascii="宋体" w:hAnsi="宋体"/>
          <w:sz w:val="24"/>
        </w:rPr>
        <w:t>全部服务内容事项</w:t>
      </w:r>
      <w:r>
        <w:rPr>
          <w:rFonts w:ascii="宋体" w:hAnsi="宋体"/>
          <w:sz w:val="24"/>
        </w:rPr>
        <w:t>列入此表。</w:t>
      </w:r>
    </w:p>
    <w:p>
      <w:pPr>
        <w:spacing w:line="480" w:lineRule="auto"/>
        <w:ind w:firstLine="729" w:firstLineChars="300"/>
        <w:rPr>
          <w:rFonts w:ascii="宋体" w:hAnsi="宋体"/>
          <w:sz w:val="24"/>
        </w:rPr>
      </w:pPr>
      <w:r>
        <w:rPr>
          <w:rFonts w:ascii="宋体" w:hAnsi="宋体"/>
          <w:sz w:val="24"/>
        </w:rPr>
        <w:t>2．投标人若填写则应按照采购项目服务要求的顺序对应填写。</w:t>
      </w:r>
    </w:p>
    <w:p>
      <w:pPr>
        <w:spacing w:line="480" w:lineRule="auto"/>
        <w:ind w:firstLine="729" w:firstLineChars="300"/>
        <w:rPr>
          <w:rFonts w:ascii="宋体" w:hAnsi="宋体"/>
          <w:sz w:val="24"/>
        </w:rPr>
      </w:pPr>
      <w:r>
        <w:rPr>
          <w:rFonts w:ascii="宋体" w:hAnsi="宋体"/>
          <w:sz w:val="24"/>
        </w:rPr>
        <w:t>3．投标人若填写则应据实填写，不得虚假填写，否则将取消其投标或中标资格。</w:t>
      </w:r>
    </w:p>
    <w:p>
      <w:pPr>
        <w:spacing w:line="480" w:lineRule="auto"/>
        <w:ind w:firstLine="729" w:firstLineChars="300"/>
        <w:rPr>
          <w:rFonts w:ascii="宋体" w:hAnsi="宋体"/>
          <w:sz w:val="24"/>
        </w:rPr>
      </w:pPr>
      <w:r>
        <w:rPr>
          <w:rFonts w:ascii="宋体" w:hAnsi="宋体"/>
          <w:sz w:val="24"/>
        </w:rPr>
        <w:t>4. 投标人若不填写则视为完全响应招标文件要求。</w:t>
      </w:r>
    </w:p>
    <w:p>
      <w:pPr>
        <w:rPr>
          <w:rFonts w:asciiTheme="minorEastAsia" w:hAnsiTheme="minorEastAsia" w:eastAsiaTheme="minorEastAsia"/>
        </w:rPr>
      </w:pPr>
    </w:p>
    <w:p>
      <w:pPr>
        <w:spacing w:line="480" w:lineRule="auto"/>
        <w:ind w:firstLine="426" w:firstLineChars="200"/>
        <w:rPr>
          <w:rFonts w:asciiTheme="minorEastAsia" w:hAnsiTheme="minorEastAsia" w:eastAsiaTheme="minorEastAsia"/>
        </w:rPr>
      </w:pPr>
    </w:p>
    <w:p>
      <w:pPr>
        <w:spacing w:line="48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投标人名称：XXXX（单位盖章）。</w:t>
      </w:r>
    </w:p>
    <w:p>
      <w:pPr>
        <w:spacing w:line="48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widowControl/>
        <w:spacing w:line="360" w:lineRule="atLeast"/>
        <w:ind w:firstLine="486" w:firstLineChars="200"/>
        <w:jc w:val="left"/>
        <w:outlineLvl w:val="1"/>
        <w:rPr>
          <w:rFonts w:asciiTheme="minorEastAsia" w:hAnsiTheme="minorEastAsia" w:eastAsiaTheme="minorEastAsia"/>
          <w:sz w:val="24"/>
        </w:rPr>
      </w:pPr>
      <w:r>
        <w:rPr>
          <w:rFonts w:hint="eastAsia" w:asciiTheme="minorEastAsia" w:hAnsiTheme="minorEastAsia" w:eastAsiaTheme="minorEastAsia"/>
          <w:sz w:val="24"/>
        </w:rPr>
        <w:t>投标日期：XXXX。</w:t>
      </w:r>
    </w:p>
    <w:p>
      <w:pPr>
        <w:pStyle w:val="27"/>
        <w:rPr>
          <w:rFonts w:asciiTheme="minorEastAsia" w:hAnsiTheme="minorEastAsia" w:eastAsiaTheme="minorEastAsia"/>
        </w:rPr>
      </w:pPr>
      <w:r>
        <w:rPr>
          <w:rFonts w:asciiTheme="minorEastAsia" w:hAnsiTheme="minorEastAsia" w:eastAsiaTheme="minorEastAsia"/>
        </w:rPr>
        <w:br w:type="page"/>
      </w:r>
    </w:p>
    <w:p>
      <w:pPr>
        <w:widowControl/>
        <w:spacing w:line="360" w:lineRule="atLeast"/>
        <w:jc w:val="left"/>
        <w:outlineLvl w:val="1"/>
        <w:rPr>
          <w:rFonts w:asciiTheme="minorEastAsia" w:hAnsiTheme="minorEastAsia" w:eastAsiaTheme="minorEastAsia"/>
          <w:sz w:val="24"/>
        </w:rPr>
      </w:pPr>
      <w:r>
        <w:rPr>
          <w:rFonts w:hint="eastAsia" w:asciiTheme="minorEastAsia" w:hAnsiTheme="minorEastAsia" w:eastAsiaTheme="minorEastAsia"/>
          <w:b/>
          <w:sz w:val="24"/>
        </w:rPr>
        <w:t>格式2-11</w:t>
      </w: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投标人本项目管理、技术、服务人员情况表</w:t>
      </w:r>
      <w:bookmarkEnd w:id="128"/>
    </w:p>
    <w:p>
      <w:pPr>
        <w:spacing w:line="360" w:lineRule="auto"/>
        <w:ind w:firstLine="426" w:firstLineChars="200"/>
        <w:jc w:val="left"/>
        <w:rPr>
          <w:rFonts w:asciiTheme="minorEastAsia" w:hAnsiTheme="minorEastAsia" w:eastAsiaTheme="minorEastAsia"/>
        </w:rPr>
      </w:pP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项目编号：</w:t>
      </w:r>
    </w:p>
    <w:tbl>
      <w:tblPr>
        <w:tblStyle w:val="21"/>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1291"/>
        <w:gridCol w:w="1452"/>
        <w:gridCol w:w="992"/>
        <w:gridCol w:w="993"/>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类别</w:t>
            </w:r>
          </w:p>
        </w:tc>
        <w:tc>
          <w:tcPr>
            <w:tcW w:w="807" w:type="dxa"/>
            <w:vMerge w:val="restart"/>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职务</w:t>
            </w:r>
          </w:p>
        </w:tc>
        <w:tc>
          <w:tcPr>
            <w:tcW w:w="807" w:type="dxa"/>
            <w:vMerge w:val="restart"/>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姓名</w:t>
            </w:r>
          </w:p>
        </w:tc>
        <w:tc>
          <w:tcPr>
            <w:tcW w:w="807" w:type="dxa"/>
            <w:vMerge w:val="restart"/>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职称</w:t>
            </w:r>
          </w:p>
        </w:tc>
        <w:tc>
          <w:tcPr>
            <w:tcW w:w="1291" w:type="dxa"/>
            <w:vMerge w:val="restart"/>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常住地</w:t>
            </w:r>
          </w:p>
        </w:tc>
        <w:tc>
          <w:tcPr>
            <w:tcW w:w="4252" w:type="dxa"/>
            <w:gridSpan w:val="4"/>
            <w:vAlign w:val="center"/>
          </w:tcPr>
          <w:p>
            <w:pPr>
              <w:widowControl/>
              <w:spacing w:line="480" w:lineRule="auto"/>
              <w:ind w:firstLine="475" w:firstLineChars="196"/>
              <w:jc w:val="center"/>
              <w:outlineLvl w:val="1"/>
              <w:rPr>
                <w:rFonts w:asciiTheme="minorEastAsia" w:hAnsiTheme="minorEastAsia" w:eastAsiaTheme="minorEastAsia"/>
                <w:sz w:val="24"/>
              </w:rPr>
            </w:pPr>
            <w:r>
              <w:rPr>
                <w:rFonts w:hint="eastAsia" w:asciiTheme="minorEastAsia" w:hAnsiTheme="minorEastAsia" w:eastAsiaTheme="minor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pacing w:line="480" w:lineRule="auto"/>
              <w:jc w:val="center"/>
              <w:rPr>
                <w:rFonts w:asciiTheme="minorEastAsia" w:hAnsiTheme="minorEastAsia" w:eastAsiaTheme="minorEastAsia"/>
                <w:sz w:val="24"/>
              </w:rPr>
            </w:pPr>
          </w:p>
        </w:tc>
        <w:tc>
          <w:tcPr>
            <w:tcW w:w="807" w:type="dxa"/>
            <w:vMerge w:val="continue"/>
            <w:vAlign w:val="center"/>
          </w:tcPr>
          <w:p>
            <w:pPr>
              <w:spacing w:line="480" w:lineRule="auto"/>
              <w:jc w:val="center"/>
              <w:rPr>
                <w:rFonts w:asciiTheme="minorEastAsia" w:hAnsiTheme="minorEastAsia" w:eastAsiaTheme="minorEastAsia"/>
                <w:sz w:val="24"/>
              </w:rPr>
            </w:pPr>
          </w:p>
        </w:tc>
        <w:tc>
          <w:tcPr>
            <w:tcW w:w="807" w:type="dxa"/>
            <w:vMerge w:val="continue"/>
            <w:vAlign w:val="center"/>
          </w:tcPr>
          <w:p>
            <w:pPr>
              <w:spacing w:line="480" w:lineRule="auto"/>
              <w:jc w:val="center"/>
              <w:rPr>
                <w:rFonts w:asciiTheme="minorEastAsia" w:hAnsiTheme="minorEastAsia" w:eastAsiaTheme="minorEastAsia"/>
                <w:sz w:val="24"/>
              </w:rPr>
            </w:pPr>
          </w:p>
        </w:tc>
        <w:tc>
          <w:tcPr>
            <w:tcW w:w="807" w:type="dxa"/>
            <w:vMerge w:val="continue"/>
            <w:vAlign w:val="center"/>
          </w:tcPr>
          <w:p>
            <w:pPr>
              <w:spacing w:line="480" w:lineRule="auto"/>
              <w:jc w:val="center"/>
              <w:rPr>
                <w:rFonts w:asciiTheme="minorEastAsia" w:hAnsiTheme="minorEastAsia" w:eastAsiaTheme="minorEastAsia"/>
                <w:sz w:val="24"/>
              </w:rPr>
            </w:pPr>
          </w:p>
        </w:tc>
        <w:tc>
          <w:tcPr>
            <w:tcW w:w="1291" w:type="dxa"/>
            <w:vMerge w:val="continue"/>
            <w:vAlign w:val="center"/>
          </w:tcPr>
          <w:p>
            <w:pPr>
              <w:spacing w:line="480" w:lineRule="auto"/>
              <w:jc w:val="center"/>
              <w:rPr>
                <w:rFonts w:asciiTheme="minorEastAsia" w:hAnsiTheme="minorEastAsia" w:eastAsiaTheme="minorEastAsia"/>
                <w:sz w:val="24"/>
              </w:rPr>
            </w:pPr>
          </w:p>
        </w:tc>
        <w:tc>
          <w:tcPr>
            <w:tcW w:w="1452" w:type="dxa"/>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证书名称</w:t>
            </w:r>
          </w:p>
        </w:tc>
        <w:tc>
          <w:tcPr>
            <w:tcW w:w="992" w:type="dxa"/>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级别</w:t>
            </w:r>
          </w:p>
        </w:tc>
        <w:tc>
          <w:tcPr>
            <w:tcW w:w="993" w:type="dxa"/>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证号</w:t>
            </w:r>
          </w:p>
        </w:tc>
        <w:tc>
          <w:tcPr>
            <w:tcW w:w="815" w:type="dxa"/>
            <w:vAlign w:val="center"/>
          </w:tcPr>
          <w:p>
            <w:pPr>
              <w:widowControl/>
              <w:spacing w:line="48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1" w:hRule="atLeast"/>
          <w:jc w:val="center"/>
        </w:trPr>
        <w:tc>
          <w:tcPr>
            <w:tcW w:w="954" w:type="dxa"/>
            <w:vMerge w:val="restart"/>
          </w:tcPr>
          <w:p>
            <w:pPr>
              <w:widowControl/>
              <w:spacing w:line="480" w:lineRule="auto"/>
              <w:jc w:val="left"/>
              <w:outlineLvl w:val="1"/>
              <w:rPr>
                <w:rFonts w:asciiTheme="minorEastAsia" w:hAnsiTheme="minorEastAsia" w:eastAsiaTheme="minorEastAsia"/>
                <w:sz w:val="24"/>
              </w:rPr>
            </w:pPr>
            <w:r>
              <w:rPr>
                <w:rFonts w:hint="eastAsia" w:asciiTheme="minorEastAsia" w:hAnsiTheme="minorEastAsia" w:eastAsiaTheme="minorEastAsia"/>
                <w:sz w:val="24"/>
              </w:rPr>
              <w:t>管理</w:t>
            </w:r>
          </w:p>
          <w:p>
            <w:pPr>
              <w:widowControl/>
              <w:spacing w:line="480" w:lineRule="auto"/>
              <w:jc w:val="left"/>
              <w:outlineLvl w:val="1"/>
              <w:rPr>
                <w:rFonts w:asciiTheme="minorEastAsia" w:hAnsiTheme="minorEastAsia" w:eastAsiaTheme="minorEastAsia"/>
                <w:sz w:val="24"/>
              </w:rPr>
            </w:pPr>
            <w:r>
              <w:rPr>
                <w:rFonts w:hint="eastAsia" w:asciiTheme="minorEastAsia" w:hAnsiTheme="minorEastAsia" w:eastAsiaTheme="minorEastAsia"/>
                <w:sz w:val="24"/>
              </w:rPr>
              <w:t>人员</w:t>
            </w: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1291" w:type="dxa"/>
          </w:tcPr>
          <w:p>
            <w:pPr>
              <w:widowControl/>
              <w:spacing w:line="480" w:lineRule="auto"/>
              <w:ind w:firstLine="475" w:firstLineChars="196"/>
              <w:jc w:val="left"/>
              <w:outlineLvl w:val="1"/>
              <w:rPr>
                <w:rFonts w:asciiTheme="minorEastAsia" w:hAnsiTheme="minorEastAsia" w:eastAsiaTheme="minorEastAsia"/>
                <w:sz w:val="24"/>
              </w:rPr>
            </w:pPr>
          </w:p>
        </w:tc>
        <w:tc>
          <w:tcPr>
            <w:tcW w:w="1452" w:type="dxa"/>
          </w:tcPr>
          <w:p>
            <w:pPr>
              <w:widowControl/>
              <w:spacing w:line="480" w:lineRule="auto"/>
              <w:ind w:firstLine="475" w:firstLineChars="196"/>
              <w:jc w:val="left"/>
              <w:outlineLvl w:val="1"/>
              <w:rPr>
                <w:rFonts w:asciiTheme="minorEastAsia" w:hAnsiTheme="minorEastAsia" w:eastAsiaTheme="minorEastAsia"/>
                <w:sz w:val="24"/>
              </w:rPr>
            </w:pPr>
          </w:p>
        </w:tc>
        <w:tc>
          <w:tcPr>
            <w:tcW w:w="992" w:type="dxa"/>
          </w:tcPr>
          <w:p>
            <w:pPr>
              <w:widowControl/>
              <w:spacing w:line="480" w:lineRule="auto"/>
              <w:ind w:firstLine="475" w:firstLineChars="196"/>
              <w:jc w:val="left"/>
              <w:outlineLvl w:val="1"/>
              <w:rPr>
                <w:rFonts w:asciiTheme="minorEastAsia" w:hAnsiTheme="minorEastAsia" w:eastAsiaTheme="minorEastAsia"/>
                <w:sz w:val="24"/>
              </w:rPr>
            </w:pPr>
          </w:p>
        </w:tc>
        <w:tc>
          <w:tcPr>
            <w:tcW w:w="993" w:type="dxa"/>
          </w:tcPr>
          <w:p>
            <w:pPr>
              <w:widowControl/>
              <w:spacing w:line="480" w:lineRule="auto"/>
              <w:ind w:firstLine="475" w:firstLineChars="196"/>
              <w:jc w:val="left"/>
              <w:outlineLvl w:val="1"/>
              <w:rPr>
                <w:rFonts w:asciiTheme="minorEastAsia" w:hAnsiTheme="minorEastAsia" w:eastAsiaTheme="minorEastAsia"/>
                <w:sz w:val="24"/>
              </w:rPr>
            </w:pPr>
          </w:p>
        </w:tc>
        <w:tc>
          <w:tcPr>
            <w:tcW w:w="81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line="480" w:lineRule="auto"/>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1291" w:type="dxa"/>
          </w:tcPr>
          <w:p>
            <w:pPr>
              <w:widowControl/>
              <w:spacing w:line="480" w:lineRule="auto"/>
              <w:ind w:firstLine="475" w:firstLineChars="196"/>
              <w:jc w:val="left"/>
              <w:outlineLvl w:val="1"/>
              <w:rPr>
                <w:rFonts w:asciiTheme="minorEastAsia" w:hAnsiTheme="minorEastAsia" w:eastAsiaTheme="minorEastAsia"/>
                <w:sz w:val="24"/>
              </w:rPr>
            </w:pPr>
          </w:p>
        </w:tc>
        <w:tc>
          <w:tcPr>
            <w:tcW w:w="1452" w:type="dxa"/>
          </w:tcPr>
          <w:p>
            <w:pPr>
              <w:widowControl/>
              <w:spacing w:line="480" w:lineRule="auto"/>
              <w:ind w:firstLine="475" w:firstLineChars="196"/>
              <w:jc w:val="left"/>
              <w:outlineLvl w:val="1"/>
              <w:rPr>
                <w:rFonts w:asciiTheme="minorEastAsia" w:hAnsiTheme="minorEastAsia" w:eastAsiaTheme="minorEastAsia"/>
                <w:sz w:val="24"/>
              </w:rPr>
            </w:pPr>
          </w:p>
        </w:tc>
        <w:tc>
          <w:tcPr>
            <w:tcW w:w="992" w:type="dxa"/>
          </w:tcPr>
          <w:p>
            <w:pPr>
              <w:widowControl/>
              <w:spacing w:line="480" w:lineRule="auto"/>
              <w:ind w:firstLine="475" w:firstLineChars="196"/>
              <w:jc w:val="left"/>
              <w:outlineLvl w:val="1"/>
              <w:rPr>
                <w:rFonts w:asciiTheme="minorEastAsia" w:hAnsiTheme="minorEastAsia" w:eastAsiaTheme="minorEastAsia"/>
                <w:sz w:val="24"/>
              </w:rPr>
            </w:pPr>
          </w:p>
        </w:tc>
        <w:tc>
          <w:tcPr>
            <w:tcW w:w="993" w:type="dxa"/>
          </w:tcPr>
          <w:p>
            <w:pPr>
              <w:widowControl/>
              <w:spacing w:line="480" w:lineRule="auto"/>
              <w:ind w:firstLine="475" w:firstLineChars="196"/>
              <w:jc w:val="left"/>
              <w:outlineLvl w:val="1"/>
              <w:rPr>
                <w:rFonts w:asciiTheme="minorEastAsia" w:hAnsiTheme="minorEastAsia" w:eastAsiaTheme="minorEastAsia"/>
                <w:sz w:val="24"/>
              </w:rPr>
            </w:pPr>
          </w:p>
        </w:tc>
        <w:tc>
          <w:tcPr>
            <w:tcW w:w="81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line="480" w:lineRule="auto"/>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1291" w:type="dxa"/>
          </w:tcPr>
          <w:p>
            <w:pPr>
              <w:widowControl/>
              <w:spacing w:line="480" w:lineRule="auto"/>
              <w:ind w:firstLine="475" w:firstLineChars="196"/>
              <w:jc w:val="left"/>
              <w:outlineLvl w:val="1"/>
              <w:rPr>
                <w:rFonts w:asciiTheme="minorEastAsia" w:hAnsiTheme="minorEastAsia" w:eastAsiaTheme="minorEastAsia"/>
                <w:sz w:val="24"/>
              </w:rPr>
            </w:pPr>
          </w:p>
        </w:tc>
        <w:tc>
          <w:tcPr>
            <w:tcW w:w="1452" w:type="dxa"/>
          </w:tcPr>
          <w:p>
            <w:pPr>
              <w:widowControl/>
              <w:spacing w:line="480" w:lineRule="auto"/>
              <w:ind w:firstLine="475" w:firstLineChars="196"/>
              <w:jc w:val="left"/>
              <w:outlineLvl w:val="1"/>
              <w:rPr>
                <w:rFonts w:asciiTheme="minorEastAsia" w:hAnsiTheme="minorEastAsia" w:eastAsiaTheme="minorEastAsia"/>
                <w:sz w:val="24"/>
              </w:rPr>
            </w:pPr>
          </w:p>
        </w:tc>
        <w:tc>
          <w:tcPr>
            <w:tcW w:w="992" w:type="dxa"/>
          </w:tcPr>
          <w:p>
            <w:pPr>
              <w:widowControl/>
              <w:spacing w:line="480" w:lineRule="auto"/>
              <w:ind w:firstLine="475" w:firstLineChars="196"/>
              <w:jc w:val="left"/>
              <w:outlineLvl w:val="1"/>
              <w:rPr>
                <w:rFonts w:asciiTheme="minorEastAsia" w:hAnsiTheme="minorEastAsia" w:eastAsiaTheme="minorEastAsia"/>
                <w:sz w:val="24"/>
              </w:rPr>
            </w:pPr>
          </w:p>
        </w:tc>
        <w:tc>
          <w:tcPr>
            <w:tcW w:w="993" w:type="dxa"/>
          </w:tcPr>
          <w:p>
            <w:pPr>
              <w:widowControl/>
              <w:spacing w:line="480" w:lineRule="auto"/>
              <w:ind w:firstLine="475" w:firstLineChars="196"/>
              <w:jc w:val="left"/>
              <w:outlineLvl w:val="1"/>
              <w:rPr>
                <w:rFonts w:asciiTheme="minorEastAsia" w:hAnsiTheme="minorEastAsia" w:eastAsiaTheme="minorEastAsia"/>
                <w:sz w:val="24"/>
              </w:rPr>
            </w:pPr>
          </w:p>
        </w:tc>
        <w:tc>
          <w:tcPr>
            <w:tcW w:w="81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954" w:type="dxa"/>
            <w:vMerge w:val="restart"/>
          </w:tcPr>
          <w:p>
            <w:pPr>
              <w:widowControl/>
              <w:spacing w:line="480" w:lineRule="auto"/>
              <w:jc w:val="left"/>
              <w:outlineLvl w:val="1"/>
              <w:rPr>
                <w:rFonts w:asciiTheme="minorEastAsia" w:hAnsiTheme="minorEastAsia" w:eastAsiaTheme="minorEastAsia"/>
                <w:sz w:val="24"/>
              </w:rPr>
            </w:pPr>
            <w:r>
              <w:rPr>
                <w:rFonts w:hint="eastAsia" w:asciiTheme="minorEastAsia" w:hAnsiTheme="minorEastAsia" w:eastAsiaTheme="minorEastAsia"/>
                <w:sz w:val="24"/>
              </w:rPr>
              <w:t>技术</w:t>
            </w:r>
          </w:p>
          <w:p>
            <w:pPr>
              <w:widowControl/>
              <w:spacing w:line="480" w:lineRule="auto"/>
              <w:jc w:val="left"/>
              <w:outlineLvl w:val="1"/>
              <w:rPr>
                <w:rFonts w:asciiTheme="minorEastAsia" w:hAnsiTheme="minorEastAsia" w:eastAsiaTheme="minorEastAsia"/>
                <w:sz w:val="24"/>
              </w:rPr>
            </w:pPr>
            <w:r>
              <w:rPr>
                <w:rFonts w:hint="eastAsia" w:asciiTheme="minorEastAsia" w:hAnsiTheme="minorEastAsia" w:eastAsiaTheme="minorEastAsia"/>
                <w:sz w:val="24"/>
              </w:rPr>
              <w:t>人员</w:t>
            </w: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1291" w:type="dxa"/>
          </w:tcPr>
          <w:p>
            <w:pPr>
              <w:widowControl/>
              <w:spacing w:line="480" w:lineRule="auto"/>
              <w:ind w:firstLine="475" w:firstLineChars="196"/>
              <w:jc w:val="left"/>
              <w:outlineLvl w:val="1"/>
              <w:rPr>
                <w:rFonts w:asciiTheme="minorEastAsia" w:hAnsiTheme="minorEastAsia" w:eastAsiaTheme="minorEastAsia"/>
                <w:sz w:val="24"/>
              </w:rPr>
            </w:pPr>
          </w:p>
        </w:tc>
        <w:tc>
          <w:tcPr>
            <w:tcW w:w="1452" w:type="dxa"/>
          </w:tcPr>
          <w:p>
            <w:pPr>
              <w:widowControl/>
              <w:spacing w:line="480" w:lineRule="auto"/>
              <w:ind w:firstLine="475" w:firstLineChars="196"/>
              <w:jc w:val="left"/>
              <w:outlineLvl w:val="1"/>
              <w:rPr>
                <w:rFonts w:asciiTheme="minorEastAsia" w:hAnsiTheme="minorEastAsia" w:eastAsiaTheme="minorEastAsia"/>
                <w:sz w:val="24"/>
              </w:rPr>
            </w:pPr>
          </w:p>
        </w:tc>
        <w:tc>
          <w:tcPr>
            <w:tcW w:w="992" w:type="dxa"/>
          </w:tcPr>
          <w:p>
            <w:pPr>
              <w:widowControl/>
              <w:spacing w:line="480" w:lineRule="auto"/>
              <w:ind w:firstLine="475" w:firstLineChars="196"/>
              <w:jc w:val="left"/>
              <w:outlineLvl w:val="1"/>
              <w:rPr>
                <w:rFonts w:asciiTheme="minorEastAsia" w:hAnsiTheme="minorEastAsia" w:eastAsiaTheme="minorEastAsia"/>
                <w:sz w:val="24"/>
              </w:rPr>
            </w:pPr>
          </w:p>
        </w:tc>
        <w:tc>
          <w:tcPr>
            <w:tcW w:w="993" w:type="dxa"/>
          </w:tcPr>
          <w:p>
            <w:pPr>
              <w:widowControl/>
              <w:spacing w:line="480" w:lineRule="auto"/>
              <w:ind w:firstLine="475" w:firstLineChars="196"/>
              <w:jc w:val="left"/>
              <w:outlineLvl w:val="1"/>
              <w:rPr>
                <w:rFonts w:asciiTheme="minorEastAsia" w:hAnsiTheme="minorEastAsia" w:eastAsiaTheme="minorEastAsia"/>
                <w:sz w:val="24"/>
              </w:rPr>
            </w:pPr>
          </w:p>
        </w:tc>
        <w:tc>
          <w:tcPr>
            <w:tcW w:w="81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line="480" w:lineRule="auto"/>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1291" w:type="dxa"/>
          </w:tcPr>
          <w:p>
            <w:pPr>
              <w:widowControl/>
              <w:spacing w:line="480" w:lineRule="auto"/>
              <w:ind w:firstLine="475" w:firstLineChars="196"/>
              <w:jc w:val="left"/>
              <w:outlineLvl w:val="1"/>
              <w:rPr>
                <w:rFonts w:asciiTheme="minorEastAsia" w:hAnsiTheme="minorEastAsia" w:eastAsiaTheme="minorEastAsia"/>
                <w:sz w:val="24"/>
              </w:rPr>
            </w:pPr>
          </w:p>
        </w:tc>
        <w:tc>
          <w:tcPr>
            <w:tcW w:w="1452" w:type="dxa"/>
          </w:tcPr>
          <w:p>
            <w:pPr>
              <w:widowControl/>
              <w:spacing w:line="480" w:lineRule="auto"/>
              <w:ind w:firstLine="475" w:firstLineChars="196"/>
              <w:jc w:val="left"/>
              <w:outlineLvl w:val="1"/>
              <w:rPr>
                <w:rFonts w:asciiTheme="minorEastAsia" w:hAnsiTheme="minorEastAsia" w:eastAsiaTheme="minorEastAsia"/>
                <w:sz w:val="24"/>
              </w:rPr>
            </w:pPr>
          </w:p>
        </w:tc>
        <w:tc>
          <w:tcPr>
            <w:tcW w:w="992" w:type="dxa"/>
          </w:tcPr>
          <w:p>
            <w:pPr>
              <w:widowControl/>
              <w:spacing w:line="480" w:lineRule="auto"/>
              <w:ind w:firstLine="475" w:firstLineChars="196"/>
              <w:jc w:val="left"/>
              <w:outlineLvl w:val="1"/>
              <w:rPr>
                <w:rFonts w:asciiTheme="minorEastAsia" w:hAnsiTheme="minorEastAsia" w:eastAsiaTheme="minorEastAsia"/>
                <w:sz w:val="24"/>
              </w:rPr>
            </w:pPr>
          </w:p>
        </w:tc>
        <w:tc>
          <w:tcPr>
            <w:tcW w:w="993" w:type="dxa"/>
          </w:tcPr>
          <w:p>
            <w:pPr>
              <w:widowControl/>
              <w:spacing w:line="480" w:lineRule="auto"/>
              <w:ind w:firstLine="475" w:firstLineChars="196"/>
              <w:jc w:val="left"/>
              <w:outlineLvl w:val="1"/>
              <w:rPr>
                <w:rFonts w:asciiTheme="minorEastAsia" w:hAnsiTheme="minorEastAsia" w:eastAsiaTheme="minorEastAsia"/>
                <w:sz w:val="24"/>
              </w:rPr>
            </w:pPr>
          </w:p>
        </w:tc>
        <w:tc>
          <w:tcPr>
            <w:tcW w:w="81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line="480" w:lineRule="auto"/>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1291" w:type="dxa"/>
          </w:tcPr>
          <w:p>
            <w:pPr>
              <w:widowControl/>
              <w:spacing w:line="480" w:lineRule="auto"/>
              <w:ind w:firstLine="475" w:firstLineChars="196"/>
              <w:jc w:val="left"/>
              <w:outlineLvl w:val="1"/>
              <w:rPr>
                <w:rFonts w:asciiTheme="minorEastAsia" w:hAnsiTheme="minorEastAsia" w:eastAsiaTheme="minorEastAsia"/>
                <w:sz w:val="24"/>
              </w:rPr>
            </w:pPr>
          </w:p>
        </w:tc>
        <w:tc>
          <w:tcPr>
            <w:tcW w:w="1452" w:type="dxa"/>
          </w:tcPr>
          <w:p>
            <w:pPr>
              <w:widowControl/>
              <w:spacing w:line="480" w:lineRule="auto"/>
              <w:ind w:firstLine="475" w:firstLineChars="196"/>
              <w:jc w:val="left"/>
              <w:outlineLvl w:val="1"/>
              <w:rPr>
                <w:rFonts w:asciiTheme="minorEastAsia" w:hAnsiTheme="minorEastAsia" w:eastAsiaTheme="minorEastAsia"/>
                <w:sz w:val="24"/>
              </w:rPr>
            </w:pPr>
          </w:p>
        </w:tc>
        <w:tc>
          <w:tcPr>
            <w:tcW w:w="992" w:type="dxa"/>
          </w:tcPr>
          <w:p>
            <w:pPr>
              <w:widowControl/>
              <w:spacing w:line="480" w:lineRule="auto"/>
              <w:ind w:firstLine="475" w:firstLineChars="196"/>
              <w:jc w:val="left"/>
              <w:outlineLvl w:val="1"/>
              <w:rPr>
                <w:rFonts w:asciiTheme="minorEastAsia" w:hAnsiTheme="minorEastAsia" w:eastAsiaTheme="minorEastAsia"/>
                <w:sz w:val="24"/>
              </w:rPr>
            </w:pPr>
          </w:p>
        </w:tc>
        <w:tc>
          <w:tcPr>
            <w:tcW w:w="993" w:type="dxa"/>
          </w:tcPr>
          <w:p>
            <w:pPr>
              <w:widowControl/>
              <w:spacing w:line="480" w:lineRule="auto"/>
              <w:ind w:firstLine="475" w:firstLineChars="196"/>
              <w:jc w:val="left"/>
              <w:outlineLvl w:val="1"/>
              <w:rPr>
                <w:rFonts w:asciiTheme="minorEastAsia" w:hAnsiTheme="minorEastAsia" w:eastAsiaTheme="minorEastAsia"/>
                <w:sz w:val="24"/>
              </w:rPr>
            </w:pPr>
          </w:p>
        </w:tc>
        <w:tc>
          <w:tcPr>
            <w:tcW w:w="81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480" w:lineRule="auto"/>
              <w:jc w:val="left"/>
              <w:outlineLvl w:val="1"/>
              <w:rPr>
                <w:rFonts w:asciiTheme="minorEastAsia" w:hAnsiTheme="minorEastAsia" w:eastAsiaTheme="minorEastAsia"/>
                <w:sz w:val="24"/>
              </w:rPr>
            </w:pPr>
            <w:r>
              <w:rPr>
                <w:rFonts w:hint="eastAsia" w:asciiTheme="minorEastAsia" w:hAnsiTheme="minorEastAsia" w:eastAsiaTheme="minorEastAsia"/>
                <w:sz w:val="24"/>
              </w:rPr>
              <w:t>售后服务人员</w:t>
            </w: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1291" w:type="dxa"/>
          </w:tcPr>
          <w:p>
            <w:pPr>
              <w:widowControl/>
              <w:spacing w:line="480" w:lineRule="auto"/>
              <w:ind w:firstLine="475" w:firstLineChars="196"/>
              <w:jc w:val="left"/>
              <w:outlineLvl w:val="1"/>
              <w:rPr>
                <w:rFonts w:asciiTheme="minorEastAsia" w:hAnsiTheme="minorEastAsia" w:eastAsiaTheme="minorEastAsia"/>
                <w:sz w:val="24"/>
              </w:rPr>
            </w:pPr>
          </w:p>
        </w:tc>
        <w:tc>
          <w:tcPr>
            <w:tcW w:w="1452" w:type="dxa"/>
          </w:tcPr>
          <w:p>
            <w:pPr>
              <w:widowControl/>
              <w:spacing w:line="480" w:lineRule="auto"/>
              <w:ind w:firstLine="475" w:firstLineChars="196"/>
              <w:jc w:val="left"/>
              <w:outlineLvl w:val="1"/>
              <w:rPr>
                <w:rFonts w:asciiTheme="minorEastAsia" w:hAnsiTheme="minorEastAsia" w:eastAsiaTheme="minorEastAsia"/>
                <w:sz w:val="24"/>
              </w:rPr>
            </w:pPr>
          </w:p>
        </w:tc>
        <w:tc>
          <w:tcPr>
            <w:tcW w:w="992" w:type="dxa"/>
          </w:tcPr>
          <w:p>
            <w:pPr>
              <w:widowControl/>
              <w:spacing w:line="480" w:lineRule="auto"/>
              <w:ind w:firstLine="475" w:firstLineChars="196"/>
              <w:jc w:val="left"/>
              <w:outlineLvl w:val="1"/>
              <w:rPr>
                <w:rFonts w:asciiTheme="minorEastAsia" w:hAnsiTheme="minorEastAsia" w:eastAsiaTheme="minorEastAsia"/>
                <w:sz w:val="24"/>
              </w:rPr>
            </w:pPr>
          </w:p>
        </w:tc>
        <w:tc>
          <w:tcPr>
            <w:tcW w:w="993" w:type="dxa"/>
          </w:tcPr>
          <w:p>
            <w:pPr>
              <w:widowControl/>
              <w:spacing w:line="480" w:lineRule="auto"/>
              <w:ind w:firstLine="475" w:firstLineChars="196"/>
              <w:jc w:val="left"/>
              <w:outlineLvl w:val="1"/>
              <w:rPr>
                <w:rFonts w:asciiTheme="minorEastAsia" w:hAnsiTheme="minorEastAsia" w:eastAsiaTheme="minorEastAsia"/>
                <w:sz w:val="24"/>
              </w:rPr>
            </w:pPr>
          </w:p>
        </w:tc>
        <w:tc>
          <w:tcPr>
            <w:tcW w:w="815" w:type="dxa"/>
          </w:tcPr>
          <w:p>
            <w:pPr>
              <w:widowControl/>
              <w:spacing w:line="480" w:lineRule="auto"/>
              <w:ind w:firstLine="475" w:firstLineChars="196"/>
              <w:jc w:val="left"/>
              <w:outlineLvl w:val="1"/>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spacing w:line="480" w:lineRule="auto"/>
              <w:rPr>
                <w:rFonts w:asciiTheme="minorEastAsia" w:hAnsiTheme="minorEastAsia" w:eastAsiaTheme="minorEastAsia"/>
                <w:sz w:val="24"/>
              </w:rPr>
            </w:pPr>
          </w:p>
        </w:tc>
        <w:tc>
          <w:tcPr>
            <w:tcW w:w="807" w:type="dxa"/>
            <w:tcBorders>
              <w:bottom w:val="single" w:color="auto" w:sz="4" w:space="0"/>
            </w:tcBorders>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807" w:type="dxa"/>
          </w:tcPr>
          <w:p>
            <w:pPr>
              <w:widowControl/>
              <w:spacing w:line="480" w:lineRule="auto"/>
              <w:ind w:firstLine="475" w:firstLineChars="196"/>
              <w:jc w:val="left"/>
              <w:outlineLvl w:val="1"/>
              <w:rPr>
                <w:rFonts w:asciiTheme="minorEastAsia" w:hAnsiTheme="minorEastAsia" w:eastAsiaTheme="minorEastAsia"/>
                <w:sz w:val="24"/>
              </w:rPr>
            </w:pPr>
          </w:p>
        </w:tc>
        <w:tc>
          <w:tcPr>
            <w:tcW w:w="1291" w:type="dxa"/>
          </w:tcPr>
          <w:p>
            <w:pPr>
              <w:widowControl/>
              <w:spacing w:line="480" w:lineRule="auto"/>
              <w:ind w:firstLine="475" w:firstLineChars="196"/>
              <w:jc w:val="left"/>
              <w:outlineLvl w:val="1"/>
              <w:rPr>
                <w:rFonts w:asciiTheme="minorEastAsia" w:hAnsiTheme="minorEastAsia" w:eastAsiaTheme="minorEastAsia"/>
                <w:sz w:val="24"/>
              </w:rPr>
            </w:pPr>
          </w:p>
        </w:tc>
        <w:tc>
          <w:tcPr>
            <w:tcW w:w="1452" w:type="dxa"/>
          </w:tcPr>
          <w:p>
            <w:pPr>
              <w:widowControl/>
              <w:spacing w:line="480" w:lineRule="auto"/>
              <w:ind w:firstLine="475" w:firstLineChars="196"/>
              <w:jc w:val="left"/>
              <w:outlineLvl w:val="1"/>
              <w:rPr>
                <w:rFonts w:asciiTheme="minorEastAsia" w:hAnsiTheme="minorEastAsia" w:eastAsiaTheme="minorEastAsia"/>
                <w:sz w:val="24"/>
              </w:rPr>
            </w:pPr>
          </w:p>
        </w:tc>
        <w:tc>
          <w:tcPr>
            <w:tcW w:w="992" w:type="dxa"/>
          </w:tcPr>
          <w:p>
            <w:pPr>
              <w:widowControl/>
              <w:spacing w:line="480" w:lineRule="auto"/>
              <w:ind w:firstLine="475" w:firstLineChars="196"/>
              <w:jc w:val="left"/>
              <w:outlineLvl w:val="1"/>
              <w:rPr>
                <w:rFonts w:asciiTheme="minorEastAsia" w:hAnsiTheme="minorEastAsia" w:eastAsiaTheme="minorEastAsia"/>
                <w:sz w:val="24"/>
              </w:rPr>
            </w:pPr>
          </w:p>
        </w:tc>
        <w:tc>
          <w:tcPr>
            <w:tcW w:w="993" w:type="dxa"/>
          </w:tcPr>
          <w:p>
            <w:pPr>
              <w:widowControl/>
              <w:spacing w:line="480" w:lineRule="auto"/>
              <w:ind w:firstLine="475" w:firstLineChars="196"/>
              <w:jc w:val="left"/>
              <w:outlineLvl w:val="1"/>
              <w:rPr>
                <w:rFonts w:asciiTheme="minorEastAsia" w:hAnsiTheme="minorEastAsia" w:eastAsiaTheme="minorEastAsia"/>
                <w:sz w:val="24"/>
              </w:rPr>
            </w:pPr>
          </w:p>
        </w:tc>
        <w:tc>
          <w:tcPr>
            <w:tcW w:w="815" w:type="dxa"/>
          </w:tcPr>
          <w:p>
            <w:pPr>
              <w:widowControl/>
              <w:spacing w:line="480" w:lineRule="auto"/>
              <w:ind w:firstLine="475" w:firstLineChars="196"/>
              <w:jc w:val="left"/>
              <w:outlineLvl w:val="1"/>
              <w:rPr>
                <w:rFonts w:asciiTheme="minorEastAsia" w:hAnsiTheme="minorEastAsia" w:eastAsiaTheme="minorEastAsia"/>
                <w:sz w:val="24"/>
              </w:rPr>
            </w:pPr>
          </w:p>
        </w:tc>
      </w:tr>
    </w:tbl>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投标人名称：XXXX（单位盖章）。</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投标日期: XXXX。</w:t>
      </w: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rPr>
      </w:pPr>
    </w:p>
    <w:p>
      <w:pPr>
        <w:widowControl/>
        <w:spacing w:line="360" w:lineRule="atLeast"/>
        <w:jc w:val="left"/>
        <w:outlineLvl w:val="1"/>
        <w:rPr>
          <w:rFonts w:asciiTheme="minorEastAsia" w:hAnsiTheme="minorEastAsia" w:eastAsiaTheme="minorEastAsia"/>
          <w:b/>
          <w:sz w:val="28"/>
          <w:szCs w:val="28"/>
        </w:rPr>
      </w:pPr>
      <w:bookmarkStart w:id="130" w:name="_Toc489965590"/>
      <w:r>
        <w:rPr>
          <w:rFonts w:asciiTheme="minorEastAsia" w:hAnsiTheme="minorEastAsia" w:eastAsiaTheme="minorEastAsia"/>
          <w:sz w:val="36"/>
          <w:szCs w:val="36"/>
        </w:rPr>
        <w:br w:type="page"/>
      </w:r>
      <w:r>
        <w:rPr>
          <w:rFonts w:hint="eastAsia" w:asciiTheme="minorEastAsia" w:hAnsiTheme="minorEastAsia" w:eastAsiaTheme="minorEastAsia"/>
          <w:b/>
          <w:sz w:val="24"/>
        </w:rPr>
        <w:t>格式2-12</w:t>
      </w: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供应商诚信情况承诺函</w:t>
      </w:r>
    </w:p>
    <w:p>
      <w:pPr>
        <w:spacing w:line="360" w:lineRule="auto"/>
        <w:jc w:val="left"/>
        <w:rPr>
          <w:rFonts w:asciiTheme="minorEastAsia" w:hAnsiTheme="minorEastAsia" w:eastAsiaTheme="minorEastAsia"/>
        </w:rPr>
      </w:pP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四川中久招标代理有限公司：</w:t>
      </w:r>
    </w:p>
    <w:p>
      <w:pPr>
        <w:spacing w:line="360" w:lineRule="auto"/>
        <w:rPr>
          <w:rFonts w:asciiTheme="minorEastAsia" w:hAnsiTheme="minorEastAsia" w:eastAsiaTheme="minorEastAsia"/>
          <w:sz w:val="24"/>
        </w:rPr>
      </w:pPr>
      <w:r>
        <w:rPr>
          <w:rFonts w:hint="eastAsia" w:asciiTheme="minorEastAsia" w:hAnsiTheme="minorEastAsia" w:eastAsiaTheme="minorEastAsia"/>
          <w:bCs/>
          <w:sz w:val="24"/>
        </w:rPr>
        <w:t xml:space="preserve">    本单位</w:t>
      </w:r>
      <w:r>
        <w:rPr>
          <w:rFonts w:hint="eastAsia" w:asciiTheme="minorEastAsia" w:hAnsiTheme="minorEastAsia" w:eastAsiaTheme="minorEastAsia"/>
          <w:bCs/>
          <w:sz w:val="24"/>
          <w:u w:val="single"/>
        </w:rPr>
        <w:t xml:space="preserve">                   （供应商名称）</w:t>
      </w:r>
      <w:r>
        <w:rPr>
          <w:rFonts w:hint="eastAsia" w:asciiTheme="minorEastAsia" w:hAnsiTheme="minorEastAsia" w:eastAsiaTheme="minorEastAsia"/>
          <w:bCs/>
          <w:sz w:val="24"/>
        </w:rPr>
        <w:t xml:space="preserve">参加 </w:t>
      </w:r>
      <w:r>
        <w:rPr>
          <w:rFonts w:hint="eastAsia" w:asciiTheme="minorEastAsia" w:hAnsiTheme="minorEastAsia" w:eastAsiaTheme="minorEastAsia"/>
          <w:bCs/>
          <w:sz w:val="24"/>
          <w:u w:val="single"/>
        </w:rPr>
        <w:t xml:space="preserve">                （项目名称及招标编号）</w:t>
      </w:r>
      <w:r>
        <w:rPr>
          <w:rFonts w:hint="eastAsia" w:asciiTheme="minorEastAsia" w:hAnsiTheme="minorEastAsia" w:eastAsiaTheme="minorEastAsia"/>
          <w:bCs/>
          <w:sz w:val="24"/>
        </w:rPr>
        <w:t>的政府采购活动，</w:t>
      </w:r>
      <w:r>
        <w:rPr>
          <w:rFonts w:hint="eastAsia" w:asciiTheme="minorEastAsia" w:hAnsiTheme="minorEastAsia" w:eastAsiaTheme="minorEastAsia"/>
          <w:sz w:val="24"/>
        </w:rPr>
        <w:t>现根据《</w:t>
      </w:r>
      <w:r>
        <w:rPr>
          <w:rFonts w:asciiTheme="minorEastAsia" w:hAnsiTheme="minorEastAsia" w:eastAsiaTheme="minorEastAsia"/>
          <w:sz w:val="24"/>
        </w:rPr>
        <w:t>四川省政府采购当事人诚信管理办法</w:t>
      </w:r>
      <w:r>
        <w:rPr>
          <w:rFonts w:hint="eastAsia" w:asciiTheme="minorEastAsia" w:hAnsiTheme="minorEastAsia" w:eastAsiaTheme="minorEastAsia"/>
          <w:sz w:val="24"/>
        </w:rPr>
        <w:t>》川财采〔2015〕33号的相关规定，针</w:t>
      </w:r>
      <w:r>
        <w:rPr>
          <w:rFonts w:hint="eastAsia" w:asciiTheme="minorEastAsia" w:hAnsiTheme="minorEastAsia" w:eastAsiaTheme="minorEastAsia"/>
          <w:bCs/>
          <w:sz w:val="24"/>
        </w:rPr>
        <w:t>对本单位的诚信情况作出以下承诺：</w:t>
      </w:r>
    </w:p>
    <w:p>
      <w:pPr>
        <w:spacing w:line="360" w:lineRule="auto"/>
        <w:ind w:firstLine="486" w:firstLineChars="200"/>
        <w:rPr>
          <w:rFonts w:asciiTheme="minorEastAsia" w:hAnsiTheme="minorEastAsia" w:eastAsiaTheme="minorEastAsia"/>
          <w:bCs/>
          <w:sz w:val="24"/>
        </w:rPr>
      </w:pPr>
    </w:p>
    <w:p>
      <w:pPr>
        <w:spacing w:line="360" w:lineRule="auto"/>
        <w:ind w:firstLine="486" w:firstLineChars="200"/>
        <w:rPr>
          <w:rFonts w:asciiTheme="minorEastAsia" w:hAnsiTheme="minorEastAsia" w:eastAsiaTheme="minorEastAsia"/>
          <w:bCs/>
          <w:sz w:val="24"/>
        </w:rPr>
      </w:pPr>
      <w:r>
        <w:rPr>
          <w:rFonts w:hint="eastAsia" w:asciiTheme="minorEastAsia" w:hAnsiTheme="minorEastAsia" w:eastAsiaTheme="minorEastAsia"/>
          <w:bCs/>
          <w:sz w:val="24"/>
        </w:rPr>
        <w:t>我单位具有</w:t>
      </w:r>
      <w:r>
        <w:rPr>
          <w:rFonts w:hint="eastAsia" w:asciiTheme="minorEastAsia" w:hAnsiTheme="minorEastAsia" w:eastAsiaTheme="minorEastAsia"/>
          <w:sz w:val="24"/>
        </w:rPr>
        <w:t>《四川省政府采购当事人诚信管理办法》（川财采[2015]33号）所规定的失信行为次（填写失信行为的次数时，建议使用大写数字，如零、壹、贰、叁、肆等。）；</w:t>
      </w:r>
      <w:r>
        <w:rPr>
          <w:rFonts w:hint="eastAsia" w:asciiTheme="minorEastAsia" w:hAnsiTheme="minorEastAsia" w:eastAsiaTheme="minorEastAsia"/>
          <w:bCs/>
          <w:sz w:val="24"/>
        </w:rPr>
        <w:t>（仅限投标截止当日仍在有效期的次数）</w:t>
      </w:r>
    </w:p>
    <w:p>
      <w:pPr>
        <w:spacing w:line="360" w:lineRule="auto"/>
        <w:ind w:firstLine="486" w:firstLineChars="200"/>
        <w:rPr>
          <w:rFonts w:asciiTheme="minorEastAsia" w:hAnsiTheme="minorEastAsia" w:eastAsiaTheme="minorEastAsia"/>
          <w:sz w:val="24"/>
        </w:rPr>
      </w:pPr>
    </w:p>
    <w:p>
      <w:pPr>
        <w:spacing w:line="360" w:lineRule="auto"/>
        <w:ind w:firstLine="486" w:firstLineChars="200"/>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bCs/>
          <w:sz w:val="24"/>
        </w:rPr>
        <w:t>单位</w:t>
      </w:r>
      <w:r>
        <w:rPr>
          <w:rFonts w:hint="eastAsia" w:asciiTheme="minorEastAsia" w:hAnsiTheme="minorEastAsia" w:eastAsiaTheme="minorEastAsia"/>
          <w:sz w:val="24"/>
        </w:rPr>
        <w:t>对以上填写信息的真实性负责。如有不实，本</w:t>
      </w:r>
      <w:r>
        <w:rPr>
          <w:rFonts w:hint="eastAsia" w:asciiTheme="minorEastAsia" w:hAnsiTheme="minorEastAsia" w:eastAsiaTheme="minorEastAsia"/>
          <w:bCs/>
          <w:sz w:val="24"/>
        </w:rPr>
        <w:t>单位</w:t>
      </w:r>
      <w:r>
        <w:rPr>
          <w:rFonts w:hint="eastAsia" w:asciiTheme="minorEastAsia" w:hAnsiTheme="minorEastAsia" w:eastAsiaTheme="minorEastAsia"/>
          <w:sz w:val="24"/>
        </w:rPr>
        <w:t>愿承担由此产生的一切法律责任和后果。</w:t>
      </w:r>
    </w:p>
    <w:p>
      <w:pPr>
        <w:spacing w:line="360" w:lineRule="auto"/>
        <w:rPr>
          <w:rFonts w:asciiTheme="minorEastAsia" w:hAnsiTheme="minorEastAsia" w:eastAsiaTheme="minorEastAsia"/>
          <w:bCs/>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投标人名称：XXXX（单位盖章）。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法定代表人/主要负责人或授权代表（签字或加盖个人名章）：XXXX。</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投标日期: XXXX。</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注：</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1、本表格式及内容仅供参考，投标人也可提供自己的格式；</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2、投标人存在以上所述失信行为的，将按照</w:t>
      </w:r>
      <w:r>
        <w:rPr>
          <w:rFonts w:hint="eastAsia" w:asciiTheme="minorEastAsia" w:hAnsiTheme="minorEastAsia" w:eastAsiaTheme="minorEastAsia"/>
          <w:sz w:val="24"/>
        </w:rPr>
        <w:t>第二章投标人须知附表的要求进行处理；</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bCs/>
          <w:sz w:val="24"/>
        </w:rPr>
        <w:t>3、</w:t>
      </w:r>
      <w:r>
        <w:rPr>
          <w:rFonts w:asciiTheme="minorEastAsia" w:hAnsiTheme="minorEastAsia" w:eastAsiaTheme="minorEastAsia"/>
          <w:bCs/>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Theme="minorEastAsia" w:hAnsiTheme="minorEastAsia" w:eastAsiaTheme="minorEastAsia"/>
          <w:kern w:val="0"/>
          <w:sz w:val="24"/>
        </w:rPr>
        <w:t>确了有效期的，不再重复计算。</w:t>
      </w:r>
    </w:p>
    <w:p>
      <w:pPr>
        <w:pStyle w:val="10"/>
        <w:rPr>
          <w:rFonts w:asciiTheme="minorEastAsia" w:hAnsiTheme="minorEastAsia" w:eastAsiaTheme="minorEastAsia"/>
          <w:kern w:val="0"/>
          <w:szCs w:val="21"/>
        </w:rPr>
      </w:pPr>
    </w:p>
    <w:p>
      <w:r>
        <w:br w:type="page"/>
      </w:r>
    </w:p>
    <w:p>
      <w:pPr>
        <w:widowControl/>
        <w:spacing w:line="480" w:lineRule="auto"/>
        <w:jc w:val="left"/>
        <w:outlineLvl w:val="1"/>
        <w:rPr>
          <w:rFonts w:asciiTheme="minorEastAsia" w:hAnsiTheme="minorEastAsia"/>
          <w:b/>
          <w:sz w:val="24"/>
        </w:rPr>
      </w:pPr>
      <w:r>
        <w:rPr>
          <w:rFonts w:hint="eastAsia" w:asciiTheme="minorEastAsia" w:hAnsiTheme="minorEastAsia"/>
          <w:b/>
          <w:sz w:val="24"/>
        </w:rPr>
        <w:t>格式2-13</w:t>
      </w:r>
    </w:p>
    <w:p>
      <w:pPr>
        <w:jc w:val="center"/>
        <w:outlineLvl w:val="1"/>
        <w:rPr>
          <w:rFonts w:ascii="宋体" w:hAnsi="宋体" w:cs="宋体"/>
          <w:b/>
          <w:bCs/>
          <w:kern w:val="0"/>
          <w:sz w:val="24"/>
        </w:rPr>
      </w:pPr>
      <w:r>
        <w:rPr>
          <w:rFonts w:hint="eastAsia" w:ascii="宋体" w:hAnsi="宋体" w:cs="宋体"/>
          <w:b/>
          <w:bCs/>
          <w:kern w:val="0"/>
          <w:sz w:val="24"/>
        </w:rPr>
        <w:t>知识产权声明函</w:t>
      </w:r>
    </w:p>
    <w:p>
      <w:pPr>
        <w:jc w:val="center"/>
        <w:outlineLvl w:val="1"/>
        <w:rPr>
          <w:rFonts w:ascii="宋体" w:hAnsi="宋体" w:cs="宋体"/>
          <w:b/>
          <w:bCs/>
          <w:kern w:val="0"/>
          <w:sz w:val="24"/>
        </w:rPr>
      </w:pPr>
      <w:r>
        <w:rPr>
          <w:rFonts w:hint="eastAsia" w:ascii="宋体" w:hAnsi="宋体" w:cs="宋体"/>
          <w:b/>
          <w:bCs/>
          <w:kern w:val="0"/>
          <w:sz w:val="24"/>
        </w:rPr>
        <w:t>（</w:t>
      </w:r>
      <w:r>
        <w:rPr>
          <w:rFonts w:hint="eastAsia" w:ascii="宋体" w:hAnsi="宋体" w:cs="宋体"/>
          <w:b/>
          <w:bCs/>
          <w:kern w:val="0"/>
          <w:sz w:val="24"/>
          <w:lang w:val="zh-CN"/>
        </w:rPr>
        <w:t>如不涉及可不提供</w:t>
      </w:r>
      <w:r>
        <w:rPr>
          <w:rFonts w:hint="eastAsia" w:ascii="宋体" w:hAnsi="宋体" w:cs="宋体"/>
          <w:b/>
          <w:bCs/>
          <w:kern w:val="0"/>
          <w:sz w:val="24"/>
        </w:rPr>
        <w:t>）</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四川中久招标代理有限公司</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    本单位__________________（公司名称）参加__________________（项目名称）的投标活动，现承诺声明：</w:t>
      </w:r>
    </w:p>
    <w:p>
      <w:pPr>
        <w:spacing w:line="360" w:lineRule="auto"/>
        <w:ind w:firstLine="486" w:firstLineChars="200"/>
        <w:rPr>
          <w:rFonts w:asciiTheme="minorEastAsia" w:hAnsiTheme="minorEastAsia" w:eastAsiaTheme="minorEastAsia"/>
          <w:bCs/>
          <w:sz w:val="24"/>
        </w:rPr>
      </w:pPr>
      <w:r>
        <w:rPr>
          <w:rFonts w:hint="eastAsia" w:asciiTheme="minorEastAsia" w:hAnsiTheme="minorEastAsia" w:eastAsiaTheme="minorEastAsia"/>
          <w:bCs/>
          <w:sz w:val="24"/>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360" w:lineRule="auto"/>
        <w:ind w:firstLine="486" w:firstLineChars="200"/>
        <w:rPr>
          <w:rFonts w:asciiTheme="minorEastAsia" w:hAnsiTheme="minorEastAsia" w:eastAsiaTheme="minorEastAsia"/>
          <w:bCs/>
          <w:sz w:val="24"/>
        </w:rPr>
      </w:pPr>
      <w:r>
        <w:rPr>
          <w:rFonts w:hint="eastAsia" w:asciiTheme="minorEastAsia" w:hAnsiTheme="minorEastAsia" w:eastAsiaTheme="minorEastAsia"/>
          <w:bCs/>
          <w:sz w:val="24"/>
        </w:rPr>
        <w:t>2、采购人享有本项目实施过程中产生的知识成果及知识产权。</w:t>
      </w:r>
    </w:p>
    <w:p>
      <w:pPr>
        <w:spacing w:line="360" w:lineRule="auto"/>
        <w:ind w:firstLine="486" w:firstLineChars="200"/>
        <w:rPr>
          <w:rFonts w:asciiTheme="minorEastAsia" w:hAnsiTheme="minorEastAsia" w:eastAsiaTheme="minorEastAsia"/>
          <w:bCs/>
          <w:sz w:val="24"/>
        </w:rPr>
      </w:pPr>
      <w:r>
        <w:rPr>
          <w:rFonts w:hint="eastAsia" w:asciiTheme="minorEastAsia" w:hAnsiTheme="minorEastAsia" w:eastAsiaTheme="minorEastAsia"/>
          <w:bCs/>
          <w:sz w:val="24"/>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及投标人自有知识成果后续升级的使用权）。</w:t>
      </w:r>
    </w:p>
    <w:p>
      <w:pPr>
        <w:spacing w:line="360" w:lineRule="auto"/>
        <w:ind w:firstLine="486" w:firstLineChars="200"/>
        <w:rPr>
          <w:rFonts w:asciiTheme="minorEastAsia" w:hAnsiTheme="minorEastAsia" w:eastAsiaTheme="minorEastAsia"/>
          <w:bCs/>
          <w:sz w:val="24"/>
        </w:rPr>
      </w:pPr>
      <w:r>
        <w:rPr>
          <w:rFonts w:hint="eastAsia" w:asciiTheme="minorEastAsia" w:hAnsiTheme="minorEastAsia" w:eastAsiaTheme="minorEastAsia"/>
          <w:bCs/>
          <w:sz w:val="24"/>
        </w:rPr>
        <w:t>4、如采用本单位所不拥有的知识产权，本单位承诺在本项目报价中已经包括合法获取该知识产权的相关费用。</w:t>
      </w:r>
    </w:p>
    <w:p>
      <w:pPr>
        <w:spacing w:line="360" w:lineRule="auto"/>
        <w:rPr>
          <w:rFonts w:asciiTheme="minorEastAsia" w:hAnsiTheme="minorEastAsia" w:eastAsiaTheme="minorEastAsia"/>
          <w:bCs/>
          <w:sz w:val="24"/>
        </w:rPr>
      </w:pPr>
    </w:p>
    <w:p>
      <w:pPr>
        <w:spacing w:line="360" w:lineRule="auto"/>
        <w:ind w:left="699" w:leftChars="100" w:hanging="486" w:hangingChars="200"/>
        <w:rPr>
          <w:rFonts w:asciiTheme="minorEastAsia" w:hAnsiTheme="minorEastAsia" w:eastAsiaTheme="minorEastAsia"/>
          <w:bCs/>
          <w:sz w:val="24"/>
        </w:rPr>
      </w:pPr>
      <w:r>
        <w:rPr>
          <w:rFonts w:hint="eastAsia" w:asciiTheme="minorEastAsia" w:hAnsiTheme="minorEastAsia" w:eastAsiaTheme="minorEastAsia"/>
          <w:bCs/>
          <w:sz w:val="24"/>
        </w:rPr>
        <w:t>注：1、本单位对上述承诺声明内容事项真实性负责。如经查实上述承诺声明的内容事项存在虚假或未履行，本单位愿意接受以提供虚假材料谋取中标追究法律责任。</w:t>
      </w:r>
    </w:p>
    <w:p>
      <w:pPr>
        <w:spacing w:line="360" w:lineRule="auto"/>
        <w:ind w:firstLine="729" w:firstLineChars="300"/>
        <w:rPr>
          <w:rFonts w:asciiTheme="minorEastAsia" w:hAnsiTheme="minorEastAsia" w:eastAsiaTheme="minorEastAsia"/>
          <w:bCs/>
          <w:sz w:val="24"/>
        </w:rPr>
      </w:pPr>
      <w:r>
        <w:rPr>
          <w:rFonts w:hint="eastAsia" w:asciiTheme="minorEastAsia" w:hAnsiTheme="minorEastAsia" w:eastAsiaTheme="minorEastAsia"/>
          <w:bCs/>
          <w:sz w:val="24"/>
        </w:rPr>
        <w:t>2、如供应商提供承诺函后，再发生知识产权纠纷，则全部责任由供应商负责。</w:t>
      </w:r>
    </w:p>
    <w:p>
      <w:pPr>
        <w:spacing w:line="360" w:lineRule="auto"/>
        <w:rPr>
          <w:rFonts w:asciiTheme="minorEastAsia" w:hAnsiTheme="minorEastAsia" w:eastAsiaTheme="minorEastAsia"/>
          <w:bCs/>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供应商名称：__________________（盖章）</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日期：</w:t>
      </w:r>
    </w:p>
    <w:p>
      <w:pPr>
        <w:sectPr>
          <w:footerReference r:id="rId7" w:type="default"/>
          <w:pgSz w:w="11906" w:h="16838"/>
          <w:pgMar w:top="1440" w:right="1587" w:bottom="1440" w:left="1627" w:header="850" w:footer="992" w:gutter="0"/>
          <w:pgNumType w:start="35"/>
          <w:cols w:space="720" w:num="1"/>
          <w:docGrid w:type="linesAndChars" w:linePitch="317" w:charSpace="640"/>
        </w:sectPr>
      </w:pPr>
      <w:r>
        <w:br w:type="page"/>
      </w:r>
    </w:p>
    <w:p>
      <w:pPr>
        <w:widowControl/>
        <w:jc w:val="left"/>
        <w:rPr>
          <w:rFonts w:asciiTheme="minorEastAsia" w:hAnsiTheme="minorEastAsia" w:eastAsiaTheme="minorEastAsia"/>
          <w:b/>
          <w:sz w:val="24"/>
        </w:rPr>
      </w:pPr>
      <w:r>
        <w:rPr>
          <w:rFonts w:hint="eastAsia" w:asciiTheme="minorEastAsia" w:hAnsiTheme="minorEastAsia" w:eastAsiaTheme="minorEastAsia"/>
          <w:b/>
          <w:sz w:val="24"/>
        </w:rPr>
        <w:t>格式2-14</w:t>
      </w:r>
    </w:p>
    <w:p>
      <w:pPr>
        <w:widowControl/>
        <w:jc w:val="left"/>
        <w:rPr>
          <w:rFonts w:asciiTheme="minorEastAsia" w:hAnsiTheme="minorEastAsia" w:eastAsiaTheme="minorEastAsia"/>
          <w:b/>
          <w:sz w:val="24"/>
        </w:rPr>
      </w:pPr>
    </w:p>
    <w:p>
      <w:pPr>
        <w:widowControl/>
        <w:jc w:val="left"/>
        <w:rPr>
          <w:rFonts w:asciiTheme="minorEastAsia" w:hAnsiTheme="minorEastAsia" w:eastAsiaTheme="minorEastAsia"/>
          <w:b/>
          <w:sz w:val="24"/>
        </w:rPr>
      </w:pPr>
    </w:p>
    <w:p>
      <w:pPr>
        <w:spacing w:line="480" w:lineRule="auto"/>
        <w:jc w:val="center"/>
        <w:rPr>
          <w:rFonts w:asciiTheme="minorEastAsia" w:hAnsiTheme="minorEastAsia" w:eastAsiaTheme="minorEastAsia"/>
          <w:b/>
          <w:sz w:val="28"/>
          <w:szCs w:val="28"/>
        </w:rPr>
      </w:pPr>
    </w:p>
    <w:p>
      <w:pPr>
        <w:spacing w:line="48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技术方案、项目实施方案等招标文件要求的其他资料及证明材料或投标人认为必要的其他补充材料</w:t>
      </w:r>
    </w:p>
    <w:p>
      <w:pPr>
        <w:spacing w:line="480" w:lineRule="auto"/>
        <w:jc w:val="center"/>
        <w:rPr>
          <w:rFonts w:asciiTheme="minorEastAsia" w:hAnsiTheme="minorEastAsia" w:eastAsiaTheme="minorEastAsia"/>
          <w:b/>
          <w:sz w:val="28"/>
          <w:szCs w:val="28"/>
        </w:rPr>
      </w:pPr>
    </w:p>
    <w:p>
      <w:pPr>
        <w:spacing w:line="48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【由</w:t>
      </w:r>
      <w:r>
        <w:rPr>
          <w:rFonts w:asciiTheme="minorEastAsia" w:hAnsiTheme="minorEastAsia" w:eastAsiaTheme="minorEastAsia"/>
          <w:b/>
          <w:sz w:val="28"/>
          <w:szCs w:val="28"/>
        </w:rPr>
        <w:t>投标人填写相关内容</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格式自拟</w:t>
      </w:r>
      <w:r>
        <w:rPr>
          <w:rFonts w:hint="eastAsia" w:asciiTheme="minorEastAsia" w:hAnsiTheme="minorEastAsia" w:eastAsiaTheme="minorEastAsia"/>
          <w:b/>
          <w:sz w:val="28"/>
          <w:szCs w:val="28"/>
        </w:rPr>
        <w:t>】</w:t>
      </w:r>
    </w:p>
    <w:p>
      <w:pPr>
        <w:widowControl/>
        <w:jc w:val="left"/>
        <w:rPr>
          <w:rFonts w:asciiTheme="minorEastAsia" w:hAnsiTheme="minorEastAsia" w:eastAsiaTheme="minorEastAsia"/>
          <w:b/>
          <w:bCs/>
          <w:kern w:val="44"/>
          <w:sz w:val="32"/>
          <w:szCs w:val="36"/>
        </w:rPr>
      </w:pPr>
      <w:r>
        <w:rPr>
          <w:rFonts w:asciiTheme="minorEastAsia" w:hAnsiTheme="minorEastAsia" w:eastAsiaTheme="minorEastAsia"/>
          <w:sz w:val="32"/>
          <w:szCs w:val="36"/>
        </w:rPr>
        <w:br w:type="page"/>
      </w:r>
    </w:p>
    <w:p>
      <w:pPr>
        <w:pStyle w:val="3"/>
        <w:spacing w:line="480" w:lineRule="auto"/>
        <w:jc w:val="center"/>
        <w:rPr>
          <w:rFonts w:asciiTheme="minorEastAsia" w:hAnsiTheme="minorEastAsia" w:eastAsiaTheme="minorEastAsia"/>
          <w:sz w:val="32"/>
          <w:szCs w:val="36"/>
        </w:rPr>
      </w:pPr>
      <w:r>
        <w:rPr>
          <w:rFonts w:hint="eastAsia" w:asciiTheme="minorEastAsia" w:hAnsiTheme="minorEastAsia" w:eastAsiaTheme="minorEastAsia"/>
          <w:sz w:val="32"/>
          <w:szCs w:val="36"/>
        </w:rPr>
        <w:t>第四章  投标人和投标产品的资格、资质性</w:t>
      </w:r>
      <w:bookmarkEnd w:id="130"/>
      <w:bookmarkStart w:id="131" w:name="_Toc489965591"/>
      <w:r>
        <w:rPr>
          <w:rFonts w:hint="eastAsia" w:asciiTheme="minorEastAsia" w:hAnsiTheme="minorEastAsia" w:eastAsiaTheme="minorEastAsia"/>
          <w:sz w:val="32"/>
          <w:szCs w:val="36"/>
        </w:rPr>
        <w:t>及其他类似效力要求</w:t>
      </w:r>
      <w:bookmarkEnd w:id="131"/>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一、投标人资格、资质性及其他类似效力要求</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1.具有独立承担民事责任的能力；</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2.具有良好的商业信誉和健全的财务会计制度；</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3.具有履行合同所必须的设备和专业技术能力；</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4.具有依法缴纳税收和社会保障资金的良好记录；</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5.参加本次政府采购活动前三年内，在经营活动中没有重大违法记录；</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6.法律、行政法规规定的其他条件；</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7.采购人根据采购项目提出的特殊条件：</w:t>
      </w:r>
    </w:p>
    <w:p>
      <w:pPr>
        <w:pStyle w:val="45"/>
        <w:ind w:firstLine="436" w:firstLineChars="182"/>
        <w:rPr>
          <w:rFonts w:asciiTheme="minorEastAsia" w:hAnsiTheme="minorEastAsia" w:eastAsiaTheme="minorEastAsia"/>
          <w:sz w:val="24"/>
        </w:rPr>
      </w:pPr>
      <w:r>
        <w:rPr>
          <w:rFonts w:hint="eastAsia" w:asciiTheme="minorEastAsia" w:hAnsiTheme="minorEastAsia" w:eastAsiaTheme="minorEastAsia"/>
          <w:sz w:val="24"/>
        </w:rPr>
        <w:t>（1）本项目不接受联合体投标。</w:t>
      </w:r>
    </w:p>
    <w:p>
      <w:pPr>
        <w:spacing w:line="360" w:lineRule="auto"/>
        <w:rPr>
          <w:rFonts w:asciiTheme="minorEastAsia" w:hAnsiTheme="minorEastAsia" w:eastAsiaTheme="minorEastAsia"/>
          <w:b/>
          <w:sz w:val="24"/>
        </w:rPr>
      </w:pPr>
      <w:r>
        <w:rPr>
          <w:rFonts w:hint="eastAsia" w:asciiTheme="minorEastAsia" w:hAnsiTheme="minorEastAsia" w:eastAsiaTheme="minorEastAsia"/>
          <w:b/>
          <w:bCs/>
          <w:sz w:val="24"/>
        </w:rPr>
        <w:t>二、</w:t>
      </w:r>
      <w:r>
        <w:rPr>
          <w:rFonts w:hint="eastAsia" w:asciiTheme="minorEastAsia" w:hAnsiTheme="minorEastAsia" w:eastAsiaTheme="minorEastAsia"/>
          <w:b/>
          <w:sz w:val="24"/>
        </w:rPr>
        <w:t>投标产品的资格、资质性及其他类似效力要求：</w:t>
      </w:r>
    </w:p>
    <w:p>
      <w:pPr>
        <w:pStyle w:val="45"/>
        <w:ind w:firstLine="480"/>
        <w:rPr>
          <w:rFonts w:asciiTheme="minorEastAsia" w:hAnsiTheme="minorEastAsia" w:eastAsiaTheme="minorEastAsia"/>
          <w:sz w:val="24"/>
          <w:u w:val="single"/>
        </w:rPr>
      </w:pPr>
      <w:r>
        <w:rPr>
          <w:rFonts w:hint="eastAsia" w:asciiTheme="minorEastAsia" w:hAnsiTheme="minorEastAsia" w:eastAsiaTheme="minorEastAsia"/>
          <w:sz w:val="24"/>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w:t>
      </w:r>
    </w:p>
    <w:p>
      <w:pPr>
        <w:pStyle w:val="45"/>
        <w:ind w:firstLine="480"/>
        <w:rPr>
          <w:rFonts w:asciiTheme="minorEastAsia" w:hAnsiTheme="minorEastAsia" w:eastAsiaTheme="minorEastAsia"/>
          <w:sz w:val="24"/>
          <w:u w:val="single"/>
        </w:rPr>
      </w:pPr>
      <w:r>
        <w:rPr>
          <w:rFonts w:hint="eastAsia" w:asciiTheme="minorEastAsia" w:hAnsiTheme="minorEastAsia" w:eastAsiaTheme="minorEastAsia"/>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Theme="minorEastAsia" w:hAnsiTheme="minorEastAsia" w:eastAsiaTheme="minorEastAsia"/>
          <w:szCs w:val="21"/>
        </w:rPr>
      </w:pPr>
    </w:p>
    <w:p>
      <w:pPr>
        <w:pStyle w:val="3"/>
        <w:spacing w:line="240" w:lineRule="atLeast"/>
        <w:jc w:val="center"/>
        <w:rPr>
          <w:rFonts w:asciiTheme="minorEastAsia" w:hAnsiTheme="minorEastAsia" w:eastAsiaTheme="minorEastAsia"/>
          <w:sz w:val="32"/>
          <w:szCs w:val="36"/>
        </w:rPr>
      </w:pPr>
      <w:bookmarkStart w:id="132" w:name="_Toc489965592"/>
      <w:r>
        <w:rPr>
          <w:rFonts w:asciiTheme="minorEastAsia" w:hAnsiTheme="minorEastAsia" w:eastAsiaTheme="minorEastAsia"/>
          <w:sz w:val="32"/>
          <w:szCs w:val="36"/>
        </w:rPr>
        <w:br w:type="page"/>
      </w:r>
      <w:r>
        <w:rPr>
          <w:rFonts w:hint="eastAsia" w:asciiTheme="minorEastAsia" w:hAnsiTheme="minorEastAsia" w:eastAsiaTheme="minorEastAsia"/>
          <w:sz w:val="32"/>
          <w:szCs w:val="36"/>
        </w:rPr>
        <w:t>第五章  投标人应当提供的资格、资质性及其他类似效力要求的相关证明材料</w:t>
      </w:r>
      <w:bookmarkEnd w:id="132"/>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一、应当提供的投标人资格、资质性及其他类似效力要求的相关证明材料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（一）《中华人民共和国政府采购法》第二十二条规定的条件：</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 具有独立承担民事责任的能力：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加盖公章。</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2.具有良好的商业信誉和健全的财务会计制度提供以下证明材料：</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（1）具备健全的财务会计制度的证明材料。注：①可提供201</w:t>
      </w:r>
      <w:r>
        <w:rPr>
          <w:rFonts w:asciiTheme="minorEastAsia" w:hAnsiTheme="minorEastAsia" w:eastAsiaTheme="minorEastAsia"/>
          <w:sz w:val="24"/>
        </w:rPr>
        <w:t>8</w:t>
      </w:r>
      <w:r>
        <w:rPr>
          <w:rFonts w:hint="eastAsia" w:asciiTheme="minorEastAsia" w:hAnsiTheme="minorEastAsia" w:eastAsiaTheme="minorEastAsia"/>
          <w:sz w:val="24"/>
        </w:rPr>
        <w:t>-20</w:t>
      </w:r>
      <w:r>
        <w:rPr>
          <w:rFonts w:asciiTheme="minorEastAsia" w:hAnsiTheme="minorEastAsia" w:eastAsiaTheme="minorEastAsia"/>
          <w:sz w:val="24"/>
        </w:rPr>
        <w:t>20</w:t>
      </w:r>
      <w:r>
        <w:rPr>
          <w:rFonts w:hint="eastAsia" w:asciiTheme="minorEastAsia" w:hAnsiTheme="minorEastAsia" w:eastAsiaTheme="minorEastAsia"/>
          <w:sz w:val="24"/>
        </w:rPr>
        <w:t>任一年度经审计的财务报告复印件（包含审计报告和审计报告中所涉及的财务报表和报表附注），②也可提供201</w:t>
      </w:r>
      <w:r>
        <w:rPr>
          <w:rFonts w:asciiTheme="minorEastAsia" w:hAnsiTheme="minorEastAsia" w:eastAsiaTheme="minorEastAsia"/>
          <w:sz w:val="24"/>
        </w:rPr>
        <w:t>8</w:t>
      </w:r>
      <w:r>
        <w:rPr>
          <w:rFonts w:hint="eastAsia" w:asciiTheme="minorEastAsia" w:hAnsiTheme="minorEastAsia" w:eastAsiaTheme="minorEastAsia"/>
          <w:sz w:val="24"/>
        </w:rPr>
        <w:t>-20</w:t>
      </w:r>
      <w:r>
        <w:rPr>
          <w:rFonts w:asciiTheme="minorEastAsia" w:hAnsiTheme="minorEastAsia" w:eastAsiaTheme="minorEastAsia"/>
          <w:sz w:val="24"/>
        </w:rPr>
        <w:t>20</w:t>
      </w:r>
      <w:r>
        <w:rPr>
          <w:rFonts w:hint="eastAsia" w:asciiTheme="minorEastAsia" w:hAnsiTheme="minorEastAsia" w:eastAsiaTheme="minorEastAsia"/>
          <w:sz w:val="24"/>
        </w:rPr>
        <w:t>任一年度供应商内部的财务报表复印件（至少包含资产负债表），③也可提供距文件递交截止日一年内银行出具的资信证明（复印件加盖公章），④供应商注册时间至文件递交截止日不足一年的，也可提供在工商备案的公司章程（复印件加盖公章）。</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（2）具有良好商业信誉的承诺函。</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3.具有履行合同所必须的设备和专业技术能力的证明材料：</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（1）供应商自行提供或提供承诺函。</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4.有依法缴纳税收和社会保障资金的良好记录：</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（1）缴纳税收证明材料：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投标人提供202</w:t>
      </w:r>
      <w:r>
        <w:rPr>
          <w:rFonts w:asciiTheme="minorEastAsia" w:hAnsiTheme="minorEastAsia" w:eastAsiaTheme="minorEastAsia"/>
          <w:sz w:val="24"/>
        </w:rPr>
        <w:t>1</w:t>
      </w:r>
      <w:r>
        <w:rPr>
          <w:rFonts w:hint="eastAsia" w:asciiTheme="minorEastAsia" w:hAnsiTheme="minorEastAsia" w:eastAsiaTheme="minorEastAsia"/>
          <w:sz w:val="24"/>
        </w:rPr>
        <w:t>年 1月1日以来任意一个月缴纳税收的银行电子回单或者税务部门出具的纳税证明或完税证明（注：复印件加盖公章）或供应商自行提供承诺函。</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（2）缴纳社会保障资金：</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投标人提供202</w:t>
      </w:r>
      <w:r>
        <w:rPr>
          <w:rFonts w:asciiTheme="minorEastAsia" w:hAnsiTheme="minorEastAsia" w:eastAsiaTheme="minorEastAsia"/>
          <w:sz w:val="24"/>
        </w:rPr>
        <w:t>1</w:t>
      </w:r>
      <w:r>
        <w:rPr>
          <w:rFonts w:hint="eastAsia" w:asciiTheme="minorEastAsia" w:hAnsiTheme="minorEastAsia" w:eastAsiaTheme="minorEastAsia"/>
          <w:sz w:val="24"/>
        </w:rPr>
        <w:t>年1月1日以来任意一个月社保缴纳的证明材料（注：1.缴纳的银行电子回单或以社保部门出具的社保证明为准；2. 复印件加盖公章）或供应商自行提供承诺函。</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5.参加政府采购活动前三年内，在经营活动中没有重大违法记录提供以下证明材料：提供承诺函。</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6.法律、行政法规规定的其他条件：存在法律、行政法规规定的其他规定的遵照相关规定执行。</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7.根据采购项目提出的特殊条件：</w:t>
      </w:r>
    </w:p>
    <w:p>
      <w:pPr>
        <w:pStyle w:val="45"/>
        <w:ind w:firstLine="436" w:firstLineChars="182"/>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本项目不接受联合体投标。（提供承诺函）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（二）其他类似效力要求相关证明材料</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（1）法定代表人/主要负责人授权书原件（法定代表人/主要负责人不参与投标而委托授权代表投标适用）和法定代表人/主要负责人身份证明书原件。</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（2）法定代表人/主要负责人身份证或其他有效证件复印件（身份证两面均应复印）（注：①在有效期内；②复印件加盖公章）。</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（3）授权代表身份证或其他有效证件复印件（身份证两面均应复印）（注：①在有效期内；②复印件加盖公章；③由供应商法定代表人/主要负责人签署所有投标文件并参加投标的，则可不提供）。</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二、应当提供的投标产品的资格、资质性及其他类似效力要求的相关证明材料：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33" w:name="_Toc217446093"/>
    </w:p>
    <w:p>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2、本章要求提供的相关证明材料应当结合采购项目具体情况和投标人的组织机构性质确定，不得一概而论。</w:t>
      </w:r>
    </w:p>
    <w:bookmarkEnd w:id="133"/>
    <w:p>
      <w:pPr>
        <w:pStyle w:val="3"/>
        <w:spacing w:line="360" w:lineRule="auto"/>
        <w:jc w:val="center"/>
        <w:rPr>
          <w:rFonts w:asciiTheme="minorEastAsia" w:hAnsiTheme="minorEastAsia" w:eastAsiaTheme="minorEastAsia"/>
          <w:sz w:val="24"/>
          <w:szCs w:val="24"/>
        </w:rPr>
        <w:sectPr>
          <w:pgSz w:w="11906" w:h="16838"/>
          <w:pgMar w:top="1440" w:right="1800" w:bottom="1440" w:left="1800" w:header="851" w:footer="850" w:gutter="0"/>
          <w:cols w:space="720" w:num="1"/>
          <w:docGrid w:type="lines" w:linePitch="312" w:charSpace="0"/>
        </w:sectPr>
      </w:pPr>
      <w:bookmarkStart w:id="134" w:name="_Toc489965593"/>
      <w:bookmarkStart w:id="135" w:name="_Toc451344530"/>
    </w:p>
    <w:p>
      <w:pPr>
        <w:pStyle w:val="3"/>
        <w:spacing w:line="240" w:lineRule="atLeast"/>
        <w:jc w:val="center"/>
        <w:rPr>
          <w:rFonts w:asciiTheme="minorEastAsia" w:hAnsiTheme="minorEastAsia" w:eastAsiaTheme="minorEastAsia"/>
          <w:sz w:val="32"/>
          <w:szCs w:val="36"/>
        </w:rPr>
      </w:pPr>
      <w:r>
        <w:rPr>
          <w:rFonts w:hint="eastAsia" w:asciiTheme="minorEastAsia" w:hAnsiTheme="minorEastAsia" w:eastAsiaTheme="minorEastAsia"/>
          <w:sz w:val="32"/>
          <w:szCs w:val="36"/>
        </w:rPr>
        <w:t>第六章  采购项目技术和商务要求</w:t>
      </w:r>
      <w:bookmarkEnd w:id="134"/>
      <w:bookmarkEnd w:id="135"/>
    </w:p>
    <w:p>
      <w:pPr>
        <w:spacing w:line="360" w:lineRule="auto"/>
        <w:jc w:val="left"/>
        <w:rPr>
          <w:rFonts w:asciiTheme="minorEastAsia" w:hAnsiTheme="minorEastAsia" w:eastAsiaTheme="minorEastAsia"/>
          <w:szCs w:val="21"/>
        </w:rPr>
      </w:pPr>
      <w:bookmarkStart w:id="136" w:name="_Toc489965594"/>
      <w:r>
        <w:rPr>
          <w:rFonts w:hint="eastAsia" w:asciiTheme="minorEastAsia" w:hAnsiTheme="minorEastAsia" w:eastAsiaTheme="minorEastAsia"/>
          <w:b/>
          <w:bCs/>
          <w:sz w:val="24"/>
        </w:rPr>
        <w:t>一、项目概述：</w:t>
      </w:r>
    </w:p>
    <w:p>
      <w:pPr>
        <w:pStyle w:val="10"/>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本项目为都江堰市融媒体中心舞台设备采购项目（</w:t>
      </w:r>
      <w:r>
        <w:rPr>
          <w:rFonts w:hint="eastAsia" w:asciiTheme="minorEastAsia" w:hAnsiTheme="minorEastAsia" w:eastAsiaTheme="minorEastAsia"/>
          <w:sz w:val="24"/>
          <w:lang w:eastAsia="zh-CN"/>
        </w:rPr>
        <w:t>第五次</w:t>
      </w:r>
      <w:r>
        <w:rPr>
          <w:rFonts w:hint="eastAsia" w:asciiTheme="minorEastAsia" w:hAnsiTheme="minorEastAsia" w:eastAsiaTheme="minorEastAsia"/>
          <w:sz w:val="24"/>
        </w:rPr>
        <w:t>），共1包。最高限价为43万元。</w:t>
      </w:r>
    </w:p>
    <w:p>
      <w:pPr>
        <w:widowControl/>
        <w:numPr>
          <w:ilvl w:val="0"/>
          <w:numId w:val="3"/>
        </w:numPr>
        <w:jc w:val="left"/>
        <w:rPr>
          <w:rFonts w:asciiTheme="minorEastAsia" w:hAnsiTheme="minorEastAsia" w:eastAsiaTheme="minorEastAsia"/>
          <w:b/>
          <w:sz w:val="32"/>
          <w:szCs w:val="36"/>
        </w:rPr>
      </w:pPr>
      <w:r>
        <w:rPr>
          <w:rFonts w:hint="eastAsia" w:asciiTheme="minorEastAsia" w:hAnsiTheme="minorEastAsia" w:eastAsiaTheme="minorEastAsia"/>
          <w:b/>
          <w:bCs/>
          <w:sz w:val="24"/>
        </w:rPr>
        <w:t>项目清单</w:t>
      </w:r>
    </w:p>
    <w:tbl>
      <w:tblPr>
        <w:tblStyle w:val="21"/>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46"/>
        <w:gridCol w:w="7152"/>
        <w:gridCol w:w="9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b/>
                <w:sz w:val="18"/>
                <w:szCs w:val="18"/>
              </w:rPr>
            </w:pPr>
            <w:r>
              <w:rPr>
                <w:rFonts w:hint="eastAsia" w:ascii="宋体" w:hAnsi="宋体" w:cs="宋体"/>
                <w:b/>
                <w:sz w:val="18"/>
                <w:szCs w:val="18"/>
              </w:rPr>
              <w:t>序号</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b/>
                <w:sz w:val="18"/>
                <w:szCs w:val="18"/>
              </w:rPr>
            </w:pPr>
            <w:r>
              <w:rPr>
                <w:rFonts w:hint="eastAsia" w:ascii="宋体" w:hAnsi="宋体" w:cs="宋体"/>
                <w:b/>
                <w:sz w:val="18"/>
                <w:szCs w:val="18"/>
              </w:rPr>
              <w:t>设备名称</w:t>
            </w:r>
          </w:p>
        </w:tc>
        <w:tc>
          <w:tcPr>
            <w:tcW w:w="715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b/>
                <w:sz w:val="18"/>
                <w:szCs w:val="18"/>
              </w:rPr>
            </w:pPr>
            <w:r>
              <w:rPr>
                <w:rFonts w:hint="eastAsia" w:ascii="宋体" w:hAnsi="宋体" w:cs="宋体"/>
                <w:b/>
                <w:sz w:val="18"/>
                <w:szCs w:val="18"/>
              </w:rPr>
              <w:t>详细技术要求</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181" w:firstLineChars="100"/>
              <w:jc w:val="left"/>
              <w:rPr>
                <w:rFonts w:ascii="宋体" w:hAnsi="宋体" w:cs="宋体"/>
                <w:b/>
                <w:sz w:val="18"/>
                <w:szCs w:val="18"/>
              </w:rPr>
            </w:pPr>
            <w:r>
              <w:rPr>
                <w:rFonts w:hint="eastAsia" w:ascii="宋体" w:hAnsi="宋体" w:cs="宋体"/>
                <w:b/>
                <w:sz w:val="18"/>
                <w:szCs w:val="18"/>
              </w:rPr>
              <w:t>单位</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b/>
                <w:sz w:val="18"/>
                <w:szCs w:val="18"/>
              </w:rPr>
            </w:pPr>
            <w:r>
              <w:rPr>
                <w:rFonts w:hint="eastAsia" w:ascii="宋体" w:hAnsi="宋体" w:cs="宋体"/>
                <w:b/>
                <w:sz w:val="18"/>
                <w:szCs w:val="18"/>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120" w:firstLineChars="50"/>
              <w:rPr>
                <w:rFonts w:ascii="宋体" w:hAnsi="宋体" w:cs="宋体"/>
                <w:sz w:val="24"/>
              </w:rPr>
            </w:pP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left"/>
              <w:rPr>
                <w:rFonts w:ascii="宋体" w:hAnsi="宋体"/>
                <w:sz w:val="24"/>
              </w:rPr>
            </w:pPr>
            <w:r>
              <w:rPr>
                <w:rFonts w:hint="eastAsia" w:ascii="宋体" w:hAnsi="宋体"/>
                <w:sz w:val="24"/>
              </w:rPr>
              <w:t>室内全彩主屏</w:t>
            </w:r>
          </w:p>
        </w:tc>
        <w:tc>
          <w:tcPr>
            <w:tcW w:w="7152"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left"/>
              <w:rPr>
                <w:rFonts w:ascii="宋体" w:hAnsi="宋体"/>
                <w:sz w:val="24"/>
              </w:rPr>
            </w:pPr>
            <w:r>
              <w:rPr>
                <w:rFonts w:hint="eastAsia" w:ascii="宋体" w:hAnsi="宋体"/>
                <w:sz w:val="24"/>
              </w:rPr>
              <w:t>显示屏面积：主屏：6.5m *4.26m ，2块副屏：2.02m*4.26m</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left"/>
              <w:rPr>
                <w:rFonts w:ascii="宋体" w:hAnsi="宋体"/>
                <w:sz w:val="24"/>
              </w:rPr>
            </w:pPr>
            <w:r>
              <w:rPr>
                <w:rFonts w:hint="eastAsia" w:ascii="宋体" w:hAnsi="宋体"/>
                <w:sz w:val="24"/>
              </w:rPr>
              <w:t>套</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left"/>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120" w:firstLineChars="50"/>
              <w:rPr>
                <w:rFonts w:ascii="宋体" w:hAnsi="宋体" w:cs="宋体"/>
                <w:sz w:val="24"/>
              </w:rPr>
            </w:pPr>
            <w:r>
              <w:rPr>
                <w:rFonts w:hint="eastAsia" w:ascii="宋体" w:hAnsi="宋体" w:cs="宋体"/>
                <w:sz w:val="24"/>
              </w:rPr>
              <w:t>1</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sz w:val="24"/>
              </w:rPr>
            </w:pPr>
            <w:r>
              <w:rPr>
                <w:rFonts w:hint="eastAsia" w:ascii="宋体" w:hAnsi="宋体" w:cs="宋体"/>
                <w:sz w:val="24"/>
              </w:rPr>
              <w:t>室内全彩显示屏</w:t>
            </w:r>
          </w:p>
        </w:tc>
        <w:tc>
          <w:tcPr>
            <w:tcW w:w="7152"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360" w:lineRule="auto"/>
              <w:contextualSpacing/>
              <w:jc w:val="left"/>
              <w:rPr>
                <w:rFonts w:ascii="宋体" w:hAnsi="宋体"/>
                <w:sz w:val="24"/>
              </w:rPr>
            </w:pPr>
            <w:r>
              <w:rPr>
                <w:rFonts w:hint="eastAsia" w:asciiTheme="minorEastAsia" w:hAnsiTheme="minorEastAsia" w:eastAsiaTheme="minorEastAsia"/>
                <w:b/>
                <w:sz w:val="24"/>
              </w:rPr>
              <w:t>▲</w:t>
            </w:r>
            <w:r>
              <w:rPr>
                <w:rFonts w:hint="eastAsia" w:ascii="宋体" w:hAnsi="宋体"/>
                <w:sz w:val="24"/>
              </w:rPr>
              <w:t>1.像素点间距：2.5mm</w:t>
            </w:r>
          </w:p>
          <w:p>
            <w:pPr>
              <w:widowControl/>
              <w:spacing w:before="240" w:after="240" w:line="360" w:lineRule="auto"/>
              <w:contextualSpacing/>
              <w:jc w:val="left"/>
              <w:rPr>
                <w:rFonts w:ascii="宋体" w:hAnsi="宋体"/>
                <w:sz w:val="24"/>
              </w:rPr>
            </w:pPr>
            <w:r>
              <w:rPr>
                <w:rFonts w:hint="eastAsia" w:ascii="宋体" w:hAnsi="宋体"/>
                <w:sz w:val="24"/>
              </w:rPr>
              <w:t>2.像素密度：160000点/㎡</w:t>
            </w:r>
          </w:p>
          <w:p>
            <w:pPr>
              <w:widowControl/>
              <w:spacing w:before="240" w:after="240" w:line="360" w:lineRule="auto"/>
              <w:contextualSpacing/>
              <w:jc w:val="left"/>
              <w:rPr>
                <w:rFonts w:ascii="宋体" w:hAnsi="宋体"/>
                <w:sz w:val="24"/>
              </w:rPr>
            </w:pPr>
            <w:r>
              <w:rPr>
                <w:rFonts w:hint="eastAsia" w:ascii="宋体" w:hAnsi="宋体"/>
                <w:sz w:val="24"/>
              </w:rPr>
              <w:t>3.显示屏面积：主屏：6.5m *4.26m ，2块副屏：2.02m*4.26m</w:t>
            </w:r>
          </w:p>
          <w:p>
            <w:pPr>
              <w:widowControl/>
              <w:spacing w:before="240" w:after="240" w:line="360" w:lineRule="auto"/>
              <w:contextualSpacing/>
              <w:jc w:val="left"/>
              <w:rPr>
                <w:rFonts w:ascii="宋体" w:hAnsi="宋体"/>
                <w:sz w:val="24"/>
              </w:rPr>
            </w:pPr>
            <w:r>
              <w:rPr>
                <w:rFonts w:hint="eastAsia" w:ascii="宋体" w:hAnsi="宋体"/>
                <w:sz w:val="24"/>
              </w:rPr>
              <w:t>4.灯管封装：SMD1515</w:t>
            </w:r>
          </w:p>
          <w:p>
            <w:pPr>
              <w:widowControl/>
              <w:spacing w:before="240" w:after="240" w:line="360" w:lineRule="auto"/>
              <w:contextualSpacing/>
              <w:jc w:val="left"/>
              <w:rPr>
                <w:rFonts w:ascii="宋体" w:hAnsi="宋体"/>
                <w:sz w:val="24"/>
              </w:rPr>
            </w:pPr>
            <w:r>
              <w:rPr>
                <w:rFonts w:hint="eastAsia" w:ascii="宋体" w:hAnsi="宋体"/>
                <w:sz w:val="24"/>
              </w:rPr>
              <w:t>5.单元板分辨率：宽128点×高64点</w:t>
            </w:r>
          </w:p>
          <w:p>
            <w:pPr>
              <w:widowControl/>
              <w:spacing w:before="240" w:after="240" w:line="360" w:lineRule="auto"/>
              <w:contextualSpacing/>
              <w:jc w:val="left"/>
              <w:rPr>
                <w:rFonts w:ascii="宋体" w:hAnsi="宋体"/>
                <w:sz w:val="24"/>
              </w:rPr>
            </w:pPr>
            <w:r>
              <w:rPr>
                <w:rFonts w:hint="eastAsia" w:ascii="宋体" w:hAnsi="宋体"/>
                <w:sz w:val="24"/>
              </w:rPr>
              <w:t>6.单元板尺寸：320mm×160mm</w:t>
            </w:r>
          </w:p>
          <w:p>
            <w:pPr>
              <w:widowControl/>
              <w:spacing w:before="240" w:after="240" w:line="360" w:lineRule="auto"/>
              <w:contextualSpacing/>
              <w:jc w:val="left"/>
              <w:rPr>
                <w:rFonts w:ascii="宋体" w:hAnsi="宋体"/>
                <w:sz w:val="24"/>
              </w:rPr>
            </w:pPr>
            <w:r>
              <w:rPr>
                <w:rFonts w:hint="eastAsia" w:ascii="宋体" w:hAnsi="宋体"/>
                <w:sz w:val="24"/>
              </w:rPr>
              <w:t>7.屏幕水平视角：140°±10 度，屏幕垂直视角：130°±10 度</w:t>
            </w:r>
          </w:p>
          <w:p>
            <w:pPr>
              <w:widowControl/>
              <w:spacing w:before="240" w:after="240" w:line="360" w:lineRule="auto"/>
              <w:contextualSpacing/>
              <w:jc w:val="left"/>
              <w:rPr>
                <w:rFonts w:ascii="宋体" w:hAnsi="宋体"/>
                <w:sz w:val="24"/>
              </w:rPr>
            </w:pPr>
            <w:r>
              <w:rPr>
                <w:rFonts w:hint="eastAsia" w:ascii="宋体" w:hAnsi="宋体"/>
                <w:sz w:val="24"/>
              </w:rPr>
              <w:t>8.工作温度：-20℃ ～ +40℃ ，工作湿度：10%～90%RH</w:t>
            </w:r>
          </w:p>
          <w:p>
            <w:pPr>
              <w:widowControl/>
              <w:spacing w:before="240" w:after="240" w:line="360" w:lineRule="auto"/>
              <w:contextualSpacing/>
              <w:jc w:val="left"/>
              <w:rPr>
                <w:rFonts w:ascii="宋体" w:hAnsi="宋体"/>
                <w:sz w:val="24"/>
              </w:rPr>
            </w:pPr>
            <w:r>
              <w:rPr>
                <w:rFonts w:hint="eastAsia" w:ascii="宋体" w:hAnsi="宋体"/>
                <w:sz w:val="24"/>
              </w:rPr>
              <w:t>9.换帧频率：≥60 帧/秒</w:t>
            </w:r>
          </w:p>
          <w:p>
            <w:pPr>
              <w:widowControl/>
              <w:spacing w:before="240" w:after="240" w:line="360" w:lineRule="auto"/>
              <w:contextualSpacing/>
              <w:jc w:val="left"/>
              <w:rPr>
                <w:rFonts w:ascii="宋体" w:hAnsi="宋体"/>
                <w:sz w:val="24"/>
              </w:rPr>
            </w:pPr>
            <w:r>
              <w:rPr>
                <w:rFonts w:hint="eastAsia" w:asciiTheme="minorEastAsia" w:hAnsiTheme="minorEastAsia" w:eastAsiaTheme="minorEastAsia"/>
                <w:b/>
                <w:sz w:val="24"/>
              </w:rPr>
              <w:t>▲</w:t>
            </w:r>
            <w:r>
              <w:rPr>
                <w:rFonts w:hint="eastAsia" w:ascii="宋体" w:hAnsi="宋体"/>
                <w:sz w:val="24"/>
              </w:rPr>
              <w:t>10.刷新频率：≥3840Hz</w:t>
            </w:r>
          </w:p>
          <w:p>
            <w:pPr>
              <w:widowControl/>
              <w:spacing w:before="240" w:after="240" w:line="360" w:lineRule="auto"/>
              <w:contextualSpacing/>
              <w:jc w:val="left"/>
              <w:rPr>
                <w:rFonts w:ascii="宋体" w:hAnsi="宋体"/>
                <w:sz w:val="24"/>
              </w:rPr>
            </w:pPr>
            <w:r>
              <w:rPr>
                <w:rFonts w:hint="eastAsia" w:ascii="宋体" w:hAnsi="宋体"/>
                <w:sz w:val="24"/>
              </w:rPr>
              <w:t>11.亮度：≥600cd/㎡</w:t>
            </w:r>
          </w:p>
          <w:p>
            <w:pPr>
              <w:widowControl/>
              <w:spacing w:before="240" w:after="240" w:line="360" w:lineRule="auto"/>
              <w:contextualSpacing/>
              <w:jc w:val="left"/>
              <w:rPr>
                <w:rFonts w:ascii="宋体" w:hAnsi="宋体"/>
                <w:sz w:val="24"/>
              </w:rPr>
            </w:pPr>
            <w:r>
              <w:rPr>
                <w:rFonts w:hint="eastAsia" w:ascii="宋体" w:hAnsi="宋体"/>
                <w:sz w:val="24"/>
              </w:rPr>
              <w:t>12.亮度调节：256 级手动/自动</w:t>
            </w:r>
          </w:p>
          <w:p>
            <w:pPr>
              <w:widowControl/>
              <w:spacing w:before="240" w:after="240" w:line="360" w:lineRule="auto"/>
              <w:contextualSpacing/>
              <w:jc w:val="left"/>
              <w:rPr>
                <w:rFonts w:ascii="宋体" w:hAnsi="宋体"/>
                <w:sz w:val="24"/>
              </w:rPr>
            </w:pPr>
            <w:r>
              <w:rPr>
                <w:rFonts w:hint="eastAsia" w:ascii="宋体" w:hAnsi="宋体"/>
                <w:sz w:val="24"/>
              </w:rPr>
              <w:t>13.显示颜色：43980亿种</w:t>
            </w:r>
          </w:p>
          <w:p>
            <w:pPr>
              <w:widowControl/>
              <w:spacing w:before="240" w:after="240" w:line="360" w:lineRule="auto"/>
              <w:contextualSpacing/>
              <w:jc w:val="left"/>
              <w:rPr>
                <w:rFonts w:ascii="宋体" w:hAnsi="宋体"/>
                <w:sz w:val="24"/>
              </w:rPr>
            </w:pPr>
            <w:r>
              <w:rPr>
                <w:rFonts w:hint="eastAsia" w:ascii="宋体" w:hAnsi="宋体"/>
                <w:sz w:val="24"/>
              </w:rPr>
              <w:t xml:space="preserve">14.盲点率：＜0.0003   </w:t>
            </w:r>
          </w:p>
          <w:p>
            <w:pPr>
              <w:widowControl/>
              <w:spacing w:before="240" w:after="240" w:line="360" w:lineRule="auto"/>
              <w:contextualSpacing/>
              <w:jc w:val="left"/>
              <w:rPr>
                <w:rFonts w:ascii="宋体" w:hAnsi="宋体"/>
                <w:sz w:val="24"/>
              </w:rPr>
            </w:pPr>
            <w:r>
              <w:rPr>
                <w:rFonts w:hint="eastAsia" w:ascii="宋体" w:hAnsi="宋体"/>
                <w:sz w:val="24"/>
              </w:rPr>
              <w:t>15.使用寿命：≥10万小时</w:t>
            </w:r>
          </w:p>
          <w:p>
            <w:pPr>
              <w:widowControl/>
              <w:spacing w:before="240" w:after="240" w:line="360" w:lineRule="auto"/>
              <w:contextualSpacing/>
              <w:jc w:val="left"/>
              <w:rPr>
                <w:rFonts w:ascii="宋体" w:hAnsi="宋体"/>
                <w:sz w:val="24"/>
              </w:rPr>
            </w:pPr>
            <w:r>
              <w:rPr>
                <w:rFonts w:hint="eastAsia" w:ascii="宋体" w:hAnsi="宋体"/>
                <w:sz w:val="24"/>
              </w:rPr>
              <w:t>16.扫描方式：1/32扫恒流驱动</w:t>
            </w:r>
          </w:p>
          <w:p>
            <w:pPr>
              <w:widowControl/>
              <w:spacing w:before="240" w:after="240" w:line="360" w:lineRule="auto"/>
              <w:contextualSpacing/>
              <w:jc w:val="left"/>
              <w:rPr>
                <w:rFonts w:ascii="宋体" w:hAnsi="宋体"/>
                <w:sz w:val="24"/>
              </w:rPr>
            </w:pPr>
            <w:r>
              <w:rPr>
                <w:rFonts w:hint="eastAsia" w:ascii="宋体" w:hAnsi="宋体"/>
                <w:sz w:val="24"/>
              </w:rPr>
              <w:t>17.像素构成：1R1G1B</w:t>
            </w:r>
          </w:p>
          <w:p>
            <w:pPr>
              <w:widowControl/>
              <w:spacing w:before="240" w:after="240" w:line="360" w:lineRule="auto"/>
              <w:contextualSpacing/>
              <w:jc w:val="left"/>
              <w:rPr>
                <w:rFonts w:ascii="宋体" w:hAnsi="宋体"/>
                <w:sz w:val="24"/>
              </w:rPr>
            </w:pPr>
            <w:r>
              <w:rPr>
                <w:rFonts w:hint="eastAsia" w:ascii="宋体" w:hAnsi="宋体"/>
                <w:sz w:val="24"/>
              </w:rPr>
              <w:t>18.安装方式：主屏采用壁挂式，副屏移动屏安装</w:t>
            </w:r>
          </w:p>
          <w:p>
            <w:pPr>
              <w:widowControl/>
              <w:spacing w:before="240" w:after="240" w:line="360" w:lineRule="auto"/>
              <w:contextualSpacing/>
              <w:jc w:val="left"/>
              <w:rPr>
                <w:rFonts w:ascii="宋体" w:hAnsi="宋体" w:cs="宋体"/>
                <w:sz w:val="24"/>
              </w:rPr>
            </w:pPr>
            <w:r>
              <w:rPr>
                <w:rFonts w:hint="eastAsia" w:asciiTheme="minorEastAsia" w:hAnsiTheme="minorEastAsia" w:eastAsiaTheme="minorEastAsia"/>
                <w:b/>
                <w:sz w:val="24"/>
              </w:rPr>
              <w:t>▲</w:t>
            </w:r>
            <w:r>
              <w:rPr>
                <w:rFonts w:hint="eastAsia" w:ascii="宋体" w:hAnsi="宋体" w:cs="宋体"/>
                <w:sz w:val="24"/>
              </w:rPr>
              <w:t>19</w:t>
            </w:r>
            <w:r>
              <w:rPr>
                <w:rFonts w:ascii="宋体" w:hAnsi="宋体" w:cs="宋体"/>
                <w:sz w:val="24"/>
              </w:rPr>
              <w:t>.为防止噪音和光污染，并保证产品的抗紫外线性能，需提供由CMA、CNAS认证的噪声检验、抗UV紫外线老化检验和蓝光0类无风险检验的检验报告。</w:t>
            </w:r>
          </w:p>
          <w:p>
            <w:pPr>
              <w:widowControl/>
              <w:spacing w:before="240" w:after="240" w:line="360" w:lineRule="auto"/>
              <w:contextualSpacing/>
              <w:jc w:val="left"/>
              <w:rPr>
                <w:rFonts w:ascii="宋体" w:hAnsi="宋体" w:cs="宋体"/>
                <w:sz w:val="24"/>
              </w:rPr>
            </w:pPr>
            <w:r>
              <w:rPr>
                <w:rFonts w:hint="eastAsia" w:asciiTheme="minorEastAsia" w:hAnsiTheme="minorEastAsia" w:eastAsiaTheme="minorEastAsia"/>
                <w:b/>
                <w:sz w:val="24"/>
              </w:rPr>
              <w:t>▲</w:t>
            </w:r>
            <w:r>
              <w:rPr>
                <w:rFonts w:hint="eastAsia" w:ascii="宋体" w:hAnsi="宋体" w:cs="宋体"/>
                <w:sz w:val="24"/>
              </w:rPr>
              <w:t>20</w:t>
            </w:r>
            <w:r>
              <w:rPr>
                <w:rFonts w:ascii="宋体" w:hAnsi="宋体" w:cs="宋体"/>
                <w:sz w:val="24"/>
              </w:rPr>
              <w:t>.为了保证显示屏产品质量稳定和可靠性，显示屏必须在国家级检测中心，通过高低温循环实验，低温启动实验，高温负荷实验，恒定湿热实验 （4大类）。（提供检测报告复印件加盖</w:t>
            </w:r>
            <w:r>
              <w:rPr>
                <w:rFonts w:hint="eastAsia" w:ascii="宋体" w:hAnsi="宋体" w:cs="宋体"/>
                <w:sz w:val="24"/>
              </w:rPr>
              <w:t>投标人</w:t>
            </w:r>
            <w:r>
              <w:rPr>
                <w:rFonts w:ascii="宋体" w:hAnsi="宋体" w:cs="宋体"/>
                <w:sz w:val="24"/>
              </w:rPr>
              <w:t>鲜章）</w:t>
            </w:r>
          </w:p>
          <w:p>
            <w:pPr>
              <w:widowControl/>
              <w:spacing w:before="240" w:after="240" w:line="360" w:lineRule="auto"/>
              <w:contextualSpacing/>
              <w:jc w:val="left"/>
              <w:rPr>
                <w:rFonts w:ascii="宋体" w:hAnsi="宋体" w:cs="宋体"/>
                <w:sz w:val="24"/>
              </w:rPr>
            </w:pPr>
            <w:r>
              <w:rPr>
                <w:rFonts w:hint="eastAsia" w:asciiTheme="minorEastAsia" w:hAnsiTheme="minorEastAsia" w:eastAsiaTheme="minorEastAsia"/>
                <w:b/>
                <w:sz w:val="24"/>
              </w:rPr>
              <w:t>▲</w:t>
            </w:r>
            <w:r>
              <w:rPr>
                <w:rFonts w:hint="eastAsia" w:ascii="宋体" w:hAnsi="宋体" w:cs="宋体"/>
                <w:sz w:val="24"/>
              </w:rPr>
              <w:t>21</w:t>
            </w:r>
            <w:r>
              <w:rPr>
                <w:rFonts w:ascii="宋体" w:hAnsi="宋体" w:cs="宋体"/>
                <w:sz w:val="24"/>
              </w:rPr>
              <w:t>.模组机械强度≥30Mpa，抗拉强度≥230Mpa,屈服强度≥170Mpa</w:t>
            </w:r>
            <w:r>
              <w:rPr>
                <w:rFonts w:hint="eastAsia" w:ascii="宋体" w:hAnsi="宋体" w:cs="宋体"/>
                <w:sz w:val="24"/>
              </w:rPr>
              <w:t>。</w:t>
            </w:r>
            <w:r>
              <w:rPr>
                <w:rFonts w:ascii="宋体" w:hAnsi="宋体" w:cs="宋体"/>
                <w:sz w:val="24"/>
              </w:rPr>
              <w:t>（提供检测报告复印件加盖</w:t>
            </w:r>
            <w:r>
              <w:rPr>
                <w:rFonts w:hint="eastAsia" w:ascii="宋体" w:hAnsi="宋体" w:cs="宋体"/>
                <w:sz w:val="24"/>
              </w:rPr>
              <w:t>投标人</w:t>
            </w:r>
            <w:r>
              <w:rPr>
                <w:rFonts w:ascii="宋体" w:hAnsi="宋体" w:cs="宋体"/>
                <w:sz w:val="24"/>
              </w:rPr>
              <w:t>鲜章）</w:t>
            </w:r>
          </w:p>
          <w:p>
            <w:pPr>
              <w:widowControl/>
              <w:spacing w:before="240" w:after="240" w:line="360" w:lineRule="auto"/>
              <w:contextualSpacing/>
              <w:jc w:val="left"/>
              <w:rPr>
                <w:rFonts w:ascii="宋体" w:hAnsi="宋体" w:cs="宋体"/>
                <w:sz w:val="24"/>
              </w:rPr>
            </w:pPr>
            <w:r>
              <w:rPr>
                <w:rFonts w:hint="eastAsia" w:asciiTheme="minorEastAsia" w:hAnsiTheme="minorEastAsia" w:eastAsiaTheme="minorEastAsia"/>
                <w:b/>
                <w:sz w:val="24"/>
              </w:rPr>
              <w:t>▲</w:t>
            </w:r>
            <w:r>
              <w:rPr>
                <w:rFonts w:hint="eastAsia" w:ascii="宋体" w:hAnsi="宋体" w:cs="宋体"/>
                <w:sz w:val="24"/>
              </w:rPr>
              <w:t>22</w:t>
            </w:r>
            <w:r>
              <w:rPr>
                <w:rFonts w:ascii="宋体" w:hAnsi="宋体" w:cs="宋体"/>
                <w:sz w:val="24"/>
              </w:rPr>
              <w:t>.显示屏图像质量主观评价整体符合为优级要求</w:t>
            </w:r>
            <w:r>
              <w:rPr>
                <w:rFonts w:hint="eastAsia" w:ascii="宋体" w:hAnsi="宋体" w:cs="宋体"/>
                <w:sz w:val="24"/>
              </w:rPr>
              <w:t>。</w:t>
            </w:r>
            <w:r>
              <w:rPr>
                <w:rFonts w:ascii="宋体" w:hAnsi="宋体" w:cs="宋体"/>
                <w:sz w:val="24"/>
              </w:rPr>
              <w:t>（提供检测报告复印件加盖</w:t>
            </w:r>
            <w:r>
              <w:rPr>
                <w:rFonts w:hint="eastAsia" w:ascii="宋体" w:hAnsi="宋体" w:cs="宋体"/>
                <w:sz w:val="24"/>
              </w:rPr>
              <w:t>投标人</w:t>
            </w:r>
            <w:r>
              <w:rPr>
                <w:rFonts w:ascii="宋体" w:hAnsi="宋体" w:cs="宋体"/>
                <w:sz w:val="24"/>
              </w:rPr>
              <w:t>鲜章）</w:t>
            </w:r>
          </w:p>
          <w:p>
            <w:pPr>
              <w:widowControl/>
              <w:spacing w:before="240" w:after="240" w:line="360" w:lineRule="auto"/>
              <w:contextualSpacing/>
              <w:jc w:val="left"/>
              <w:rPr>
                <w:rFonts w:ascii="宋体" w:hAnsi="宋体" w:cs="宋体"/>
                <w:sz w:val="24"/>
              </w:rPr>
            </w:pPr>
            <w:r>
              <w:rPr>
                <w:rFonts w:hint="eastAsia" w:asciiTheme="minorEastAsia" w:hAnsiTheme="minorEastAsia" w:eastAsiaTheme="minorEastAsia"/>
                <w:b/>
                <w:sz w:val="24"/>
              </w:rPr>
              <w:t>▲</w:t>
            </w:r>
            <w:r>
              <w:rPr>
                <w:rFonts w:hint="eastAsia" w:ascii="宋体" w:hAnsi="宋体" w:cs="宋体"/>
                <w:sz w:val="24"/>
              </w:rPr>
              <w:t>23</w:t>
            </w:r>
            <w:r>
              <w:rPr>
                <w:rFonts w:ascii="宋体" w:hAnsi="宋体" w:cs="宋体"/>
                <w:sz w:val="24"/>
              </w:rPr>
              <w:t>.因显示屏是电子产品，必须通过国家:GB/T9254-2008A级电源端子传导骚扰电压测试； GB/T9254-2008A级辐射骚扰测试； GB17625.1-2012级谐波电流测试； GB/T17618-2015级静电放电抗扰度测试；产品抗干扰等级为Class A级</w:t>
            </w:r>
            <w:r>
              <w:rPr>
                <w:rFonts w:hint="eastAsia" w:ascii="宋体" w:hAnsi="宋体" w:cs="宋体"/>
                <w:sz w:val="24"/>
              </w:rPr>
              <w:t>。</w:t>
            </w:r>
            <w:r>
              <w:rPr>
                <w:rFonts w:ascii="宋体" w:hAnsi="宋体" w:cs="宋体"/>
                <w:sz w:val="24"/>
              </w:rPr>
              <w:t>（提供检测报告复印件加盖</w:t>
            </w:r>
            <w:r>
              <w:rPr>
                <w:rFonts w:hint="eastAsia" w:ascii="宋体" w:hAnsi="宋体" w:cs="宋体"/>
                <w:sz w:val="24"/>
              </w:rPr>
              <w:t>投标人</w:t>
            </w:r>
            <w:r>
              <w:rPr>
                <w:rFonts w:ascii="宋体" w:hAnsi="宋体" w:cs="宋体"/>
                <w:sz w:val="24"/>
              </w:rPr>
              <w:t>鲜章）</w:t>
            </w:r>
          </w:p>
          <w:p>
            <w:pPr>
              <w:widowControl/>
              <w:spacing w:before="240" w:after="240" w:line="360" w:lineRule="auto"/>
              <w:contextualSpacing/>
              <w:jc w:val="left"/>
              <w:rPr>
                <w:rFonts w:ascii="宋体" w:hAnsi="宋体" w:cs="宋体"/>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24</w:t>
            </w:r>
            <w:r>
              <w:rPr>
                <w:rFonts w:ascii="宋体" w:hAnsi="宋体" w:cs="宋体"/>
                <w:sz w:val="24"/>
              </w:rPr>
              <w:t>.投标产品通过人眼视觉舒适度（VICO指数≤1）基本无疲劳感检测为合格。（提供检测报告复印件加盖</w:t>
            </w:r>
            <w:r>
              <w:rPr>
                <w:rFonts w:hint="eastAsia" w:ascii="宋体" w:hAnsi="宋体" w:cs="宋体"/>
                <w:sz w:val="24"/>
              </w:rPr>
              <w:t>投标人</w:t>
            </w:r>
            <w:r>
              <w:rPr>
                <w:rFonts w:ascii="宋体" w:hAnsi="宋体" w:cs="宋体"/>
                <w:sz w:val="24"/>
              </w:rPr>
              <w:t>鲜章）</w:t>
            </w:r>
          </w:p>
          <w:p>
            <w:pPr>
              <w:spacing w:line="360" w:lineRule="auto"/>
              <w:jc w:val="left"/>
              <w:rPr>
                <w:rFonts w:ascii="宋体" w:hAnsi="宋体" w:cs="宋体"/>
                <w:sz w:val="24"/>
              </w:rPr>
            </w:pPr>
            <w:r>
              <w:rPr>
                <w:rFonts w:hint="eastAsia" w:asciiTheme="minorEastAsia" w:hAnsiTheme="minorEastAsia" w:eastAsiaTheme="minorEastAsia"/>
                <w:b/>
                <w:sz w:val="24"/>
              </w:rPr>
              <w:t>★</w:t>
            </w:r>
            <w:r>
              <w:rPr>
                <w:rFonts w:hint="eastAsia" w:ascii="宋体" w:hAnsi="宋体" w:cs="宋体"/>
                <w:sz w:val="24"/>
              </w:rPr>
              <w:t>25</w:t>
            </w:r>
            <w:r>
              <w:rPr>
                <w:rFonts w:ascii="宋体" w:hAnsi="宋体" w:cs="宋体"/>
                <w:sz w:val="24"/>
              </w:rPr>
              <w:t>.为防止三无产品或贴标，</w:t>
            </w:r>
            <w:r>
              <w:rPr>
                <w:rFonts w:hint="eastAsia" w:ascii="宋体" w:hAnsi="宋体" w:cs="宋体"/>
                <w:sz w:val="24"/>
              </w:rPr>
              <w:t>室内全彩</w:t>
            </w:r>
            <w:r>
              <w:rPr>
                <w:rFonts w:ascii="宋体" w:hAnsi="宋体" w:cs="宋体"/>
                <w:sz w:val="24"/>
              </w:rPr>
              <w:t>显示屏的PCB上以及塑料套件上必须明显标注厂家LOGO 或品牌，需要和所投品牌为同一生产厂家，为保证产品质量及售后服务</w:t>
            </w:r>
            <w:r>
              <w:rPr>
                <w:rFonts w:ascii="宋体" w:hAnsi="宋体" w:cs="宋体"/>
                <w:color w:val="auto"/>
                <w:sz w:val="24"/>
              </w:rPr>
              <w:t>，中标</w:t>
            </w:r>
            <w:r>
              <w:rPr>
                <w:rFonts w:hint="eastAsia" w:ascii="宋体" w:hAnsi="宋体" w:cs="宋体"/>
                <w:color w:val="auto"/>
                <w:sz w:val="24"/>
              </w:rPr>
              <w:t>后签订合同前</w:t>
            </w:r>
            <w:r>
              <w:rPr>
                <w:rFonts w:ascii="宋体" w:hAnsi="宋体" w:cs="宋体"/>
                <w:color w:val="auto"/>
                <w:sz w:val="24"/>
              </w:rPr>
              <w:t>需提供</w:t>
            </w:r>
            <w:r>
              <w:rPr>
                <w:rFonts w:hint="eastAsia" w:ascii="宋体" w:hAnsi="宋体" w:cs="宋体"/>
                <w:color w:val="auto"/>
                <w:sz w:val="24"/>
              </w:rPr>
              <w:t>制造商</w:t>
            </w:r>
            <w:r>
              <w:rPr>
                <w:rFonts w:ascii="宋体" w:hAnsi="宋体" w:cs="宋体"/>
                <w:color w:val="auto"/>
                <w:sz w:val="24"/>
              </w:rPr>
              <w:t>售后服务函原件</w:t>
            </w:r>
            <w:r>
              <w:rPr>
                <w:rFonts w:hint="eastAsia" w:ascii="宋体" w:hAnsi="宋体" w:cs="宋体"/>
                <w:color w:val="auto"/>
                <w:sz w:val="24"/>
              </w:rPr>
              <w:t>（承诺函）。</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sz w:val="24"/>
              </w:rPr>
            </w:pPr>
            <w:r>
              <w:rPr>
                <w:rFonts w:hint="eastAsia" w:asciiTheme="minorEastAsia" w:hAnsiTheme="minorEastAsia" w:eastAsiaTheme="minorEastAsia"/>
                <w:sz w:val="24"/>
              </w:rPr>
              <w:t>㎡</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sz w:val="24"/>
              </w:rPr>
            </w:pPr>
            <w:r>
              <w:rPr>
                <w:rFonts w:hint="eastAsia" w:ascii="宋体" w:hAnsi="宋体" w:cs="宋体"/>
                <w:sz w:val="24"/>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3"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sz w:val="24"/>
              </w:rPr>
            </w:pPr>
            <w:r>
              <w:rPr>
                <w:rFonts w:hint="eastAsia" w:ascii="宋体" w:hAnsi="宋体" w:cs="宋体"/>
                <w:sz w:val="24"/>
              </w:rPr>
              <w:t>2</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sz w:val="24"/>
              </w:rPr>
            </w:pPr>
            <w:r>
              <w:rPr>
                <w:rFonts w:hint="eastAsia" w:ascii="宋体" w:hAnsi="宋体" w:cs="宋体"/>
                <w:sz w:val="24"/>
              </w:rPr>
              <w:t>接收卡</w:t>
            </w:r>
          </w:p>
        </w:tc>
        <w:tc>
          <w:tcPr>
            <w:tcW w:w="7152" w:type="dxa"/>
            <w:tcBorders>
              <w:top w:val="single" w:color="auto" w:sz="4" w:space="0"/>
              <w:left w:val="single" w:color="auto" w:sz="4" w:space="0"/>
              <w:bottom w:val="single" w:color="auto" w:sz="4" w:space="0"/>
              <w:right w:val="single" w:color="auto" w:sz="4" w:space="0"/>
            </w:tcBorders>
            <w:noWrap/>
            <w:vAlign w:val="center"/>
          </w:tcPr>
          <w:p>
            <w:pPr>
              <w:pStyle w:val="72"/>
              <w:spacing w:line="360" w:lineRule="auto"/>
              <w:ind w:firstLine="0" w:firstLineChars="0"/>
              <w:rPr>
                <w:rFonts w:ascii="宋体" w:hAnsi="宋体"/>
                <w:sz w:val="24"/>
              </w:rPr>
            </w:pPr>
            <w:r>
              <w:rPr>
                <w:rFonts w:hint="eastAsia" w:ascii="宋体" w:hAnsi="宋体"/>
                <w:sz w:val="24"/>
              </w:rPr>
              <w:t>1.集成HUB75，无需再配转接板，更方便，成本更低；</w:t>
            </w:r>
          </w:p>
          <w:p>
            <w:pPr>
              <w:pStyle w:val="72"/>
              <w:spacing w:line="360" w:lineRule="auto"/>
              <w:ind w:firstLine="0" w:firstLineChars="0"/>
              <w:rPr>
                <w:rFonts w:ascii="宋体" w:hAnsi="宋体"/>
                <w:sz w:val="24"/>
              </w:rPr>
            </w:pPr>
            <w:r>
              <w:rPr>
                <w:rFonts w:hint="eastAsia" w:ascii="宋体" w:hAnsi="宋体"/>
                <w:sz w:val="24"/>
              </w:rPr>
              <w:t>2.减少接插连接件，减少故障点，故障率更低；</w:t>
            </w:r>
          </w:p>
          <w:p>
            <w:pPr>
              <w:pStyle w:val="72"/>
              <w:spacing w:line="360" w:lineRule="auto"/>
              <w:ind w:firstLine="0" w:firstLineChars="0"/>
              <w:rPr>
                <w:rFonts w:ascii="宋体" w:hAnsi="宋体"/>
                <w:sz w:val="24"/>
              </w:rPr>
            </w:pPr>
            <w:r>
              <w:rPr>
                <w:rFonts w:hint="eastAsia" w:ascii="宋体" w:hAnsi="宋体"/>
                <w:sz w:val="24"/>
              </w:rPr>
              <w:t>3.支持常规芯片实现高刷新、高灰度、高亮度；</w:t>
            </w:r>
          </w:p>
          <w:p>
            <w:pPr>
              <w:pStyle w:val="72"/>
              <w:spacing w:line="360" w:lineRule="auto"/>
              <w:ind w:firstLine="0" w:firstLineChars="0"/>
              <w:rPr>
                <w:rFonts w:ascii="宋体" w:hAnsi="宋体"/>
                <w:sz w:val="24"/>
              </w:rPr>
            </w:pPr>
            <w:r>
              <w:rPr>
                <w:rFonts w:hint="eastAsia" w:ascii="宋体" w:hAnsi="宋体"/>
                <w:sz w:val="24"/>
              </w:rPr>
              <w:t>4.新灰度引擎，低灰度表现更佳；</w:t>
            </w:r>
          </w:p>
          <w:p>
            <w:pPr>
              <w:pStyle w:val="72"/>
              <w:spacing w:line="360" w:lineRule="auto"/>
              <w:ind w:firstLine="0" w:firstLineChars="0"/>
              <w:rPr>
                <w:rFonts w:ascii="宋体" w:hAnsi="宋体"/>
                <w:sz w:val="24"/>
              </w:rPr>
            </w:pPr>
            <w:r>
              <w:rPr>
                <w:rFonts w:hint="eastAsia" w:ascii="宋体" w:hAnsi="宋体"/>
                <w:sz w:val="24"/>
              </w:rPr>
              <w:t>5.细节处理更完美，可消除单元板设计引起的某行偏暗、低灰偏红、鬼影等细节问题；</w:t>
            </w:r>
          </w:p>
          <w:p>
            <w:pPr>
              <w:pStyle w:val="72"/>
              <w:spacing w:line="360" w:lineRule="auto"/>
              <w:ind w:firstLine="0" w:firstLineChars="0"/>
              <w:rPr>
                <w:rFonts w:ascii="宋体" w:hAnsi="宋体"/>
                <w:sz w:val="24"/>
              </w:rPr>
            </w:pPr>
            <w:r>
              <w:rPr>
                <w:rFonts w:hint="eastAsia" w:ascii="宋体" w:hAnsi="宋体"/>
                <w:sz w:val="24"/>
              </w:rPr>
              <w:t>6.支持14bit精度逐点校正；</w:t>
            </w:r>
          </w:p>
          <w:p>
            <w:pPr>
              <w:pStyle w:val="72"/>
              <w:spacing w:line="360" w:lineRule="auto"/>
              <w:ind w:firstLine="0" w:firstLineChars="0"/>
              <w:rPr>
                <w:rFonts w:ascii="宋体" w:hAnsi="宋体"/>
                <w:sz w:val="24"/>
              </w:rPr>
            </w:pPr>
            <w:r>
              <w:rPr>
                <w:rFonts w:hint="eastAsia" w:ascii="宋体" w:hAnsi="宋体"/>
                <w:sz w:val="24"/>
              </w:rPr>
              <w:t>7.支持所有常规芯片、PWM芯片和灯饰芯片；</w:t>
            </w:r>
          </w:p>
          <w:p>
            <w:pPr>
              <w:pStyle w:val="72"/>
              <w:spacing w:line="360" w:lineRule="auto"/>
              <w:ind w:firstLine="0" w:firstLineChars="0"/>
              <w:rPr>
                <w:rFonts w:ascii="宋体" w:hAnsi="宋体"/>
                <w:sz w:val="24"/>
              </w:rPr>
            </w:pPr>
            <w:r>
              <w:rPr>
                <w:rFonts w:hint="eastAsia" w:ascii="宋体" w:hAnsi="宋体"/>
                <w:sz w:val="24"/>
              </w:rPr>
              <w:t>8.支持静态屏、1/2~1/32扫之间的任意扫描类型；</w:t>
            </w:r>
          </w:p>
          <w:p>
            <w:pPr>
              <w:pStyle w:val="72"/>
              <w:spacing w:line="360" w:lineRule="auto"/>
              <w:ind w:firstLine="0" w:firstLineChars="0"/>
              <w:rPr>
                <w:rFonts w:ascii="宋体" w:hAnsi="宋体"/>
                <w:sz w:val="24"/>
              </w:rPr>
            </w:pPr>
            <w:r>
              <w:rPr>
                <w:rFonts w:hint="eastAsia" w:ascii="宋体" w:hAnsi="宋体"/>
                <w:sz w:val="24"/>
              </w:rPr>
              <w:t>9.支持任意抽点，支持数据偏移，可轻松实现各种异型屏、球形屏、创意显示屏；</w:t>
            </w:r>
          </w:p>
          <w:p>
            <w:pPr>
              <w:pStyle w:val="72"/>
              <w:spacing w:line="360" w:lineRule="auto"/>
              <w:ind w:firstLine="0" w:firstLineChars="0"/>
              <w:rPr>
                <w:rFonts w:ascii="宋体" w:hAnsi="宋体"/>
                <w:sz w:val="24"/>
              </w:rPr>
            </w:pPr>
            <w:r>
              <w:rPr>
                <w:rFonts w:hint="eastAsia" w:ascii="宋体" w:hAnsi="宋体"/>
                <w:sz w:val="24"/>
              </w:rPr>
              <w:t>10.单卡支持32组RGB信号输出；</w:t>
            </w:r>
          </w:p>
          <w:p>
            <w:pPr>
              <w:pStyle w:val="72"/>
              <w:spacing w:line="360" w:lineRule="auto"/>
              <w:ind w:firstLine="0" w:firstLineChars="0"/>
              <w:rPr>
                <w:rFonts w:ascii="宋体" w:hAnsi="宋体"/>
                <w:sz w:val="24"/>
              </w:rPr>
            </w:pPr>
            <w:r>
              <w:rPr>
                <w:rFonts w:hint="eastAsia" w:asciiTheme="minorEastAsia" w:hAnsiTheme="minorEastAsia" w:eastAsiaTheme="minorEastAsia"/>
                <w:b/>
                <w:sz w:val="24"/>
              </w:rPr>
              <w:t>▲</w:t>
            </w:r>
            <w:r>
              <w:rPr>
                <w:rFonts w:hint="eastAsia" w:ascii="宋体" w:hAnsi="宋体"/>
                <w:sz w:val="24"/>
              </w:rPr>
              <w:t>11.支持超大带载面积,单卡带载128*1024，256*512；</w:t>
            </w:r>
          </w:p>
          <w:p>
            <w:pPr>
              <w:pStyle w:val="72"/>
              <w:spacing w:line="360" w:lineRule="auto"/>
              <w:ind w:firstLine="0" w:firstLineChars="0"/>
              <w:rPr>
                <w:rFonts w:ascii="宋体" w:hAnsi="宋体"/>
                <w:sz w:val="24"/>
              </w:rPr>
            </w:pPr>
            <w:r>
              <w:rPr>
                <w:rFonts w:hint="eastAsia" w:ascii="宋体" w:hAnsi="宋体"/>
                <w:sz w:val="24"/>
              </w:rPr>
              <w:t>12.先进设计，优质元器件，全自动高低温老化测试，零故障出厂；</w:t>
            </w:r>
          </w:p>
          <w:p>
            <w:pPr>
              <w:pStyle w:val="72"/>
              <w:spacing w:line="360" w:lineRule="auto"/>
              <w:ind w:firstLine="0" w:firstLineChars="0"/>
              <w:rPr>
                <w:rFonts w:ascii="宋体" w:hAnsi="宋体"/>
                <w:sz w:val="24"/>
              </w:rPr>
            </w:pPr>
            <w:r>
              <w:rPr>
                <w:rFonts w:hint="eastAsia" w:ascii="宋体" w:hAnsi="宋体"/>
                <w:sz w:val="24"/>
              </w:rPr>
              <w:t>13支持DC 3.3V~6V超宽工作电压；</w:t>
            </w:r>
          </w:p>
          <w:p>
            <w:pPr>
              <w:pStyle w:val="72"/>
              <w:spacing w:line="360" w:lineRule="auto"/>
              <w:ind w:firstLine="0" w:firstLineChars="0"/>
              <w:rPr>
                <w:rFonts w:ascii="宋体" w:hAnsi="宋体"/>
                <w:sz w:val="24"/>
              </w:rPr>
            </w:pPr>
            <w:r>
              <w:rPr>
                <w:rFonts w:hint="eastAsia" w:ascii="宋体" w:hAnsi="宋体"/>
                <w:sz w:val="24"/>
              </w:rPr>
              <w:t>14.有效减弱电压波动带来的影响；</w:t>
            </w:r>
          </w:p>
          <w:p>
            <w:pPr>
              <w:spacing w:line="360" w:lineRule="auto"/>
              <w:rPr>
                <w:rFonts w:ascii="宋体" w:hAnsi="宋体"/>
                <w:sz w:val="24"/>
              </w:rPr>
            </w:pPr>
            <w:r>
              <w:rPr>
                <w:rFonts w:hint="eastAsia" w:asciiTheme="minorEastAsia" w:hAnsiTheme="minorEastAsia" w:eastAsiaTheme="minorEastAsia"/>
                <w:b/>
                <w:sz w:val="24"/>
              </w:rPr>
              <w:t>▲</w:t>
            </w:r>
            <w:r>
              <w:rPr>
                <w:rFonts w:hint="eastAsia" w:ascii="宋体" w:hAnsi="宋体"/>
                <w:sz w:val="24"/>
              </w:rPr>
              <w:t>15.为保证接收卡能够持久运行，需具有电击和能量危险的防护（提供第三方检测报告）</w:t>
            </w:r>
          </w:p>
          <w:p>
            <w:pPr>
              <w:widowControl/>
              <w:spacing w:before="240" w:after="240" w:line="360" w:lineRule="auto"/>
              <w:contextualSpacing/>
              <w:jc w:val="left"/>
              <w:rPr>
                <w:rFonts w:ascii="宋体" w:hAnsi="宋体" w:cs="宋体"/>
                <w:sz w:val="24"/>
              </w:rPr>
            </w:pPr>
            <w:r>
              <w:rPr>
                <w:rFonts w:hint="eastAsia" w:asciiTheme="minorEastAsia" w:hAnsiTheme="minorEastAsia" w:eastAsiaTheme="minorEastAsia"/>
                <w:b/>
                <w:sz w:val="24"/>
              </w:rPr>
              <w:t>▲</w:t>
            </w:r>
            <w:r>
              <w:rPr>
                <w:rFonts w:hint="eastAsia" w:ascii="宋体" w:hAnsi="宋体"/>
                <w:sz w:val="24"/>
              </w:rPr>
              <w:t>16.为保证接收卡能够持久运行，需具有电击和能量危险的防护。</w:t>
            </w:r>
            <w:r>
              <w:rPr>
                <w:rFonts w:ascii="宋体" w:hAnsi="宋体" w:cs="宋体"/>
                <w:sz w:val="24"/>
              </w:rPr>
              <w:t>（提供检测报告复印件加盖</w:t>
            </w:r>
            <w:r>
              <w:rPr>
                <w:rFonts w:hint="eastAsia" w:ascii="宋体" w:hAnsi="宋体" w:cs="宋体"/>
                <w:sz w:val="24"/>
              </w:rPr>
              <w:t>投标人</w:t>
            </w:r>
            <w:r>
              <w:rPr>
                <w:rFonts w:ascii="宋体" w:hAnsi="宋体" w:cs="宋体"/>
                <w:sz w:val="24"/>
              </w:rPr>
              <w:t>鲜章）</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240" w:firstLineChars="100"/>
              <w:rPr>
                <w:rFonts w:ascii="宋体" w:hAnsi="宋体" w:cs="宋体"/>
                <w:sz w:val="24"/>
              </w:rPr>
            </w:pPr>
            <w:r>
              <w:rPr>
                <w:rFonts w:hint="eastAsia" w:ascii="宋体" w:hAnsi="宋体" w:cs="宋体"/>
                <w:sz w:val="24"/>
              </w:rPr>
              <w:t>套</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240" w:firstLineChars="100"/>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sz w:val="24"/>
              </w:rPr>
            </w:pPr>
            <w:r>
              <w:rPr>
                <w:rFonts w:hint="eastAsia" w:ascii="宋体" w:hAnsi="宋体" w:cs="宋体"/>
                <w:sz w:val="24"/>
              </w:rPr>
              <w:t>3</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sz w:val="24"/>
              </w:rPr>
            </w:pPr>
            <w:r>
              <w:rPr>
                <w:rFonts w:hint="eastAsia" w:ascii="宋体" w:hAnsi="宋体" w:cs="宋体"/>
                <w:sz w:val="24"/>
              </w:rPr>
              <w:t>视频处理器</w:t>
            </w:r>
          </w:p>
        </w:tc>
        <w:tc>
          <w:tcPr>
            <w:tcW w:w="7152" w:type="dxa"/>
            <w:tcBorders>
              <w:top w:val="single" w:color="auto" w:sz="4" w:space="0"/>
              <w:left w:val="single" w:color="auto" w:sz="4" w:space="0"/>
              <w:bottom w:val="single" w:color="auto" w:sz="4" w:space="0"/>
              <w:right w:val="single" w:color="auto" w:sz="4" w:space="0"/>
            </w:tcBorders>
            <w:noWrap/>
            <w:vAlign w:val="center"/>
          </w:tcPr>
          <w:p>
            <w:pPr>
              <w:pStyle w:val="72"/>
              <w:spacing w:line="360" w:lineRule="auto"/>
              <w:ind w:firstLine="0" w:firstLineChars="0"/>
              <w:rPr>
                <w:rFonts w:ascii="宋体" w:hAnsi="宋体"/>
                <w:sz w:val="24"/>
              </w:rPr>
            </w:pPr>
            <w:r>
              <w:rPr>
                <w:rFonts w:hint="eastAsia" w:ascii="宋体" w:hAnsi="宋体"/>
                <w:sz w:val="24"/>
              </w:rPr>
              <w:t>1.最大可接收4096*2160像素的4K数字信号；支持HDMI、DVI、SDI等数字接口，多路信号间无缝切换；支持拼接、广播级缩放，最大支持7画面显示。具备16个千兆网口输出，单机可支持最宽或最高8192像素的室内全彩显示屏。支持丰富的数字信号接口，包括1路HDMI 2.0、4路DVI、2路SDI；</w:t>
            </w:r>
          </w:p>
          <w:p>
            <w:pPr>
              <w:pStyle w:val="72"/>
              <w:spacing w:line="360" w:lineRule="auto"/>
              <w:ind w:firstLine="0" w:firstLineChars="0"/>
              <w:rPr>
                <w:rFonts w:ascii="宋体" w:hAnsi="宋体"/>
                <w:sz w:val="24"/>
              </w:rPr>
            </w:pPr>
            <w:r>
              <w:rPr>
                <w:rFonts w:hint="eastAsia" w:ascii="宋体" w:hAnsi="宋体"/>
                <w:sz w:val="24"/>
              </w:rPr>
              <w:t>2.最大输入分辨率4096*2160@60Hz，支持分辨率任意设置；</w:t>
            </w:r>
          </w:p>
          <w:p>
            <w:pPr>
              <w:pStyle w:val="72"/>
              <w:spacing w:line="360" w:lineRule="auto"/>
              <w:ind w:firstLine="0" w:firstLineChars="0"/>
              <w:rPr>
                <w:rFonts w:ascii="宋体" w:hAnsi="宋体"/>
                <w:sz w:val="24"/>
              </w:rPr>
            </w:pPr>
            <w:r>
              <w:rPr>
                <w:rFonts w:hint="eastAsia" w:ascii="宋体" w:hAnsi="宋体"/>
                <w:sz w:val="24"/>
              </w:rPr>
              <w:t>3.最大带载</w:t>
            </w:r>
            <w:r>
              <w:rPr>
                <w:rFonts w:ascii="宋体" w:hAnsi="宋体"/>
                <w:sz w:val="24"/>
              </w:rPr>
              <w:t>1040</w:t>
            </w:r>
            <w:r>
              <w:rPr>
                <w:rFonts w:hint="eastAsia" w:ascii="宋体" w:hAnsi="宋体"/>
                <w:sz w:val="24"/>
              </w:rPr>
              <w:t>万像素，最宽可达8192点，或最高可达4096点；</w:t>
            </w:r>
          </w:p>
          <w:p>
            <w:pPr>
              <w:pStyle w:val="72"/>
              <w:spacing w:line="360" w:lineRule="auto"/>
              <w:ind w:firstLine="0" w:firstLineChars="0"/>
              <w:rPr>
                <w:rFonts w:ascii="宋体" w:hAnsi="宋体"/>
                <w:sz w:val="24"/>
              </w:rPr>
            </w:pPr>
            <w:r>
              <w:rPr>
                <w:rFonts w:hint="eastAsia" w:ascii="宋体" w:hAnsi="宋体"/>
                <w:sz w:val="24"/>
              </w:rPr>
              <w:t>4.支持视频源任意切换，可根据显示屏分辨率对输入图像进行拼接、缩放；</w:t>
            </w:r>
          </w:p>
          <w:p>
            <w:pPr>
              <w:pStyle w:val="72"/>
              <w:spacing w:line="360" w:lineRule="auto"/>
              <w:ind w:firstLine="0" w:firstLineChars="0"/>
              <w:rPr>
                <w:rFonts w:ascii="宋体" w:hAnsi="宋体"/>
                <w:sz w:val="24"/>
              </w:rPr>
            </w:pPr>
            <w:r>
              <w:rPr>
                <w:rFonts w:hint="eastAsia" w:ascii="宋体" w:hAnsi="宋体"/>
                <w:sz w:val="24"/>
              </w:rPr>
              <w:t>5.支持7画面显示，位置、大小可自由调节；</w:t>
            </w:r>
          </w:p>
          <w:p>
            <w:pPr>
              <w:pStyle w:val="72"/>
              <w:spacing w:line="360" w:lineRule="auto"/>
              <w:ind w:firstLine="0" w:firstLineChars="0"/>
              <w:rPr>
                <w:rFonts w:ascii="宋体" w:hAnsi="宋体"/>
                <w:sz w:val="24"/>
              </w:rPr>
            </w:pPr>
            <w:r>
              <w:rPr>
                <w:rFonts w:hint="eastAsia" w:ascii="宋体" w:hAnsi="宋体"/>
                <w:sz w:val="24"/>
              </w:rPr>
              <w:t>6.支持HDCP 2.2；</w:t>
            </w:r>
          </w:p>
          <w:p>
            <w:pPr>
              <w:pStyle w:val="72"/>
              <w:spacing w:line="360" w:lineRule="auto"/>
              <w:ind w:firstLine="0" w:firstLineChars="0"/>
              <w:rPr>
                <w:rFonts w:ascii="宋体" w:hAnsi="宋体"/>
                <w:sz w:val="24"/>
              </w:rPr>
            </w:pPr>
            <w:r>
              <w:rPr>
                <w:rFonts w:hint="eastAsia" w:ascii="宋体" w:hAnsi="宋体"/>
                <w:sz w:val="24"/>
              </w:rPr>
              <w:t>7.双USB 2.0高速通讯接口，用于电脑调试和主控间任意级联；</w:t>
            </w:r>
          </w:p>
          <w:p>
            <w:pPr>
              <w:pStyle w:val="72"/>
              <w:spacing w:line="360" w:lineRule="auto"/>
              <w:ind w:firstLine="0" w:firstLineChars="0"/>
              <w:rPr>
                <w:rFonts w:ascii="宋体" w:hAnsi="宋体"/>
                <w:sz w:val="24"/>
              </w:rPr>
            </w:pPr>
            <w:r>
              <w:rPr>
                <w:rFonts w:hint="eastAsia" w:ascii="宋体" w:hAnsi="宋体"/>
                <w:sz w:val="24"/>
              </w:rPr>
              <w:t>8.支持亮度和色温调节；</w:t>
            </w:r>
          </w:p>
          <w:p>
            <w:pPr>
              <w:pStyle w:val="72"/>
              <w:spacing w:line="360" w:lineRule="auto"/>
              <w:ind w:firstLine="0" w:firstLineChars="0"/>
              <w:rPr>
                <w:rFonts w:ascii="宋体" w:hAnsi="宋体"/>
                <w:sz w:val="24"/>
              </w:rPr>
            </w:pPr>
            <w:r>
              <w:rPr>
                <w:rFonts w:hint="eastAsia" w:ascii="宋体" w:hAnsi="宋体"/>
                <w:sz w:val="24"/>
              </w:rPr>
              <w:t>9.支持低亮高灰；</w:t>
            </w:r>
          </w:p>
          <w:p>
            <w:pPr>
              <w:pStyle w:val="72"/>
              <w:spacing w:line="360" w:lineRule="auto"/>
              <w:ind w:firstLine="0" w:firstLineChars="0"/>
              <w:rPr>
                <w:rFonts w:ascii="宋体" w:hAnsi="宋体" w:cs="宋体"/>
                <w:sz w:val="24"/>
              </w:rPr>
            </w:pPr>
            <w:r>
              <w:rPr>
                <w:rFonts w:hint="eastAsia" w:asciiTheme="minorEastAsia" w:hAnsiTheme="minorEastAsia" w:eastAsiaTheme="minorEastAsia"/>
                <w:b/>
                <w:sz w:val="24"/>
              </w:rPr>
              <w:t>▲</w:t>
            </w:r>
            <w:r>
              <w:rPr>
                <w:rFonts w:hint="eastAsia" w:ascii="宋体" w:hAnsi="宋体"/>
                <w:sz w:val="24"/>
              </w:rPr>
              <w:t>10.视频控制设备可支持250N恒定作用力，外部防护罩可承受250N+10N的恒定作用力持续5S。</w:t>
            </w:r>
            <w:r>
              <w:rPr>
                <w:rFonts w:ascii="宋体" w:hAnsi="宋体" w:cs="宋体"/>
                <w:sz w:val="24"/>
              </w:rPr>
              <w:t>（提供检测报告复印件加盖</w:t>
            </w:r>
            <w:r>
              <w:rPr>
                <w:rFonts w:hint="eastAsia" w:ascii="宋体" w:hAnsi="宋体" w:cs="宋体"/>
                <w:sz w:val="24"/>
              </w:rPr>
              <w:t>投标人</w:t>
            </w:r>
            <w:r>
              <w:rPr>
                <w:rFonts w:ascii="宋体" w:hAnsi="宋体" w:cs="宋体"/>
                <w:sz w:val="24"/>
              </w:rPr>
              <w:t>鲜章）</w:t>
            </w:r>
          </w:p>
          <w:p>
            <w:pPr>
              <w:spacing w:line="360" w:lineRule="auto"/>
              <w:rPr>
                <w:rFonts w:ascii="宋体" w:hAnsi="宋体"/>
                <w:sz w:val="24"/>
              </w:rPr>
            </w:pPr>
            <w:r>
              <w:rPr>
                <w:rFonts w:hint="eastAsia" w:asciiTheme="minorEastAsia" w:hAnsiTheme="minorEastAsia" w:eastAsiaTheme="minorEastAsia"/>
                <w:b/>
                <w:sz w:val="24"/>
              </w:rPr>
              <w:t>▲</w:t>
            </w:r>
            <w:r>
              <w:rPr>
                <w:rFonts w:hint="eastAsia" w:ascii="宋体" w:hAnsi="宋体"/>
                <w:sz w:val="24"/>
              </w:rPr>
              <w:t xml:space="preserve">11.通过该发送卡可调试显示屏的色域坐标显 示不同坐标值色温，进行精确颜色管理;可 任意改变 </w:t>
            </w:r>
            <w:r>
              <w:rPr>
                <w:rFonts w:ascii="宋体" w:hAnsi="宋体"/>
                <w:sz w:val="24"/>
              </w:rPr>
              <w:t xml:space="preserve">0-255 </w:t>
            </w:r>
            <w:r>
              <w:rPr>
                <w:rFonts w:hint="eastAsia" w:ascii="宋体" w:hAnsi="宋体"/>
                <w:sz w:val="24"/>
              </w:rPr>
              <w:t xml:space="preserve">灰阶不同灰度值的亮度显示 并进行任意调节;色温调整精度在 </w:t>
            </w:r>
            <w:r>
              <w:rPr>
                <w:rFonts w:ascii="宋体" w:hAnsi="宋体"/>
                <w:sz w:val="24"/>
              </w:rPr>
              <w:t xml:space="preserve">100K </w:t>
            </w:r>
            <w:r>
              <w:rPr>
                <w:rFonts w:hint="eastAsia" w:ascii="宋体" w:hAnsi="宋体"/>
                <w:sz w:val="24"/>
              </w:rPr>
              <w:t>以 内 （提供投标人加盖公章的CMA、CNAS第三方检测报告）</w:t>
            </w:r>
          </w:p>
          <w:p>
            <w:pPr>
              <w:spacing w:line="360" w:lineRule="auto"/>
              <w:rPr>
                <w:rFonts w:ascii="宋体" w:hAnsi="宋体"/>
                <w:sz w:val="24"/>
              </w:rPr>
            </w:pPr>
            <w:r>
              <w:rPr>
                <w:rFonts w:hint="eastAsia" w:asciiTheme="minorEastAsia" w:hAnsiTheme="minorEastAsia" w:eastAsiaTheme="minorEastAsia"/>
                <w:b/>
                <w:sz w:val="24"/>
              </w:rPr>
              <w:t>▲</w:t>
            </w:r>
            <w:r>
              <w:rPr>
                <w:rFonts w:hint="eastAsia" w:ascii="宋体" w:hAnsi="宋体"/>
                <w:sz w:val="24"/>
              </w:rPr>
              <w:t>12.在</w:t>
            </w:r>
            <w:r>
              <w:rPr>
                <w:rFonts w:ascii="宋体" w:hAnsi="宋体"/>
                <w:sz w:val="24"/>
              </w:rPr>
              <w:t>-20</w:t>
            </w:r>
            <w:r>
              <w:rPr>
                <w:rFonts w:hint="eastAsia" w:ascii="宋体" w:hAnsi="宋体"/>
                <w:sz w:val="24"/>
              </w:rPr>
              <w:t>°C至</w:t>
            </w:r>
            <w:r>
              <w:rPr>
                <w:rFonts w:ascii="宋体" w:hAnsi="宋体"/>
                <w:sz w:val="24"/>
              </w:rPr>
              <w:t>60</w:t>
            </w:r>
            <w:r>
              <w:rPr>
                <w:rFonts w:hint="eastAsia" w:ascii="宋体" w:hAnsi="宋体"/>
                <w:sz w:val="24"/>
              </w:rPr>
              <w:t>°C下，控制器所有功能打开且参数设置到最大依然能正常工作，一直连续开 断电处理，控制器依然可以正常启动工作， 机箱结构配合散热风扇达到很好的扇热效果</w:t>
            </w:r>
          </w:p>
          <w:p>
            <w:pPr>
              <w:widowControl/>
              <w:spacing w:before="240" w:after="240" w:line="360" w:lineRule="auto"/>
              <w:contextualSpacing/>
              <w:jc w:val="left"/>
              <w:rPr>
                <w:rFonts w:ascii="宋体" w:hAnsi="宋体"/>
                <w:sz w:val="24"/>
              </w:rPr>
            </w:pPr>
            <w:r>
              <w:rPr>
                <w:rFonts w:hint="eastAsia" w:asciiTheme="minorEastAsia" w:hAnsiTheme="minorEastAsia" w:eastAsiaTheme="minorEastAsia"/>
                <w:b/>
                <w:sz w:val="24"/>
              </w:rPr>
              <w:t>▲</w:t>
            </w:r>
            <w:r>
              <w:rPr>
                <w:rFonts w:hint="eastAsia" w:ascii="宋体" w:hAnsi="宋体"/>
                <w:sz w:val="24"/>
              </w:rPr>
              <w:t>13.为保证大屏画面与外部信号源完全同步，同时支持Genlock锁相环信号环路输出</w:t>
            </w:r>
            <w:r>
              <w:rPr>
                <w:rFonts w:ascii="宋体" w:hAnsi="宋体" w:cs="宋体"/>
                <w:sz w:val="24"/>
              </w:rPr>
              <w:t>（提供检测报告复印件加盖</w:t>
            </w:r>
            <w:r>
              <w:rPr>
                <w:rFonts w:hint="eastAsia" w:ascii="宋体" w:hAnsi="宋体" w:cs="宋体"/>
                <w:sz w:val="24"/>
              </w:rPr>
              <w:t>投标人</w:t>
            </w:r>
            <w:r>
              <w:rPr>
                <w:rFonts w:ascii="宋体" w:hAnsi="宋体" w:cs="宋体"/>
                <w:sz w:val="24"/>
              </w:rPr>
              <w:t>鲜章）</w:t>
            </w:r>
          </w:p>
          <w:p>
            <w:pPr>
              <w:widowControl/>
              <w:spacing w:before="240" w:after="240" w:line="360" w:lineRule="auto"/>
              <w:contextualSpacing/>
              <w:jc w:val="left"/>
              <w:rPr>
                <w:rFonts w:ascii="宋体" w:hAnsi="宋体"/>
                <w:sz w:val="24"/>
              </w:rPr>
            </w:pPr>
            <w:r>
              <w:rPr>
                <w:rFonts w:hint="eastAsia" w:asciiTheme="minorEastAsia" w:hAnsiTheme="minorEastAsia" w:eastAsiaTheme="minorEastAsia"/>
                <w:b/>
                <w:sz w:val="24"/>
              </w:rPr>
              <w:t>▲</w:t>
            </w:r>
            <w:r>
              <w:rPr>
                <w:rFonts w:hint="eastAsia" w:ascii="宋体" w:hAnsi="宋体"/>
                <w:sz w:val="24"/>
              </w:rPr>
              <w:t xml:space="preserve">14.可在局域网内实现通过 </w:t>
            </w:r>
            <w:r>
              <w:rPr>
                <w:rFonts w:ascii="宋体" w:hAnsi="宋体"/>
                <w:sz w:val="24"/>
              </w:rPr>
              <w:t xml:space="preserve">web </w:t>
            </w:r>
            <w:r>
              <w:rPr>
                <w:rFonts w:hint="eastAsia" w:ascii="宋体" w:hAnsi="宋体"/>
                <w:sz w:val="24"/>
              </w:rPr>
              <w:t xml:space="preserve">控制设备，支持 </w:t>
            </w:r>
            <w:r>
              <w:rPr>
                <w:rFonts w:ascii="宋体" w:hAnsi="宋体"/>
                <w:sz w:val="24"/>
              </w:rPr>
              <w:t>Windows</w:t>
            </w:r>
            <w:r>
              <w:rPr>
                <w:rFonts w:hint="eastAsia" w:ascii="宋体" w:hAnsi="宋体"/>
                <w:sz w:val="24"/>
              </w:rPr>
              <w:t>、</w:t>
            </w:r>
            <w:r>
              <w:rPr>
                <w:rFonts w:ascii="宋体" w:hAnsi="宋体"/>
                <w:sz w:val="24"/>
              </w:rPr>
              <w:t>macOS</w:t>
            </w:r>
            <w:r>
              <w:rPr>
                <w:rFonts w:hint="eastAsia" w:ascii="宋体" w:hAnsi="宋体"/>
                <w:sz w:val="24"/>
              </w:rPr>
              <w:t>、</w:t>
            </w:r>
            <w:r>
              <w:rPr>
                <w:rFonts w:ascii="宋体" w:hAnsi="宋体"/>
                <w:sz w:val="24"/>
              </w:rPr>
              <w:t>Linux</w:t>
            </w:r>
            <w:r>
              <w:rPr>
                <w:rFonts w:hint="eastAsia" w:ascii="宋体" w:hAnsi="宋体"/>
                <w:sz w:val="24"/>
              </w:rPr>
              <w:t xml:space="preserve">、麒麟系统、 </w:t>
            </w:r>
            <w:r>
              <w:rPr>
                <w:rFonts w:ascii="宋体" w:hAnsi="宋体"/>
                <w:sz w:val="24"/>
              </w:rPr>
              <w:t>Android</w:t>
            </w:r>
            <w:r>
              <w:rPr>
                <w:rFonts w:hint="eastAsia" w:ascii="宋体" w:hAnsi="宋体"/>
                <w:sz w:val="24"/>
              </w:rPr>
              <w:t>、</w:t>
            </w:r>
            <w:r>
              <w:rPr>
                <w:rFonts w:ascii="宋体" w:hAnsi="宋体"/>
                <w:sz w:val="24"/>
              </w:rPr>
              <w:t xml:space="preserve">iOS </w:t>
            </w:r>
            <w:r>
              <w:rPr>
                <w:rFonts w:hint="eastAsia" w:ascii="宋体" w:hAnsi="宋体"/>
                <w:sz w:val="24"/>
              </w:rPr>
              <w:t xml:space="preserve">等系统平台，支持电脑、平板、 手机等多种硬件平台。 </w:t>
            </w:r>
            <w:r>
              <w:rPr>
                <w:rFonts w:ascii="宋体" w:hAnsi="宋体" w:cs="宋体"/>
                <w:sz w:val="24"/>
              </w:rPr>
              <w:t>（提供检测报告复印件加盖</w:t>
            </w:r>
            <w:r>
              <w:rPr>
                <w:rFonts w:hint="eastAsia" w:ascii="宋体" w:hAnsi="宋体" w:cs="宋体"/>
                <w:sz w:val="24"/>
              </w:rPr>
              <w:t>投标人</w:t>
            </w:r>
            <w:r>
              <w:rPr>
                <w:rFonts w:ascii="宋体" w:hAnsi="宋体" w:cs="宋体"/>
                <w:sz w:val="24"/>
              </w:rPr>
              <w:t>鲜章）</w:t>
            </w:r>
          </w:p>
          <w:p>
            <w:pPr>
              <w:widowControl/>
              <w:spacing w:before="240" w:after="240" w:line="360" w:lineRule="auto"/>
              <w:contextualSpacing/>
              <w:jc w:val="left"/>
              <w:rPr>
                <w:rFonts w:ascii="宋体" w:hAnsi="宋体" w:cs="宋体"/>
                <w:sz w:val="24"/>
              </w:rPr>
            </w:pPr>
            <w:r>
              <w:rPr>
                <w:rFonts w:hint="eastAsia" w:asciiTheme="minorEastAsia" w:hAnsiTheme="minorEastAsia" w:eastAsiaTheme="minorEastAsia"/>
                <w:b/>
                <w:sz w:val="24"/>
              </w:rPr>
              <w:t>▲</w:t>
            </w:r>
            <w:r>
              <w:rPr>
                <w:rFonts w:hint="eastAsia" w:ascii="宋体" w:hAnsi="宋体"/>
                <w:sz w:val="24"/>
              </w:rPr>
              <w:t xml:space="preserve">15.可稳定的兼容显卡，网络盒子，会议系统， 拼接器，DVD，信号发生器等多种信号源 </w:t>
            </w:r>
            <w:r>
              <w:rPr>
                <w:rFonts w:ascii="宋体" w:hAnsi="宋体" w:cs="宋体"/>
                <w:sz w:val="24"/>
              </w:rPr>
              <w:t>（提供检测报告复印件加盖</w:t>
            </w:r>
            <w:r>
              <w:rPr>
                <w:rFonts w:hint="eastAsia" w:ascii="宋体" w:hAnsi="宋体" w:cs="宋体"/>
                <w:sz w:val="24"/>
              </w:rPr>
              <w:t>投标人</w:t>
            </w:r>
            <w:r>
              <w:rPr>
                <w:rFonts w:ascii="宋体" w:hAnsi="宋体" w:cs="宋体"/>
                <w:sz w:val="24"/>
              </w:rPr>
              <w:t>鲜章）</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240" w:firstLineChars="100"/>
              <w:rPr>
                <w:rFonts w:ascii="宋体" w:hAnsi="宋体" w:cs="宋体"/>
                <w:sz w:val="24"/>
              </w:rPr>
            </w:pPr>
            <w:r>
              <w:rPr>
                <w:rFonts w:hint="eastAsia" w:ascii="宋体" w:hAnsi="宋体" w:cs="宋体"/>
                <w:sz w:val="24"/>
              </w:rPr>
              <w:t xml:space="preserve">台 </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240" w:firstLineChars="100"/>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24"/>
              </w:rPr>
            </w:pPr>
            <w:r>
              <w:rPr>
                <w:rFonts w:hint="eastAsia" w:ascii="宋体" w:hAnsi="宋体" w:cs="宋体"/>
                <w:sz w:val="24"/>
              </w:rPr>
              <w:t>4</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24"/>
              </w:rPr>
            </w:pPr>
            <w:r>
              <w:rPr>
                <w:rFonts w:hint="eastAsia" w:asciiTheme="minorEastAsia" w:hAnsiTheme="minorEastAsia" w:eastAsiaTheme="minorEastAsia"/>
                <w:sz w:val="24"/>
              </w:rPr>
              <w:t>信息播放安全防护设备</w:t>
            </w:r>
          </w:p>
        </w:tc>
        <w:tc>
          <w:tcPr>
            <w:tcW w:w="7152" w:type="dxa"/>
            <w:tcBorders>
              <w:top w:val="single" w:color="auto" w:sz="4" w:space="0"/>
              <w:left w:val="single" w:color="auto" w:sz="4" w:space="0"/>
              <w:bottom w:val="single" w:color="auto" w:sz="4" w:space="0"/>
              <w:right w:val="single" w:color="auto" w:sz="4" w:space="0"/>
            </w:tcBorders>
            <w:noWrap/>
            <w:vAlign w:val="center"/>
          </w:tcPr>
          <w:p>
            <w:pPr>
              <w:spacing w:line="360" w:lineRule="auto"/>
              <w:rPr>
                <w:sz w:val="24"/>
              </w:rPr>
            </w:pPr>
            <w:r>
              <w:rPr>
                <w:rFonts w:hint="eastAsia" w:asciiTheme="minorEastAsia" w:hAnsiTheme="minorEastAsia" w:eastAsiaTheme="minorEastAsia"/>
                <w:b/>
                <w:sz w:val="24"/>
              </w:rPr>
              <w:t>▲</w:t>
            </w:r>
            <w:r>
              <w:rPr>
                <w:rFonts w:ascii="宋体" w:hAnsi="宋体"/>
                <w:sz w:val="24"/>
              </w:rPr>
              <w:t>该系统主要防止恶意窃取、劫持显示屏主控计算机，致使信息显示内容被恶意篡改播放的事件发生。网络干扰防护要求：采用网线传导加扰技术；实现各端口的网线传导加扰，防止传输信息的失泄密及防止劫持相关设备；干扰信号带宽：10MHz～1.5GHz；相关干扰信号幅度：&gt;2.5V；无线防护输出功率：40mW；电源隔离度：10KHz～30MHz，≥40dB</w:t>
            </w:r>
            <w:r>
              <w:rPr>
                <w:rFonts w:hint="eastAsia" w:ascii="宋体" w:hAnsi="宋体"/>
                <w:sz w:val="24"/>
              </w:rPr>
              <w:t>。</w:t>
            </w:r>
            <w:r>
              <w:rPr>
                <w:rFonts w:ascii="宋体" w:hAnsi="宋体" w:cs="宋体"/>
                <w:sz w:val="24"/>
              </w:rPr>
              <w:t>（提供</w:t>
            </w:r>
            <w:r>
              <w:rPr>
                <w:rFonts w:hint="eastAsia" w:ascii="宋体" w:hAnsi="宋体" w:cs="宋体"/>
                <w:sz w:val="24"/>
              </w:rPr>
              <w:t>证书</w:t>
            </w:r>
            <w:r>
              <w:rPr>
                <w:rFonts w:ascii="宋体" w:hAnsi="宋体" w:cs="宋体"/>
                <w:sz w:val="24"/>
              </w:rPr>
              <w:t>复印件加盖</w:t>
            </w:r>
            <w:r>
              <w:rPr>
                <w:rFonts w:hint="eastAsia" w:ascii="宋体" w:hAnsi="宋体" w:cs="宋体"/>
                <w:sz w:val="24"/>
              </w:rPr>
              <w:t>投标人</w:t>
            </w:r>
            <w:r>
              <w:rPr>
                <w:rFonts w:ascii="宋体" w:hAnsi="宋体" w:cs="宋体"/>
                <w:sz w:val="24"/>
              </w:rPr>
              <w:t>鲜章）</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center"/>
              <w:rPr>
                <w:rFonts w:ascii="宋体" w:hAnsi="宋体" w:cs="宋体"/>
                <w:sz w:val="24"/>
              </w:rPr>
            </w:pPr>
            <w:r>
              <w:rPr>
                <w:rFonts w:hint="eastAsia" w:asciiTheme="minorEastAsia" w:hAnsiTheme="minorEastAsia" w:eastAsiaTheme="minorEastAsia"/>
                <w:sz w:val="24"/>
              </w:rPr>
              <w:t>套</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center"/>
              <w:rPr>
                <w:rFonts w:ascii="宋体" w:hAnsi="宋体" w:cs="宋体"/>
                <w:sz w:val="24"/>
              </w:rPr>
            </w:pPr>
            <w:r>
              <w:rPr>
                <w:rFonts w:hint="eastAsia" w:asciiTheme="minorEastAsia" w:hAnsiTheme="minorEastAsia" w:eastAsia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24"/>
              </w:rPr>
            </w:pPr>
            <w:r>
              <w:rPr>
                <w:rFonts w:hint="eastAsia" w:ascii="宋体" w:hAnsi="宋体" w:cs="宋体"/>
                <w:sz w:val="24"/>
              </w:rPr>
              <w:t>5</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24"/>
              </w:rPr>
            </w:pPr>
            <w:r>
              <w:rPr>
                <w:rFonts w:hint="eastAsia" w:ascii="宋体" w:hAnsi="宋体" w:cs="宋体"/>
                <w:sz w:val="24"/>
              </w:rPr>
              <w:t>控制设备</w:t>
            </w:r>
          </w:p>
        </w:tc>
        <w:tc>
          <w:tcPr>
            <w:tcW w:w="7152" w:type="dxa"/>
            <w:tcBorders>
              <w:top w:val="single" w:color="auto" w:sz="4" w:space="0"/>
              <w:left w:val="single" w:color="auto" w:sz="4" w:space="0"/>
              <w:bottom w:val="single" w:color="auto" w:sz="4" w:space="0"/>
              <w:right w:val="single" w:color="auto" w:sz="4" w:space="0"/>
            </w:tcBorders>
            <w:noWrap/>
            <w:vAlign w:val="center"/>
          </w:tcPr>
          <w:p>
            <w:pPr>
              <w:spacing w:line="360" w:lineRule="auto"/>
              <w:rPr>
                <w:sz w:val="24"/>
              </w:rPr>
            </w:pPr>
            <w:r>
              <w:rPr>
                <w:rFonts w:hint="eastAsia"/>
                <w:sz w:val="24"/>
              </w:rPr>
              <w:t>1、处理器：内核数≥6，线程数≥12，主频≥3.5GHz；</w:t>
            </w:r>
          </w:p>
          <w:p>
            <w:pPr>
              <w:spacing w:line="360" w:lineRule="auto"/>
              <w:rPr>
                <w:sz w:val="24"/>
              </w:rPr>
            </w:pPr>
            <w:r>
              <w:rPr>
                <w:rFonts w:hint="eastAsia"/>
                <w:sz w:val="24"/>
              </w:rPr>
              <w:t>2、内存：≥8GB  3200MHz，双通道接口；</w:t>
            </w:r>
          </w:p>
          <w:p>
            <w:pPr>
              <w:spacing w:line="360" w:lineRule="auto"/>
              <w:rPr>
                <w:sz w:val="24"/>
              </w:rPr>
            </w:pPr>
            <w:r>
              <w:rPr>
                <w:rFonts w:hint="eastAsia"/>
                <w:sz w:val="24"/>
              </w:rPr>
              <w:t>3、硬盘：≥1TB硬盘；</w:t>
            </w:r>
          </w:p>
          <w:p>
            <w:pPr>
              <w:spacing w:line="360" w:lineRule="auto"/>
              <w:rPr>
                <w:sz w:val="24"/>
              </w:rPr>
            </w:pPr>
            <w:r>
              <w:rPr>
                <w:rFonts w:hint="eastAsia"/>
                <w:sz w:val="24"/>
              </w:rPr>
              <w:t xml:space="preserve">4、显卡：≥分辨率2560*1664 </w:t>
            </w:r>
          </w:p>
          <w:p>
            <w:pPr>
              <w:spacing w:line="360" w:lineRule="auto"/>
              <w:rPr>
                <w:sz w:val="24"/>
              </w:rPr>
            </w:pPr>
            <w:r>
              <w:rPr>
                <w:rFonts w:hint="eastAsia"/>
                <w:sz w:val="24"/>
              </w:rPr>
              <w:t>5、接口：≥6个USB 接口，其中≥3个USB 3.2接口；前面板至少一个支持在开机状态下支持PD协议对外提供 5V/2A 9V/2A max充电；1x HDMI接口，1x VGA接口，1x串口；后置1x麦克风输入接口+1x 音频输出接口+1x音频输入接口,音频配置蜂鸣器；</w:t>
            </w:r>
          </w:p>
          <w:p>
            <w:pPr>
              <w:spacing w:line="360" w:lineRule="auto"/>
              <w:rPr>
                <w:sz w:val="24"/>
              </w:rPr>
            </w:pPr>
            <w:r>
              <w:rPr>
                <w:rFonts w:hint="eastAsia"/>
                <w:sz w:val="24"/>
              </w:rPr>
              <w:t>6、机箱尺寸：≤9L</w:t>
            </w:r>
          </w:p>
          <w:p>
            <w:pPr>
              <w:spacing w:line="360" w:lineRule="auto"/>
              <w:rPr>
                <w:sz w:val="24"/>
              </w:rPr>
            </w:pPr>
            <w:r>
              <w:rPr>
                <w:rFonts w:hint="eastAsia" w:asciiTheme="minorEastAsia" w:hAnsiTheme="minorEastAsia" w:eastAsiaTheme="minorEastAsia"/>
                <w:b/>
                <w:sz w:val="24"/>
              </w:rPr>
              <w:t>▲</w:t>
            </w:r>
            <w:r>
              <w:rPr>
                <w:rFonts w:hint="eastAsia"/>
                <w:sz w:val="24"/>
              </w:rPr>
              <w:t>7、软件：出厂预装正版Windows10操作系统；为方便主机域的管理，安装智能域管理软件。</w:t>
            </w:r>
            <w:r>
              <w:rPr>
                <w:rFonts w:ascii="宋体" w:hAnsi="宋体" w:cs="宋体"/>
                <w:sz w:val="24"/>
              </w:rPr>
              <w:t>（提供</w:t>
            </w:r>
            <w:r>
              <w:rPr>
                <w:rFonts w:hint="eastAsia" w:ascii="宋体" w:hAnsi="宋体" w:cs="宋体"/>
                <w:sz w:val="24"/>
              </w:rPr>
              <w:t>证书</w:t>
            </w:r>
            <w:r>
              <w:rPr>
                <w:rFonts w:ascii="宋体" w:hAnsi="宋体" w:cs="宋体"/>
                <w:sz w:val="24"/>
              </w:rPr>
              <w:t>复印件加盖</w:t>
            </w:r>
            <w:r>
              <w:rPr>
                <w:rFonts w:hint="eastAsia" w:ascii="宋体" w:hAnsi="宋体" w:cs="宋体"/>
                <w:sz w:val="24"/>
              </w:rPr>
              <w:t>投标人</w:t>
            </w:r>
            <w:r>
              <w:rPr>
                <w:rFonts w:ascii="宋体" w:hAnsi="宋体" w:cs="宋体"/>
                <w:sz w:val="24"/>
              </w:rPr>
              <w:t>鲜章）</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center"/>
              <w:rPr>
                <w:rFonts w:ascii="宋体" w:hAnsi="宋体" w:cs="宋体"/>
                <w:sz w:val="24"/>
              </w:rPr>
            </w:pPr>
            <w:r>
              <w:rPr>
                <w:rFonts w:hint="eastAsia" w:asciiTheme="minorEastAsia" w:hAnsiTheme="minorEastAsia" w:eastAsiaTheme="minorEastAsia"/>
                <w:sz w:val="24"/>
              </w:rPr>
              <w:t>套</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center"/>
              <w:rPr>
                <w:rFonts w:ascii="宋体" w:hAnsi="宋体" w:cs="宋体"/>
                <w:sz w:val="24"/>
              </w:rPr>
            </w:pPr>
            <w:r>
              <w:rPr>
                <w:rFonts w:hint="eastAsia" w:asciiTheme="minorEastAsia" w:hAnsiTheme="minorEastAsia" w:eastAsia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center"/>
              <w:rPr>
                <w:rFonts w:ascii="宋体" w:hAnsi="宋体" w:cs="宋体"/>
                <w:sz w:val="24"/>
              </w:rPr>
            </w:pPr>
            <w:r>
              <w:rPr>
                <w:rFonts w:hint="eastAsia" w:asciiTheme="minorEastAsia" w:hAnsiTheme="minorEastAsia" w:eastAsiaTheme="minorEastAsia"/>
                <w:sz w:val="24"/>
              </w:rPr>
              <w:t>6</w:t>
            </w:r>
          </w:p>
        </w:tc>
        <w:tc>
          <w:tcPr>
            <w:tcW w:w="1046"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center"/>
              <w:rPr>
                <w:rFonts w:ascii="宋体" w:hAnsi="宋体" w:cs="宋体"/>
                <w:sz w:val="24"/>
              </w:rPr>
            </w:pPr>
            <w:r>
              <w:rPr>
                <w:rFonts w:hint="eastAsia" w:asciiTheme="minorEastAsia" w:hAnsiTheme="minorEastAsia" w:eastAsiaTheme="minorEastAsia"/>
                <w:sz w:val="24"/>
              </w:rPr>
              <w:t>配电箱</w:t>
            </w:r>
          </w:p>
        </w:tc>
        <w:tc>
          <w:tcPr>
            <w:tcW w:w="7152"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360" w:lineRule="auto"/>
              <w:contextualSpacing/>
              <w:jc w:val="left"/>
              <w:rPr>
                <w:rFonts w:ascii="宋体" w:hAnsi="宋体" w:cs="宋体"/>
                <w:kern w:val="0"/>
                <w:sz w:val="24"/>
              </w:rPr>
            </w:pPr>
            <w:r>
              <w:rPr>
                <w:rFonts w:hint="eastAsia" w:ascii="宋体" w:hAnsi="宋体"/>
                <w:sz w:val="24"/>
              </w:rPr>
              <w:t>50KW，具有远程上电和定时开关机功能，三相五线进线方式，多工卡控制，每路可延时上电，漏电保护，浪涌保护，可增加烟雾，光感等配件。 9路输出。</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center"/>
              <w:rPr>
                <w:rFonts w:ascii="宋体" w:hAnsi="宋体" w:cs="宋体"/>
                <w:sz w:val="24"/>
              </w:rPr>
            </w:pPr>
            <w:r>
              <w:rPr>
                <w:rFonts w:hint="eastAsia" w:asciiTheme="minorEastAsia" w:hAnsiTheme="minorEastAsia" w:eastAsiaTheme="minorEastAsia"/>
                <w:sz w:val="24"/>
              </w:rPr>
              <w:t>套</w:t>
            </w:r>
          </w:p>
        </w:tc>
        <w:tc>
          <w:tcPr>
            <w:tcW w:w="910" w:type="dxa"/>
            <w:tcBorders>
              <w:top w:val="single" w:color="auto" w:sz="4" w:space="0"/>
              <w:left w:val="single" w:color="auto" w:sz="4" w:space="0"/>
              <w:bottom w:val="single" w:color="auto" w:sz="4" w:space="0"/>
              <w:right w:val="single" w:color="auto" w:sz="4" w:space="0"/>
            </w:tcBorders>
            <w:noWrap/>
            <w:vAlign w:val="center"/>
          </w:tcPr>
          <w:p>
            <w:pPr>
              <w:widowControl/>
              <w:spacing w:before="240" w:after="240" w:line="20" w:lineRule="atLeast"/>
              <w:contextualSpacing/>
              <w:jc w:val="center"/>
              <w:rPr>
                <w:rFonts w:ascii="宋体" w:hAnsi="宋体" w:cs="宋体"/>
                <w:sz w:val="24"/>
              </w:rPr>
            </w:pPr>
            <w:r>
              <w:rPr>
                <w:rFonts w:hint="eastAsia" w:asciiTheme="minorEastAsia" w:hAnsiTheme="minorEastAsia" w:eastAsiaTheme="minorEastAsia"/>
                <w:sz w:val="24"/>
              </w:rPr>
              <w:t>1</w:t>
            </w:r>
          </w:p>
        </w:tc>
      </w:tr>
    </w:tbl>
    <w:p>
      <w:pPr>
        <w:pStyle w:val="27"/>
        <w:numPr>
          <w:ilvl w:val="0"/>
          <w:numId w:val="4"/>
        </w:numP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、运维服务</w:t>
      </w:r>
    </w:p>
    <w:p>
      <w:pPr>
        <w:pStyle w:val="28"/>
      </w:pPr>
    </w:p>
    <w:tbl>
      <w:tblPr>
        <w:tblStyle w:val="21"/>
        <w:tblW w:w="10478" w:type="dxa"/>
        <w:jc w:val="center"/>
        <w:tblLayout w:type="fixed"/>
        <w:tblCellMar>
          <w:top w:w="15" w:type="dxa"/>
          <w:left w:w="15" w:type="dxa"/>
          <w:bottom w:w="15" w:type="dxa"/>
          <w:right w:w="15" w:type="dxa"/>
        </w:tblCellMar>
      </w:tblPr>
      <w:tblGrid>
        <w:gridCol w:w="573"/>
        <w:gridCol w:w="1593"/>
        <w:gridCol w:w="6885"/>
        <w:gridCol w:w="742"/>
        <w:gridCol w:w="685"/>
      </w:tblGrid>
      <w:tr>
        <w:tblPrEx>
          <w:tblCellMar>
            <w:top w:w="15" w:type="dxa"/>
            <w:left w:w="15" w:type="dxa"/>
            <w:bottom w:w="15" w:type="dxa"/>
            <w:right w:w="15" w:type="dxa"/>
          </w:tblCellMar>
        </w:tblPrEx>
        <w:trPr>
          <w:trHeight w:val="552" w:hRule="atLeast"/>
          <w:jc w:val="center"/>
        </w:trPr>
        <w:tc>
          <w:tcPr>
            <w:tcW w:w="573"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cs="宋体" w:asciiTheme="minorEastAsia" w:hAnsiTheme="minorEastAsia" w:eastAsiaTheme="minorEastAsia"/>
                <w:b/>
                <w:sz w:val="24"/>
              </w:rPr>
            </w:pPr>
          </w:p>
          <w:p>
            <w:pPr>
              <w:widowControl/>
              <w:spacing w:line="2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593" w:type="dxa"/>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产品</w:t>
            </w:r>
          </w:p>
        </w:tc>
        <w:tc>
          <w:tcPr>
            <w:tcW w:w="6885" w:type="dxa"/>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技术参数要求</w:t>
            </w:r>
          </w:p>
        </w:tc>
        <w:tc>
          <w:tcPr>
            <w:tcW w:w="742" w:type="dxa"/>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单位</w:t>
            </w:r>
          </w:p>
        </w:tc>
        <w:tc>
          <w:tcPr>
            <w:tcW w:w="68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r>
      <w:tr>
        <w:tblPrEx>
          <w:tblCellMar>
            <w:top w:w="15" w:type="dxa"/>
            <w:left w:w="15" w:type="dxa"/>
            <w:bottom w:w="15" w:type="dxa"/>
            <w:right w:w="15" w:type="dxa"/>
          </w:tblCellMar>
        </w:tblPrEx>
        <w:trPr>
          <w:trHeight w:val="1871" w:hRule="atLeast"/>
          <w:jc w:val="center"/>
        </w:trPr>
        <w:tc>
          <w:tcPr>
            <w:tcW w:w="573" w:type="dxa"/>
            <w:tcBorders>
              <w:top w:val="single" w:color="auto" w:sz="4" w:space="0"/>
              <w:left w:val="single" w:color="auto" w:sz="4" w:space="0"/>
              <w:bottom w:val="single" w:color="auto" w:sz="4" w:space="0"/>
              <w:right w:val="single" w:color="000000" w:sz="4" w:space="0"/>
            </w:tcBorders>
            <w:vAlign w:val="center"/>
          </w:tcPr>
          <w:p>
            <w:pPr>
              <w:jc w:val="center"/>
              <w:rPr>
                <w:rFonts w:cs="宋体" w:asciiTheme="minorEastAsia" w:hAnsiTheme="minorEastAsia" w:eastAsiaTheme="minorEastAsia"/>
                <w:b/>
                <w:sz w:val="24"/>
              </w:rPr>
            </w:pPr>
            <w:r>
              <w:rPr>
                <w:rFonts w:hint="eastAsia" w:asciiTheme="minorEastAsia" w:hAnsiTheme="minorEastAsia" w:eastAsiaTheme="minorEastAsia"/>
                <w:sz w:val="24"/>
              </w:rPr>
              <w:t>1</w:t>
            </w:r>
          </w:p>
        </w:tc>
        <w:tc>
          <w:tcPr>
            <w:tcW w:w="1593"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cs="宋体" w:asciiTheme="minorEastAsia" w:hAnsiTheme="minorEastAsia" w:eastAsiaTheme="minorEastAsia"/>
                <w:b/>
                <w:sz w:val="24"/>
              </w:rPr>
            </w:pPr>
            <w:r>
              <w:rPr>
                <w:rFonts w:hint="eastAsia" w:asciiTheme="minorEastAsia" w:hAnsiTheme="minorEastAsia" w:eastAsiaTheme="minorEastAsia"/>
                <w:sz w:val="24"/>
              </w:rPr>
              <w:t>演播室系统</w:t>
            </w:r>
          </w:p>
        </w:tc>
        <w:tc>
          <w:tcPr>
            <w:tcW w:w="6885" w:type="dxa"/>
            <w:tcBorders>
              <w:top w:val="single" w:color="auto" w:sz="4" w:space="0"/>
              <w:left w:val="single" w:color="000000" w:sz="4" w:space="0"/>
              <w:bottom w:val="single" w:color="auto" w:sz="4" w:space="0"/>
              <w:right w:val="single" w:color="000000" w:sz="4" w:space="0"/>
            </w:tcBorders>
          </w:tcPr>
          <w:p>
            <w:pPr>
              <w:widowControl/>
              <w:spacing w:before="240" w:after="240" w:line="360" w:lineRule="auto"/>
              <w:contextualSpacing/>
              <w:jc w:val="left"/>
              <w:rPr>
                <w:rFonts w:cs="宋体" w:asciiTheme="minorEastAsia" w:hAnsiTheme="minorEastAsia" w:eastAsiaTheme="minorEastAsia"/>
                <w:b/>
                <w:sz w:val="24"/>
              </w:rPr>
            </w:pPr>
            <w:r>
              <w:rPr>
                <w:rFonts w:hint="eastAsia" w:ascii="宋体" w:hAnsi="宋体"/>
                <w:sz w:val="24"/>
              </w:rPr>
              <w:t>1、保持该系统内新闻演播室包括提词器、音视频系统、灯光系统、通话系统、虚拟演播室系统、矩阵控制器、拼接屏控制系统及其配套软件等所有软硬件达到最佳状态</w:t>
            </w:r>
          </w:p>
        </w:tc>
        <w:tc>
          <w:tcPr>
            <w:tcW w:w="742" w:type="dxa"/>
            <w:tcBorders>
              <w:top w:val="single" w:color="auto" w:sz="4" w:space="0"/>
              <w:left w:val="single" w:color="000000" w:sz="4" w:space="0"/>
              <w:bottom w:val="single" w:color="auto" w:sz="4" w:space="0"/>
              <w:right w:val="single" w:color="000000" w:sz="4" w:space="0"/>
            </w:tcBorders>
            <w:vAlign w:val="center"/>
          </w:tcPr>
          <w:p>
            <w:pPr>
              <w:jc w:val="center"/>
              <w:rPr>
                <w:rFonts w:cs="宋体" w:asciiTheme="minorEastAsia" w:hAnsiTheme="minorEastAsia" w:eastAsiaTheme="minorEastAsia"/>
                <w:b/>
                <w:sz w:val="24"/>
              </w:rPr>
            </w:pPr>
            <w:r>
              <w:rPr>
                <w:rFonts w:hint="eastAsia" w:asciiTheme="minorEastAsia" w:hAnsiTheme="minorEastAsia" w:eastAsiaTheme="minorEastAsia"/>
                <w:sz w:val="24"/>
              </w:rPr>
              <w:t>年</w:t>
            </w:r>
          </w:p>
        </w:tc>
        <w:tc>
          <w:tcPr>
            <w:tcW w:w="685" w:type="dxa"/>
            <w:tcBorders>
              <w:top w:val="single" w:color="auto" w:sz="4" w:space="0"/>
              <w:left w:val="single" w:color="000000" w:sz="4" w:space="0"/>
              <w:bottom w:val="single" w:color="auto" w:sz="4" w:space="0"/>
              <w:right w:val="single" w:color="auto" w:sz="4" w:space="0"/>
            </w:tcBorders>
            <w:vAlign w:val="center"/>
          </w:tcPr>
          <w:p>
            <w:pPr>
              <w:jc w:val="center"/>
              <w:rPr>
                <w:rFonts w:cs="宋体" w:asciiTheme="minorEastAsia" w:hAnsiTheme="minorEastAsia" w:eastAsiaTheme="minorEastAsia"/>
                <w:b/>
                <w:sz w:val="24"/>
              </w:rPr>
            </w:pPr>
            <w:r>
              <w:rPr>
                <w:rFonts w:hint="eastAsia" w:asciiTheme="minorEastAsia" w:hAnsiTheme="minorEastAsia" w:eastAsiaTheme="minorEastAsia"/>
                <w:sz w:val="24"/>
              </w:rPr>
              <w:t>1</w:t>
            </w:r>
          </w:p>
        </w:tc>
      </w:tr>
      <w:tr>
        <w:tblPrEx>
          <w:tblCellMar>
            <w:top w:w="15" w:type="dxa"/>
            <w:left w:w="15" w:type="dxa"/>
            <w:bottom w:w="15" w:type="dxa"/>
            <w:right w:w="15" w:type="dxa"/>
          </w:tblCellMar>
        </w:tblPrEx>
        <w:trPr>
          <w:trHeight w:val="1414" w:hRule="atLeast"/>
          <w:jc w:val="center"/>
        </w:trPr>
        <w:tc>
          <w:tcPr>
            <w:tcW w:w="573" w:type="dxa"/>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593"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媒资系统</w:t>
            </w:r>
          </w:p>
        </w:tc>
        <w:tc>
          <w:tcPr>
            <w:tcW w:w="6885" w:type="dxa"/>
            <w:tcBorders>
              <w:top w:val="single" w:color="auto" w:sz="4" w:space="0"/>
              <w:left w:val="single" w:color="000000" w:sz="4" w:space="0"/>
              <w:bottom w:val="single" w:color="auto" w:sz="4" w:space="0"/>
              <w:right w:val="single" w:color="000000" w:sz="4" w:space="0"/>
            </w:tcBorders>
          </w:tcPr>
          <w:p>
            <w:pPr>
              <w:widowControl/>
              <w:spacing w:before="240" w:after="240" w:line="360" w:lineRule="auto"/>
              <w:contextualSpacing/>
              <w:jc w:val="left"/>
              <w:rPr>
                <w:rFonts w:ascii="宋体" w:hAnsi="宋体"/>
                <w:sz w:val="24"/>
              </w:rPr>
            </w:pPr>
            <w:r>
              <w:rPr>
                <w:rFonts w:hint="eastAsia" w:ascii="宋体" w:hAnsi="宋体"/>
                <w:sz w:val="24"/>
              </w:rPr>
              <w:t>1、保持该媒资系统内服务器、上下载工作站、审片工作站、编目工作站、存储阵列设备、网络设备等所有软硬件达到最佳状态</w:t>
            </w:r>
          </w:p>
        </w:tc>
        <w:tc>
          <w:tcPr>
            <w:tcW w:w="742" w:type="dxa"/>
            <w:tcBorders>
              <w:top w:val="single" w:color="auto"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年</w:t>
            </w:r>
          </w:p>
        </w:tc>
        <w:tc>
          <w:tcPr>
            <w:tcW w:w="685" w:type="dxa"/>
            <w:tcBorders>
              <w:top w:val="single" w:color="auto"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r>
      <w:tr>
        <w:tblPrEx>
          <w:tblCellMar>
            <w:top w:w="15" w:type="dxa"/>
            <w:left w:w="15" w:type="dxa"/>
            <w:bottom w:w="15" w:type="dxa"/>
            <w:right w:w="15" w:type="dxa"/>
          </w:tblCellMar>
        </w:tblPrEx>
        <w:trPr>
          <w:trHeight w:val="1685" w:hRule="atLeast"/>
          <w:jc w:val="center"/>
        </w:trPr>
        <w:tc>
          <w:tcPr>
            <w:tcW w:w="573" w:type="dxa"/>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593"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制作系统</w:t>
            </w:r>
          </w:p>
        </w:tc>
        <w:tc>
          <w:tcPr>
            <w:tcW w:w="6885" w:type="dxa"/>
            <w:tcBorders>
              <w:top w:val="single" w:color="auto" w:sz="4" w:space="0"/>
              <w:left w:val="single" w:color="000000" w:sz="4" w:space="0"/>
              <w:bottom w:val="single" w:color="auto" w:sz="4" w:space="0"/>
              <w:right w:val="single" w:color="000000" w:sz="4" w:space="0"/>
            </w:tcBorders>
          </w:tcPr>
          <w:p>
            <w:pPr>
              <w:widowControl/>
              <w:spacing w:before="240" w:after="240" w:line="360" w:lineRule="auto"/>
              <w:contextualSpacing/>
              <w:jc w:val="left"/>
              <w:rPr>
                <w:rFonts w:ascii="宋体" w:hAnsi="宋体"/>
                <w:sz w:val="24"/>
              </w:rPr>
            </w:pPr>
            <w:r>
              <w:rPr>
                <w:rFonts w:hint="eastAsia" w:ascii="宋体" w:hAnsi="宋体"/>
                <w:sz w:val="24"/>
              </w:rPr>
              <w:t>1、保持该系统内制作网WEB服务器、主备数据库、域控主备服务器、非线性编辑设备、包装编辑系统设备、主备存储阵列、摆渡工作站、网络分配设备、KVM 等所有软硬件达到最佳状态</w:t>
            </w:r>
          </w:p>
        </w:tc>
        <w:tc>
          <w:tcPr>
            <w:tcW w:w="742" w:type="dxa"/>
            <w:tcBorders>
              <w:top w:val="single" w:color="auto"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年</w:t>
            </w:r>
          </w:p>
        </w:tc>
        <w:tc>
          <w:tcPr>
            <w:tcW w:w="685" w:type="dxa"/>
            <w:tcBorders>
              <w:top w:val="single" w:color="auto"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r>
      <w:tr>
        <w:tblPrEx>
          <w:tblCellMar>
            <w:top w:w="15" w:type="dxa"/>
            <w:left w:w="15" w:type="dxa"/>
            <w:bottom w:w="15" w:type="dxa"/>
            <w:right w:w="15" w:type="dxa"/>
          </w:tblCellMar>
        </w:tblPrEx>
        <w:trPr>
          <w:trHeight w:val="2329" w:hRule="atLeast"/>
          <w:jc w:val="center"/>
        </w:trPr>
        <w:tc>
          <w:tcPr>
            <w:tcW w:w="573" w:type="dxa"/>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593"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播出系统</w:t>
            </w:r>
          </w:p>
        </w:tc>
        <w:tc>
          <w:tcPr>
            <w:tcW w:w="6885" w:type="dxa"/>
            <w:tcBorders>
              <w:top w:val="single" w:color="auto" w:sz="4" w:space="0"/>
              <w:left w:val="single" w:color="000000" w:sz="4" w:space="0"/>
              <w:bottom w:val="single" w:color="auto" w:sz="4" w:space="0"/>
              <w:right w:val="single" w:color="000000" w:sz="4" w:space="0"/>
            </w:tcBorders>
          </w:tcPr>
          <w:p>
            <w:pPr>
              <w:widowControl/>
              <w:spacing w:before="240" w:after="240" w:line="360" w:lineRule="auto"/>
              <w:contextualSpacing/>
              <w:jc w:val="left"/>
              <w:rPr>
                <w:rFonts w:ascii="宋体" w:hAnsi="宋体"/>
                <w:sz w:val="24"/>
              </w:rPr>
            </w:pPr>
            <w:r>
              <w:rPr>
                <w:rFonts w:hint="eastAsia" w:ascii="宋体" w:hAnsi="宋体"/>
                <w:sz w:val="24"/>
              </w:rPr>
              <w:t>1、保持该播出系统内服务器、播控工作站、数据库服务器、存储阵列、切换系统、键控设备、台标机、交换机、A/D+加嵌卡、D/A+解嵌卡、主备同步机、数字视分、音频处理器及所有周边设备等所有软硬件达到最佳状态</w:t>
            </w:r>
          </w:p>
        </w:tc>
        <w:tc>
          <w:tcPr>
            <w:tcW w:w="742" w:type="dxa"/>
            <w:tcBorders>
              <w:top w:val="single" w:color="auto"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年</w:t>
            </w:r>
          </w:p>
        </w:tc>
        <w:tc>
          <w:tcPr>
            <w:tcW w:w="685" w:type="dxa"/>
            <w:tcBorders>
              <w:top w:val="single" w:color="auto"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r>
      <w:tr>
        <w:tblPrEx>
          <w:tblCellMar>
            <w:top w:w="15" w:type="dxa"/>
            <w:left w:w="15" w:type="dxa"/>
            <w:bottom w:w="15" w:type="dxa"/>
            <w:right w:w="15" w:type="dxa"/>
          </w:tblCellMar>
        </w:tblPrEx>
        <w:trPr>
          <w:trHeight w:val="955" w:hRule="atLeast"/>
          <w:jc w:val="center"/>
        </w:trPr>
        <w:tc>
          <w:tcPr>
            <w:tcW w:w="573" w:type="dxa"/>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593"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摄录系统</w:t>
            </w:r>
          </w:p>
        </w:tc>
        <w:tc>
          <w:tcPr>
            <w:tcW w:w="6885" w:type="dxa"/>
            <w:tcBorders>
              <w:top w:val="single" w:color="auto" w:sz="4" w:space="0"/>
              <w:left w:val="single" w:color="000000" w:sz="4" w:space="0"/>
              <w:bottom w:val="single" w:color="auto" w:sz="4" w:space="0"/>
              <w:right w:val="single" w:color="000000" w:sz="4" w:space="0"/>
            </w:tcBorders>
          </w:tcPr>
          <w:p>
            <w:pPr>
              <w:widowControl/>
              <w:spacing w:before="240" w:after="240" w:line="360" w:lineRule="auto"/>
              <w:contextualSpacing/>
              <w:jc w:val="left"/>
              <w:rPr>
                <w:rFonts w:ascii="宋体" w:hAnsi="宋体"/>
                <w:sz w:val="24"/>
              </w:rPr>
            </w:pPr>
            <w:r>
              <w:rPr>
                <w:rFonts w:hint="eastAsia" w:ascii="宋体" w:hAnsi="宋体"/>
                <w:sz w:val="24"/>
              </w:rPr>
              <w:t>保持该系统所有的摄录设备等所有软硬件达到最佳状态</w:t>
            </w:r>
          </w:p>
        </w:tc>
        <w:tc>
          <w:tcPr>
            <w:tcW w:w="742" w:type="dxa"/>
            <w:tcBorders>
              <w:top w:val="single" w:color="auto"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年</w:t>
            </w:r>
          </w:p>
        </w:tc>
        <w:tc>
          <w:tcPr>
            <w:tcW w:w="685" w:type="dxa"/>
            <w:tcBorders>
              <w:top w:val="single" w:color="auto"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r>
      <w:tr>
        <w:tblPrEx>
          <w:tblCellMar>
            <w:top w:w="15" w:type="dxa"/>
            <w:left w:w="15" w:type="dxa"/>
            <w:bottom w:w="15" w:type="dxa"/>
            <w:right w:w="15" w:type="dxa"/>
          </w:tblCellMar>
        </w:tblPrEx>
        <w:trPr>
          <w:trHeight w:val="2339" w:hRule="atLeast"/>
          <w:jc w:val="center"/>
        </w:trPr>
        <w:tc>
          <w:tcPr>
            <w:tcW w:w="573" w:type="dxa"/>
            <w:tcBorders>
              <w:top w:val="single" w:color="auto"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593"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现场直播、转播系统</w:t>
            </w:r>
          </w:p>
        </w:tc>
        <w:tc>
          <w:tcPr>
            <w:tcW w:w="6885" w:type="dxa"/>
            <w:tcBorders>
              <w:top w:val="single" w:color="auto" w:sz="4" w:space="0"/>
              <w:left w:val="single" w:color="000000" w:sz="4" w:space="0"/>
              <w:bottom w:val="single" w:color="auto" w:sz="4" w:space="0"/>
              <w:right w:val="single" w:color="000000" w:sz="4" w:space="0"/>
            </w:tcBorders>
          </w:tcPr>
          <w:p>
            <w:pPr>
              <w:widowControl/>
              <w:spacing w:before="240" w:after="240" w:line="360" w:lineRule="auto"/>
              <w:contextualSpacing/>
              <w:jc w:val="left"/>
              <w:rPr>
                <w:rFonts w:ascii="宋体" w:hAnsi="宋体"/>
                <w:sz w:val="24"/>
              </w:rPr>
            </w:pPr>
            <w:r>
              <w:rPr>
                <w:rFonts w:hint="eastAsia" w:ascii="宋体" w:hAnsi="宋体"/>
                <w:sz w:val="24"/>
              </w:rPr>
              <w:t>保持该系统内电视直播车系统（包含转播车支撑系统、配电系统、UPS、摄录系统、信号切换及处理系统的所有设备）、EFP系统（包含移动导播台现场切换系统及活动线缆盘等）等所有软硬件达到最佳状态</w:t>
            </w:r>
          </w:p>
        </w:tc>
        <w:tc>
          <w:tcPr>
            <w:tcW w:w="742" w:type="dxa"/>
            <w:tcBorders>
              <w:top w:val="single" w:color="auto"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年</w:t>
            </w:r>
          </w:p>
        </w:tc>
        <w:tc>
          <w:tcPr>
            <w:tcW w:w="685" w:type="dxa"/>
            <w:tcBorders>
              <w:top w:val="single" w:color="auto"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r>
    </w:tbl>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注：1、技术参数中打▲号参数为重要参数，如有负偏离只作为评分细则条款做扣分处理，不做废标处理。</w:t>
      </w:r>
    </w:p>
    <w:p>
      <w:pPr>
        <w:spacing w:line="360" w:lineRule="auto"/>
        <w:ind w:firstLine="482" w:firstLineChars="200"/>
        <w:rPr>
          <w:rFonts w:asciiTheme="minorEastAsia" w:hAnsiTheme="minorEastAsia" w:eastAsiaTheme="minorEastAsia"/>
          <w:b/>
          <w:sz w:val="24"/>
          <w:shd w:val="clear" w:color="auto" w:fill="FFFF00"/>
        </w:rPr>
      </w:pPr>
      <w:r>
        <w:rPr>
          <w:rFonts w:hint="eastAsia" w:asciiTheme="minorEastAsia" w:hAnsiTheme="minorEastAsia" w:eastAsiaTheme="minorEastAsia"/>
          <w:b/>
          <w:sz w:val="24"/>
        </w:rPr>
        <w:t>2、技术参数中打</w:t>
      </w:r>
      <w:r>
        <w:rPr>
          <w:rFonts w:hint="eastAsia" w:ascii="宋体" w:hAnsi="宋体" w:cs="宋体"/>
          <w:sz w:val="24"/>
        </w:rPr>
        <w:t>★</w:t>
      </w:r>
      <w:r>
        <w:rPr>
          <w:rFonts w:hint="eastAsia" w:asciiTheme="minorEastAsia" w:hAnsiTheme="minorEastAsia" w:eastAsiaTheme="minorEastAsia"/>
          <w:b/>
          <w:sz w:val="24"/>
        </w:rPr>
        <w:t>号参数为实质性要求，如有负偏离则作为无效投标文件处理。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四、商务要求</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1、交货期及地点</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1.1 交货期：合同签订后2个月内</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1.2 交货地点: 采购人指定地点</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2、付款方法和条件：</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合同签订后预付合同金额的50%,安装完成验收合格后支付合同金额的45%，余5%作为质保金,在无产品质量问题的前提下一年后进行无息支付。</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3、质保期：</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所有设备质保期为1年，从验收合格之日起算。为安装验收合格之日起一年。</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4、验收： </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4.1交货验收时须提供产品质检部门从同类产品中抽样检查合格的检测报告。</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4.2验收由甲方组织，乙方配合进行：</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 货物在乙方通知安装调试完毕后7日内初步验收。初步验收合格后，进入15天试用期；试用期间发生一般性质量问题，修复后试用期相应顺延；试用期结束后3日内完成最终验收，如质量验收合格，双方签署《质量验收合格证明书》。</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 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严格按照政府采购相关法律法规以及《四川省政府采购项目需求论证和履约验收管理办法》（川财采〔2015〕32号）的要求、采购文件的质量要求和技术指标、成交供应商的投标文件及承诺以及合同约定标准进行验收。</w:t>
      </w:r>
    </w:p>
    <w:p>
      <w:pPr>
        <w:spacing w:line="360" w:lineRule="auto"/>
        <w:ind w:firstLine="480" w:firstLineChars="200"/>
        <w:rPr>
          <w:rFonts w:cs="宋体" w:asciiTheme="minorEastAsia" w:hAnsiTheme="minorEastAsia"/>
          <w:kern w:val="0"/>
          <w:sz w:val="24"/>
        </w:rPr>
      </w:pPr>
      <w:r>
        <w:rPr>
          <w:rFonts w:hint="eastAsia" w:asciiTheme="minorEastAsia" w:hAnsiTheme="minorEastAsia" w:eastAsiaTheme="minorEastAsia"/>
          <w:bCs/>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jc w:val="left"/>
        <w:rPr>
          <w:rFonts w:asciiTheme="minorEastAsia" w:hAnsiTheme="minorEastAsia"/>
          <w:b/>
          <w:bCs/>
          <w:sz w:val="24"/>
        </w:rPr>
      </w:pP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5、重大活动前对原有演播室系统巡检、运维服务维护要求：至少提供一次现场巡检、运维服务，保持该系统新闻演播室包括提词器、音视频系统、灯光系统、通话系统、虚拟演播室系统、矩阵控制器、拼接屏控制系统及其配套软件等所有软硬件达到最佳状态</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6、重大活动前对原有媒资系统巡检、运维服务维护要求：至少提供一次现场巡检、运维服务，保持该系统服务器、上下载工作站、审片工作站、编目工作站、存储阵列设备、网络设备等所有软硬件达到最佳状态</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7、重大活动前对原有制作系统巡检、运维服务维护要求：至少提供一次现场巡检、运维服务，保持该系统WEB服务器、主备数据库、域控主备服务器、非线性编辑设备、包装编辑系统设备、主备存储阵列、摆渡工作站、网络分配设备、KVM等所有软硬件达到最佳状态</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8、重大活动前对原有播出系统巡检、运维服务维护要求：至少提供一次现场巡检、运维服务，保持该系统播出系统服务器、播控工作站、数据库服务器、存储阵列、切换系统、键控设备、台标机、交换机、A/D+加嵌卡、D/A+解嵌卡、主备同步机、数字视分、音频处理器及所有周边设备等所有软硬件达到最佳状态</w:t>
      </w:r>
    </w:p>
    <w:p>
      <w:pPr>
        <w:spacing w:line="360" w:lineRule="auto"/>
        <w:ind w:firstLine="480" w:firstLineChars="200"/>
        <w:rPr>
          <w:rFonts w:asciiTheme="minorEastAsia" w:hAnsiTheme="minorEastAsia" w:eastAsiaTheme="minorEastAsia"/>
          <w:b/>
          <w:sz w:val="24"/>
        </w:rPr>
      </w:pPr>
      <w:r>
        <w:rPr>
          <w:rFonts w:hint="eastAsia" w:cs="宋体" w:asciiTheme="minorEastAsia" w:hAnsiTheme="minorEastAsia"/>
          <w:kern w:val="0"/>
          <w:sz w:val="24"/>
        </w:rPr>
        <w:t>9、重大活动前对原有摄录系统巡检、运维服务维护要求：至少提供一次现场巡检、运维服务，保持该系统所有的摄录设备等所有软硬件达到最佳状态</w:t>
      </w:r>
    </w:p>
    <w:p>
      <w:pPr>
        <w:rPr>
          <w:rFonts w:asciiTheme="minorEastAsia" w:hAnsiTheme="minorEastAsia" w:eastAsiaTheme="minorEastAsia"/>
          <w:b/>
          <w:sz w:val="32"/>
          <w:szCs w:val="36"/>
        </w:rPr>
      </w:pPr>
      <w:r>
        <w:rPr>
          <w:rFonts w:hint="eastAsia" w:asciiTheme="minorEastAsia" w:hAnsiTheme="minorEastAsia" w:eastAsiaTheme="minorEastAsia"/>
          <w:b/>
          <w:sz w:val="24"/>
        </w:rPr>
        <w:br w:type="page"/>
      </w:r>
    </w:p>
    <w:p>
      <w:pPr>
        <w:widowControl/>
        <w:ind w:firstLine="2570" w:firstLineChars="800"/>
        <w:jc w:val="left"/>
        <w:rPr>
          <w:rFonts w:asciiTheme="minorEastAsia" w:hAnsiTheme="minorEastAsia" w:eastAsiaTheme="minorEastAsia"/>
          <w:sz w:val="32"/>
          <w:szCs w:val="36"/>
        </w:rPr>
      </w:pPr>
      <w:r>
        <w:rPr>
          <w:rFonts w:hint="eastAsia" w:asciiTheme="minorEastAsia" w:hAnsiTheme="minorEastAsia" w:eastAsiaTheme="minorEastAsia"/>
          <w:b/>
          <w:sz w:val="32"/>
          <w:szCs w:val="36"/>
        </w:rPr>
        <w:t>第七章  评标办法</w:t>
      </w:r>
      <w:bookmarkEnd w:id="136"/>
      <w:bookmarkStart w:id="137" w:name="_Hlt101846155"/>
      <w:bookmarkEnd w:id="137"/>
      <w:bookmarkStart w:id="138" w:name="_Toc217446097"/>
      <w:bookmarkStart w:id="139" w:name="_Toc208849007"/>
      <w:bookmarkStart w:id="140" w:name="_Toc183582280"/>
      <w:bookmarkStart w:id="141" w:name="_Toc183682415"/>
    </w:p>
    <w:p>
      <w:pPr>
        <w:pStyle w:val="4"/>
        <w:spacing w:line="360" w:lineRule="auto"/>
        <w:ind w:firstLine="482" w:firstLineChars="200"/>
        <w:rPr>
          <w:rFonts w:asciiTheme="minorEastAsia" w:hAnsiTheme="minorEastAsia" w:eastAsiaTheme="minorEastAsia"/>
          <w:bCs w:val="0"/>
          <w:sz w:val="24"/>
          <w:szCs w:val="24"/>
        </w:rPr>
      </w:pPr>
      <w:bookmarkStart w:id="142" w:name="_Toc489965595"/>
      <w:bookmarkStart w:id="143" w:name="_Toc10393"/>
      <w:r>
        <w:rPr>
          <w:rFonts w:hint="eastAsia" w:asciiTheme="minorEastAsia" w:hAnsiTheme="minorEastAsia" w:eastAsiaTheme="minorEastAsia"/>
          <w:bCs w:val="0"/>
          <w:sz w:val="24"/>
          <w:szCs w:val="24"/>
        </w:rPr>
        <w:t>1. 总则</w:t>
      </w:r>
      <w:bookmarkEnd w:id="138"/>
      <w:bookmarkEnd w:id="139"/>
      <w:bookmarkEnd w:id="140"/>
      <w:bookmarkEnd w:id="141"/>
      <w:bookmarkEnd w:id="142"/>
      <w:bookmarkEnd w:id="143"/>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1.2 </w:t>
      </w:r>
      <w:r>
        <w:rPr>
          <w:rFonts w:hint="eastAsia" w:asciiTheme="minorEastAsia" w:hAnsiTheme="minorEastAsia" w:eastAsiaTheme="minorEastAsia"/>
          <w:bCs/>
          <w:sz w:val="24"/>
        </w:rPr>
        <w:t>评标工作由采购代理机构负责组织，具体评标事务由采购代理机构依法组建的评标委员会负责。评标委员会由采购人代表和有关技术、经济、法律等方面的专家组成。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评标工作应遵循公平、公正、科学及择优的原则，并以相同的评标程序和标准对待所有的投标人。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评标委员会按照招标文件规定的评标方法和标准进行评标，并独立履行下列职责：</w:t>
      </w:r>
    </w:p>
    <w:p>
      <w:pPr>
        <w:spacing w:line="360" w:lineRule="auto"/>
        <w:ind w:firstLine="480" w:firstLineChars="200"/>
        <w:rPr>
          <w:rFonts w:asciiTheme="minorEastAsia" w:hAnsiTheme="minorEastAsia" w:eastAsiaTheme="minorEastAsia"/>
          <w:sz w:val="24"/>
        </w:rPr>
      </w:pPr>
      <w:bookmarkStart w:id="144" w:name="_Toc217446098"/>
      <w:r>
        <w:rPr>
          <w:rFonts w:hint="eastAsia" w:asciiTheme="minorEastAsia" w:hAnsiTheme="minorEastAsia" w:eastAsiaTheme="minorEastAsia"/>
          <w:sz w:val="24"/>
        </w:rPr>
        <w:t>（一）熟悉和理解招标文件；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（二）审查供应商投标文件等是否满足招标文件要求，并作出评价；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（三）根据需要要求招标采购单位对招标文件作出解释；根据需要要求供应商对投标文件有关事项作出澄清、说明或者更正；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（四）推荐中标候选供应商，或者受采购人委托确定中标供应商；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（五）起草评标报告并进行签署；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（六）向招标采购单位、财政部门或者其他监督部门报告非法干预评标工作的行为；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（七）法律、法规和规章规定的其他职责。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评标过程独立、保密。投标人非法干预评标过程的行为将导致其投标文件作为无效处理。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1.6评标委员会评价投标文件的响应性，对于投标人而言，除评标委员会要求其澄清、说明或者更正而提供的资料外，仅依据投标文件本身的内容，不寻求其他外部证据。</w:t>
      </w:r>
    </w:p>
    <w:p>
      <w:pPr>
        <w:pStyle w:val="4"/>
        <w:spacing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2、评标方法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本项目评标方法为：综合评分法。</w:t>
      </w:r>
    </w:p>
    <w:p>
      <w:pPr>
        <w:pStyle w:val="4"/>
        <w:spacing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3、 评标程序</w:t>
      </w:r>
      <w:bookmarkEnd w:id="144"/>
    </w:p>
    <w:p>
      <w:pPr>
        <w:spacing w:line="360" w:lineRule="auto"/>
        <w:ind w:firstLine="480" w:firstLineChars="200"/>
        <w:rPr>
          <w:rFonts w:asciiTheme="minorEastAsia" w:hAnsiTheme="minorEastAsia" w:eastAsiaTheme="minorEastAsia"/>
          <w:sz w:val="24"/>
        </w:rPr>
      </w:pPr>
      <w:bookmarkStart w:id="145" w:name="_Toc217446103"/>
      <w:bookmarkStart w:id="146" w:name="_Toc217446099"/>
      <w:r>
        <w:rPr>
          <w:rFonts w:hint="eastAsia" w:asciiTheme="minorEastAsia" w:hAnsiTheme="minorEastAsia" w:eastAsiaTheme="minorEastAsia"/>
          <w:sz w:val="24"/>
        </w:rPr>
        <w:t>3.1熟悉和理解招标文件和停止评标。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3.1.2评标委员会熟悉和理解招标文件以及评标过程中，发现本招标文件有下列情形之一的，评标委员会应当停止评标：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（1）招标文件的规定存在歧义、重大缺陷的；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（2）招标文件明显以不合理条件对供应商实行差别待遇或者歧视待遇的；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（3）采购项目属于国家规定的优先、强制采购范围，但是招标文件未依法体现优先、强制采购相关规定的；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（4）采购项目属于政府采购促进中小企业发展的范围，但是招标文件未依法体现促进中小企业发展相关规定的；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（5）招标文件规定的评标方法是综合评分法之外的评标方法，或者虽然名称为综合评分法，但实际上不符合国家规定；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（6）招标文件将投标人的资格条件列为评分因素的；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（7）招标文件有违反国家其他有关强制性规定的情形。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3.2资格性检查。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人或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注：资格性检查适用于招标采购单位不自行进行资格性检查或者自行进行资格性检查，但有供应商的资格在评标阶段已经发生变化的采购项目。本项目需要采购人进行资格性检查。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3.3符合性检查。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3.3.2投标文件（包括单独递交的开标一览表）有下列情形的，本项目不作为实质性要求进行规定，即不作为符合性审查事项，不得作为无效投标处理：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（一）正副本数量齐全、密封完好，只是未按照招标文件要求进行分装或者统装的；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（二）存在个别地方（不超过2个）没有法定代表人/主要负责人签字，但有法定代表人/主要负责人的私人印章或者有效授权代理人签字的；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（三）除招标文件明确要求加盖单位(法人)公章的以外，其他地方以相关专用章加盖的；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（四）以骑缝章的形式代替投标文件内容逐页盖章的（但是骑缝章模糊不清，印章名称无法辨认的除外）；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（五）其他不影响采购项目实质性要求的情形。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3.3.3除政府采购法律制度规定的情形外，本项目投标人或者其投标文件有下列情形之一的，作为无效投标处理：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（一）投标文件正副本数量不足的；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（二）投标文件组成明显不符合招标文件的规定要求，影响评标委员会评判的；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（三）投标文件的格式、语言、计量单位、报价货币、知识产权、投标有效期等不符合招标文件的规定，影响评标委员会评判的；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（四）投标报价不符合招标文件规定的价格标底和其他报价规定的；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（六）技术、服务应答内容没有完全响应招标文件的实质性要求的；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（七）招标文件有明确要求，但投标文件未载明或者载明的采购项目履约时间、方式、数量与招标文件要求不一致的。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3.4比较与评价。按招标文件中规定的评标方法和标准，对未作无效投标处理的投标文件进行技术、服务、商务等方面评估，综合比较与评价。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3.5复核。评分汇总结束后，评标委员会应当进行复核，特别要对拟推荐为中标候选供应商的、报价最低的、投标文件被认定为无效的进行重点复核。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推荐中标候选供应商。中标候选供应商应当排序。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3.7出具评标报告。评标委员会推荐中标候选供应商后，应当向招标采购单位出具评标报告。评标报告应当包括下列内容：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（一）招标公告刊登的媒体名称、开标日期和地点；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（二）获取招标文件的投标人名单和评标委员会成员名单；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（三）评标方法和标准；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（四）开标记录和评标情况及说明，包括无效投标人名单及原因；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（五）评标结果和中标候选供应商排序表；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（六）评标委员会授标建议；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（七）报价最高的投标人为中标候选人的，评标委员会应当对其报价的合理性予以特别说明。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3.9供应商应当书面澄清、说明或者更正。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（一）按财政部规定应当在评标时不予承认的投标文件内容事项；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（二）投标文件中已经明确的内容事项；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（三）投标文件未提供的材料。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3.9.4 本项目采购过程中，投标文件出现下列情况的，不需要供应商澄清、说明或者更正，按照以下原则处理：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（一）投标文件的大写金额和小写金额不一致的，以大写金额为准，但大写金额出现文字错误，导致金额无法判断的除外；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（二）总价金额与按单价汇总金额不一致的，以单价汇总金额计算结果为准，但是单价金额出现计算错误、明显人为工作失误的除外；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（三）单价金额小数点有明显错位的，应以总价为准，并修改单价；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（四）对不同语言文本投标文件的解释发生异议的，以中文文本为准。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注：评标委员会当积极履行澄清、说明或者更正的职责，不得滥用权力。供应商的投标文件可以要求澄清、说明或者更正的，不得未经澄清、说明或者更正而直接作无效投标处理。</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3.10 低于成本价投标处理。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3.11招标采购单位现场复核评标结果。</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（一）资格性审查认定错误的；</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（二）分值汇总计算错误的；</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（三）分项评分超出评分标准范围的；</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（四）客观评分不一致的。</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3.11.2有下列情形之一的，不得修改评标结果或者重新评标：</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（一）评标委员会已经出具评标报告并且离开评标现场的；</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（二）招标采购单位现场复核时，复核工作人员数量不足的；</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（三）招标采购单位现场复核时，没有采购监督人员现场监督的；</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（四）招标采购单位现场复核内容超出规定范围的；</w:t>
      </w:r>
    </w:p>
    <w:p>
      <w:pPr>
        <w:pStyle w:val="39"/>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（五）招标采购单位未提供书面建议的。</w:t>
      </w:r>
    </w:p>
    <w:p>
      <w:pPr>
        <w:pStyle w:val="4"/>
        <w:spacing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4. 评标细则及标准</w:t>
      </w:r>
      <w:bookmarkEnd w:id="145"/>
    </w:p>
    <w:p>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4.1本次综合评分的因素是：详见4.3综合评分明细表。</w:t>
      </w:r>
    </w:p>
    <w:p>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4.2 评标委员会成员应当根据自身专业情况对每个有效投标供应商的投标文件进行独立评分，加权汇总每项评分因素的得分，得出每个有效投标供应商的总分。价格和其他不能明确区分的评分因素由评标委员会成员共同评分。</w:t>
      </w:r>
    </w:p>
    <w:p>
      <w:pPr>
        <w:pStyle w:val="11"/>
        <w:tabs>
          <w:tab w:val="left" w:pos="600"/>
        </w:tabs>
        <w:spacing w:line="360" w:lineRule="auto"/>
        <w:ind w:firstLine="480" w:firstLineChars="200"/>
        <w:rPr>
          <w:rFonts w:asciiTheme="minorEastAsia" w:hAnsiTheme="minorEastAsia" w:eastAsiaTheme="minorEastAsia"/>
          <w:sz w:val="24"/>
          <w:szCs w:val="24"/>
        </w:rPr>
      </w:pPr>
    </w:p>
    <w:p>
      <w:pPr>
        <w:pStyle w:val="11"/>
        <w:tabs>
          <w:tab w:val="left" w:pos="60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4.3综合评分明细表</w:t>
      </w:r>
    </w:p>
    <w:tbl>
      <w:tblPr>
        <w:tblStyle w:val="21"/>
        <w:tblW w:w="875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1292"/>
        <w:gridCol w:w="781"/>
        <w:gridCol w:w="4973"/>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751" w:type="dxa"/>
            <w:shd w:val="clear" w:color="auto" w:fill="auto"/>
            <w:vAlign w:val="center"/>
          </w:tcPr>
          <w:p>
            <w:pPr>
              <w:spacing w:line="276" w:lineRule="auto"/>
              <w:jc w:val="left"/>
              <w:rPr>
                <w:b/>
                <w:sz w:val="24"/>
              </w:rPr>
            </w:pPr>
            <w:r>
              <w:rPr>
                <w:rFonts w:hint="eastAsia"/>
                <w:b/>
                <w:sz w:val="24"/>
              </w:rPr>
              <w:t>序号</w:t>
            </w:r>
          </w:p>
        </w:tc>
        <w:tc>
          <w:tcPr>
            <w:tcW w:w="1292" w:type="dxa"/>
            <w:shd w:val="clear" w:color="auto" w:fill="auto"/>
            <w:vAlign w:val="center"/>
          </w:tcPr>
          <w:p>
            <w:pPr>
              <w:spacing w:line="276" w:lineRule="auto"/>
              <w:jc w:val="center"/>
              <w:rPr>
                <w:b/>
                <w:sz w:val="24"/>
              </w:rPr>
            </w:pPr>
            <w:r>
              <w:rPr>
                <w:rFonts w:hint="eastAsia"/>
                <w:b/>
                <w:sz w:val="24"/>
              </w:rPr>
              <w:t>评审内容</w:t>
            </w:r>
          </w:p>
        </w:tc>
        <w:tc>
          <w:tcPr>
            <w:tcW w:w="781" w:type="dxa"/>
            <w:shd w:val="clear" w:color="auto" w:fill="auto"/>
            <w:vAlign w:val="center"/>
          </w:tcPr>
          <w:p>
            <w:pPr>
              <w:spacing w:line="276" w:lineRule="auto"/>
              <w:jc w:val="center"/>
              <w:rPr>
                <w:b/>
                <w:sz w:val="24"/>
              </w:rPr>
            </w:pPr>
            <w:r>
              <w:rPr>
                <w:rFonts w:hint="eastAsia"/>
                <w:b/>
                <w:sz w:val="24"/>
              </w:rPr>
              <w:t>分值</w:t>
            </w:r>
          </w:p>
        </w:tc>
        <w:tc>
          <w:tcPr>
            <w:tcW w:w="4973" w:type="dxa"/>
            <w:shd w:val="clear" w:color="auto" w:fill="auto"/>
            <w:vAlign w:val="center"/>
          </w:tcPr>
          <w:p>
            <w:pPr>
              <w:spacing w:line="276" w:lineRule="auto"/>
              <w:jc w:val="center"/>
              <w:rPr>
                <w:b/>
                <w:sz w:val="24"/>
              </w:rPr>
            </w:pPr>
            <w:r>
              <w:rPr>
                <w:rFonts w:hint="eastAsia"/>
                <w:b/>
                <w:sz w:val="24"/>
              </w:rPr>
              <w:t>评价标准</w:t>
            </w:r>
          </w:p>
        </w:tc>
        <w:tc>
          <w:tcPr>
            <w:tcW w:w="961" w:type="dxa"/>
            <w:shd w:val="clear" w:color="auto" w:fill="auto"/>
            <w:vAlign w:val="center"/>
          </w:tcPr>
          <w:p>
            <w:pPr>
              <w:spacing w:line="276" w:lineRule="auto"/>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1" w:hRule="atLeast"/>
        </w:trPr>
        <w:tc>
          <w:tcPr>
            <w:tcW w:w="751" w:type="dxa"/>
            <w:shd w:val="clear" w:color="auto" w:fill="auto"/>
            <w:vAlign w:val="center"/>
          </w:tcPr>
          <w:p>
            <w:pPr>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92" w:type="dxa"/>
            <w:shd w:val="clear" w:color="auto" w:fill="auto"/>
            <w:vAlign w:val="center"/>
          </w:tcPr>
          <w:p>
            <w:pPr>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报价30%</w:t>
            </w:r>
          </w:p>
        </w:tc>
        <w:tc>
          <w:tcPr>
            <w:tcW w:w="781" w:type="dxa"/>
            <w:shd w:val="clear" w:color="auto" w:fill="auto"/>
            <w:vAlign w:val="center"/>
          </w:tcPr>
          <w:p>
            <w:pPr>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30分</w:t>
            </w:r>
          </w:p>
        </w:tc>
        <w:tc>
          <w:tcPr>
            <w:tcW w:w="4973" w:type="dxa"/>
            <w:shd w:val="clear" w:color="auto" w:fill="auto"/>
          </w:tcPr>
          <w:p>
            <w:pPr>
              <w:spacing w:line="276"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满足采购文件要求且投标价格最低的投标报价作为评标基准价，其价格分为满分。其他投标人的价格分统一按照下列公式计算：投标报价得分=(评标基准价／投标报价)×30</w:t>
            </w:r>
            <w:r>
              <w:rPr>
                <w:rFonts w:hint="eastAsia" w:ascii="宋体" w:hAnsi="宋体"/>
                <w:sz w:val="24"/>
              </w:rPr>
              <w:t>%</w:t>
            </w:r>
            <w:r>
              <w:rPr>
                <w:rFonts w:hint="eastAsia" w:cs="宋体" w:asciiTheme="minorEastAsia" w:hAnsiTheme="minorEastAsia" w:eastAsiaTheme="minorEastAsia"/>
                <w:kern w:val="0"/>
                <w:szCs w:val="21"/>
              </w:rPr>
              <w:t>×</w:t>
            </w:r>
            <w:r>
              <w:rPr>
                <w:rFonts w:hint="eastAsia" w:ascii="宋体" w:hAnsi="宋体"/>
                <w:sz w:val="24"/>
              </w:rPr>
              <w:t>100</w:t>
            </w:r>
            <w:r>
              <w:rPr>
                <w:rFonts w:hint="eastAsia" w:cs="宋体" w:asciiTheme="minorEastAsia" w:hAnsiTheme="minorEastAsia" w:eastAsiaTheme="minorEastAsia"/>
                <w:kern w:val="0"/>
                <w:szCs w:val="21"/>
              </w:rPr>
              <w:t>；</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注：1、价格扣除和失信企业报价加成详见第二章投标人须知附表。</w:t>
            </w:r>
          </w:p>
          <w:p>
            <w:pPr>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2、参加政府采购活动的中小企业应当提供《中小企业声明函》或《监狱企业声明函》或《残疾人福利性单位声明函》原件，否则其价格不予扣除。</w:t>
            </w:r>
          </w:p>
        </w:tc>
        <w:tc>
          <w:tcPr>
            <w:tcW w:w="961" w:type="dxa"/>
            <w:shd w:val="clear" w:color="auto" w:fill="auto"/>
            <w:vAlign w:val="center"/>
          </w:tcPr>
          <w:p>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共同</w:t>
            </w:r>
          </w:p>
          <w:p>
            <w:pPr>
              <w:spacing w:line="240" w:lineRule="atLeast"/>
              <w:rPr>
                <w:sz w:val="24"/>
              </w:rPr>
            </w:pPr>
            <w:r>
              <w:rPr>
                <w:rFonts w:hint="eastAsia" w:cs="宋体" w:asciiTheme="minorEastAsia" w:hAnsiTheme="minorEastAsia" w:eastAsiaTheme="minorEastAsia"/>
                <w:kern w:val="0"/>
                <w:szCs w:val="21"/>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1" w:type="dxa"/>
            <w:shd w:val="clear" w:color="auto" w:fill="auto"/>
            <w:vAlign w:val="center"/>
          </w:tcPr>
          <w:p>
            <w:pPr>
              <w:spacing w:line="276" w:lineRule="auto"/>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292"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技术部分20%</w:t>
            </w:r>
          </w:p>
        </w:tc>
        <w:tc>
          <w:tcPr>
            <w:tcW w:w="781"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20分</w:t>
            </w:r>
          </w:p>
        </w:tc>
        <w:tc>
          <w:tcPr>
            <w:tcW w:w="4973" w:type="dxa"/>
            <w:shd w:val="clear" w:color="auto" w:fill="auto"/>
          </w:tcPr>
          <w:p>
            <w:pPr>
              <w:spacing w:line="276"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完全符合招标文件要求没有负偏离得20分；带</w:t>
            </w:r>
            <w:r>
              <w:rPr>
                <w:rFonts w:hint="eastAsia" w:asciiTheme="minorEastAsia" w:hAnsiTheme="minorEastAsia" w:eastAsiaTheme="minorEastAsia"/>
                <w:b/>
                <w:szCs w:val="21"/>
              </w:rPr>
              <w:t>▲</w:t>
            </w:r>
            <w:r>
              <w:rPr>
                <w:rFonts w:hint="eastAsia" w:cs="宋体" w:asciiTheme="minorEastAsia" w:hAnsiTheme="minorEastAsia" w:eastAsiaTheme="minorEastAsia"/>
                <w:szCs w:val="21"/>
              </w:rPr>
              <w:t>负偏离一项扣0.5分，最多扣10分。非</w:t>
            </w:r>
            <w:r>
              <w:rPr>
                <w:rFonts w:hint="eastAsia" w:asciiTheme="minorEastAsia" w:hAnsiTheme="minorEastAsia" w:eastAsiaTheme="minorEastAsia"/>
                <w:b/>
                <w:szCs w:val="21"/>
              </w:rPr>
              <w:t>▲</w:t>
            </w:r>
            <w:r>
              <w:rPr>
                <w:rFonts w:hint="eastAsia" w:cs="宋体" w:asciiTheme="minorEastAsia" w:hAnsiTheme="minorEastAsia" w:eastAsiaTheme="minorEastAsia"/>
                <w:szCs w:val="21"/>
              </w:rPr>
              <w:t>负偏离的一项扣0.18分，最多扣10分。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szCs w:val="21"/>
              </w:rPr>
              <w:t>注：带</w:t>
            </w:r>
            <w:r>
              <w:rPr>
                <w:rFonts w:hint="eastAsia" w:asciiTheme="minorEastAsia" w:hAnsiTheme="minorEastAsia" w:eastAsiaTheme="minorEastAsia"/>
                <w:b/>
                <w:szCs w:val="21"/>
              </w:rPr>
              <w:t>▲</w:t>
            </w:r>
            <w:r>
              <w:rPr>
                <w:rFonts w:hint="eastAsia" w:cs="宋体" w:asciiTheme="minorEastAsia" w:hAnsiTheme="minorEastAsia" w:eastAsiaTheme="minorEastAsia"/>
                <w:szCs w:val="21"/>
              </w:rPr>
              <w:t>号技术参数需提供要求的供应商证明材料，并加盖供应商鲜章。</w:t>
            </w:r>
          </w:p>
        </w:tc>
        <w:tc>
          <w:tcPr>
            <w:tcW w:w="961"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技术</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751" w:type="dxa"/>
            <w:tcBorders>
              <w:bottom w:val="single" w:color="auto" w:sz="4" w:space="0"/>
            </w:tcBorders>
            <w:shd w:val="clear" w:color="auto" w:fill="auto"/>
            <w:vAlign w:val="center"/>
          </w:tcPr>
          <w:p>
            <w:pPr>
              <w:spacing w:line="240" w:lineRule="atLeast"/>
              <w:ind w:firstLine="237" w:firstLineChars="113"/>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292" w:type="dxa"/>
            <w:tcBorders>
              <w:bottom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实施方案18%</w:t>
            </w:r>
          </w:p>
        </w:tc>
        <w:tc>
          <w:tcPr>
            <w:tcW w:w="781" w:type="dxa"/>
            <w:tcBorders>
              <w:bottom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18分</w:t>
            </w:r>
          </w:p>
        </w:tc>
        <w:tc>
          <w:tcPr>
            <w:tcW w:w="4973" w:type="dxa"/>
            <w:tcBorders>
              <w:bottom w:val="single" w:color="auto" w:sz="4" w:space="0"/>
            </w:tcBorders>
            <w:shd w:val="clear" w:color="auto" w:fill="auto"/>
          </w:tcPr>
          <w:p>
            <w:pPr>
              <w:pStyle w:val="50"/>
              <w:spacing w:line="240" w:lineRule="auto"/>
              <w:ind w:left="0" w:leftChars="0"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运维服务方案：针对本项目需要提供运维服务的系统提供整体运维方案</w:t>
            </w:r>
          </w:p>
          <w:p>
            <w:pPr>
              <w:pStyle w:val="50"/>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故障排除部分对所有系统（①制作系统②媒资系统③演播室系统④播出系统⑤摄录系统⑥现场直播、转播系统）里含有的所有设备进行详细工作内容阐述。本项总共9分，每缺一项扣1.5分，每有一项内容不完整或针对性不强或方案不全面不合理的扣1分，直至该单项分值扣完为止。</w:t>
            </w:r>
          </w:p>
          <w:p>
            <w:pPr>
              <w:pStyle w:val="50"/>
              <w:spacing w:line="240" w:lineRule="auto"/>
              <w:ind w:firstLine="0" w:firstLineChars="0"/>
            </w:pPr>
            <w:r>
              <w:rPr>
                <w:rFonts w:hint="eastAsia" w:asciiTheme="minorEastAsia" w:hAnsiTheme="minorEastAsia" w:eastAsiaTheme="minorEastAsia"/>
                <w:kern w:val="0"/>
                <w:sz w:val="21"/>
                <w:szCs w:val="21"/>
              </w:rPr>
              <w:t>2、设备巡检部分需要对所有系统（①制作系统②媒资系统③演播室系统④播出系统⑤摄录系统⑥现场直播、转播系统）里含有的所有设备进行详细工作内容阐述。本项总共9分，每缺一项扣1.5分，每有一项内容不完整或针对性不强或方案不全面不合理的扣1分，直至该单项分值扣完为止。</w:t>
            </w:r>
          </w:p>
        </w:tc>
        <w:tc>
          <w:tcPr>
            <w:tcW w:w="961" w:type="dxa"/>
            <w:tcBorders>
              <w:bottom w:val="single" w:color="auto" w:sz="4" w:space="0"/>
            </w:tcBorders>
            <w:shd w:val="clear" w:color="auto" w:fill="auto"/>
            <w:vAlign w:val="center"/>
          </w:tcPr>
          <w:p>
            <w:pPr>
              <w:pStyle w:val="50"/>
              <w:spacing w:line="240" w:lineRule="exact"/>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技术</w:t>
            </w:r>
          </w:p>
          <w:p>
            <w:pPr>
              <w:pStyle w:val="50"/>
              <w:spacing w:line="240" w:lineRule="exact"/>
              <w:ind w:firstLine="0" w:firstLineChars="0"/>
            </w:pPr>
            <w:r>
              <w:rPr>
                <w:rFonts w:hint="eastAsia" w:asciiTheme="minorEastAsia" w:hAnsiTheme="minorEastAsia" w:eastAsiaTheme="minorEastAsia"/>
                <w:kern w:val="0"/>
                <w:sz w:val="21"/>
                <w:szCs w:val="21"/>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3" w:hRule="atLeast"/>
        </w:trPr>
        <w:tc>
          <w:tcPr>
            <w:tcW w:w="751" w:type="dxa"/>
            <w:shd w:val="clear" w:color="auto" w:fill="auto"/>
            <w:vAlign w:val="center"/>
          </w:tcPr>
          <w:p>
            <w:pPr>
              <w:spacing w:line="276" w:lineRule="auto"/>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92"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售后服务12%</w:t>
            </w:r>
          </w:p>
        </w:tc>
        <w:tc>
          <w:tcPr>
            <w:tcW w:w="781"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12分</w:t>
            </w:r>
          </w:p>
        </w:tc>
        <w:tc>
          <w:tcPr>
            <w:tcW w:w="4973" w:type="dxa"/>
            <w:shd w:val="clear" w:color="auto" w:fill="auto"/>
          </w:tcPr>
          <w:p>
            <w:pPr>
              <w:spacing w:line="276"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根据投标人售后服务方案，包含但不限于①售后服务体系建设；②售后服务范围及内容；③故障应急处理响应时间及维修更换措施；④设备维检及零配件备件供应；⑤超质保的服务标准等内容进行综合考评。内容完整详实、语言表述准确清晰、可实施性强、完全满足项目要求的得10分，</w:t>
            </w:r>
            <w:r>
              <w:rPr>
                <w:rFonts w:hint="eastAsia" w:asciiTheme="minorEastAsia" w:hAnsiTheme="minorEastAsia" w:eastAsiaTheme="minorEastAsia"/>
                <w:kern w:val="0"/>
                <w:szCs w:val="21"/>
              </w:rPr>
              <w:t>每缺一项扣2分，每有一项内容不完整或针对性不强或方案不全面不合理的</w:t>
            </w:r>
            <w:r>
              <w:rPr>
                <w:rFonts w:hint="eastAsia" w:cs="宋体" w:asciiTheme="minorEastAsia" w:hAnsiTheme="minorEastAsia" w:eastAsiaTheme="minorEastAsia"/>
                <w:kern w:val="0"/>
                <w:szCs w:val="21"/>
              </w:rPr>
              <w:t>扣1分，直至该单项分值扣完为止。                                                  2.在项目所在地区设有①售后服务网点、②配置专业技术人员3人及以上且每月巡检1次及以上的，完全满足项目要求的得2分，有一项不满足的扣1分，扣完为止，未提供不得分。</w:t>
            </w:r>
          </w:p>
        </w:tc>
        <w:tc>
          <w:tcPr>
            <w:tcW w:w="961"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技术</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6" w:hRule="atLeast"/>
        </w:trPr>
        <w:tc>
          <w:tcPr>
            <w:tcW w:w="751" w:type="dxa"/>
            <w:shd w:val="clear" w:color="auto" w:fill="auto"/>
            <w:vAlign w:val="center"/>
          </w:tcPr>
          <w:p>
            <w:pPr>
              <w:spacing w:line="240" w:lineRule="atLeast"/>
              <w:ind w:firstLine="237" w:firstLineChars="113"/>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92" w:type="dxa"/>
            <w:shd w:val="clear" w:color="auto" w:fill="auto"/>
            <w:vAlign w:val="center"/>
          </w:tcPr>
          <w:p>
            <w:pPr>
              <w:spacing w:line="24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信誉及能力18%</w:t>
            </w:r>
          </w:p>
        </w:tc>
        <w:tc>
          <w:tcPr>
            <w:tcW w:w="781" w:type="dxa"/>
            <w:shd w:val="clear" w:color="auto" w:fill="auto"/>
            <w:vAlign w:val="center"/>
          </w:tcPr>
          <w:p>
            <w:pPr>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18分</w:t>
            </w:r>
          </w:p>
        </w:tc>
        <w:tc>
          <w:tcPr>
            <w:tcW w:w="4973" w:type="dxa"/>
            <w:shd w:val="clear" w:color="auto" w:fill="auto"/>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1、所投全彩显示屏生产厂家：</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具有质量管理体系认证证书得1分；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具有环境管理体系认证证书得1分；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具有职业健康安全管理体系认证证书得1分；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具有知识产权管理体系认证证书得2分；</w:t>
            </w:r>
          </w:p>
          <w:p>
            <w:pPr>
              <w:pStyle w:val="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w:t>
            </w:r>
            <w:r>
              <w:rPr>
                <w:rFonts w:hint="eastAsia" w:asciiTheme="minorEastAsia" w:hAnsiTheme="minorEastAsia" w:eastAsiaTheme="minorEastAsia"/>
                <w:szCs w:val="21"/>
              </w:rPr>
              <w:t>国军标管理体系证书的</w:t>
            </w:r>
            <w:r>
              <w:rPr>
                <w:rFonts w:hint="eastAsia" w:cs="宋体" w:asciiTheme="minorEastAsia" w:hAnsiTheme="minorEastAsia" w:eastAsiaTheme="minorEastAsia"/>
                <w:kern w:val="0"/>
                <w:szCs w:val="21"/>
              </w:rPr>
              <w:t>得2分；</w:t>
            </w:r>
          </w:p>
          <w:p>
            <w:pPr>
              <w:pStyle w:val="2"/>
            </w:pPr>
            <w:r>
              <w:rPr>
                <w:rFonts w:hint="eastAsia" w:cs="宋体" w:asciiTheme="minorEastAsia" w:hAnsiTheme="minorEastAsia" w:eastAsiaTheme="minorEastAsia"/>
                <w:kern w:val="0"/>
                <w:szCs w:val="21"/>
              </w:rPr>
              <w:t>具有</w:t>
            </w:r>
            <w:r>
              <w:rPr>
                <w:rFonts w:hint="eastAsia" w:asciiTheme="minorEastAsia" w:hAnsiTheme="minorEastAsia" w:eastAsiaTheme="minorEastAsia"/>
                <w:szCs w:val="21"/>
              </w:rPr>
              <w:t>高新技术企业证书的得2分</w:t>
            </w:r>
          </w:p>
          <w:p>
            <w:pPr>
              <w:spacing w:line="276" w:lineRule="auto"/>
              <w:jc w:val="left"/>
            </w:pPr>
            <w:r>
              <w:rPr>
                <w:rFonts w:hint="eastAsia" w:cs="宋体" w:asciiTheme="minorEastAsia" w:hAnsiTheme="minorEastAsia" w:eastAsiaTheme="minorEastAsia"/>
                <w:kern w:val="0"/>
                <w:szCs w:val="21"/>
              </w:rPr>
              <w:t>本项最高得9分，</w:t>
            </w:r>
            <w:r>
              <w:rPr>
                <w:rFonts w:hint="eastAsia" w:asciiTheme="minorEastAsia" w:hAnsiTheme="minorEastAsia" w:eastAsiaTheme="minorEastAsia"/>
                <w:szCs w:val="21"/>
              </w:rPr>
              <w:t>未提供不得分（提供相关证明材料复印件并加盖供应商鲜章）。</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2、所投全彩显示屏生产厂家：</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获得全国质量检验稳定合格产品证书的得3分；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获得电气电子产品有害物质限制使用认证证书的得3分；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获得新型低功耗高均匀度室内全彩显示屏的科技成果转化项目证书的得3分。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本项最高得9分，</w:t>
            </w:r>
            <w:r>
              <w:rPr>
                <w:rFonts w:hint="eastAsia" w:asciiTheme="minorEastAsia" w:hAnsiTheme="minorEastAsia" w:eastAsiaTheme="minorEastAsia"/>
                <w:szCs w:val="21"/>
              </w:rPr>
              <w:t>未提供不得分（提供相关证明材料复印件并加盖供应商鲜章）。</w:t>
            </w:r>
          </w:p>
        </w:tc>
        <w:tc>
          <w:tcPr>
            <w:tcW w:w="961" w:type="dxa"/>
            <w:shd w:val="clear" w:color="auto" w:fill="auto"/>
            <w:vAlign w:val="center"/>
          </w:tcPr>
          <w:p>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共同</w:t>
            </w:r>
          </w:p>
          <w:p>
            <w:pPr>
              <w:spacing w:line="240" w:lineRule="atLeast"/>
              <w:rPr>
                <w:sz w:val="24"/>
              </w:rPr>
            </w:pPr>
            <w:r>
              <w:rPr>
                <w:rFonts w:hint="eastAsia" w:cs="宋体" w:asciiTheme="minorEastAsia" w:hAnsiTheme="minorEastAsia" w:eastAsiaTheme="minorEastAsia"/>
                <w:kern w:val="0"/>
                <w:szCs w:val="21"/>
              </w:rPr>
              <w:t>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3" w:hRule="atLeast"/>
        </w:trPr>
        <w:tc>
          <w:tcPr>
            <w:tcW w:w="751"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6</w:t>
            </w:r>
          </w:p>
        </w:tc>
        <w:tc>
          <w:tcPr>
            <w:tcW w:w="1292"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节能、环境标志、无线局域网产品</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w:t>
            </w:r>
          </w:p>
        </w:tc>
        <w:tc>
          <w:tcPr>
            <w:tcW w:w="781"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分</w:t>
            </w:r>
          </w:p>
        </w:tc>
        <w:tc>
          <w:tcPr>
            <w:tcW w:w="4973" w:type="dxa"/>
            <w:shd w:val="clear" w:color="auto" w:fill="auto"/>
            <w:vAlign w:val="center"/>
          </w:tcPr>
          <w:p>
            <w:pPr>
              <w:spacing w:line="276"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投标产品中属于政府采购优先采购范围的，则每有一项为节能产品或者环境标志产品或者无线局域网产品的得1分，非节能、环境标志产品的、无线局域网产品的不得分。本项最多得</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w:t>
            </w:r>
          </w:p>
          <w:p>
            <w:pPr>
              <w:spacing w:line="276"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spacing w:line="276"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 投标产品属于优先采购范围内的节能产品或者环境标志产品的，提供国家确定的认证机构出具的、处于有效期之内的节能产品、环境标志产品认证证书复印件加盖供应商公章（鲜章）。</w:t>
            </w:r>
          </w:p>
          <w:p>
            <w:pPr>
              <w:spacing w:line="276"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 投标产品属于优先采购范围内的无线局域网产品的，提供政府采购清单对应页并加盖供应商单位公章（鲜章）。</w:t>
            </w:r>
          </w:p>
        </w:tc>
        <w:tc>
          <w:tcPr>
            <w:tcW w:w="961" w:type="dxa"/>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共同</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w:t>
            </w:r>
          </w:p>
        </w:tc>
      </w:tr>
    </w:tbl>
    <w:p>
      <w:pPr>
        <w:pStyle w:val="27"/>
        <w:numPr>
          <w:ilvl w:val="4"/>
          <w:numId w:val="0"/>
        </w:numPr>
        <w:spacing w:line="240" w:lineRule="auto"/>
        <w:ind w:firstLine="240" w:firstLineChars="100"/>
        <w:rPr>
          <w:rFonts w:cs="宋体" w:asciiTheme="minorEastAsia" w:hAnsiTheme="minorEastAsia" w:eastAsiaTheme="minorEastAsia"/>
          <w:b w:val="0"/>
          <w:szCs w:val="24"/>
        </w:rPr>
      </w:pPr>
      <w:bookmarkStart w:id="147" w:name="_Toc217446060"/>
      <w:r>
        <w:rPr>
          <w:rFonts w:hint="eastAsia" w:cs="宋体" w:asciiTheme="minorEastAsia" w:hAnsiTheme="minorEastAsia" w:eastAsiaTheme="minorEastAsia"/>
          <w:b w:val="0"/>
          <w:szCs w:val="24"/>
        </w:rPr>
        <w:t>注：（1）评分的取值按四舍五入法，保留小数点后两位。</w:t>
      </w:r>
    </w:p>
    <w:p>
      <w:pPr>
        <w:pStyle w:val="27"/>
        <w:numPr>
          <w:ilvl w:val="4"/>
          <w:numId w:val="0"/>
        </w:numPr>
        <w:spacing w:line="240" w:lineRule="auto"/>
        <w:ind w:firstLine="720" w:firstLineChars="300"/>
        <w:rPr>
          <w:rFonts w:cs="宋体" w:asciiTheme="minorEastAsia" w:hAnsiTheme="minorEastAsia" w:eastAsiaTheme="minorEastAsia"/>
          <w:b w:val="0"/>
          <w:szCs w:val="24"/>
        </w:rPr>
      </w:pPr>
      <w:r>
        <w:rPr>
          <w:rFonts w:hint="eastAsia" w:cs="宋体" w:asciiTheme="minorEastAsia" w:hAnsiTheme="minorEastAsia" w:eastAsiaTheme="minorEastAsia"/>
          <w:b w:val="0"/>
          <w:szCs w:val="24"/>
        </w:rPr>
        <w:t>（2）同等条件下（得分一致时）优先采用不发达地区和少数民族地区产品（供应商提供不发达地区企业或注册地为少数民族地区的相关证明材料）。</w:t>
      </w:r>
    </w:p>
    <w:p>
      <w:pPr>
        <w:pStyle w:val="27"/>
        <w:numPr>
          <w:ilvl w:val="0"/>
          <w:numId w:val="0"/>
        </w:numPr>
        <w:ind w:firstLine="482" w:firstLineChars="200"/>
        <w:rPr>
          <w:szCs w:val="24"/>
        </w:rPr>
      </w:pPr>
      <w:r>
        <w:rPr>
          <w:rFonts w:hint="eastAsia" w:asciiTheme="minorEastAsia" w:hAnsiTheme="minorEastAsia" w:eastAsiaTheme="minorEastAsia"/>
          <w:szCs w:val="24"/>
        </w:rPr>
        <w:t>5、 废 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5.1本次政府采购活动中，出现下列情形之一的，予以废标：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（1）符合专业条件的供应商或者对招标文件作实质响应的供应商不足三家的；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（3）投标人的报价均超过了采购预算，采购人不能支付的；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5.2对于评标过程中废标的采购项目，评标委员会应当对招标文件是否存在倾向性和歧视性、是否存在不合理条款进行论证，并出具书面论证意见。</w:t>
      </w:r>
    </w:p>
    <w:p>
      <w:pPr>
        <w:pStyle w:val="4"/>
        <w:spacing w:line="360" w:lineRule="auto"/>
        <w:ind w:firstLine="472"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6、定标</w:t>
      </w:r>
      <w:bookmarkEnd w:id="147"/>
      <w:bookmarkStart w:id="148" w:name="_Toc21744606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定标原则</w:t>
      </w:r>
      <w:bookmarkEnd w:id="148"/>
      <w:r>
        <w:rPr>
          <w:rFonts w:hint="eastAsia" w:asciiTheme="minorEastAsia" w:hAnsiTheme="minorEastAsia" w:eastAsiaTheme="minorEastAsia"/>
          <w:sz w:val="24"/>
        </w:rPr>
        <w:t>：本项目根据评标委员会推荐的中标候选供应商名单，按顺序确定中标供应商。</w:t>
      </w:r>
      <w:bookmarkStart w:id="149" w:name="_Toc217446062"/>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定标程序</w:t>
      </w:r>
      <w:bookmarkEnd w:id="149"/>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6.2.1 评标委员会将评标情况写出书面报告，推荐中标候选供应商。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6.2.2 采购代理机构在评标结束后2个工作日内将评标报告送采购人。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6.2.3 采购人在收到评标报告后5个工作日内，按照评标报告中推荐的中标候选供应商顺序确定中标供应商。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6.2.4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6.2.5 招标采购单位不退回投标人投标文件和其他投标资料。</w:t>
      </w:r>
    </w:p>
    <w:bookmarkEnd w:id="146"/>
    <w:p>
      <w:pPr>
        <w:pStyle w:val="4"/>
        <w:spacing w:line="360" w:lineRule="auto"/>
        <w:ind w:firstLine="482" w:firstLineChars="200"/>
        <w:rPr>
          <w:rFonts w:asciiTheme="minorEastAsia" w:hAnsiTheme="minorEastAsia" w:eastAsiaTheme="minorEastAsia"/>
          <w:bCs w:val="0"/>
          <w:sz w:val="24"/>
          <w:szCs w:val="24"/>
        </w:rPr>
      </w:pPr>
      <w:bookmarkStart w:id="150" w:name="_Toc217446105"/>
      <w:bookmarkStart w:id="151" w:name="_Toc208849022"/>
      <w:bookmarkStart w:id="152" w:name="_Toc183682432"/>
      <w:bookmarkStart w:id="153" w:name="_Toc183582297"/>
      <w:r>
        <w:rPr>
          <w:rFonts w:hint="eastAsia" w:asciiTheme="minorEastAsia" w:hAnsiTheme="minorEastAsia" w:eastAsiaTheme="minorEastAsia"/>
          <w:bCs w:val="0"/>
          <w:sz w:val="24"/>
          <w:szCs w:val="24"/>
        </w:rPr>
        <w:t xml:space="preserve">7. </w:t>
      </w:r>
      <w:bookmarkEnd w:id="150"/>
      <w:bookmarkEnd w:id="151"/>
      <w:bookmarkEnd w:id="152"/>
      <w:bookmarkEnd w:id="153"/>
      <w:r>
        <w:rPr>
          <w:rFonts w:hint="eastAsia" w:asciiTheme="minorEastAsia" w:hAnsiTheme="minorEastAsia" w:eastAsiaTheme="minorEastAsia"/>
          <w:sz w:val="24"/>
          <w:szCs w:val="24"/>
        </w:rPr>
        <w:t>评标专家在政府采购活动中承担以下义务：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（一）遵守评审工作纪律；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（二）按照客观、公正、审慎的原则，根据采购文件规定的评审程序、评审方法和评审标准进行独立评审；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（三）不得泄露评审文件、评审情况和在评审过程中获悉的商业秘密；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（六）配合答复处理供应商的询问、质疑和投诉等事项；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（七）法律、法规和规章规定的其他义务。</w:t>
      </w:r>
    </w:p>
    <w:p>
      <w:pPr>
        <w:pStyle w:val="4"/>
        <w:spacing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8.评标专家在政府采购活动中应当遵守以下工作纪律：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（一）遵行《政府采购法》第十二条和《政府采购法实施条例》第九条及财政部关于回避的规定。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（二）评标前，应当将通讯工具或者相关电子设备交由招标采购单位统一保管。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（三）评标过程中，不得与外界联系，因发生不可预见情况，确实需要与外界联系的，应当在监督人员监督之下办理。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（五）在评标过程中和评标结束后，不得记录、复制或带走任何评标资料，除因规定的义务外，不得向外界透露评标内容。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（六）服从评标现场招标采购单位的现场秩序管理，接受评标现场监督人员的合法监督。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（七）遵守有关廉洁自律规定，不得私下接触供应商，不得收受供应商及有关业务单位和个人的财物或好处，不得接受采购组织单位的请托。</w:t>
      </w:r>
    </w:p>
    <w:p>
      <w:pPr>
        <w:pStyle w:val="3"/>
        <w:spacing w:line="240" w:lineRule="atLeast"/>
        <w:jc w:val="center"/>
        <w:rPr>
          <w:rFonts w:asciiTheme="minorEastAsia" w:hAnsiTheme="minorEastAsia" w:eastAsiaTheme="minorEastAsia"/>
          <w:sz w:val="24"/>
          <w:szCs w:val="24"/>
        </w:rPr>
      </w:pPr>
      <w:r>
        <w:rPr>
          <w:rFonts w:asciiTheme="minorEastAsia" w:hAnsiTheme="minorEastAsia" w:eastAsiaTheme="minorEastAsia"/>
          <w:sz w:val="36"/>
          <w:szCs w:val="36"/>
        </w:rPr>
        <w:br w:type="page"/>
      </w:r>
      <w:bookmarkStart w:id="154" w:name="_Toc489965596"/>
      <w:r>
        <w:rPr>
          <w:rFonts w:hint="eastAsia" w:asciiTheme="minorEastAsia" w:hAnsiTheme="minorEastAsia" w:eastAsiaTheme="minorEastAsia"/>
          <w:sz w:val="24"/>
          <w:szCs w:val="24"/>
        </w:rPr>
        <w:t>第八章  政府采购合同（样例）</w:t>
      </w:r>
      <w:bookmarkEnd w:id="154"/>
    </w:p>
    <w:p>
      <w:pPr>
        <w:spacing w:line="520" w:lineRule="exact"/>
        <w:jc w:val="center"/>
        <w:rPr>
          <w:rFonts w:cs="Adobe 仿宋 Std R" w:asciiTheme="minorEastAsia" w:hAnsiTheme="minorEastAsia" w:eastAsiaTheme="minorEastAsia"/>
          <w:sz w:val="24"/>
        </w:rPr>
      </w:pPr>
      <w:r>
        <w:rPr>
          <w:rFonts w:hint="eastAsia" w:cs="Adobe 仿宋 Std R" w:asciiTheme="minorEastAsia" w:hAnsiTheme="minorEastAsia" w:eastAsiaTheme="minorEastAsia"/>
          <w:sz w:val="24"/>
        </w:rPr>
        <w:t>（仅为样例，请根据招标文件、投标文件和其他要求进行拟定）</w:t>
      </w:r>
    </w:p>
    <w:p>
      <w:pPr>
        <w:spacing w:line="520" w:lineRule="exact"/>
        <w:rPr>
          <w:rFonts w:cs="Adobe 仿宋 Std R"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合同编号：XXXX。</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签订地点：XXXX。</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签订时间：XXXX年XX月XX日。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采购人（甲方）：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供应商（乙方）：                                                                     </w:t>
      </w:r>
    </w:p>
    <w:p>
      <w:pPr>
        <w:spacing w:line="360" w:lineRule="auto"/>
        <w:rPr>
          <w:rFonts w:asciiTheme="minorEastAsia" w:hAnsiTheme="minorEastAsia" w:eastAsiaTheme="minorEastAsia"/>
          <w:sz w:val="24"/>
        </w:rPr>
      </w:pP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根据《中华人民共和国政府民法典》、</w:t>
      </w:r>
      <w:r>
        <w:rPr>
          <w:rFonts w:asciiTheme="minorEastAsia" w:hAnsiTheme="minorEastAsia" w:eastAsiaTheme="minorEastAsia"/>
        </w:rPr>
        <w:t>《中华人民共和国政府采购法》</w:t>
      </w:r>
      <w:r>
        <w:rPr>
          <w:rFonts w:hint="eastAsia" w:asciiTheme="minorEastAsia" w:hAnsiTheme="minorEastAsia" w:eastAsiaTheme="minorEastAsia"/>
        </w:rPr>
        <w:t>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jc w:val="left"/>
        <w:rPr>
          <w:rFonts w:asciiTheme="minorEastAsia" w:hAnsiTheme="minorEastAsia" w:eastAsiaTheme="minorEastAsia"/>
          <w:sz w:val="24"/>
          <w:szCs w:val="24"/>
        </w:rPr>
      </w:pPr>
      <w:bookmarkStart w:id="155" w:name="_Toc217446107"/>
      <w:r>
        <w:rPr>
          <w:rFonts w:hint="eastAsia" w:asciiTheme="minorEastAsia" w:hAnsiTheme="minorEastAsia" w:eastAsiaTheme="minorEastAsia"/>
          <w:sz w:val="24"/>
          <w:szCs w:val="24"/>
        </w:rPr>
        <w:t>一、合同货物</w:t>
      </w:r>
      <w:bookmarkEnd w:id="155"/>
    </w:p>
    <w:tbl>
      <w:tblPr>
        <w:tblStyle w:val="21"/>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Theme="minorEastAsia" w:hAnsiTheme="minorEastAsia" w:eastAsiaTheme="minorEastAsia"/>
                <w:sz w:val="24"/>
              </w:rPr>
            </w:pPr>
            <w:r>
              <w:rPr>
                <w:rFonts w:hint="eastAsia" w:cs="Arial" w:asciiTheme="minorEastAsia" w:hAnsiTheme="minorEastAsia" w:eastAsiaTheme="minorEastAsia"/>
                <w:sz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sz w:val="24"/>
              </w:rPr>
            </w:pPr>
            <w:r>
              <w:rPr>
                <w:rFonts w:hint="eastAsia" w:cs="Arial" w:asciiTheme="minorEastAsia" w:hAnsiTheme="minorEastAsia" w:eastAsiaTheme="minorEastAsia"/>
                <w:sz w:val="24"/>
              </w:rPr>
              <w:t>规格</w:t>
            </w:r>
          </w:p>
          <w:p>
            <w:pPr>
              <w:spacing w:line="400" w:lineRule="exact"/>
              <w:jc w:val="center"/>
              <w:rPr>
                <w:rFonts w:asciiTheme="minorEastAsia" w:hAnsiTheme="minorEastAsia" w:eastAsiaTheme="minorEastAsia"/>
                <w:sz w:val="24"/>
              </w:rPr>
            </w:pPr>
            <w:r>
              <w:rPr>
                <w:rFonts w:hint="eastAsia" w:cs="Arial" w:asciiTheme="minorEastAsia" w:hAnsiTheme="minorEastAsia" w:eastAsiaTheme="minorEastAsia"/>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sz w:val="24"/>
              </w:rPr>
            </w:pPr>
            <w:r>
              <w:rPr>
                <w:rFonts w:hint="eastAsia" w:cs="Arial" w:asciiTheme="minorEastAsia" w:hAnsiTheme="minorEastAsia" w:eastAsiaTheme="minorEastAsia"/>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Theme="minorEastAsia" w:hAnsiTheme="minorEastAsia" w:eastAsiaTheme="minorEastAsia"/>
                <w:sz w:val="24"/>
              </w:rPr>
            </w:pPr>
            <w:r>
              <w:rPr>
                <w:rFonts w:hint="eastAsia" w:cs="Arial" w:asciiTheme="minorEastAsia" w:hAnsiTheme="minorEastAsia" w:eastAsiaTheme="minorEastAsia"/>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cs="Arial" w:asciiTheme="minorEastAsia" w:hAnsiTheme="minorEastAsia" w:eastAsiaTheme="minorEastAsia"/>
                <w:sz w:val="24"/>
              </w:rPr>
            </w:pPr>
            <w:r>
              <w:rPr>
                <w:rFonts w:hint="eastAsia" w:cs="Arial" w:asciiTheme="minorEastAsia" w:hAnsiTheme="minorEastAsia" w:eastAsiaTheme="minorEastAsia"/>
                <w:sz w:val="24"/>
              </w:rPr>
              <w:t>单价</w:t>
            </w:r>
          </w:p>
          <w:p>
            <w:pPr>
              <w:spacing w:line="400" w:lineRule="exact"/>
              <w:jc w:val="center"/>
              <w:rPr>
                <w:rFonts w:cs="Arial" w:asciiTheme="minorEastAsia" w:hAnsiTheme="minorEastAsia" w:eastAsiaTheme="minorEastAsia"/>
                <w:sz w:val="24"/>
              </w:rPr>
            </w:pPr>
            <w:r>
              <w:rPr>
                <w:rFonts w:hint="eastAsia" w:cs="Arial" w:asciiTheme="minorEastAsia" w:hAnsiTheme="minorEastAsia" w:eastAsiaTheme="minorEastAsia"/>
                <w:sz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cs="Arial" w:asciiTheme="minorEastAsia" w:hAnsiTheme="minorEastAsia" w:eastAsiaTheme="minorEastAsia"/>
                <w:sz w:val="24"/>
              </w:rPr>
            </w:pPr>
            <w:r>
              <w:rPr>
                <w:rFonts w:hint="eastAsia" w:cs="Arial" w:asciiTheme="minorEastAsia" w:hAnsiTheme="minorEastAsia" w:eastAsiaTheme="minorEastAsia"/>
                <w:sz w:val="24"/>
              </w:rPr>
              <w:t>总价</w:t>
            </w:r>
          </w:p>
          <w:p>
            <w:pPr>
              <w:spacing w:line="400" w:lineRule="exact"/>
              <w:rPr>
                <w:rFonts w:asciiTheme="minorEastAsia" w:hAnsiTheme="minorEastAsia" w:eastAsiaTheme="minorEastAsia"/>
                <w:sz w:val="24"/>
              </w:rPr>
            </w:pPr>
            <w:r>
              <w:rPr>
                <w:rFonts w:hint="eastAsia" w:cs="Arial" w:asciiTheme="minorEastAsia" w:hAnsiTheme="minorEastAsia" w:eastAsiaTheme="minorEastAsia"/>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sz w:val="24"/>
              </w:rPr>
            </w:pPr>
            <w:r>
              <w:rPr>
                <w:rFonts w:hint="eastAsia" w:cs="Arial" w:asciiTheme="minorEastAsia" w:hAnsiTheme="minorEastAsia" w:eastAsiaTheme="minorEastAsia"/>
                <w:sz w:val="24"/>
              </w:rPr>
              <w:t>随机</w:t>
            </w:r>
          </w:p>
          <w:p>
            <w:pPr>
              <w:spacing w:line="400" w:lineRule="exact"/>
              <w:jc w:val="center"/>
              <w:rPr>
                <w:rFonts w:asciiTheme="minorEastAsia" w:hAnsiTheme="minorEastAsia" w:eastAsiaTheme="minorEastAsia"/>
                <w:sz w:val="24"/>
              </w:rPr>
            </w:pPr>
            <w:r>
              <w:rPr>
                <w:rFonts w:hint="eastAsia" w:cs="Arial" w:asciiTheme="minorEastAsia" w:hAnsiTheme="minorEastAsia" w:eastAsiaTheme="minorEastAsia"/>
                <w:sz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Theme="minorEastAsia" w:hAnsiTheme="minorEastAsia" w:eastAsiaTheme="minorEastAsia"/>
                <w:sz w:val="24"/>
              </w:rPr>
            </w:pPr>
            <w:r>
              <w:rPr>
                <w:rFonts w:hint="eastAsia" w:cs="Arial" w:asciiTheme="minorEastAsia" w:hAnsiTheme="minorEastAsia" w:eastAsiaTheme="minorEastAsia"/>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 </w:t>
            </w:r>
          </w:p>
        </w:tc>
      </w:tr>
    </w:tbl>
    <w:p>
      <w:pPr>
        <w:pStyle w:val="4"/>
        <w:spacing w:line="400" w:lineRule="exact"/>
        <w:ind w:firstLine="482" w:firstLineChars="200"/>
        <w:jc w:val="left"/>
        <w:rPr>
          <w:rFonts w:asciiTheme="minorEastAsia" w:hAnsiTheme="minorEastAsia" w:eastAsiaTheme="minorEastAsia"/>
          <w:sz w:val="24"/>
          <w:szCs w:val="24"/>
        </w:rPr>
      </w:pPr>
      <w:bookmarkStart w:id="156" w:name="_Toc217446108"/>
      <w:r>
        <w:rPr>
          <w:rFonts w:hint="eastAsia" w:asciiTheme="minorEastAsia" w:hAnsiTheme="minorEastAsia" w:eastAsiaTheme="minorEastAsia"/>
          <w:sz w:val="24"/>
          <w:szCs w:val="24"/>
        </w:rPr>
        <w:t>二、合同总价</w:t>
      </w:r>
      <w:bookmarkEnd w:id="156"/>
    </w:p>
    <w:p>
      <w:pPr>
        <w:pStyle w:val="7"/>
        <w:spacing w:line="360" w:lineRule="auto"/>
        <w:ind w:firstLine="420" w:firstLineChars="175"/>
        <w:rPr>
          <w:rFonts w:asciiTheme="minorEastAsia" w:hAnsiTheme="minorEastAsia" w:eastAsiaTheme="minorEastAsia"/>
          <w:sz w:val="24"/>
        </w:rPr>
      </w:pPr>
      <w:r>
        <w:rPr>
          <w:rFonts w:hint="eastAsia" w:asciiTheme="minorEastAsia" w:hAnsiTheme="minorEastAsia" w:eastAsiaTheme="minorEastAsia"/>
          <w:sz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360" w:lineRule="auto"/>
        <w:ind w:firstLine="482" w:firstLineChars="200"/>
        <w:jc w:val="left"/>
        <w:rPr>
          <w:rFonts w:asciiTheme="minorEastAsia" w:hAnsiTheme="minorEastAsia" w:eastAsiaTheme="minorEastAsia"/>
          <w:sz w:val="24"/>
          <w:szCs w:val="24"/>
        </w:rPr>
      </w:pPr>
      <w:bookmarkStart w:id="157" w:name="_Toc217446109"/>
      <w:r>
        <w:rPr>
          <w:rFonts w:hint="eastAsia" w:asciiTheme="minorEastAsia" w:hAnsiTheme="minorEastAsia" w:eastAsiaTheme="minorEastAsia"/>
          <w:sz w:val="24"/>
          <w:szCs w:val="24"/>
        </w:rPr>
        <w:t>三、质量要求</w:t>
      </w:r>
      <w:bookmarkEnd w:id="157"/>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1、乙方须提供全新的货物（含零部件、配件等），表面无划伤、无碰撞痕迹，且权属清楚，不得侵害他人的知识产权。</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2、货物必须符合或优于国家（行业）标准，以及本项目招标文件的质量要求和技术指标与出厂标准。</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4、货物制造质量出现问题，乙方应负责三包（包修、包换、包退），费用由乙方负担，甲方有权到乙方生产场地检查货物质量和生产进度。</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5、货到现场后由于甲方保管不当造成的质量问题，乙方亦应负责修理，但费用由甲方负担。</w:t>
      </w:r>
    </w:p>
    <w:p>
      <w:pPr>
        <w:pStyle w:val="4"/>
        <w:spacing w:line="360" w:lineRule="auto"/>
        <w:ind w:firstLine="482" w:firstLineChars="200"/>
        <w:jc w:val="left"/>
        <w:rPr>
          <w:rFonts w:asciiTheme="minorEastAsia" w:hAnsiTheme="minorEastAsia" w:eastAsiaTheme="minorEastAsia"/>
          <w:sz w:val="24"/>
          <w:szCs w:val="24"/>
        </w:rPr>
      </w:pPr>
      <w:bookmarkStart w:id="158" w:name="_Toc217446110"/>
      <w:r>
        <w:rPr>
          <w:rFonts w:hint="eastAsia" w:asciiTheme="minorEastAsia" w:hAnsiTheme="minorEastAsia" w:eastAsiaTheme="minorEastAsia"/>
          <w:sz w:val="24"/>
          <w:szCs w:val="24"/>
        </w:rPr>
        <w:t>四、交货及验收</w:t>
      </w:r>
      <w:bookmarkEnd w:id="158"/>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1、乙方交货期限为合同签订生效后的日内，在合同签订生效之日起</w:t>
      </w:r>
      <w:r>
        <w:rPr>
          <w:rFonts w:hint="eastAsia" w:asciiTheme="minorEastAsia" w:hAnsiTheme="minorEastAsia" w:eastAsiaTheme="minorEastAsia"/>
          <w:u w:val="single"/>
        </w:rPr>
        <w:t>30</w:t>
      </w:r>
      <w:r>
        <w:rPr>
          <w:rFonts w:hint="eastAsia" w:asciiTheme="minorEastAsia" w:hAnsiTheme="minorEastAsia" w:eastAsiaTheme="minorEastAsia"/>
        </w:rPr>
        <w:t>日内交货到甲方指定地点，交货验收时须提供产品质检部门从同类产品中抽样检查合格的检测报告。</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2、验收由甲方组织，乙方配合进行：</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(1) 货物在乙方通知安装调试完毕后日内初步验收。初步验收合格后，进入试用期；试用期间发生重大质量问题，修复后试用相应顺延；试用期结束后日内完成最终验收；</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(2) 验收标准：按国家有关规定以及甲方招标文件的质量要求和技术指标、乙方的响应文件及承诺与本合同约定标准进行验收；甲乙双方如对质量要求和技术指标的约定标准有相互抵触或异议的事项，由甲方在采购与响应文件中按质量要求和技术指标比较优胜的原则确定该项的约定标准进行验收；</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(4) 如质量验收合格，双方签署质量验收报告。</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3、货物安装完成后日内，甲方无故不进行验收工作并已使用货物的，视同已安装调试完成并验收合格。</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4、乙方应将所提供货物的装箱清单、配件、随机工具、用户使用手册、原厂保修卡等资料交付给甲方；乙方不能完整交付货物及本款规定的单证和工具的，必须负责补齐，否则视为未按合同约定交货。</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5、如货物经乙方次维修仍不能达到合同约定的质量标准，甲方有权退货，并视作乙方不能交付货物而须支付违约赔偿金给甲方，甲方还可依法追究乙方的违约责任。 </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6、其他未尽事宜应严格按照《财政部关于进一步加强政府采购需求和履约验收管理的指导意见》（财库〔2016〕205号）的要求进行。</w:t>
      </w:r>
    </w:p>
    <w:p>
      <w:pPr>
        <w:pStyle w:val="4"/>
        <w:spacing w:line="360" w:lineRule="auto"/>
        <w:ind w:firstLine="482" w:firstLineChars="200"/>
        <w:jc w:val="left"/>
        <w:rPr>
          <w:rFonts w:asciiTheme="minorEastAsia" w:hAnsiTheme="minorEastAsia" w:eastAsiaTheme="minorEastAsia"/>
          <w:sz w:val="24"/>
          <w:szCs w:val="24"/>
        </w:rPr>
      </w:pPr>
      <w:bookmarkStart w:id="159" w:name="_Toc217446111"/>
      <w:r>
        <w:rPr>
          <w:rFonts w:hint="eastAsia" w:asciiTheme="minorEastAsia" w:hAnsiTheme="minorEastAsia" w:eastAsiaTheme="minorEastAsia"/>
          <w:sz w:val="24"/>
          <w:szCs w:val="24"/>
        </w:rPr>
        <w:t>五、付款方式</w:t>
      </w:r>
      <w:bookmarkEnd w:id="159"/>
    </w:p>
    <w:p>
      <w:pPr>
        <w:ind w:firstLine="480" w:firstLineChars="200"/>
        <w:rPr>
          <w:rFonts w:ascii="仿宋" w:hAnsi="仿宋" w:eastAsia="仿宋" w:cs="仿宋"/>
          <w:sz w:val="24"/>
        </w:rPr>
      </w:pPr>
      <w:bookmarkStart w:id="160" w:name="_Toc217446112"/>
      <w:r>
        <w:rPr>
          <w:rFonts w:hint="eastAsia" w:ascii="仿宋" w:hAnsi="仿宋" w:eastAsia="仿宋" w:cs="仿宋"/>
          <w:sz w:val="24"/>
        </w:rPr>
        <w:t>1、XXXX；</w:t>
      </w:r>
    </w:p>
    <w:p>
      <w:pPr>
        <w:pStyle w:val="4"/>
        <w:spacing w:line="360" w:lineRule="auto"/>
        <w:ind w:firstLine="480" w:firstLineChars="200"/>
        <w:jc w:val="left"/>
        <w:rPr>
          <w:rFonts w:asciiTheme="minorEastAsia" w:hAnsiTheme="minorEastAsia" w:eastAsiaTheme="minorEastAsia"/>
          <w:b w:val="0"/>
          <w:bCs w:val="0"/>
          <w:sz w:val="24"/>
          <w:szCs w:val="24"/>
        </w:rPr>
      </w:pPr>
      <w:r>
        <w:rPr>
          <w:rFonts w:hint="eastAsia" w:ascii="仿宋" w:hAnsi="仿宋" w:eastAsia="仿宋" w:cs="仿宋"/>
          <w:b w:val="0"/>
          <w:bCs w:val="0"/>
          <w:sz w:val="24"/>
          <w:szCs w:val="24"/>
        </w:rPr>
        <w:t>2、XXXX；</w:t>
      </w:r>
    </w:p>
    <w:p>
      <w:pPr>
        <w:pStyle w:val="4"/>
        <w:spacing w:line="360" w:lineRule="auto"/>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六、售后服务</w:t>
      </w:r>
      <w:bookmarkEnd w:id="160"/>
    </w:p>
    <w:p>
      <w:pPr>
        <w:ind w:firstLine="480" w:firstLineChars="200"/>
        <w:rPr>
          <w:rFonts w:ascii="仿宋" w:hAnsi="仿宋" w:eastAsia="仿宋" w:cs="仿宋"/>
          <w:sz w:val="24"/>
        </w:rPr>
      </w:pPr>
      <w:r>
        <w:rPr>
          <w:rFonts w:hint="eastAsia" w:ascii="仿宋" w:hAnsi="仿宋" w:eastAsia="仿宋" w:cs="仿宋"/>
          <w:sz w:val="24"/>
        </w:rPr>
        <w:t>1、XXXX；</w:t>
      </w:r>
    </w:p>
    <w:p>
      <w:pPr>
        <w:pStyle w:val="4"/>
        <w:spacing w:line="360" w:lineRule="auto"/>
        <w:ind w:firstLine="480" w:firstLineChars="200"/>
        <w:jc w:val="left"/>
        <w:rPr>
          <w:rFonts w:asciiTheme="minorEastAsia" w:hAnsiTheme="minorEastAsia" w:eastAsiaTheme="minorEastAsia"/>
          <w:sz w:val="24"/>
          <w:szCs w:val="24"/>
        </w:rPr>
      </w:pPr>
      <w:r>
        <w:rPr>
          <w:rFonts w:hint="eastAsia" w:ascii="仿宋" w:hAnsi="仿宋" w:eastAsia="仿宋" w:cs="仿宋"/>
          <w:b w:val="0"/>
          <w:bCs w:val="0"/>
          <w:sz w:val="24"/>
          <w:szCs w:val="24"/>
        </w:rPr>
        <w:t>2、XXXX；</w:t>
      </w:r>
    </w:p>
    <w:p>
      <w:pPr>
        <w:pStyle w:val="4"/>
        <w:spacing w:line="360" w:lineRule="auto"/>
        <w:ind w:firstLine="482" w:firstLineChars="200"/>
        <w:jc w:val="left"/>
        <w:rPr>
          <w:rFonts w:asciiTheme="minorEastAsia" w:hAnsiTheme="minorEastAsia" w:eastAsiaTheme="minorEastAsia"/>
          <w:sz w:val="24"/>
          <w:szCs w:val="24"/>
        </w:rPr>
      </w:pPr>
      <w:bookmarkStart w:id="161" w:name="_Toc217446113"/>
      <w:r>
        <w:rPr>
          <w:rFonts w:hint="eastAsia" w:asciiTheme="minorEastAsia" w:hAnsiTheme="minorEastAsia" w:eastAsiaTheme="minorEastAsia"/>
          <w:sz w:val="24"/>
          <w:szCs w:val="24"/>
        </w:rPr>
        <w:t>七、违约责任</w:t>
      </w:r>
      <w:bookmarkEnd w:id="161"/>
    </w:p>
    <w:p>
      <w:pPr>
        <w:pStyle w:val="50"/>
        <w:spacing w:line="360" w:lineRule="auto"/>
        <w:ind w:firstLine="723" w:firstLineChars="300"/>
        <w:rPr>
          <w:rFonts w:asciiTheme="minorEastAsia" w:hAnsiTheme="minorEastAsia" w:eastAsiaTheme="minorEastAsia"/>
          <w:b/>
          <w:bCs/>
        </w:rPr>
      </w:pPr>
      <w:r>
        <w:rPr>
          <w:rFonts w:hint="eastAsia" w:asciiTheme="minorEastAsia" w:hAnsiTheme="minorEastAsia" w:eastAsiaTheme="minorEastAsia"/>
          <w:b/>
          <w:bCs/>
        </w:rPr>
        <w:t>1、甲方违约责任</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（1）甲方无正当理由拒收货物的，甲方应偿付合同总价百分之的违约金；</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（2） 甲方逾期支付货款的，除应及时付足货款外，应向乙方偿付欠款总额万分之/天的违约金；逾期付款超过天的，乙方有权终止合同；</w:t>
      </w:r>
    </w:p>
    <w:p>
      <w:pPr>
        <w:pStyle w:val="50"/>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（3） 甲方偿付的违约金不足以弥补乙方损失的，还应按乙方损失尚未弥补的部分，支付赔偿金给乙方。</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2、乙方违约责任</w:t>
      </w:r>
    </w:p>
    <w:p>
      <w:pPr>
        <w:pStyle w:val="50"/>
        <w:spacing w:line="360" w:lineRule="auto"/>
        <w:ind w:firstLine="480"/>
        <w:rPr>
          <w:rFonts w:asciiTheme="minorEastAsia" w:hAnsiTheme="minorEastAsia" w:eastAsiaTheme="minorEastAsia"/>
        </w:rPr>
      </w:pPr>
      <w:bookmarkStart w:id="162" w:name="_Toc217446114"/>
      <w:r>
        <w:rPr>
          <w:rFonts w:hint="eastAsia" w:asciiTheme="minorEastAsia" w:hAnsiTheme="minorEastAsia" w:eastAsiaTheme="minorEastAsia"/>
        </w:rPr>
        <w:t>（1）乙方交付的货物质量不符合合同规定的，乙方应向甲方支付合同总价的百分之的违约金，甲方有权终止合同，乙方应赔偿因此给甲方造成的一切损失。</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2）乙方不能交付货物或逾期交付货物而违约的，除应及时交足货物外，应向甲方偿付逾期交货部分货款总额的万分之/天的违约金；逾期交货的，甲方有权终止合同，乙方则应按合同总价的百分之的款额向甲方偿付赔偿金，并须全额退还甲方已经付给乙方的货款及其利息。</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（5）乙方偿付的违约金不足以弥补甲方损失的，还应按甲方损失尚未弥补的部分，支付赔偿金给甲方。</w:t>
      </w:r>
    </w:p>
    <w:p>
      <w:pPr>
        <w:pStyle w:val="4"/>
        <w:spacing w:line="360" w:lineRule="auto"/>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八、争议解决办法</w:t>
      </w:r>
      <w:bookmarkEnd w:id="162"/>
    </w:p>
    <w:p>
      <w:pPr>
        <w:pStyle w:val="50"/>
        <w:spacing w:line="360" w:lineRule="auto"/>
        <w:ind w:firstLine="480"/>
        <w:rPr>
          <w:rFonts w:asciiTheme="minorEastAsia" w:hAnsiTheme="minorEastAsia" w:eastAsiaTheme="minorEastAsia"/>
        </w:rPr>
      </w:pPr>
      <w:bookmarkStart w:id="163" w:name="_Toc217446115"/>
      <w:r>
        <w:rPr>
          <w:rFonts w:hint="eastAsia" w:asciiTheme="minorEastAsia" w:hAnsiTheme="minorEastAsia" w:eastAsiaTheme="minorEastAsia"/>
        </w:rPr>
        <w:t>1、因货物的质量问题发生争议，由质量技术监督部门或其指定的质量鉴定机构进行质量鉴定。货物符合标准的，鉴定费由甲方承担；货物不符合质量标准的，鉴定费由乙方承担。</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2、合同履行期间,若双方发生争议，可协商或由有关部门调解解决，协商或调解不成的，由当事人依法维护其合法权益。</w:t>
      </w:r>
    </w:p>
    <w:p>
      <w:pPr>
        <w:pStyle w:val="4"/>
        <w:spacing w:line="360" w:lineRule="auto"/>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九、其他</w:t>
      </w:r>
      <w:bookmarkEnd w:id="163"/>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1、如有未尽事宜，由双方依法订立补充合同。</w:t>
      </w:r>
    </w:p>
    <w:p>
      <w:pPr>
        <w:pStyle w:val="50"/>
        <w:spacing w:line="360" w:lineRule="auto"/>
        <w:ind w:firstLine="480"/>
        <w:rPr>
          <w:rFonts w:asciiTheme="minorEastAsia" w:hAnsiTheme="minorEastAsia" w:eastAsiaTheme="minorEastAsia"/>
        </w:rPr>
      </w:pPr>
      <w:r>
        <w:rPr>
          <w:rFonts w:hint="eastAsia" w:asciiTheme="minorEastAsia" w:hAnsiTheme="minorEastAsia" w:eastAsiaTheme="minorEastAsia"/>
        </w:rPr>
        <w:t>2、本合同一式六份，自双方签章之日起生效。甲方三份，乙方、政府采购管理部门、采购代理机构各一份。</w:t>
      </w:r>
    </w:p>
    <w:p>
      <w:pPr>
        <w:spacing w:beforeLines="50" w:afterLines="50" w:line="276" w:lineRule="auto"/>
        <w:rPr>
          <w:rFonts w:asciiTheme="minorEastAsia" w:hAnsiTheme="minorEastAsia" w:eastAsiaTheme="minorEastAsia"/>
          <w:sz w:val="24"/>
        </w:rPr>
      </w:pPr>
    </w:p>
    <w:p>
      <w:pPr>
        <w:spacing w:beforeLines="50" w:afterLines="50" w:line="276" w:lineRule="auto"/>
        <w:rPr>
          <w:rFonts w:asciiTheme="minorEastAsia" w:hAnsiTheme="minorEastAsia" w:eastAsiaTheme="minorEastAsia"/>
          <w:sz w:val="24"/>
        </w:rPr>
      </w:pPr>
    </w:p>
    <w:p>
      <w:pPr>
        <w:spacing w:beforeLines="50" w:afterLines="50" w:line="276" w:lineRule="auto"/>
        <w:rPr>
          <w:rFonts w:asciiTheme="minorEastAsia" w:hAnsiTheme="minorEastAsia" w:eastAsiaTheme="minorEastAsia"/>
          <w:sz w:val="24"/>
        </w:rPr>
      </w:pPr>
      <w:r>
        <w:rPr>
          <w:rFonts w:asciiTheme="minorEastAsia" w:hAnsiTheme="minorEastAsia" w:eastAsiaTheme="minorEastAsia"/>
          <w:sz w:val="24"/>
        </w:rPr>
        <w:t>甲方： （盖章） 乙方： （盖章）</w:t>
      </w:r>
    </w:p>
    <w:p>
      <w:pPr>
        <w:spacing w:beforeLines="50" w:afterLines="50" w:line="276" w:lineRule="auto"/>
        <w:rPr>
          <w:rFonts w:asciiTheme="minorEastAsia" w:hAnsiTheme="minorEastAsia" w:eastAsiaTheme="minorEastAsia"/>
          <w:sz w:val="24"/>
        </w:rPr>
      </w:pPr>
      <w:r>
        <w:rPr>
          <w:rFonts w:asciiTheme="minorEastAsia" w:hAnsiTheme="minorEastAsia" w:eastAsiaTheme="minorEastAsia"/>
          <w:sz w:val="24"/>
        </w:rPr>
        <w:t>法定代表人</w:t>
      </w:r>
      <w:r>
        <w:rPr>
          <w:rFonts w:hint="eastAsia" w:asciiTheme="minorEastAsia" w:hAnsiTheme="minorEastAsia" w:eastAsiaTheme="minorEastAsia"/>
          <w:sz w:val="24"/>
        </w:rPr>
        <w:t>/主要负责人</w:t>
      </w:r>
      <w:r>
        <w:rPr>
          <w:rFonts w:asciiTheme="minorEastAsia" w:hAnsiTheme="minorEastAsia" w:eastAsiaTheme="minorEastAsia"/>
          <w:sz w:val="24"/>
        </w:rPr>
        <w:t>（授权代表）： 法定代表人</w:t>
      </w:r>
      <w:r>
        <w:rPr>
          <w:rFonts w:hint="eastAsia" w:asciiTheme="minorEastAsia" w:hAnsiTheme="minorEastAsia" w:eastAsiaTheme="minorEastAsia"/>
          <w:sz w:val="24"/>
        </w:rPr>
        <w:t>/主要负责人</w:t>
      </w:r>
      <w:r>
        <w:rPr>
          <w:rFonts w:asciiTheme="minorEastAsia" w:hAnsiTheme="minorEastAsia" w:eastAsiaTheme="minorEastAsia"/>
          <w:sz w:val="24"/>
        </w:rPr>
        <w:t>（授权代表）：</w:t>
      </w:r>
    </w:p>
    <w:p>
      <w:pPr>
        <w:spacing w:beforeLines="50" w:afterLines="50" w:line="276" w:lineRule="auto"/>
        <w:rPr>
          <w:rFonts w:asciiTheme="minorEastAsia" w:hAnsiTheme="minorEastAsia" w:eastAsiaTheme="minorEastAsia"/>
          <w:sz w:val="24"/>
        </w:rPr>
      </w:pPr>
      <w:r>
        <w:rPr>
          <w:rFonts w:asciiTheme="minorEastAsia" w:hAnsiTheme="minorEastAsia" w:eastAsiaTheme="minorEastAsia"/>
          <w:sz w:val="24"/>
        </w:rPr>
        <w:t>地 址： 地 址：</w:t>
      </w:r>
    </w:p>
    <w:p>
      <w:pPr>
        <w:spacing w:beforeLines="50" w:afterLines="50" w:line="276" w:lineRule="auto"/>
        <w:rPr>
          <w:rFonts w:asciiTheme="minorEastAsia" w:hAnsiTheme="minorEastAsia" w:eastAsiaTheme="minorEastAsia"/>
          <w:sz w:val="24"/>
        </w:rPr>
      </w:pPr>
      <w:r>
        <w:rPr>
          <w:rFonts w:asciiTheme="minorEastAsia" w:hAnsiTheme="minorEastAsia" w:eastAsiaTheme="minorEastAsia"/>
          <w:sz w:val="24"/>
        </w:rPr>
        <w:t>开户银行： 开户银行：</w:t>
      </w:r>
    </w:p>
    <w:p>
      <w:pPr>
        <w:spacing w:beforeLines="50" w:afterLines="50" w:line="276" w:lineRule="auto"/>
        <w:rPr>
          <w:rFonts w:asciiTheme="minorEastAsia" w:hAnsiTheme="minorEastAsia" w:eastAsiaTheme="minorEastAsia"/>
          <w:sz w:val="24"/>
        </w:rPr>
      </w:pPr>
      <w:r>
        <w:rPr>
          <w:rFonts w:asciiTheme="minorEastAsia" w:hAnsiTheme="minorEastAsia" w:eastAsiaTheme="minorEastAsia"/>
          <w:sz w:val="24"/>
        </w:rPr>
        <w:t>账号： 账号：</w:t>
      </w:r>
    </w:p>
    <w:p>
      <w:pPr>
        <w:spacing w:beforeLines="50" w:afterLines="50" w:line="276" w:lineRule="auto"/>
        <w:rPr>
          <w:rFonts w:asciiTheme="minorEastAsia" w:hAnsiTheme="minorEastAsia" w:eastAsiaTheme="minorEastAsia"/>
          <w:sz w:val="24"/>
        </w:rPr>
      </w:pPr>
      <w:r>
        <w:rPr>
          <w:rFonts w:asciiTheme="minorEastAsia" w:hAnsiTheme="minorEastAsia" w:eastAsiaTheme="minorEastAsia"/>
          <w:sz w:val="24"/>
        </w:rPr>
        <w:t>电 话： 电 话：</w:t>
      </w:r>
    </w:p>
    <w:p>
      <w:pPr>
        <w:spacing w:beforeLines="50" w:afterLines="50" w:line="276" w:lineRule="auto"/>
        <w:rPr>
          <w:rFonts w:asciiTheme="minorEastAsia" w:hAnsiTheme="minorEastAsia" w:eastAsiaTheme="minorEastAsia"/>
          <w:sz w:val="24"/>
        </w:rPr>
      </w:pPr>
      <w:r>
        <w:rPr>
          <w:rFonts w:asciiTheme="minorEastAsia" w:hAnsiTheme="minorEastAsia" w:eastAsiaTheme="minorEastAsia"/>
          <w:sz w:val="24"/>
        </w:rPr>
        <w:t>传 真： 传 真：</w:t>
      </w:r>
    </w:p>
    <w:p>
      <w:pPr>
        <w:rPr>
          <w:rFonts w:asciiTheme="minorEastAsia" w:hAnsiTheme="minorEastAsia" w:eastAsiaTheme="minorEastAsia"/>
          <w:sz w:val="24"/>
        </w:rPr>
      </w:pPr>
      <w:r>
        <w:rPr>
          <w:rFonts w:asciiTheme="minorEastAsia" w:hAnsiTheme="minorEastAsia" w:eastAsiaTheme="minorEastAsia"/>
          <w:sz w:val="24"/>
        </w:rPr>
        <w:t>签约日期：XX 年 XX 月 XX 日 签约日期：XX 年 XX 月 XX 日</w:t>
      </w:r>
    </w:p>
    <w:p>
      <w:pPr>
        <w:spacing w:line="360" w:lineRule="auto"/>
        <w:rPr>
          <w:rFonts w:asciiTheme="minorEastAsia" w:hAnsiTheme="minorEastAsia" w:eastAsiaTheme="minorEastAsia"/>
          <w:sz w:val="24"/>
        </w:rPr>
      </w:pPr>
    </w:p>
    <w:sectPr>
      <w:footerReference r:id="rId8" w:type="default"/>
      <w:pgSz w:w="11906" w:h="16838"/>
      <w:pgMar w:top="1440" w:right="1803" w:bottom="1440" w:left="1803" w:header="851" w:footer="85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ì.">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Adobe 仿宋 Std R">
    <w:altName w:val="仿宋"/>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10" o:spid="_x0000_s1026" o:spt="202" type="#_x0000_t202" style="position:absolute;left:0pt;height:10.35pt;width:9.05pt;mso-position-horizontal:center;mso-position-horizontal-relative:margin;mso-position-vertical:top;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uAStsOAgAAEA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1XJZ5xZYWjhh58/Dne/&#10;D7++50mezvmCsm4c5YX+DfRkmkTVu2uQXz2zcNUIu1WXiNA1SlQ0Xh6FzR6UxoX4wkeQTfceKuoj&#10;dgESUF+jidqRGozQaTW3p9WoPjAZW+bz17NzziRd5bN8Pj9PHUQxFjv04a0Cw2JQcqTNJ3Cxv/Yh&#10;DiOKMSX2srDWbZu239q/DihxOFHJPsfqcfqBR+g3PdXGww1Ut0QKYbAWPSwKGsBvnHVkq5JbekWc&#10;te8syRIdOAY4BpsxEFZSYckDZ0N4FQan7hzqbUO4o/CXJN1aJ1r3MxwFJ6MktkdTRyc+/E9Z9w95&#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y4BK2w4CAAAQBAAADgAAAAAAAAABACAAAAAf&#10;AQAAZHJzL2Uyb0RvYy54bWxQSwUGAAAAAAYABgBZAQAAnwUAAAAA&#10;">
          <v:path/>
          <v:fill on="f" focussize="0,0"/>
          <v:stroke on="f" joinstyle="miter"/>
          <v:imagedata o:title=""/>
          <o:lock v:ext="edit"/>
          <v:textbox inset="0mm,0mm,0mm,0mm" style="mso-fit-shape-to-text:t;">
            <w:txbxContent>
              <w:p>
                <w:pPr>
                  <w:pStyle w:val="16"/>
                  <w:jc w:val="both"/>
                  <w:rPr>
                    <w:rStyle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4</w:t>
    </w:r>
    <w:r>
      <w:fldChar w:fldCharType="end"/>
    </w:r>
  </w:p>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sdt>
                <w:sdtPr>
                  <w:id w:val="-189063023"/>
                </w:sdtPr>
                <w:sdtContent>
                  <w:p>
                    <w:pPr>
                      <w:pStyle w:val="16"/>
                      <w:jc w:val="center"/>
                    </w:pPr>
                    <w:r>
                      <w:rPr>
                        <w:rFonts w:hint="eastAsia"/>
                      </w:rPr>
                      <w:t>34</w:t>
                    </w:r>
                  </w:p>
                  <w:p>
                    <w:pPr>
                      <w:pStyle w:val="16"/>
                      <w:jc w:val="center"/>
                    </w:pPr>
                  </w:p>
                </w:sdtContent>
              </w:sdt>
              <w:p>
                <w:pPr>
                  <w:pStyle w:val="10"/>
                </w:pPr>
              </w:p>
            </w:txbxContent>
          </v:textbox>
        </v:shape>
      </w:pict>
    </w:r>
  </w:p>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1028" o:spid="_x0000_s1028"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path/>
          <v:fill on="f" focussize="0,0"/>
          <v:stroke on="f" joinstyle="miter"/>
          <v:imagedata o:title=""/>
          <o:lock v:ext="edit"/>
          <v:textbox inset="0mm,0mm,0mm,0mm" style="mso-fit-shape-to-text:t;">
            <w:txbxContent>
              <w:p>
                <w:pPr>
                  <w:pStyle w:val="16"/>
                  <w:jc w:val="center"/>
                </w:pPr>
                <w:r>
                  <w:fldChar w:fldCharType="begin"/>
                </w:r>
                <w:r>
                  <w:instrText xml:space="preserve">PAGE   \* MERGEFORMAT</w:instrText>
                </w:r>
                <w:r>
                  <w:fldChar w:fldCharType="separate"/>
                </w:r>
                <w:r>
                  <w:rPr>
                    <w:lang w:val="zh-CN"/>
                  </w:rPr>
                  <w:t>47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16"/>
                  <w:rPr>
                    <w:rStyle w:val="24"/>
                    <w:szCs w:val="21"/>
                  </w:rPr>
                </w:pPr>
                <w:r>
                  <w:rPr>
                    <w:sz w:val="21"/>
                    <w:szCs w:val="21"/>
                  </w:rPr>
                  <w:fldChar w:fldCharType="begin"/>
                </w:r>
                <w:r>
                  <w:rPr>
                    <w:rStyle w:val="24"/>
                    <w:szCs w:val="21"/>
                  </w:rPr>
                  <w:instrText xml:space="preserve">PAGE  </w:instrText>
                </w:r>
                <w:r>
                  <w:rPr>
                    <w:sz w:val="21"/>
                    <w:szCs w:val="21"/>
                  </w:rPr>
                  <w:fldChar w:fldCharType="separate"/>
                </w:r>
                <w:r>
                  <w:rPr>
                    <w:rStyle w:val="24"/>
                    <w:szCs w:val="21"/>
                  </w:rPr>
                  <w:t>49</w:t>
                </w:r>
                <w:r>
                  <w:rPr>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right" w:pos="8931"/>
        <w:tab w:val="clear" w:pos="8306"/>
      </w:tabs>
      <w:ind w:right="-237" w:rightChars="-113"/>
      <w:rPr>
        <w:rFonts w:ascii="宋体" w:hAnsi="宋体"/>
        <w:bCs/>
        <w:szCs w:val="21"/>
        <w:u w:val="single"/>
      </w:rPr>
    </w:pPr>
    <w:r>
      <w:rPr>
        <w:rFonts w:hint="eastAsia" w:ascii="宋体" w:hAnsi="宋体"/>
        <w:bCs/>
        <w:szCs w:val="21"/>
        <w:u w:val="single"/>
      </w:rPr>
      <w:t>招标文件                                                             四川中久招标代理有限公司</w:t>
    </w:r>
  </w:p>
  <w:p>
    <w:pPr>
      <w:pStyle w:val="17"/>
      <w:pBdr>
        <w:bottom w:val="none" w:color="auto" w:sz="0" w:space="0"/>
      </w:pBdr>
      <w:tabs>
        <w:tab w:val="right" w:pos="8931"/>
        <w:tab w:val="clear" w:pos="8306"/>
      </w:tabs>
      <w:ind w:right="-237" w:rightChars="-113"/>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4B1BA"/>
    <w:multiLevelType w:val="singleLevel"/>
    <w:tmpl w:val="87E4B1BA"/>
    <w:lvl w:ilvl="0" w:tentative="0">
      <w:start w:val="2"/>
      <w:numFmt w:val="chineseCounting"/>
      <w:suff w:val="nothing"/>
      <w:lvlText w:val="（%1）"/>
      <w:lvlJc w:val="left"/>
      <w:rPr>
        <w:rFonts w:hint="eastAsia"/>
      </w:rPr>
    </w:lvl>
  </w:abstractNum>
  <w:abstractNum w:abstractNumId="1">
    <w:nsid w:val="186AA347"/>
    <w:multiLevelType w:val="singleLevel"/>
    <w:tmpl w:val="186AA347"/>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3EE1CCE"/>
    <w:multiLevelType w:val="multilevel"/>
    <w:tmpl w:val="53EE1CC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319"/>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D7967"/>
    <w:rsid w:val="0000085C"/>
    <w:rsid w:val="00006133"/>
    <w:rsid w:val="00011DF9"/>
    <w:rsid w:val="0001238A"/>
    <w:rsid w:val="0001509B"/>
    <w:rsid w:val="000318AE"/>
    <w:rsid w:val="00032387"/>
    <w:rsid w:val="000328EA"/>
    <w:rsid w:val="0003359B"/>
    <w:rsid w:val="00034046"/>
    <w:rsid w:val="00034B14"/>
    <w:rsid w:val="00035D5C"/>
    <w:rsid w:val="000360BC"/>
    <w:rsid w:val="000360D8"/>
    <w:rsid w:val="0003648F"/>
    <w:rsid w:val="00036587"/>
    <w:rsid w:val="00036ABE"/>
    <w:rsid w:val="00042828"/>
    <w:rsid w:val="0004328A"/>
    <w:rsid w:val="000439C8"/>
    <w:rsid w:val="00043A18"/>
    <w:rsid w:val="00046B6C"/>
    <w:rsid w:val="00047A18"/>
    <w:rsid w:val="000522BD"/>
    <w:rsid w:val="000523AD"/>
    <w:rsid w:val="00052774"/>
    <w:rsid w:val="000546AC"/>
    <w:rsid w:val="00054CC9"/>
    <w:rsid w:val="00054EFB"/>
    <w:rsid w:val="000558B1"/>
    <w:rsid w:val="00055CF4"/>
    <w:rsid w:val="00056521"/>
    <w:rsid w:val="00057B1D"/>
    <w:rsid w:val="00061527"/>
    <w:rsid w:val="00061B75"/>
    <w:rsid w:val="0006273A"/>
    <w:rsid w:val="00062AC7"/>
    <w:rsid w:val="00065C0C"/>
    <w:rsid w:val="00066723"/>
    <w:rsid w:val="00066D1B"/>
    <w:rsid w:val="00071FDE"/>
    <w:rsid w:val="000726A7"/>
    <w:rsid w:val="00073461"/>
    <w:rsid w:val="000749DA"/>
    <w:rsid w:val="00074D26"/>
    <w:rsid w:val="0007624C"/>
    <w:rsid w:val="00077438"/>
    <w:rsid w:val="00080AA9"/>
    <w:rsid w:val="0008219F"/>
    <w:rsid w:val="00082909"/>
    <w:rsid w:val="000834FD"/>
    <w:rsid w:val="00084994"/>
    <w:rsid w:val="00091407"/>
    <w:rsid w:val="00091FD4"/>
    <w:rsid w:val="0009332F"/>
    <w:rsid w:val="0009593B"/>
    <w:rsid w:val="000968E9"/>
    <w:rsid w:val="000979FE"/>
    <w:rsid w:val="000A1806"/>
    <w:rsid w:val="000A184A"/>
    <w:rsid w:val="000A239E"/>
    <w:rsid w:val="000A3075"/>
    <w:rsid w:val="000A39CF"/>
    <w:rsid w:val="000A72C0"/>
    <w:rsid w:val="000A7937"/>
    <w:rsid w:val="000A7C81"/>
    <w:rsid w:val="000B1397"/>
    <w:rsid w:val="000B1CE1"/>
    <w:rsid w:val="000B4759"/>
    <w:rsid w:val="000B4C8B"/>
    <w:rsid w:val="000B69CC"/>
    <w:rsid w:val="000B7A27"/>
    <w:rsid w:val="000B7F3A"/>
    <w:rsid w:val="000C0B46"/>
    <w:rsid w:val="000C4C4D"/>
    <w:rsid w:val="000D0547"/>
    <w:rsid w:val="000D0BC4"/>
    <w:rsid w:val="000D2488"/>
    <w:rsid w:val="000D5CE3"/>
    <w:rsid w:val="000E0CC9"/>
    <w:rsid w:val="000E15B3"/>
    <w:rsid w:val="000E2C25"/>
    <w:rsid w:val="000E3616"/>
    <w:rsid w:val="000E76A8"/>
    <w:rsid w:val="000E79D7"/>
    <w:rsid w:val="000F0213"/>
    <w:rsid w:val="000F117E"/>
    <w:rsid w:val="000F28DC"/>
    <w:rsid w:val="000F536E"/>
    <w:rsid w:val="000F7164"/>
    <w:rsid w:val="001041E1"/>
    <w:rsid w:val="001044AE"/>
    <w:rsid w:val="0010592B"/>
    <w:rsid w:val="00106CBF"/>
    <w:rsid w:val="00106D4F"/>
    <w:rsid w:val="001100B1"/>
    <w:rsid w:val="00111168"/>
    <w:rsid w:val="0011132F"/>
    <w:rsid w:val="00117016"/>
    <w:rsid w:val="001205A6"/>
    <w:rsid w:val="00125C76"/>
    <w:rsid w:val="001261A9"/>
    <w:rsid w:val="001326F5"/>
    <w:rsid w:val="00132D80"/>
    <w:rsid w:val="00133557"/>
    <w:rsid w:val="00133A9E"/>
    <w:rsid w:val="00133D6A"/>
    <w:rsid w:val="00136B02"/>
    <w:rsid w:val="00137520"/>
    <w:rsid w:val="00143068"/>
    <w:rsid w:val="0014407A"/>
    <w:rsid w:val="001456C1"/>
    <w:rsid w:val="00150CEE"/>
    <w:rsid w:val="00150F16"/>
    <w:rsid w:val="0015323A"/>
    <w:rsid w:val="00153B86"/>
    <w:rsid w:val="001551BA"/>
    <w:rsid w:val="00156451"/>
    <w:rsid w:val="001568D3"/>
    <w:rsid w:val="001571E7"/>
    <w:rsid w:val="001572C4"/>
    <w:rsid w:val="00157D4D"/>
    <w:rsid w:val="001602F5"/>
    <w:rsid w:val="00161667"/>
    <w:rsid w:val="00161AD5"/>
    <w:rsid w:val="00161FD2"/>
    <w:rsid w:val="00166B01"/>
    <w:rsid w:val="00167D16"/>
    <w:rsid w:val="00170601"/>
    <w:rsid w:val="00171AF4"/>
    <w:rsid w:val="00173D4A"/>
    <w:rsid w:val="00174065"/>
    <w:rsid w:val="001765C2"/>
    <w:rsid w:val="00177187"/>
    <w:rsid w:val="00177DD1"/>
    <w:rsid w:val="00177F29"/>
    <w:rsid w:val="0018452A"/>
    <w:rsid w:val="00185F4A"/>
    <w:rsid w:val="00187306"/>
    <w:rsid w:val="00187991"/>
    <w:rsid w:val="00191854"/>
    <w:rsid w:val="00192CE0"/>
    <w:rsid w:val="00193F26"/>
    <w:rsid w:val="00195810"/>
    <w:rsid w:val="001964FB"/>
    <w:rsid w:val="00196950"/>
    <w:rsid w:val="001973D8"/>
    <w:rsid w:val="00197870"/>
    <w:rsid w:val="00197956"/>
    <w:rsid w:val="001A301C"/>
    <w:rsid w:val="001A38DF"/>
    <w:rsid w:val="001A3EC9"/>
    <w:rsid w:val="001A71C5"/>
    <w:rsid w:val="001A7E93"/>
    <w:rsid w:val="001B06DC"/>
    <w:rsid w:val="001B6473"/>
    <w:rsid w:val="001B6F48"/>
    <w:rsid w:val="001C0720"/>
    <w:rsid w:val="001C16B4"/>
    <w:rsid w:val="001C22D0"/>
    <w:rsid w:val="001C2F14"/>
    <w:rsid w:val="001C3370"/>
    <w:rsid w:val="001C5ECE"/>
    <w:rsid w:val="001C6BD6"/>
    <w:rsid w:val="001C6C81"/>
    <w:rsid w:val="001D07E0"/>
    <w:rsid w:val="001D1220"/>
    <w:rsid w:val="001D1579"/>
    <w:rsid w:val="001D4042"/>
    <w:rsid w:val="001D52C5"/>
    <w:rsid w:val="001D670D"/>
    <w:rsid w:val="001D6F94"/>
    <w:rsid w:val="001E28C3"/>
    <w:rsid w:val="001E4080"/>
    <w:rsid w:val="001E46FA"/>
    <w:rsid w:val="001E52CA"/>
    <w:rsid w:val="001E5C6C"/>
    <w:rsid w:val="001E6D3E"/>
    <w:rsid w:val="001F046A"/>
    <w:rsid w:val="001F1DAF"/>
    <w:rsid w:val="001F1F68"/>
    <w:rsid w:val="001F5A07"/>
    <w:rsid w:val="001F6A2C"/>
    <w:rsid w:val="001F6D61"/>
    <w:rsid w:val="00200209"/>
    <w:rsid w:val="00203AD3"/>
    <w:rsid w:val="00204929"/>
    <w:rsid w:val="00205635"/>
    <w:rsid w:val="00210884"/>
    <w:rsid w:val="0021172E"/>
    <w:rsid w:val="002136A7"/>
    <w:rsid w:val="00213F8B"/>
    <w:rsid w:val="00216F95"/>
    <w:rsid w:val="002216D3"/>
    <w:rsid w:val="00222041"/>
    <w:rsid w:val="00222322"/>
    <w:rsid w:val="00222CA3"/>
    <w:rsid w:val="00223D13"/>
    <w:rsid w:val="002244F8"/>
    <w:rsid w:val="002300E3"/>
    <w:rsid w:val="002318A5"/>
    <w:rsid w:val="0023193E"/>
    <w:rsid w:val="002321BB"/>
    <w:rsid w:val="00232A6B"/>
    <w:rsid w:val="00233E78"/>
    <w:rsid w:val="00240D94"/>
    <w:rsid w:val="002420F3"/>
    <w:rsid w:val="00243513"/>
    <w:rsid w:val="00244452"/>
    <w:rsid w:val="0024621F"/>
    <w:rsid w:val="002508DB"/>
    <w:rsid w:val="00250F48"/>
    <w:rsid w:val="0025199C"/>
    <w:rsid w:val="002535BE"/>
    <w:rsid w:val="00253928"/>
    <w:rsid w:val="00254693"/>
    <w:rsid w:val="00254967"/>
    <w:rsid w:val="00256E3F"/>
    <w:rsid w:val="00257D6C"/>
    <w:rsid w:val="00263588"/>
    <w:rsid w:val="0026391B"/>
    <w:rsid w:val="00263F5E"/>
    <w:rsid w:val="0026496D"/>
    <w:rsid w:val="002664EE"/>
    <w:rsid w:val="00267B2C"/>
    <w:rsid w:val="00271186"/>
    <w:rsid w:val="00271434"/>
    <w:rsid w:val="00272EDA"/>
    <w:rsid w:val="002741C0"/>
    <w:rsid w:val="002746CC"/>
    <w:rsid w:val="0027588A"/>
    <w:rsid w:val="002768ED"/>
    <w:rsid w:val="00282376"/>
    <w:rsid w:val="002831E5"/>
    <w:rsid w:val="00283CE1"/>
    <w:rsid w:val="00285CEF"/>
    <w:rsid w:val="002862B7"/>
    <w:rsid w:val="00286B22"/>
    <w:rsid w:val="00287D23"/>
    <w:rsid w:val="00292D2D"/>
    <w:rsid w:val="00293E2E"/>
    <w:rsid w:val="00294BFF"/>
    <w:rsid w:val="0029510E"/>
    <w:rsid w:val="00296C35"/>
    <w:rsid w:val="00297B8A"/>
    <w:rsid w:val="002A10B4"/>
    <w:rsid w:val="002A19D3"/>
    <w:rsid w:val="002A1FE1"/>
    <w:rsid w:val="002A460D"/>
    <w:rsid w:val="002A4B46"/>
    <w:rsid w:val="002A66AE"/>
    <w:rsid w:val="002B175A"/>
    <w:rsid w:val="002B2A08"/>
    <w:rsid w:val="002B5FBD"/>
    <w:rsid w:val="002B78C5"/>
    <w:rsid w:val="002C2D90"/>
    <w:rsid w:val="002C7BB1"/>
    <w:rsid w:val="002D00D0"/>
    <w:rsid w:val="002D3FDF"/>
    <w:rsid w:val="002D4A71"/>
    <w:rsid w:val="002D745A"/>
    <w:rsid w:val="002E1299"/>
    <w:rsid w:val="002E4339"/>
    <w:rsid w:val="002E512B"/>
    <w:rsid w:val="002F0C95"/>
    <w:rsid w:val="002F2C7F"/>
    <w:rsid w:val="002F309B"/>
    <w:rsid w:val="002F42A7"/>
    <w:rsid w:val="002F591B"/>
    <w:rsid w:val="00304207"/>
    <w:rsid w:val="00306A83"/>
    <w:rsid w:val="00307985"/>
    <w:rsid w:val="00310287"/>
    <w:rsid w:val="00311D70"/>
    <w:rsid w:val="00312A0A"/>
    <w:rsid w:val="0031450A"/>
    <w:rsid w:val="003164A4"/>
    <w:rsid w:val="00321941"/>
    <w:rsid w:val="003233F6"/>
    <w:rsid w:val="00323FF3"/>
    <w:rsid w:val="00324518"/>
    <w:rsid w:val="00324A17"/>
    <w:rsid w:val="003261AF"/>
    <w:rsid w:val="00327A4E"/>
    <w:rsid w:val="0033099B"/>
    <w:rsid w:val="00332199"/>
    <w:rsid w:val="00335265"/>
    <w:rsid w:val="00336823"/>
    <w:rsid w:val="00336FF9"/>
    <w:rsid w:val="00337872"/>
    <w:rsid w:val="00337E5A"/>
    <w:rsid w:val="00340676"/>
    <w:rsid w:val="003428F8"/>
    <w:rsid w:val="00344477"/>
    <w:rsid w:val="00345824"/>
    <w:rsid w:val="00346F55"/>
    <w:rsid w:val="003548C3"/>
    <w:rsid w:val="003556E7"/>
    <w:rsid w:val="00355D23"/>
    <w:rsid w:val="003566AF"/>
    <w:rsid w:val="00357AFF"/>
    <w:rsid w:val="0036108C"/>
    <w:rsid w:val="003610EE"/>
    <w:rsid w:val="003616D6"/>
    <w:rsid w:val="00361CAC"/>
    <w:rsid w:val="00362BFF"/>
    <w:rsid w:val="00365BF9"/>
    <w:rsid w:val="003661C1"/>
    <w:rsid w:val="00370211"/>
    <w:rsid w:val="0037571D"/>
    <w:rsid w:val="00375B68"/>
    <w:rsid w:val="00376C90"/>
    <w:rsid w:val="0037773C"/>
    <w:rsid w:val="00382716"/>
    <w:rsid w:val="00382B50"/>
    <w:rsid w:val="003833FC"/>
    <w:rsid w:val="00384D40"/>
    <w:rsid w:val="00390E74"/>
    <w:rsid w:val="0039114B"/>
    <w:rsid w:val="003924AB"/>
    <w:rsid w:val="00394E4A"/>
    <w:rsid w:val="00396A65"/>
    <w:rsid w:val="00396FD7"/>
    <w:rsid w:val="003A08C9"/>
    <w:rsid w:val="003A1290"/>
    <w:rsid w:val="003A4B59"/>
    <w:rsid w:val="003A57C7"/>
    <w:rsid w:val="003A5C50"/>
    <w:rsid w:val="003A69AD"/>
    <w:rsid w:val="003B2261"/>
    <w:rsid w:val="003B2D94"/>
    <w:rsid w:val="003B33F3"/>
    <w:rsid w:val="003B3525"/>
    <w:rsid w:val="003B6467"/>
    <w:rsid w:val="003B69A5"/>
    <w:rsid w:val="003B6A36"/>
    <w:rsid w:val="003B7584"/>
    <w:rsid w:val="003C0321"/>
    <w:rsid w:val="003C2BA6"/>
    <w:rsid w:val="003C4BCD"/>
    <w:rsid w:val="003C4E93"/>
    <w:rsid w:val="003C7E73"/>
    <w:rsid w:val="003D1398"/>
    <w:rsid w:val="003D142C"/>
    <w:rsid w:val="003D20E5"/>
    <w:rsid w:val="003D2E98"/>
    <w:rsid w:val="003D356D"/>
    <w:rsid w:val="003D656A"/>
    <w:rsid w:val="003E0B5B"/>
    <w:rsid w:val="003E0E0C"/>
    <w:rsid w:val="003E1B7E"/>
    <w:rsid w:val="003E2576"/>
    <w:rsid w:val="003E2F84"/>
    <w:rsid w:val="003E327F"/>
    <w:rsid w:val="003E4A32"/>
    <w:rsid w:val="003F2B2F"/>
    <w:rsid w:val="003F2E27"/>
    <w:rsid w:val="003F695C"/>
    <w:rsid w:val="00402C46"/>
    <w:rsid w:val="0040315D"/>
    <w:rsid w:val="00404182"/>
    <w:rsid w:val="00404EC0"/>
    <w:rsid w:val="00410B4C"/>
    <w:rsid w:val="004130BC"/>
    <w:rsid w:val="00413420"/>
    <w:rsid w:val="00414851"/>
    <w:rsid w:val="004157AD"/>
    <w:rsid w:val="004204D6"/>
    <w:rsid w:val="0042345A"/>
    <w:rsid w:val="0042363A"/>
    <w:rsid w:val="004241DE"/>
    <w:rsid w:val="004252EB"/>
    <w:rsid w:val="00426C7C"/>
    <w:rsid w:val="00427CE8"/>
    <w:rsid w:val="004304ED"/>
    <w:rsid w:val="0043147C"/>
    <w:rsid w:val="00432273"/>
    <w:rsid w:val="004331B3"/>
    <w:rsid w:val="00433928"/>
    <w:rsid w:val="00433CF0"/>
    <w:rsid w:val="004362A8"/>
    <w:rsid w:val="00442004"/>
    <w:rsid w:val="00445CFF"/>
    <w:rsid w:val="004478DE"/>
    <w:rsid w:val="004502E7"/>
    <w:rsid w:val="0045163A"/>
    <w:rsid w:val="00451C41"/>
    <w:rsid w:val="00452B70"/>
    <w:rsid w:val="004541D5"/>
    <w:rsid w:val="004557A3"/>
    <w:rsid w:val="00456652"/>
    <w:rsid w:val="00461378"/>
    <w:rsid w:val="004650D3"/>
    <w:rsid w:val="004655D4"/>
    <w:rsid w:val="004656E4"/>
    <w:rsid w:val="0046576E"/>
    <w:rsid w:val="004679C5"/>
    <w:rsid w:val="00470DBE"/>
    <w:rsid w:val="00471B16"/>
    <w:rsid w:val="00472687"/>
    <w:rsid w:val="004726EB"/>
    <w:rsid w:val="00472F43"/>
    <w:rsid w:val="0047399B"/>
    <w:rsid w:val="00474C7F"/>
    <w:rsid w:val="00480088"/>
    <w:rsid w:val="00483A5B"/>
    <w:rsid w:val="00483C98"/>
    <w:rsid w:val="00483DF0"/>
    <w:rsid w:val="00485EBE"/>
    <w:rsid w:val="00487327"/>
    <w:rsid w:val="00487726"/>
    <w:rsid w:val="00487D55"/>
    <w:rsid w:val="00492D8E"/>
    <w:rsid w:val="004941C2"/>
    <w:rsid w:val="004951CB"/>
    <w:rsid w:val="004961BD"/>
    <w:rsid w:val="00496343"/>
    <w:rsid w:val="00496FFE"/>
    <w:rsid w:val="004A1A82"/>
    <w:rsid w:val="004A3238"/>
    <w:rsid w:val="004A3C44"/>
    <w:rsid w:val="004A532A"/>
    <w:rsid w:val="004A5784"/>
    <w:rsid w:val="004A5F0F"/>
    <w:rsid w:val="004A6E11"/>
    <w:rsid w:val="004B117E"/>
    <w:rsid w:val="004B1BC4"/>
    <w:rsid w:val="004B26F0"/>
    <w:rsid w:val="004B37E1"/>
    <w:rsid w:val="004B418B"/>
    <w:rsid w:val="004B62CE"/>
    <w:rsid w:val="004B7BF9"/>
    <w:rsid w:val="004C0B3D"/>
    <w:rsid w:val="004C3478"/>
    <w:rsid w:val="004C36E0"/>
    <w:rsid w:val="004C5BFA"/>
    <w:rsid w:val="004D1136"/>
    <w:rsid w:val="004D1DB7"/>
    <w:rsid w:val="004D2B37"/>
    <w:rsid w:val="004D3478"/>
    <w:rsid w:val="004D3ABE"/>
    <w:rsid w:val="004D45E2"/>
    <w:rsid w:val="004D4EA5"/>
    <w:rsid w:val="004D65FC"/>
    <w:rsid w:val="004D7001"/>
    <w:rsid w:val="004D7328"/>
    <w:rsid w:val="004E1ECA"/>
    <w:rsid w:val="004E2107"/>
    <w:rsid w:val="004E5E5A"/>
    <w:rsid w:val="004E7207"/>
    <w:rsid w:val="004F06CF"/>
    <w:rsid w:val="004F0BBA"/>
    <w:rsid w:val="004F1D65"/>
    <w:rsid w:val="004F44C4"/>
    <w:rsid w:val="004F5A8E"/>
    <w:rsid w:val="00501F4A"/>
    <w:rsid w:val="00503804"/>
    <w:rsid w:val="00505186"/>
    <w:rsid w:val="0050566E"/>
    <w:rsid w:val="005059C2"/>
    <w:rsid w:val="00506FF8"/>
    <w:rsid w:val="00510B92"/>
    <w:rsid w:val="00510D05"/>
    <w:rsid w:val="00512ADB"/>
    <w:rsid w:val="00515B7E"/>
    <w:rsid w:val="005168CB"/>
    <w:rsid w:val="00520E50"/>
    <w:rsid w:val="00520F7D"/>
    <w:rsid w:val="00521C90"/>
    <w:rsid w:val="00521DE2"/>
    <w:rsid w:val="00521F1F"/>
    <w:rsid w:val="005240D9"/>
    <w:rsid w:val="0052509A"/>
    <w:rsid w:val="00526F17"/>
    <w:rsid w:val="00527030"/>
    <w:rsid w:val="005305E6"/>
    <w:rsid w:val="0053081B"/>
    <w:rsid w:val="005317FF"/>
    <w:rsid w:val="0053472B"/>
    <w:rsid w:val="00534CFF"/>
    <w:rsid w:val="005376E5"/>
    <w:rsid w:val="00537BD0"/>
    <w:rsid w:val="005421F3"/>
    <w:rsid w:val="00542FAD"/>
    <w:rsid w:val="0054524B"/>
    <w:rsid w:val="0054554C"/>
    <w:rsid w:val="00546632"/>
    <w:rsid w:val="00547A45"/>
    <w:rsid w:val="00551B7F"/>
    <w:rsid w:val="00553546"/>
    <w:rsid w:val="00553BAD"/>
    <w:rsid w:val="00554070"/>
    <w:rsid w:val="00555054"/>
    <w:rsid w:val="005555F3"/>
    <w:rsid w:val="00555C95"/>
    <w:rsid w:val="00562763"/>
    <w:rsid w:val="005643B9"/>
    <w:rsid w:val="00564ABC"/>
    <w:rsid w:val="00564B81"/>
    <w:rsid w:val="005661A1"/>
    <w:rsid w:val="0056703B"/>
    <w:rsid w:val="005670C4"/>
    <w:rsid w:val="00570DE5"/>
    <w:rsid w:val="00572305"/>
    <w:rsid w:val="00572558"/>
    <w:rsid w:val="00573A84"/>
    <w:rsid w:val="00574856"/>
    <w:rsid w:val="005762F6"/>
    <w:rsid w:val="005812FF"/>
    <w:rsid w:val="00583233"/>
    <w:rsid w:val="0058329A"/>
    <w:rsid w:val="00583FA9"/>
    <w:rsid w:val="00584F3D"/>
    <w:rsid w:val="00585A1C"/>
    <w:rsid w:val="00585AF7"/>
    <w:rsid w:val="00585FBA"/>
    <w:rsid w:val="00586A71"/>
    <w:rsid w:val="00587F97"/>
    <w:rsid w:val="00591835"/>
    <w:rsid w:val="00592EC2"/>
    <w:rsid w:val="0059331E"/>
    <w:rsid w:val="00594820"/>
    <w:rsid w:val="00594968"/>
    <w:rsid w:val="00594CB5"/>
    <w:rsid w:val="00596404"/>
    <w:rsid w:val="00597B84"/>
    <w:rsid w:val="005A1A83"/>
    <w:rsid w:val="005A5E1C"/>
    <w:rsid w:val="005B1EA9"/>
    <w:rsid w:val="005B4536"/>
    <w:rsid w:val="005B4A00"/>
    <w:rsid w:val="005B4DBE"/>
    <w:rsid w:val="005B59E5"/>
    <w:rsid w:val="005C0B25"/>
    <w:rsid w:val="005C1D62"/>
    <w:rsid w:val="005C220A"/>
    <w:rsid w:val="005C3632"/>
    <w:rsid w:val="005C42CE"/>
    <w:rsid w:val="005C4E35"/>
    <w:rsid w:val="005C50E8"/>
    <w:rsid w:val="005C6E19"/>
    <w:rsid w:val="005D1251"/>
    <w:rsid w:val="005D2E90"/>
    <w:rsid w:val="005D31D0"/>
    <w:rsid w:val="005D7A46"/>
    <w:rsid w:val="005E0CBD"/>
    <w:rsid w:val="005E0E9F"/>
    <w:rsid w:val="005E10FA"/>
    <w:rsid w:val="005E13B1"/>
    <w:rsid w:val="005E1444"/>
    <w:rsid w:val="005E22F1"/>
    <w:rsid w:val="005E498C"/>
    <w:rsid w:val="005E654E"/>
    <w:rsid w:val="005E66FE"/>
    <w:rsid w:val="005F101A"/>
    <w:rsid w:val="005F1BD1"/>
    <w:rsid w:val="005F4DCB"/>
    <w:rsid w:val="005F5B68"/>
    <w:rsid w:val="005F63E0"/>
    <w:rsid w:val="005F6CCF"/>
    <w:rsid w:val="005F768F"/>
    <w:rsid w:val="00600D0D"/>
    <w:rsid w:val="006011FA"/>
    <w:rsid w:val="00602C4E"/>
    <w:rsid w:val="006030F8"/>
    <w:rsid w:val="006047BB"/>
    <w:rsid w:val="006048BD"/>
    <w:rsid w:val="00607818"/>
    <w:rsid w:val="00607C12"/>
    <w:rsid w:val="006125B2"/>
    <w:rsid w:val="00613413"/>
    <w:rsid w:val="006148BA"/>
    <w:rsid w:val="006153C0"/>
    <w:rsid w:val="006173E0"/>
    <w:rsid w:val="006176AB"/>
    <w:rsid w:val="00620CB6"/>
    <w:rsid w:val="0062113F"/>
    <w:rsid w:val="00623E1E"/>
    <w:rsid w:val="00626FE7"/>
    <w:rsid w:val="00633735"/>
    <w:rsid w:val="00635495"/>
    <w:rsid w:val="0064299B"/>
    <w:rsid w:val="00646B3F"/>
    <w:rsid w:val="00646D20"/>
    <w:rsid w:val="0065172D"/>
    <w:rsid w:val="00651B7B"/>
    <w:rsid w:val="0065265D"/>
    <w:rsid w:val="006529F5"/>
    <w:rsid w:val="00655B4B"/>
    <w:rsid w:val="00657528"/>
    <w:rsid w:val="006578B9"/>
    <w:rsid w:val="00657D39"/>
    <w:rsid w:val="006609EA"/>
    <w:rsid w:val="00663573"/>
    <w:rsid w:val="00666DCC"/>
    <w:rsid w:val="00670984"/>
    <w:rsid w:val="006712E8"/>
    <w:rsid w:val="00671A72"/>
    <w:rsid w:val="0067207D"/>
    <w:rsid w:val="00672411"/>
    <w:rsid w:val="00672A06"/>
    <w:rsid w:val="00673B4B"/>
    <w:rsid w:val="00673CE1"/>
    <w:rsid w:val="00674BA9"/>
    <w:rsid w:val="00675857"/>
    <w:rsid w:val="00675B7B"/>
    <w:rsid w:val="006815D0"/>
    <w:rsid w:val="006817FF"/>
    <w:rsid w:val="006830C6"/>
    <w:rsid w:val="00686BDC"/>
    <w:rsid w:val="00687985"/>
    <w:rsid w:val="006930CD"/>
    <w:rsid w:val="006947AA"/>
    <w:rsid w:val="00694CA9"/>
    <w:rsid w:val="00694F9D"/>
    <w:rsid w:val="0069609C"/>
    <w:rsid w:val="0069664D"/>
    <w:rsid w:val="00697998"/>
    <w:rsid w:val="006A0003"/>
    <w:rsid w:val="006A026E"/>
    <w:rsid w:val="006A09A2"/>
    <w:rsid w:val="006A0C2E"/>
    <w:rsid w:val="006A1298"/>
    <w:rsid w:val="006A1925"/>
    <w:rsid w:val="006A5186"/>
    <w:rsid w:val="006A799B"/>
    <w:rsid w:val="006A7FB0"/>
    <w:rsid w:val="006B0509"/>
    <w:rsid w:val="006B19F9"/>
    <w:rsid w:val="006B4B56"/>
    <w:rsid w:val="006C0E30"/>
    <w:rsid w:val="006C135A"/>
    <w:rsid w:val="006C7FE5"/>
    <w:rsid w:val="006D0A46"/>
    <w:rsid w:val="006D0CF2"/>
    <w:rsid w:val="006D11DB"/>
    <w:rsid w:val="006D17E2"/>
    <w:rsid w:val="006D2017"/>
    <w:rsid w:val="006D408F"/>
    <w:rsid w:val="006D55A2"/>
    <w:rsid w:val="006D5E4F"/>
    <w:rsid w:val="006E0AC6"/>
    <w:rsid w:val="006E1432"/>
    <w:rsid w:val="006E162A"/>
    <w:rsid w:val="006E4BB2"/>
    <w:rsid w:val="006E4C25"/>
    <w:rsid w:val="006E4D4A"/>
    <w:rsid w:val="006E5447"/>
    <w:rsid w:val="006E64D7"/>
    <w:rsid w:val="006E76FA"/>
    <w:rsid w:val="006E7E8B"/>
    <w:rsid w:val="006F0897"/>
    <w:rsid w:val="006F2B61"/>
    <w:rsid w:val="006F2C92"/>
    <w:rsid w:val="006F5800"/>
    <w:rsid w:val="006F595D"/>
    <w:rsid w:val="006F7715"/>
    <w:rsid w:val="00701D2C"/>
    <w:rsid w:val="00705473"/>
    <w:rsid w:val="007054C8"/>
    <w:rsid w:val="0070575B"/>
    <w:rsid w:val="0070766C"/>
    <w:rsid w:val="00715E97"/>
    <w:rsid w:val="00716315"/>
    <w:rsid w:val="00716C84"/>
    <w:rsid w:val="007176D0"/>
    <w:rsid w:val="00717D5F"/>
    <w:rsid w:val="00721070"/>
    <w:rsid w:val="0072594E"/>
    <w:rsid w:val="00725AA2"/>
    <w:rsid w:val="0072717F"/>
    <w:rsid w:val="0072748B"/>
    <w:rsid w:val="00730805"/>
    <w:rsid w:val="00730EC8"/>
    <w:rsid w:val="00732BA9"/>
    <w:rsid w:val="00732F27"/>
    <w:rsid w:val="0073464A"/>
    <w:rsid w:val="00734C62"/>
    <w:rsid w:val="00734F20"/>
    <w:rsid w:val="007358CD"/>
    <w:rsid w:val="007366C4"/>
    <w:rsid w:val="00737B7F"/>
    <w:rsid w:val="00740892"/>
    <w:rsid w:val="007409F5"/>
    <w:rsid w:val="0074234D"/>
    <w:rsid w:val="00744543"/>
    <w:rsid w:val="00744795"/>
    <w:rsid w:val="00745D74"/>
    <w:rsid w:val="00750B44"/>
    <w:rsid w:val="00754779"/>
    <w:rsid w:val="00754EA3"/>
    <w:rsid w:val="00754FDC"/>
    <w:rsid w:val="0075784D"/>
    <w:rsid w:val="007606AA"/>
    <w:rsid w:val="007625C7"/>
    <w:rsid w:val="00762F75"/>
    <w:rsid w:val="00763D4B"/>
    <w:rsid w:val="00765222"/>
    <w:rsid w:val="00767941"/>
    <w:rsid w:val="00774315"/>
    <w:rsid w:val="00776491"/>
    <w:rsid w:val="00777492"/>
    <w:rsid w:val="007808FE"/>
    <w:rsid w:val="00786A23"/>
    <w:rsid w:val="00790661"/>
    <w:rsid w:val="007916DE"/>
    <w:rsid w:val="007929E4"/>
    <w:rsid w:val="00794FA7"/>
    <w:rsid w:val="00796FFE"/>
    <w:rsid w:val="0079712E"/>
    <w:rsid w:val="007A1B12"/>
    <w:rsid w:val="007A3388"/>
    <w:rsid w:val="007B05B2"/>
    <w:rsid w:val="007B1334"/>
    <w:rsid w:val="007B2DB3"/>
    <w:rsid w:val="007B30D8"/>
    <w:rsid w:val="007B349F"/>
    <w:rsid w:val="007B7DAE"/>
    <w:rsid w:val="007C0EAE"/>
    <w:rsid w:val="007C1226"/>
    <w:rsid w:val="007C1405"/>
    <w:rsid w:val="007C48D8"/>
    <w:rsid w:val="007C5CE9"/>
    <w:rsid w:val="007D2D72"/>
    <w:rsid w:val="007D360B"/>
    <w:rsid w:val="007D62D7"/>
    <w:rsid w:val="007D7967"/>
    <w:rsid w:val="007E02D9"/>
    <w:rsid w:val="007E040B"/>
    <w:rsid w:val="007E08B0"/>
    <w:rsid w:val="007E0DC5"/>
    <w:rsid w:val="007E310C"/>
    <w:rsid w:val="007E32A9"/>
    <w:rsid w:val="007E407A"/>
    <w:rsid w:val="007E6588"/>
    <w:rsid w:val="007F0E0A"/>
    <w:rsid w:val="007F1267"/>
    <w:rsid w:val="007F1436"/>
    <w:rsid w:val="007F348E"/>
    <w:rsid w:val="007F51F1"/>
    <w:rsid w:val="007F6BB7"/>
    <w:rsid w:val="00800FDE"/>
    <w:rsid w:val="00803F47"/>
    <w:rsid w:val="00804707"/>
    <w:rsid w:val="00805495"/>
    <w:rsid w:val="00807312"/>
    <w:rsid w:val="0080731C"/>
    <w:rsid w:val="00812598"/>
    <w:rsid w:val="00813C75"/>
    <w:rsid w:val="0081562D"/>
    <w:rsid w:val="00820092"/>
    <w:rsid w:val="00820453"/>
    <w:rsid w:val="00820467"/>
    <w:rsid w:val="0082379B"/>
    <w:rsid w:val="0082394A"/>
    <w:rsid w:val="00824494"/>
    <w:rsid w:val="00824C38"/>
    <w:rsid w:val="00831F37"/>
    <w:rsid w:val="00832F9C"/>
    <w:rsid w:val="00834295"/>
    <w:rsid w:val="008352C2"/>
    <w:rsid w:val="00837FBB"/>
    <w:rsid w:val="00840ABA"/>
    <w:rsid w:val="008448CE"/>
    <w:rsid w:val="00845173"/>
    <w:rsid w:val="00850243"/>
    <w:rsid w:val="0085186C"/>
    <w:rsid w:val="008524F6"/>
    <w:rsid w:val="008530DC"/>
    <w:rsid w:val="00853114"/>
    <w:rsid w:val="00855159"/>
    <w:rsid w:val="00855B28"/>
    <w:rsid w:val="008569F2"/>
    <w:rsid w:val="008579C4"/>
    <w:rsid w:val="00862253"/>
    <w:rsid w:val="00862AA8"/>
    <w:rsid w:val="008632DC"/>
    <w:rsid w:val="0086451E"/>
    <w:rsid w:val="0086715A"/>
    <w:rsid w:val="00872DAD"/>
    <w:rsid w:val="00875A65"/>
    <w:rsid w:val="008831B2"/>
    <w:rsid w:val="00886FFE"/>
    <w:rsid w:val="00887279"/>
    <w:rsid w:val="008908B9"/>
    <w:rsid w:val="00892D08"/>
    <w:rsid w:val="00892FCB"/>
    <w:rsid w:val="0089355B"/>
    <w:rsid w:val="0089673D"/>
    <w:rsid w:val="008A0B4A"/>
    <w:rsid w:val="008A0D75"/>
    <w:rsid w:val="008A2295"/>
    <w:rsid w:val="008A39D5"/>
    <w:rsid w:val="008A4194"/>
    <w:rsid w:val="008A45E0"/>
    <w:rsid w:val="008A45FB"/>
    <w:rsid w:val="008A561C"/>
    <w:rsid w:val="008B117A"/>
    <w:rsid w:val="008B224E"/>
    <w:rsid w:val="008B28B4"/>
    <w:rsid w:val="008B4B8F"/>
    <w:rsid w:val="008B4C8F"/>
    <w:rsid w:val="008B63DC"/>
    <w:rsid w:val="008C0536"/>
    <w:rsid w:val="008C4227"/>
    <w:rsid w:val="008C49C4"/>
    <w:rsid w:val="008C5FF7"/>
    <w:rsid w:val="008C71CE"/>
    <w:rsid w:val="008C7307"/>
    <w:rsid w:val="008C74DF"/>
    <w:rsid w:val="008D0875"/>
    <w:rsid w:val="008D0B45"/>
    <w:rsid w:val="008D47E7"/>
    <w:rsid w:val="008D4A1B"/>
    <w:rsid w:val="008D5368"/>
    <w:rsid w:val="008D7C7C"/>
    <w:rsid w:val="008E0396"/>
    <w:rsid w:val="008E0B96"/>
    <w:rsid w:val="008E0FDF"/>
    <w:rsid w:val="008E2E06"/>
    <w:rsid w:val="008E2EC4"/>
    <w:rsid w:val="008E3FC1"/>
    <w:rsid w:val="008E4A79"/>
    <w:rsid w:val="008F05D5"/>
    <w:rsid w:val="008F2032"/>
    <w:rsid w:val="008F443A"/>
    <w:rsid w:val="008F5DAA"/>
    <w:rsid w:val="008F6769"/>
    <w:rsid w:val="008F7730"/>
    <w:rsid w:val="00901785"/>
    <w:rsid w:val="009021D2"/>
    <w:rsid w:val="009023DA"/>
    <w:rsid w:val="00903906"/>
    <w:rsid w:val="009047F3"/>
    <w:rsid w:val="009059C9"/>
    <w:rsid w:val="00905B9B"/>
    <w:rsid w:val="00911A4E"/>
    <w:rsid w:val="00912277"/>
    <w:rsid w:val="00912ECE"/>
    <w:rsid w:val="00913E84"/>
    <w:rsid w:val="0091520D"/>
    <w:rsid w:val="00915776"/>
    <w:rsid w:val="00915E4D"/>
    <w:rsid w:val="00917553"/>
    <w:rsid w:val="0092391A"/>
    <w:rsid w:val="00924033"/>
    <w:rsid w:val="00926DF6"/>
    <w:rsid w:val="00930E0A"/>
    <w:rsid w:val="009335C9"/>
    <w:rsid w:val="00934C74"/>
    <w:rsid w:val="00935D66"/>
    <w:rsid w:val="00936ADB"/>
    <w:rsid w:val="00936F9E"/>
    <w:rsid w:val="00941B8F"/>
    <w:rsid w:val="0094528E"/>
    <w:rsid w:val="00945739"/>
    <w:rsid w:val="009468C3"/>
    <w:rsid w:val="00947FCE"/>
    <w:rsid w:val="00954033"/>
    <w:rsid w:val="00954DA4"/>
    <w:rsid w:val="00954E10"/>
    <w:rsid w:val="009552A2"/>
    <w:rsid w:val="00955D08"/>
    <w:rsid w:val="00955E8E"/>
    <w:rsid w:val="009607AE"/>
    <w:rsid w:val="00960DBD"/>
    <w:rsid w:val="00961A7B"/>
    <w:rsid w:val="00961F9C"/>
    <w:rsid w:val="009632A4"/>
    <w:rsid w:val="0096477D"/>
    <w:rsid w:val="00965042"/>
    <w:rsid w:val="00965BE7"/>
    <w:rsid w:val="009666FC"/>
    <w:rsid w:val="00971352"/>
    <w:rsid w:val="00971E42"/>
    <w:rsid w:val="00972B35"/>
    <w:rsid w:val="00973E14"/>
    <w:rsid w:val="00975F45"/>
    <w:rsid w:val="0097604C"/>
    <w:rsid w:val="00976B4A"/>
    <w:rsid w:val="009777F4"/>
    <w:rsid w:val="009820ED"/>
    <w:rsid w:val="00984CB5"/>
    <w:rsid w:val="0098519B"/>
    <w:rsid w:val="00985AD9"/>
    <w:rsid w:val="00985DF0"/>
    <w:rsid w:val="0098643B"/>
    <w:rsid w:val="00990909"/>
    <w:rsid w:val="00991F7E"/>
    <w:rsid w:val="00994BAB"/>
    <w:rsid w:val="00995000"/>
    <w:rsid w:val="00996FEC"/>
    <w:rsid w:val="00997811"/>
    <w:rsid w:val="009A06B7"/>
    <w:rsid w:val="009A3A1B"/>
    <w:rsid w:val="009A3E2E"/>
    <w:rsid w:val="009A59DC"/>
    <w:rsid w:val="009B2812"/>
    <w:rsid w:val="009B352B"/>
    <w:rsid w:val="009B3FAC"/>
    <w:rsid w:val="009B4137"/>
    <w:rsid w:val="009B4203"/>
    <w:rsid w:val="009B4D22"/>
    <w:rsid w:val="009B4D5C"/>
    <w:rsid w:val="009B6136"/>
    <w:rsid w:val="009C2D7C"/>
    <w:rsid w:val="009C357D"/>
    <w:rsid w:val="009C4D63"/>
    <w:rsid w:val="009C6680"/>
    <w:rsid w:val="009C75B9"/>
    <w:rsid w:val="009C75BA"/>
    <w:rsid w:val="009D1523"/>
    <w:rsid w:val="009D26B5"/>
    <w:rsid w:val="009D2D56"/>
    <w:rsid w:val="009D2FEF"/>
    <w:rsid w:val="009D6588"/>
    <w:rsid w:val="009D7036"/>
    <w:rsid w:val="009E13B3"/>
    <w:rsid w:val="009E27AD"/>
    <w:rsid w:val="009E307C"/>
    <w:rsid w:val="009E481D"/>
    <w:rsid w:val="009E52F0"/>
    <w:rsid w:val="009E6F18"/>
    <w:rsid w:val="009F20D8"/>
    <w:rsid w:val="009F3216"/>
    <w:rsid w:val="009F556C"/>
    <w:rsid w:val="009F5CA0"/>
    <w:rsid w:val="00A00C09"/>
    <w:rsid w:val="00A02250"/>
    <w:rsid w:val="00A03058"/>
    <w:rsid w:val="00A1019A"/>
    <w:rsid w:val="00A10B41"/>
    <w:rsid w:val="00A10F6B"/>
    <w:rsid w:val="00A11095"/>
    <w:rsid w:val="00A115CA"/>
    <w:rsid w:val="00A12BB8"/>
    <w:rsid w:val="00A134EC"/>
    <w:rsid w:val="00A1587E"/>
    <w:rsid w:val="00A158DC"/>
    <w:rsid w:val="00A1799D"/>
    <w:rsid w:val="00A22737"/>
    <w:rsid w:val="00A25818"/>
    <w:rsid w:val="00A26501"/>
    <w:rsid w:val="00A311D1"/>
    <w:rsid w:val="00A34116"/>
    <w:rsid w:val="00A40AC9"/>
    <w:rsid w:val="00A43C0A"/>
    <w:rsid w:val="00A46935"/>
    <w:rsid w:val="00A46EF8"/>
    <w:rsid w:val="00A52A80"/>
    <w:rsid w:val="00A5353F"/>
    <w:rsid w:val="00A553BD"/>
    <w:rsid w:val="00A55A86"/>
    <w:rsid w:val="00A61734"/>
    <w:rsid w:val="00A63D92"/>
    <w:rsid w:val="00A667D3"/>
    <w:rsid w:val="00A6743A"/>
    <w:rsid w:val="00A67EF4"/>
    <w:rsid w:val="00A721C0"/>
    <w:rsid w:val="00A72D2C"/>
    <w:rsid w:val="00A736DE"/>
    <w:rsid w:val="00A741AB"/>
    <w:rsid w:val="00A74580"/>
    <w:rsid w:val="00A74CEE"/>
    <w:rsid w:val="00A75563"/>
    <w:rsid w:val="00A7734D"/>
    <w:rsid w:val="00A83943"/>
    <w:rsid w:val="00A84B15"/>
    <w:rsid w:val="00A8500A"/>
    <w:rsid w:val="00A85E36"/>
    <w:rsid w:val="00A87C16"/>
    <w:rsid w:val="00A90AD3"/>
    <w:rsid w:val="00A90C99"/>
    <w:rsid w:val="00A9150A"/>
    <w:rsid w:val="00A94127"/>
    <w:rsid w:val="00A950FD"/>
    <w:rsid w:val="00AA06EE"/>
    <w:rsid w:val="00AA1C7D"/>
    <w:rsid w:val="00AA3E9C"/>
    <w:rsid w:val="00AA425F"/>
    <w:rsid w:val="00AA437F"/>
    <w:rsid w:val="00AA4887"/>
    <w:rsid w:val="00AA571F"/>
    <w:rsid w:val="00AA5F0F"/>
    <w:rsid w:val="00AB1160"/>
    <w:rsid w:val="00AB1440"/>
    <w:rsid w:val="00AB28F3"/>
    <w:rsid w:val="00AB2C99"/>
    <w:rsid w:val="00AB2E8C"/>
    <w:rsid w:val="00AB3BBF"/>
    <w:rsid w:val="00AC01C3"/>
    <w:rsid w:val="00AC03F2"/>
    <w:rsid w:val="00AC0BAF"/>
    <w:rsid w:val="00AC3037"/>
    <w:rsid w:val="00AC36AA"/>
    <w:rsid w:val="00AC5902"/>
    <w:rsid w:val="00AD01B7"/>
    <w:rsid w:val="00AD218B"/>
    <w:rsid w:val="00AD4AE2"/>
    <w:rsid w:val="00AD4AE9"/>
    <w:rsid w:val="00AD4F70"/>
    <w:rsid w:val="00AD76E2"/>
    <w:rsid w:val="00AD77DD"/>
    <w:rsid w:val="00AD7F9D"/>
    <w:rsid w:val="00AE0CC0"/>
    <w:rsid w:val="00AE1DE3"/>
    <w:rsid w:val="00AE542C"/>
    <w:rsid w:val="00AF1972"/>
    <w:rsid w:val="00AF298B"/>
    <w:rsid w:val="00AF324B"/>
    <w:rsid w:val="00AF3A36"/>
    <w:rsid w:val="00AF548F"/>
    <w:rsid w:val="00AF75DD"/>
    <w:rsid w:val="00B002F2"/>
    <w:rsid w:val="00B0087D"/>
    <w:rsid w:val="00B01A17"/>
    <w:rsid w:val="00B059FE"/>
    <w:rsid w:val="00B127FC"/>
    <w:rsid w:val="00B12A0B"/>
    <w:rsid w:val="00B13D63"/>
    <w:rsid w:val="00B165A0"/>
    <w:rsid w:val="00B1699F"/>
    <w:rsid w:val="00B212DB"/>
    <w:rsid w:val="00B22448"/>
    <w:rsid w:val="00B24058"/>
    <w:rsid w:val="00B255A5"/>
    <w:rsid w:val="00B26400"/>
    <w:rsid w:val="00B26A8A"/>
    <w:rsid w:val="00B27079"/>
    <w:rsid w:val="00B2779B"/>
    <w:rsid w:val="00B30FA3"/>
    <w:rsid w:val="00B31083"/>
    <w:rsid w:val="00B322C3"/>
    <w:rsid w:val="00B35BF6"/>
    <w:rsid w:val="00B368DF"/>
    <w:rsid w:val="00B36C58"/>
    <w:rsid w:val="00B40057"/>
    <w:rsid w:val="00B40478"/>
    <w:rsid w:val="00B4062E"/>
    <w:rsid w:val="00B4137E"/>
    <w:rsid w:val="00B43726"/>
    <w:rsid w:val="00B442AB"/>
    <w:rsid w:val="00B45A4D"/>
    <w:rsid w:val="00B463DD"/>
    <w:rsid w:val="00B536C8"/>
    <w:rsid w:val="00B54721"/>
    <w:rsid w:val="00B549A6"/>
    <w:rsid w:val="00B56FDE"/>
    <w:rsid w:val="00B57047"/>
    <w:rsid w:val="00B57B07"/>
    <w:rsid w:val="00B6080B"/>
    <w:rsid w:val="00B65762"/>
    <w:rsid w:val="00B65DB2"/>
    <w:rsid w:val="00B71357"/>
    <w:rsid w:val="00B73222"/>
    <w:rsid w:val="00B74192"/>
    <w:rsid w:val="00B7491B"/>
    <w:rsid w:val="00B8338D"/>
    <w:rsid w:val="00B83900"/>
    <w:rsid w:val="00B83A7F"/>
    <w:rsid w:val="00B96D16"/>
    <w:rsid w:val="00BA0E1E"/>
    <w:rsid w:val="00BA1742"/>
    <w:rsid w:val="00BA3B88"/>
    <w:rsid w:val="00BA3DD3"/>
    <w:rsid w:val="00BA3E54"/>
    <w:rsid w:val="00BA4F0E"/>
    <w:rsid w:val="00BA5778"/>
    <w:rsid w:val="00BA5CA9"/>
    <w:rsid w:val="00BA7F80"/>
    <w:rsid w:val="00BB02D0"/>
    <w:rsid w:val="00BB3197"/>
    <w:rsid w:val="00BB47E0"/>
    <w:rsid w:val="00BB75D1"/>
    <w:rsid w:val="00BC1CB5"/>
    <w:rsid w:val="00BC2BAC"/>
    <w:rsid w:val="00BC2DA2"/>
    <w:rsid w:val="00BC3B51"/>
    <w:rsid w:val="00BC51D1"/>
    <w:rsid w:val="00BC615C"/>
    <w:rsid w:val="00BC616B"/>
    <w:rsid w:val="00BC6D17"/>
    <w:rsid w:val="00BC70D5"/>
    <w:rsid w:val="00BC7C7B"/>
    <w:rsid w:val="00BC7F84"/>
    <w:rsid w:val="00BD3AFE"/>
    <w:rsid w:val="00BD50A2"/>
    <w:rsid w:val="00BD56B3"/>
    <w:rsid w:val="00BD72B8"/>
    <w:rsid w:val="00BD7DE4"/>
    <w:rsid w:val="00BE18E7"/>
    <w:rsid w:val="00BE1C3E"/>
    <w:rsid w:val="00BE23BE"/>
    <w:rsid w:val="00BE2F67"/>
    <w:rsid w:val="00BE3299"/>
    <w:rsid w:val="00BE40B2"/>
    <w:rsid w:val="00BE565B"/>
    <w:rsid w:val="00BE5AA8"/>
    <w:rsid w:val="00BE5E09"/>
    <w:rsid w:val="00BE7AC7"/>
    <w:rsid w:val="00BF5CE1"/>
    <w:rsid w:val="00BF5FC5"/>
    <w:rsid w:val="00BF679C"/>
    <w:rsid w:val="00C01F34"/>
    <w:rsid w:val="00C0488A"/>
    <w:rsid w:val="00C072CD"/>
    <w:rsid w:val="00C07EAA"/>
    <w:rsid w:val="00C10522"/>
    <w:rsid w:val="00C108E3"/>
    <w:rsid w:val="00C131D0"/>
    <w:rsid w:val="00C15334"/>
    <w:rsid w:val="00C15CF8"/>
    <w:rsid w:val="00C177A9"/>
    <w:rsid w:val="00C20346"/>
    <w:rsid w:val="00C210FF"/>
    <w:rsid w:val="00C2172D"/>
    <w:rsid w:val="00C2213B"/>
    <w:rsid w:val="00C23B7D"/>
    <w:rsid w:val="00C2496E"/>
    <w:rsid w:val="00C25273"/>
    <w:rsid w:val="00C25E8A"/>
    <w:rsid w:val="00C25F65"/>
    <w:rsid w:val="00C31968"/>
    <w:rsid w:val="00C31D77"/>
    <w:rsid w:val="00C31F70"/>
    <w:rsid w:val="00C36AE4"/>
    <w:rsid w:val="00C4134B"/>
    <w:rsid w:val="00C42B7B"/>
    <w:rsid w:val="00C43F2B"/>
    <w:rsid w:val="00C457CE"/>
    <w:rsid w:val="00C52351"/>
    <w:rsid w:val="00C52AAB"/>
    <w:rsid w:val="00C53C7D"/>
    <w:rsid w:val="00C54D6F"/>
    <w:rsid w:val="00C563F6"/>
    <w:rsid w:val="00C604E9"/>
    <w:rsid w:val="00C632C5"/>
    <w:rsid w:val="00C637C9"/>
    <w:rsid w:val="00C645A5"/>
    <w:rsid w:val="00C64CC7"/>
    <w:rsid w:val="00C70589"/>
    <w:rsid w:val="00C70BE9"/>
    <w:rsid w:val="00C70F4E"/>
    <w:rsid w:val="00C718AF"/>
    <w:rsid w:val="00C71BE2"/>
    <w:rsid w:val="00C72563"/>
    <w:rsid w:val="00C75401"/>
    <w:rsid w:val="00C76A11"/>
    <w:rsid w:val="00C76EAD"/>
    <w:rsid w:val="00C76FA9"/>
    <w:rsid w:val="00C80313"/>
    <w:rsid w:val="00C808A9"/>
    <w:rsid w:val="00C819F0"/>
    <w:rsid w:val="00C82DAF"/>
    <w:rsid w:val="00C842EB"/>
    <w:rsid w:val="00C8544B"/>
    <w:rsid w:val="00C8577C"/>
    <w:rsid w:val="00C87CA0"/>
    <w:rsid w:val="00C87FA9"/>
    <w:rsid w:val="00C9027E"/>
    <w:rsid w:val="00C93761"/>
    <w:rsid w:val="00C95D9F"/>
    <w:rsid w:val="00C96FF5"/>
    <w:rsid w:val="00C97146"/>
    <w:rsid w:val="00C97B3D"/>
    <w:rsid w:val="00CA0073"/>
    <w:rsid w:val="00CA12F8"/>
    <w:rsid w:val="00CA1683"/>
    <w:rsid w:val="00CA55C2"/>
    <w:rsid w:val="00CA5707"/>
    <w:rsid w:val="00CA639A"/>
    <w:rsid w:val="00CB1820"/>
    <w:rsid w:val="00CB21E5"/>
    <w:rsid w:val="00CB343F"/>
    <w:rsid w:val="00CB4AD7"/>
    <w:rsid w:val="00CB55DB"/>
    <w:rsid w:val="00CB7285"/>
    <w:rsid w:val="00CC0F4E"/>
    <w:rsid w:val="00CC129E"/>
    <w:rsid w:val="00CC4132"/>
    <w:rsid w:val="00CC4352"/>
    <w:rsid w:val="00CC6B7A"/>
    <w:rsid w:val="00CC7396"/>
    <w:rsid w:val="00CC7883"/>
    <w:rsid w:val="00CD1CE3"/>
    <w:rsid w:val="00CD41DC"/>
    <w:rsid w:val="00CD6158"/>
    <w:rsid w:val="00CE0184"/>
    <w:rsid w:val="00CE030B"/>
    <w:rsid w:val="00CE36EE"/>
    <w:rsid w:val="00CE5C03"/>
    <w:rsid w:val="00CF11E6"/>
    <w:rsid w:val="00CF1A24"/>
    <w:rsid w:val="00CF4CAC"/>
    <w:rsid w:val="00D00AFF"/>
    <w:rsid w:val="00D01454"/>
    <w:rsid w:val="00D0295B"/>
    <w:rsid w:val="00D10375"/>
    <w:rsid w:val="00D125CA"/>
    <w:rsid w:val="00D12CCF"/>
    <w:rsid w:val="00D1348B"/>
    <w:rsid w:val="00D13A4A"/>
    <w:rsid w:val="00D15122"/>
    <w:rsid w:val="00D17F01"/>
    <w:rsid w:val="00D2436B"/>
    <w:rsid w:val="00D24EA4"/>
    <w:rsid w:val="00D26DD5"/>
    <w:rsid w:val="00D303A9"/>
    <w:rsid w:val="00D30DD7"/>
    <w:rsid w:val="00D31C1C"/>
    <w:rsid w:val="00D334E4"/>
    <w:rsid w:val="00D35224"/>
    <w:rsid w:val="00D37636"/>
    <w:rsid w:val="00D4061D"/>
    <w:rsid w:val="00D410A5"/>
    <w:rsid w:val="00D4340C"/>
    <w:rsid w:val="00D44B78"/>
    <w:rsid w:val="00D477A0"/>
    <w:rsid w:val="00D50866"/>
    <w:rsid w:val="00D5128D"/>
    <w:rsid w:val="00D530F0"/>
    <w:rsid w:val="00D544F7"/>
    <w:rsid w:val="00D573F7"/>
    <w:rsid w:val="00D57611"/>
    <w:rsid w:val="00D60D9E"/>
    <w:rsid w:val="00D60F6C"/>
    <w:rsid w:val="00D62876"/>
    <w:rsid w:val="00D64DBD"/>
    <w:rsid w:val="00D64ED9"/>
    <w:rsid w:val="00D66586"/>
    <w:rsid w:val="00D67496"/>
    <w:rsid w:val="00D70845"/>
    <w:rsid w:val="00D752EA"/>
    <w:rsid w:val="00D760A8"/>
    <w:rsid w:val="00D761D3"/>
    <w:rsid w:val="00D90A30"/>
    <w:rsid w:val="00D90A3B"/>
    <w:rsid w:val="00D918BC"/>
    <w:rsid w:val="00D94CB5"/>
    <w:rsid w:val="00D950E5"/>
    <w:rsid w:val="00D9596C"/>
    <w:rsid w:val="00D97854"/>
    <w:rsid w:val="00D97C88"/>
    <w:rsid w:val="00DA0D1D"/>
    <w:rsid w:val="00DA250E"/>
    <w:rsid w:val="00DA472E"/>
    <w:rsid w:val="00DB0C9B"/>
    <w:rsid w:val="00DB1270"/>
    <w:rsid w:val="00DB146A"/>
    <w:rsid w:val="00DB30FB"/>
    <w:rsid w:val="00DB7D0D"/>
    <w:rsid w:val="00DC27F4"/>
    <w:rsid w:val="00DC3B33"/>
    <w:rsid w:val="00DC50E6"/>
    <w:rsid w:val="00DC61CE"/>
    <w:rsid w:val="00DD163C"/>
    <w:rsid w:val="00DD3009"/>
    <w:rsid w:val="00DD3112"/>
    <w:rsid w:val="00DD3191"/>
    <w:rsid w:val="00DD32AB"/>
    <w:rsid w:val="00DD3674"/>
    <w:rsid w:val="00DD593E"/>
    <w:rsid w:val="00DD6860"/>
    <w:rsid w:val="00DD7408"/>
    <w:rsid w:val="00DD743F"/>
    <w:rsid w:val="00DD7FC9"/>
    <w:rsid w:val="00DE1652"/>
    <w:rsid w:val="00DE1FFD"/>
    <w:rsid w:val="00DE3834"/>
    <w:rsid w:val="00DE399F"/>
    <w:rsid w:val="00DE46EE"/>
    <w:rsid w:val="00DE53AE"/>
    <w:rsid w:val="00DE700F"/>
    <w:rsid w:val="00DF0254"/>
    <w:rsid w:val="00DF0C6D"/>
    <w:rsid w:val="00DF2819"/>
    <w:rsid w:val="00DF2F13"/>
    <w:rsid w:val="00DF3236"/>
    <w:rsid w:val="00DF48EB"/>
    <w:rsid w:val="00DF588C"/>
    <w:rsid w:val="00DF5ED4"/>
    <w:rsid w:val="00E03BFF"/>
    <w:rsid w:val="00E061AB"/>
    <w:rsid w:val="00E06957"/>
    <w:rsid w:val="00E12D47"/>
    <w:rsid w:val="00E13A81"/>
    <w:rsid w:val="00E150C8"/>
    <w:rsid w:val="00E1582E"/>
    <w:rsid w:val="00E16444"/>
    <w:rsid w:val="00E16C86"/>
    <w:rsid w:val="00E16EB4"/>
    <w:rsid w:val="00E17626"/>
    <w:rsid w:val="00E17CC9"/>
    <w:rsid w:val="00E22E59"/>
    <w:rsid w:val="00E246A7"/>
    <w:rsid w:val="00E25A11"/>
    <w:rsid w:val="00E32C63"/>
    <w:rsid w:val="00E34DEE"/>
    <w:rsid w:val="00E350F4"/>
    <w:rsid w:val="00E35561"/>
    <w:rsid w:val="00E357B0"/>
    <w:rsid w:val="00E35BEF"/>
    <w:rsid w:val="00E3611F"/>
    <w:rsid w:val="00E36C9A"/>
    <w:rsid w:val="00E46500"/>
    <w:rsid w:val="00E46DD6"/>
    <w:rsid w:val="00E51719"/>
    <w:rsid w:val="00E51CBB"/>
    <w:rsid w:val="00E53D36"/>
    <w:rsid w:val="00E56163"/>
    <w:rsid w:val="00E5693F"/>
    <w:rsid w:val="00E6173B"/>
    <w:rsid w:val="00E6192D"/>
    <w:rsid w:val="00E6251C"/>
    <w:rsid w:val="00E657F1"/>
    <w:rsid w:val="00E65DDE"/>
    <w:rsid w:val="00E675D7"/>
    <w:rsid w:val="00E67B0C"/>
    <w:rsid w:val="00E73105"/>
    <w:rsid w:val="00E73EAF"/>
    <w:rsid w:val="00E7598C"/>
    <w:rsid w:val="00E7619C"/>
    <w:rsid w:val="00E76CB1"/>
    <w:rsid w:val="00E80C91"/>
    <w:rsid w:val="00E83A77"/>
    <w:rsid w:val="00E83CB0"/>
    <w:rsid w:val="00E843FF"/>
    <w:rsid w:val="00E847A5"/>
    <w:rsid w:val="00E914F1"/>
    <w:rsid w:val="00E96456"/>
    <w:rsid w:val="00E966FE"/>
    <w:rsid w:val="00E967D6"/>
    <w:rsid w:val="00EA0891"/>
    <w:rsid w:val="00EA2560"/>
    <w:rsid w:val="00EA62D6"/>
    <w:rsid w:val="00EA7FDD"/>
    <w:rsid w:val="00EB632F"/>
    <w:rsid w:val="00EB7199"/>
    <w:rsid w:val="00EC0965"/>
    <w:rsid w:val="00EC0D0A"/>
    <w:rsid w:val="00EC1195"/>
    <w:rsid w:val="00EC39D8"/>
    <w:rsid w:val="00EC3CB0"/>
    <w:rsid w:val="00EC4D93"/>
    <w:rsid w:val="00EC4D9C"/>
    <w:rsid w:val="00EC631B"/>
    <w:rsid w:val="00ED11F6"/>
    <w:rsid w:val="00ED3C8D"/>
    <w:rsid w:val="00ED44F2"/>
    <w:rsid w:val="00ED6EEC"/>
    <w:rsid w:val="00ED79CB"/>
    <w:rsid w:val="00EE3301"/>
    <w:rsid w:val="00EE3F05"/>
    <w:rsid w:val="00EE5DB1"/>
    <w:rsid w:val="00EE7823"/>
    <w:rsid w:val="00EF2E46"/>
    <w:rsid w:val="00EF2F63"/>
    <w:rsid w:val="00EF3C62"/>
    <w:rsid w:val="00EF4FE3"/>
    <w:rsid w:val="00EF5922"/>
    <w:rsid w:val="00EF6388"/>
    <w:rsid w:val="00EF7338"/>
    <w:rsid w:val="00F02928"/>
    <w:rsid w:val="00F02E99"/>
    <w:rsid w:val="00F0330C"/>
    <w:rsid w:val="00F11D70"/>
    <w:rsid w:val="00F12D4C"/>
    <w:rsid w:val="00F158BD"/>
    <w:rsid w:val="00F15CD2"/>
    <w:rsid w:val="00F1643A"/>
    <w:rsid w:val="00F17124"/>
    <w:rsid w:val="00F17252"/>
    <w:rsid w:val="00F172EF"/>
    <w:rsid w:val="00F17F2A"/>
    <w:rsid w:val="00F224A7"/>
    <w:rsid w:val="00F234A2"/>
    <w:rsid w:val="00F23628"/>
    <w:rsid w:val="00F23C8E"/>
    <w:rsid w:val="00F24041"/>
    <w:rsid w:val="00F24411"/>
    <w:rsid w:val="00F258B9"/>
    <w:rsid w:val="00F25AFA"/>
    <w:rsid w:val="00F25D94"/>
    <w:rsid w:val="00F31171"/>
    <w:rsid w:val="00F31521"/>
    <w:rsid w:val="00F318F8"/>
    <w:rsid w:val="00F32B3D"/>
    <w:rsid w:val="00F334D0"/>
    <w:rsid w:val="00F33CF1"/>
    <w:rsid w:val="00F361EA"/>
    <w:rsid w:val="00F408D6"/>
    <w:rsid w:val="00F41A97"/>
    <w:rsid w:val="00F43588"/>
    <w:rsid w:val="00F473C8"/>
    <w:rsid w:val="00F57AE1"/>
    <w:rsid w:val="00F6009A"/>
    <w:rsid w:val="00F626DE"/>
    <w:rsid w:val="00F627BF"/>
    <w:rsid w:val="00F63885"/>
    <w:rsid w:val="00F64DDD"/>
    <w:rsid w:val="00F661F1"/>
    <w:rsid w:val="00F6630D"/>
    <w:rsid w:val="00F67B20"/>
    <w:rsid w:val="00F67FFD"/>
    <w:rsid w:val="00F70AA9"/>
    <w:rsid w:val="00F73275"/>
    <w:rsid w:val="00F753CF"/>
    <w:rsid w:val="00F814A7"/>
    <w:rsid w:val="00F832DA"/>
    <w:rsid w:val="00F83E72"/>
    <w:rsid w:val="00F86B0E"/>
    <w:rsid w:val="00F87C1F"/>
    <w:rsid w:val="00F90516"/>
    <w:rsid w:val="00F9081C"/>
    <w:rsid w:val="00F92CE0"/>
    <w:rsid w:val="00F93061"/>
    <w:rsid w:val="00F9415A"/>
    <w:rsid w:val="00F9452C"/>
    <w:rsid w:val="00F94C4D"/>
    <w:rsid w:val="00F950DE"/>
    <w:rsid w:val="00F9630C"/>
    <w:rsid w:val="00F96507"/>
    <w:rsid w:val="00F96943"/>
    <w:rsid w:val="00FA1352"/>
    <w:rsid w:val="00FA16B4"/>
    <w:rsid w:val="00FB0DDA"/>
    <w:rsid w:val="00FB168F"/>
    <w:rsid w:val="00FB19C5"/>
    <w:rsid w:val="00FB3B8C"/>
    <w:rsid w:val="00FB5878"/>
    <w:rsid w:val="00FB591D"/>
    <w:rsid w:val="00FB5E6F"/>
    <w:rsid w:val="00FB66B4"/>
    <w:rsid w:val="00FB690C"/>
    <w:rsid w:val="00FB72FF"/>
    <w:rsid w:val="00FB7F30"/>
    <w:rsid w:val="00FC2525"/>
    <w:rsid w:val="00FC267F"/>
    <w:rsid w:val="00FC3F81"/>
    <w:rsid w:val="00FC73FB"/>
    <w:rsid w:val="00FD1746"/>
    <w:rsid w:val="00FD1C05"/>
    <w:rsid w:val="00FD3B4F"/>
    <w:rsid w:val="00FD437E"/>
    <w:rsid w:val="00FE029A"/>
    <w:rsid w:val="00FE2146"/>
    <w:rsid w:val="00FE3058"/>
    <w:rsid w:val="00FE3771"/>
    <w:rsid w:val="00FE3D99"/>
    <w:rsid w:val="00FE4F20"/>
    <w:rsid w:val="00FE4F8F"/>
    <w:rsid w:val="00FE5358"/>
    <w:rsid w:val="00FE714D"/>
    <w:rsid w:val="00FF03B4"/>
    <w:rsid w:val="00FF13D6"/>
    <w:rsid w:val="00FF1A09"/>
    <w:rsid w:val="00FF20CC"/>
    <w:rsid w:val="00FF29B7"/>
    <w:rsid w:val="00FF3105"/>
    <w:rsid w:val="00FF49AF"/>
    <w:rsid w:val="00FF4D98"/>
    <w:rsid w:val="00FF72D0"/>
    <w:rsid w:val="0209391E"/>
    <w:rsid w:val="02440D14"/>
    <w:rsid w:val="02E721EB"/>
    <w:rsid w:val="034E2484"/>
    <w:rsid w:val="038E4403"/>
    <w:rsid w:val="04096900"/>
    <w:rsid w:val="063A520C"/>
    <w:rsid w:val="06403F54"/>
    <w:rsid w:val="07A67658"/>
    <w:rsid w:val="088432B2"/>
    <w:rsid w:val="090B3E94"/>
    <w:rsid w:val="0973694A"/>
    <w:rsid w:val="0A9C51AC"/>
    <w:rsid w:val="0ACB238E"/>
    <w:rsid w:val="0B887B09"/>
    <w:rsid w:val="0C1C4299"/>
    <w:rsid w:val="0CA63DE5"/>
    <w:rsid w:val="0CA87C41"/>
    <w:rsid w:val="104D0388"/>
    <w:rsid w:val="11532441"/>
    <w:rsid w:val="1300324C"/>
    <w:rsid w:val="1364078D"/>
    <w:rsid w:val="13A2229F"/>
    <w:rsid w:val="144703AE"/>
    <w:rsid w:val="14616A95"/>
    <w:rsid w:val="149954CE"/>
    <w:rsid w:val="14DB1296"/>
    <w:rsid w:val="159E7076"/>
    <w:rsid w:val="15BC612A"/>
    <w:rsid w:val="15E3597A"/>
    <w:rsid w:val="173A1B57"/>
    <w:rsid w:val="17CB247E"/>
    <w:rsid w:val="17EA5478"/>
    <w:rsid w:val="184C2628"/>
    <w:rsid w:val="18F73F83"/>
    <w:rsid w:val="19A41449"/>
    <w:rsid w:val="1A2228EA"/>
    <w:rsid w:val="1A8D688C"/>
    <w:rsid w:val="1B2B3D7F"/>
    <w:rsid w:val="1CE66FA4"/>
    <w:rsid w:val="1F7E4FFE"/>
    <w:rsid w:val="20976203"/>
    <w:rsid w:val="20F65373"/>
    <w:rsid w:val="2131115B"/>
    <w:rsid w:val="21691447"/>
    <w:rsid w:val="225D16C5"/>
    <w:rsid w:val="226C055B"/>
    <w:rsid w:val="230D5037"/>
    <w:rsid w:val="2414119C"/>
    <w:rsid w:val="2426173B"/>
    <w:rsid w:val="24281C2B"/>
    <w:rsid w:val="245C6F06"/>
    <w:rsid w:val="251A20DD"/>
    <w:rsid w:val="268203C8"/>
    <w:rsid w:val="2746096B"/>
    <w:rsid w:val="277A4ACD"/>
    <w:rsid w:val="28707F59"/>
    <w:rsid w:val="2945141A"/>
    <w:rsid w:val="2A8A4C2F"/>
    <w:rsid w:val="2B3B666B"/>
    <w:rsid w:val="2BF065A8"/>
    <w:rsid w:val="2C266D61"/>
    <w:rsid w:val="2C7114EF"/>
    <w:rsid w:val="2C86745A"/>
    <w:rsid w:val="2D0B2765"/>
    <w:rsid w:val="2FD66972"/>
    <w:rsid w:val="30513B7A"/>
    <w:rsid w:val="344A4368"/>
    <w:rsid w:val="34BB1B06"/>
    <w:rsid w:val="35402E05"/>
    <w:rsid w:val="36092630"/>
    <w:rsid w:val="368E788C"/>
    <w:rsid w:val="377D6780"/>
    <w:rsid w:val="378F6A08"/>
    <w:rsid w:val="3A50061D"/>
    <w:rsid w:val="3A8E2421"/>
    <w:rsid w:val="3A916C2A"/>
    <w:rsid w:val="3B5C4815"/>
    <w:rsid w:val="3B621302"/>
    <w:rsid w:val="3BD50A82"/>
    <w:rsid w:val="3CCD79CD"/>
    <w:rsid w:val="3DD27C9B"/>
    <w:rsid w:val="3E551E24"/>
    <w:rsid w:val="3E6A2271"/>
    <w:rsid w:val="4115033F"/>
    <w:rsid w:val="41FA5186"/>
    <w:rsid w:val="42671F92"/>
    <w:rsid w:val="432E58FA"/>
    <w:rsid w:val="44800635"/>
    <w:rsid w:val="45450721"/>
    <w:rsid w:val="45E35585"/>
    <w:rsid w:val="46BF69A7"/>
    <w:rsid w:val="48847EBD"/>
    <w:rsid w:val="48B75390"/>
    <w:rsid w:val="4A7C3C40"/>
    <w:rsid w:val="4B15435F"/>
    <w:rsid w:val="4C81370B"/>
    <w:rsid w:val="4E9D76BF"/>
    <w:rsid w:val="4EC0573B"/>
    <w:rsid w:val="4FA615D0"/>
    <w:rsid w:val="51620202"/>
    <w:rsid w:val="51D57946"/>
    <w:rsid w:val="51E61F00"/>
    <w:rsid w:val="52F82731"/>
    <w:rsid w:val="537C2966"/>
    <w:rsid w:val="53D22D96"/>
    <w:rsid w:val="54630A22"/>
    <w:rsid w:val="55F53B73"/>
    <w:rsid w:val="561F2973"/>
    <w:rsid w:val="56D744D8"/>
    <w:rsid w:val="58802D2E"/>
    <w:rsid w:val="58E24011"/>
    <w:rsid w:val="5CA247ED"/>
    <w:rsid w:val="5D34780B"/>
    <w:rsid w:val="5DAE4924"/>
    <w:rsid w:val="5DDA2EF7"/>
    <w:rsid w:val="5DEA3787"/>
    <w:rsid w:val="5E992251"/>
    <w:rsid w:val="5F90127E"/>
    <w:rsid w:val="5FCE584E"/>
    <w:rsid w:val="600D7CB3"/>
    <w:rsid w:val="603101A7"/>
    <w:rsid w:val="61195DE5"/>
    <w:rsid w:val="61C44B44"/>
    <w:rsid w:val="625F3964"/>
    <w:rsid w:val="62791D1D"/>
    <w:rsid w:val="63034409"/>
    <w:rsid w:val="640013C2"/>
    <w:rsid w:val="64590E06"/>
    <w:rsid w:val="653D3326"/>
    <w:rsid w:val="656F16A1"/>
    <w:rsid w:val="66595F6E"/>
    <w:rsid w:val="666A5A2F"/>
    <w:rsid w:val="66F915C1"/>
    <w:rsid w:val="69C31446"/>
    <w:rsid w:val="6B0A7F2D"/>
    <w:rsid w:val="6B616E16"/>
    <w:rsid w:val="6C805AC9"/>
    <w:rsid w:val="6CF75624"/>
    <w:rsid w:val="6D7D7F00"/>
    <w:rsid w:val="6D843EEB"/>
    <w:rsid w:val="6F97411D"/>
    <w:rsid w:val="72A72FFA"/>
    <w:rsid w:val="72F305CF"/>
    <w:rsid w:val="73346510"/>
    <w:rsid w:val="73763E02"/>
    <w:rsid w:val="741D3B6E"/>
    <w:rsid w:val="74584D6B"/>
    <w:rsid w:val="754E4F47"/>
    <w:rsid w:val="75AD1AAD"/>
    <w:rsid w:val="76E77730"/>
    <w:rsid w:val="776601BC"/>
    <w:rsid w:val="78164004"/>
    <w:rsid w:val="799F5F95"/>
    <w:rsid w:val="79C57207"/>
    <w:rsid w:val="7A814C1A"/>
    <w:rsid w:val="7BD96A68"/>
    <w:rsid w:val="7E48528B"/>
    <w:rsid w:val="7E7B2179"/>
    <w:rsid w:val="7F766A7C"/>
    <w:rsid w:val="7FB40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Normal Indent"/>
    <w:basedOn w:val="1"/>
    <w:link w:val="33"/>
    <w:qFormat/>
    <w:uiPriority w:val="0"/>
    <w:pPr>
      <w:ind w:firstLine="200" w:firstLineChars="200"/>
    </w:pPr>
  </w:style>
  <w:style w:type="paragraph" w:styleId="8">
    <w:name w:val="Document Map"/>
    <w:basedOn w:val="1"/>
    <w:qFormat/>
    <w:uiPriority w:val="0"/>
    <w:pPr>
      <w:shd w:val="clear" w:color="auto" w:fill="000080"/>
    </w:pPr>
  </w:style>
  <w:style w:type="paragraph" w:styleId="9">
    <w:name w:val="annotation text"/>
    <w:basedOn w:val="1"/>
    <w:link w:val="30"/>
    <w:qFormat/>
    <w:uiPriority w:val="0"/>
    <w:pPr>
      <w:jc w:val="left"/>
    </w:pPr>
  </w:style>
  <w:style w:type="paragraph" w:styleId="10">
    <w:name w:val="Body Text"/>
    <w:basedOn w:val="1"/>
    <w:next w:val="1"/>
    <w:link w:val="55"/>
    <w:qFormat/>
    <w:uiPriority w:val="99"/>
    <w:pPr>
      <w:spacing w:after="120"/>
    </w:pPr>
  </w:style>
  <w:style w:type="paragraph" w:styleId="11">
    <w:name w:val="Body Text Indent"/>
    <w:basedOn w:val="1"/>
    <w:link w:val="36"/>
    <w:qFormat/>
    <w:uiPriority w:val="0"/>
    <w:pPr>
      <w:ind w:firstLine="630"/>
    </w:pPr>
    <w:rPr>
      <w:sz w:val="32"/>
      <w:szCs w:val="20"/>
    </w:rPr>
  </w:style>
  <w:style w:type="paragraph" w:styleId="12">
    <w:name w:val="Plain Text"/>
    <w:basedOn w:val="1"/>
    <w:link w:val="31"/>
    <w:qFormat/>
    <w:uiPriority w:val="0"/>
    <w:pPr>
      <w:autoSpaceDE w:val="0"/>
      <w:autoSpaceDN w:val="0"/>
      <w:adjustRightInd w:val="0"/>
      <w:spacing w:line="360" w:lineRule="auto"/>
    </w:pPr>
    <w:rPr>
      <w:rFonts w:ascii="宋体" w:hAnsi="Courier New"/>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200" w:leftChars="200"/>
    </w:pPr>
  </w:style>
  <w:style w:type="paragraph" w:styleId="15">
    <w:name w:val="Balloon Text"/>
    <w:basedOn w:val="1"/>
    <w:link w:val="32"/>
    <w:qFormat/>
    <w:uiPriority w:val="0"/>
    <w:rPr>
      <w:sz w:val="18"/>
      <w:szCs w:val="18"/>
    </w:rPr>
  </w:style>
  <w:style w:type="paragraph" w:styleId="16">
    <w:name w:val="footer"/>
    <w:basedOn w:val="1"/>
    <w:link w:val="59"/>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Body Text Indent 3"/>
    <w:basedOn w:val="1"/>
    <w:qFormat/>
    <w:uiPriority w:val="0"/>
    <w:pPr>
      <w:spacing w:after="120"/>
      <w:ind w:left="200" w:leftChars="200"/>
    </w:pPr>
    <w:rPr>
      <w:sz w:val="16"/>
      <w:szCs w:val="16"/>
    </w:rPr>
  </w:style>
  <w:style w:type="paragraph" w:styleId="19">
    <w:name w:val="Normal (Web)"/>
    <w:basedOn w:val="1"/>
    <w:link w:val="70"/>
    <w:qFormat/>
    <w:uiPriority w:val="99"/>
    <w:pPr>
      <w:widowControl/>
      <w:spacing w:before="100" w:beforeAutospacing="1" w:after="100" w:afterAutospacing="1"/>
      <w:jc w:val="left"/>
    </w:pPr>
    <w:rPr>
      <w:rFonts w:ascii="宋体"/>
      <w:kern w:val="0"/>
      <w:sz w:val="18"/>
      <w:szCs w:val="18"/>
    </w:rPr>
  </w:style>
  <w:style w:type="paragraph" w:styleId="20">
    <w:name w:val="annotation subject"/>
    <w:basedOn w:val="9"/>
    <w:next w:val="9"/>
    <w:link w:val="53"/>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Hyperlink"/>
    <w:unhideWhenUsed/>
    <w:qFormat/>
    <w:uiPriority w:val="99"/>
    <w:rPr>
      <w:color w:val="0000FF"/>
      <w:u w:val="single"/>
    </w:rPr>
  </w:style>
  <w:style w:type="character" w:styleId="26">
    <w:name w:val="annotation reference"/>
    <w:qFormat/>
    <w:uiPriority w:val="0"/>
    <w:rPr>
      <w:sz w:val="21"/>
      <w:szCs w:val="21"/>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9">
    <w:name w:val="font61"/>
    <w:qFormat/>
    <w:uiPriority w:val="0"/>
    <w:rPr>
      <w:rFonts w:hint="eastAsia" w:ascii="宋体" w:hAnsi="宋体" w:eastAsia="宋体" w:cs="宋体"/>
      <w:color w:val="000000"/>
      <w:sz w:val="20"/>
      <w:szCs w:val="20"/>
      <w:u w:val="none"/>
    </w:rPr>
  </w:style>
  <w:style w:type="character" w:customStyle="1" w:styleId="30">
    <w:name w:val="批注文字 Char"/>
    <w:link w:val="9"/>
    <w:qFormat/>
    <w:uiPriority w:val="0"/>
    <w:rPr>
      <w:kern w:val="2"/>
      <w:sz w:val="21"/>
      <w:szCs w:val="24"/>
    </w:rPr>
  </w:style>
  <w:style w:type="character" w:customStyle="1" w:styleId="31">
    <w:name w:val="纯文本 Char"/>
    <w:link w:val="12"/>
    <w:qFormat/>
    <w:uiPriority w:val="0"/>
    <w:rPr>
      <w:rFonts w:ascii="宋体" w:hAnsi="Courier New"/>
      <w:kern w:val="2"/>
      <w:sz w:val="21"/>
      <w:szCs w:val="21"/>
    </w:rPr>
  </w:style>
  <w:style w:type="character" w:customStyle="1" w:styleId="32">
    <w:name w:val="批注框文本 Char"/>
    <w:link w:val="15"/>
    <w:qFormat/>
    <w:uiPriority w:val="0"/>
    <w:rPr>
      <w:kern w:val="2"/>
      <w:sz w:val="18"/>
      <w:szCs w:val="18"/>
    </w:rPr>
  </w:style>
  <w:style w:type="character" w:customStyle="1" w:styleId="33">
    <w:name w:val="正文缩进 Char"/>
    <w:link w:val="7"/>
    <w:qFormat/>
    <w:uiPriority w:val="0"/>
    <w:rPr>
      <w:kern w:val="2"/>
      <w:sz w:val="21"/>
      <w:szCs w:val="24"/>
    </w:rPr>
  </w:style>
  <w:style w:type="character" w:customStyle="1" w:styleId="34">
    <w:name w:val="font41"/>
    <w:qFormat/>
    <w:uiPriority w:val="0"/>
    <w:rPr>
      <w:rFonts w:hint="eastAsia" w:ascii="宋体" w:hAnsi="宋体" w:eastAsia="宋体" w:cs="宋体"/>
      <w:color w:val="000000"/>
      <w:sz w:val="22"/>
      <w:szCs w:val="22"/>
      <w:u w:val="none"/>
    </w:rPr>
  </w:style>
  <w:style w:type="character" w:customStyle="1" w:styleId="35">
    <w:name w:val="font31"/>
    <w:qFormat/>
    <w:uiPriority w:val="0"/>
    <w:rPr>
      <w:rFonts w:hint="eastAsia" w:ascii="宋体" w:hAnsi="宋体" w:eastAsia="宋体" w:cs="宋体"/>
      <w:color w:val="000000"/>
      <w:sz w:val="21"/>
      <w:szCs w:val="21"/>
      <w:u w:val="none"/>
    </w:rPr>
  </w:style>
  <w:style w:type="character" w:customStyle="1" w:styleId="36">
    <w:name w:val="正文文本缩进 Char"/>
    <w:link w:val="11"/>
    <w:qFormat/>
    <w:uiPriority w:val="0"/>
    <w:rPr>
      <w:kern w:val="2"/>
      <w:sz w:val="32"/>
    </w:rPr>
  </w:style>
  <w:style w:type="character" w:customStyle="1" w:styleId="37">
    <w:name w:val="font111"/>
    <w:qFormat/>
    <w:uiPriority w:val="0"/>
    <w:rPr>
      <w:rFonts w:hint="default" w:ascii="eʩ" w:hAnsi="eʩ" w:eastAsia="eʩ" w:cs="eʩ"/>
      <w:color w:val="000000"/>
      <w:sz w:val="21"/>
      <w:szCs w:val="21"/>
      <w:u w:val="single"/>
    </w:rPr>
  </w:style>
  <w:style w:type="character" w:customStyle="1" w:styleId="38">
    <w:name w:val="（符号）邀请函中一、"/>
    <w:qFormat/>
    <w:uiPriority w:val="0"/>
    <w:rPr>
      <w:rFonts w:ascii="黑体" w:eastAsia="黑体"/>
      <w:b/>
      <w:bCs/>
      <w:sz w:val="24"/>
    </w:rPr>
  </w:style>
  <w:style w:type="paragraph" w:customStyle="1" w:styleId="39">
    <w:name w:val="样式"/>
    <w:link w:val="58"/>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Char Char Char Char Char Char Char Char Char Char Char Char Char Char1 Char Char Char Char"/>
    <w:basedOn w:val="1"/>
    <w:qFormat/>
    <w:uiPriority w:val="0"/>
    <w:rPr>
      <w:szCs w:val="21"/>
    </w:rPr>
  </w:style>
  <w:style w:type="paragraph" w:customStyle="1" w:styleId="41">
    <w:name w:val="GP正文(首行缩进)"/>
    <w:basedOn w:val="1"/>
    <w:qFormat/>
    <w:uiPriority w:val="0"/>
    <w:pPr>
      <w:spacing w:line="360" w:lineRule="auto"/>
      <w:ind w:firstLine="480" w:firstLineChars="200"/>
    </w:pPr>
    <w:rPr>
      <w:rFonts w:hAnsi="宋体"/>
    </w:rPr>
  </w:style>
  <w:style w:type="paragraph" w:customStyle="1" w:styleId="42">
    <w:name w:val="_Style 2"/>
    <w:basedOn w:val="1"/>
    <w:qFormat/>
    <w:uiPriority w:val="0"/>
    <w:pPr>
      <w:ind w:firstLine="420" w:firstLineChars="200"/>
    </w:pPr>
    <w:rPr>
      <w:rFonts w:ascii="Calibri" w:hAnsi="Calibri"/>
    </w:rPr>
  </w:style>
  <w:style w:type="paragraph" w:customStyle="1" w:styleId="43">
    <w:name w:val="表格"/>
    <w:basedOn w:val="1"/>
    <w:qFormat/>
    <w:uiPriority w:val="0"/>
    <w:pPr>
      <w:spacing w:line="400" w:lineRule="exact"/>
    </w:pPr>
    <w:rPr>
      <w:sz w:val="24"/>
    </w:rPr>
  </w:style>
  <w:style w:type="paragraph" w:customStyle="1" w:styleId="44">
    <w:name w:val="列出段落1"/>
    <w:basedOn w:val="1"/>
    <w:qFormat/>
    <w:uiPriority w:val="34"/>
    <w:pPr>
      <w:ind w:firstLine="420" w:firstLineChars="200"/>
    </w:pPr>
  </w:style>
  <w:style w:type="paragraph" w:customStyle="1" w:styleId="45">
    <w:name w:val="正文首行缩进两字符"/>
    <w:basedOn w:val="1"/>
    <w:link w:val="61"/>
    <w:qFormat/>
    <w:uiPriority w:val="0"/>
    <w:pPr>
      <w:spacing w:line="360" w:lineRule="auto"/>
      <w:ind w:firstLine="200" w:firstLineChars="200"/>
    </w:pPr>
  </w:style>
  <w:style w:type="paragraph" w:customStyle="1" w:styleId="46">
    <w:name w:val="GP正文(无首行缩进)"/>
    <w:basedOn w:val="41"/>
    <w:qFormat/>
    <w:uiPriority w:val="0"/>
  </w:style>
  <w:style w:type="paragraph" w:customStyle="1" w:styleId="47">
    <w:name w:val="标题 4_1"/>
    <w:basedOn w:val="6"/>
    <w:next w:val="7"/>
    <w:qFormat/>
    <w:uiPriority w:val="0"/>
    <w:pPr>
      <w:keepNext w:val="0"/>
      <w:keepLines w:val="0"/>
      <w:tabs>
        <w:tab w:val="left" w:pos="751"/>
      </w:tabs>
      <w:spacing w:line="377" w:lineRule="auto"/>
      <w:ind w:left="751" w:hanging="144"/>
    </w:pPr>
    <w:rPr>
      <w:rFonts w:ascii="Cambria" w:hAnsi="Cambria" w:eastAsia="宋体"/>
      <w:lang w:val="zh-CN"/>
    </w:rPr>
  </w:style>
  <w:style w:type="paragraph" w:customStyle="1" w:styleId="4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
    <w:name w:val="Char1"/>
    <w:basedOn w:val="1"/>
    <w:qFormat/>
    <w:uiPriority w:val="0"/>
    <w:rPr>
      <w:rFonts w:ascii="宋体"/>
      <w:kern w:val="0"/>
      <w:sz w:val="34"/>
      <w:szCs w:val="21"/>
    </w:rPr>
  </w:style>
  <w:style w:type="paragraph" w:customStyle="1" w:styleId="50">
    <w:name w:val="样式 首行缩进:  2 字符"/>
    <w:basedOn w:val="1"/>
    <w:qFormat/>
    <w:uiPriority w:val="0"/>
    <w:pPr>
      <w:spacing w:line="400" w:lineRule="exact"/>
      <w:ind w:firstLine="200" w:firstLineChars="200"/>
    </w:pPr>
    <w:rPr>
      <w:rFonts w:cs="宋体"/>
      <w:sz w:val="24"/>
    </w:rPr>
  </w:style>
  <w:style w:type="paragraph" w:customStyle="1" w:styleId="51">
    <w:name w:val="Default"/>
    <w:qFormat/>
    <w:uiPriority w:val="99"/>
    <w:pPr>
      <w:widowControl w:val="0"/>
      <w:autoSpaceDE w:val="0"/>
      <w:autoSpaceDN w:val="0"/>
      <w:adjustRightInd w:val="0"/>
    </w:pPr>
    <w:rPr>
      <w:rFonts w:ascii="..ì." w:hAnsi="..ì." w:eastAsia="..ì." w:cs="..ì."/>
      <w:color w:val="000000"/>
      <w:sz w:val="24"/>
      <w:szCs w:val="24"/>
      <w:lang w:val="en-US" w:eastAsia="zh-CN" w:bidi="ar-SA"/>
    </w:rPr>
  </w:style>
  <w:style w:type="paragraph" w:customStyle="1" w:styleId="52">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character" w:customStyle="1" w:styleId="53">
    <w:name w:val="批注主题 Char"/>
    <w:link w:val="20"/>
    <w:qFormat/>
    <w:uiPriority w:val="0"/>
    <w:rPr>
      <w:b/>
      <w:bCs/>
      <w:kern w:val="2"/>
      <w:sz w:val="21"/>
      <w:szCs w:val="24"/>
    </w:rPr>
  </w:style>
  <w:style w:type="paragraph" w:customStyle="1" w:styleId="5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55">
    <w:name w:val="正文文本 Char"/>
    <w:link w:val="10"/>
    <w:qFormat/>
    <w:uiPriority w:val="99"/>
    <w:rPr>
      <w:kern w:val="2"/>
      <w:sz w:val="21"/>
      <w:szCs w:val="24"/>
    </w:rPr>
  </w:style>
  <w:style w:type="paragraph" w:customStyle="1" w:styleId="56">
    <w:name w:val="正文 A"/>
    <w:qFormat/>
    <w:uiPriority w:val="0"/>
    <w:pPr>
      <w:widowControl w:val="0"/>
      <w:spacing w:line="312" w:lineRule="atLeast"/>
      <w:jc w:val="both"/>
    </w:pPr>
    <w:rPr>
      <w:rFonts w:ascii="Times New Roman" w:hAnsi="Times New Roman" w:eastAsia="Calibri" w:cs="Calibri"/>
      <w:color w:val="000000"/>
      <w:kern w:val="2"/>
      <w:sz w:val="21"/>
      <w:szCs w:val="21"/>
      <w:u w:color="000000"/>
      <w:lang w:val="en-US" w:eastAsia="zh-CN" w:bidi="ar-SA"/>
    </w:rPr>
  </w:style>
  <w:style w:type="paragraph" w:styleId="57">
    <w:name w:val="List Paragraph"/>
    <w:basedOn w:val="1"/>
    <w:link w:val="71"/>
    <w:qFormat/>
    <w:uiPriority w:val="99"/>
    <w:pPr>
      <w:ind w:firstLine="420" w:firstLineChars="200"/>
    </w:pPr>
    <w:rPr>
      <w:rFonts w:ascii="等线" w:hAnsi="等线" w:eastAsia="等线"/>
      <w:szCs w:val="22"/>
    </w:rPr>
  </w:style>
  <w:style w:type="character" w:customStyle="1" w:styleId="58">
    <w:name w:val="样式 Char"/>
    <w:link w:val="39"/>
    <w:qFormat/>
    <w:uiPriority w:val="0"/>
    <w:rPr>
      <w:rFonts w:ascii="宋体" w:hAnsi="宋体" w:cs="宋体"/>
      <w:sz w:val="24"/>
      <w:szCs w:val="24"/>
    </w:rPr>
  </w:style>
  <w:style w:type="character" w:customStyle="1" w:styleId="59">
    <w:name w:val="页脚 Char"/>
    <w:basedOn w:val="23"/>
    <w:link w:val="16"/>
    <w:qFormat/>
    <w:uiPriority w:val="99"/>
    <w:rPr>
      <w:kern w:val="2"/>
      <w:sz w:val="18"/>
    </w:rPr>
  </w:style>
  <w:style w:type="character" w:customStyle="1" w:styleId="60">
    <w:name w:val="标题 2 Char"/>
    <w:link w:val="4"/>
    <w:qFormat/>
    <w:uiPriority w:val="9"/>
    <w:rPr>
      <w:rFonts w:ascii="Arial" w:hAnsi="Arial" w:eastAsia="黑体"/>
      <w:b/>
      <w:bCs/>
      <w:kern w:val="2"/>
      <w:sz w:val="32"/>
      <w:szCs w:val="32"/>
    </w:rPr>
  </w:style>
  <w:style w:type="character" w:customStyle="1" w:styleId="61">
    <w:name w:val="正文首行缩进两字符 Char Char"/>
    <w:link w:val="45"/>
    <w:qFormat/>
    <w:uiPriority w:val="0"/>
    <w:rPr>
      <w:kern w:val="2"/>
      <w:sz w:val="21"/>
      <w:szCs w:val="24"/>
    </w:rPr>
  </w:style>
  <w:style w:type="character" w:customStyle="1" w:styleId="62">
    <w:name w:val="GW-正文 Char"/>
    <w:link w:val="63"/>
    <w:qFormat/>
    <w:uiPriority w:val="0"/>
    <w:rPr>
      <w:rFonts w:eastAsia="仿宋_GB2312"/>
      <w:kern w:val="2"/>
      <w:sz w:val="24"/>
      <w:szCs w:val="24"/>
    </w:rPr>
  </w:style>
  <w:style w:type="paragraph" w:customStyle="1" w:styleId="63">
    <w:name w:val="GW-正文"/>
    <w:basedOn w:val="1"/>
    <w:link w:val="62"/>
    <w:qFormat/>
    <w:uiPriority w:val="0"/>
    <w:pPr>
      <w:spacing w:line="360" w:lineRule="auto"/>
      <w:ind w:firstLine="200" w:firstLineChars="200"/>
    </w:pPr>
    <w:rPr>
      <w:rFonts w:eastAsia="仿宋_GB2312"/>
      <w:sz w:val="24"/>
    </w:rPr>
  </w:style>
  <w:style w:type="character" w:customStyle="1" w:styleId="64">
    <w:name w:val="正文文本 + Lucida Sans Unicode"/>
    <w:qFormat/>
    <w:uiPriority w:val="0"/>
    <w:rPr>
      <w:rFonts w:ascii="Lucida Sans Unicode" w:hAnsi="Lucida Sans Unicode" w:eastAsia="Lucida Sans Unicode" w:cs="Lucida Sans Unicode"/>
      <w:color w:val="000000"/>
      <w:spacing w:val="41"/>
      <w:w w:val="100"/>
      <w:position w:val="0"/>
      <w:sz w:val="12"/>
      <w:szCs w:val="12"/>
      <w:u w:val="none"/>
      <w:lang w:val="zh-TW"/>
    </w:rPr>
  </w:style>
  <w:style w:type="paragraph" w:customStyle="1" w:styleId="65">
    <w:name w:val="Table Paragraph"/>
    <w:basedOn w:val="1"/>
    <w:qFormat/>
    <w:uiPriority w:val="1"/>
    <w:pPr>
      <w:jc w:val="left"/>
    </w:pPr>
    <w:rPr>
      <w:kern w:val="0"/>
      <w:sz w:val="22"/>
      <w:szCs w:val="22"/>
      <w:lang w:eastAsia="en-US"/>
    </w:rPr>
  </w:style>
  <w:style w:type="character" w:customStyle="1" w:styleId="66">
    <w:name w:val="NormalCharacter"/>
    <w:qFormat/>
    <w:uiPriority w:val="0"/>
    <w:rPr>
      <w:rFonts w:ascii="Times New Roman" w:hAnsi="Times New Roman" w:eastAsia="宋体" w:cs="Times New Roman"/>
    </w:rPr>
  </w:style>
  <w:style w:type="character" w:customStyle="1" w:styleId="67">
    <w:name w:val="font21"/>
    <w:basedOn w:val="23"/>
    <w:qFormat/>
    <w:uiPriority w:val="0"/>
    <w:rPr>
      <w:rFonts w:hint="eastAsia" w:ascii="宋体" w:hAnsi="宋体" w:eastAsia="宋体" w:cs="宋体"/>
      <w:color w:val="000000"/>
      <w:sz w:val="28"/>
      <w:szCs w:val="28"/>
      <w:u w:val="none"/>
    </w:rPr>
  </w:style>
  <w:style w:type="character" w:customStyle="1" w:styleId="68">
    <w:name w:val="font11"/>
    <w:basedOn w:val="23"/>
    <w:qFormat/>
    <w:uiPriority w:val="0"/>
    <w:rPr>
      <w:rFonts w:ascii="宋体" w:hAnsi="宋体" w:eastAsia="宋体" w:cs="宋体"/>
      <w:color w:val="000000"/>
      <w:sz w:val="28"/>
      <w:szCs w:val="28"/>
      <w:u w:val="none"/>
    </w:rPr>
  </w:style>
  <w:style w:type="character" w:customStyle="1" w:styleId="69">
    <w:name w:val="正文首行缩进两字符 Char"/>
    <w:qFormat/>
    <w:locked/>
    <w:uiPriority w:val="0"/>
    <w:rPr>
      <w:kern w:val="2"/>
      <w:sz w:val="21"/>
      <w:szCs w:val="24"/>
    </w:rPr>
  </w:style>
  <w:style w:type="character" w:customStyle="1" w:styleId="70">
    <w:name w:val="普通(网站) Char"/>
    <w:link w:val="19"/>
    <w:qFormat/>
    <w:locked/>
    <w:uiPriority w:val="99"/>
    <w:rPr>
      <w:rFonts w:ascii="宋体"/>
      <w:sz w:val="18"/>
      <w:szCs w:val="18"/>
    </w:rPr>
  </w:style>
  <w:style w:type="character" w:customStyle="1" w:styleId="71">
    <w:name w:val="列出段落 Char"/>
    <w:link w:val="57"/>
    <w:qFormat/>
    <w:uiPriority w:val="99"/>
    <w:rPr>
      <w:rFonts w:ascii="等线" w:hAnsi="等线" w:eastAsia="等线"/>
      <w:kern w:val="2"/>
      <w:sz w:val="21"/>
      <w:szCs w:val="22"/>
    </w:rPr>
  </w:style>
  <w:style w:type="paragraph" w:customStyle="1" w:styleId="72">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0382;&#38647;\&#29976;&#23388;&#21439;2017&#24180;&#33609;&#21407;&#20445;&#25252;&#24314;&#35774;&#21644;&#33609;&#29287;&#19994;&#21457;&#23637;&#39033;&#30446;\&#29976;&#23388;&#21439;2017&#24180;&#33609;&#21407;&#20445;&#25252;&#24314;&#35774;&#21644;&#33609;&#29287;&#19994;&#21457;&#23637;&#39033;&#304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C5FEC-823D-4F6B-A281-154F3FBE7D10}">
  <ds:schemaRefs/>
</ds:datastoreItem>
</file>

<file path=docProps/app.xml><?xml version="1.0" encoding="utf-8"?>
<Properties xmlns="http://schemas.openxmlformats.org/officeDocument/2006/extended-properties" xmlns:vt="http://schemas.openxmlformats.org/officeDocument/2006/docPropsVTypes">
  <Template>甘孜县2017年草原保护建设和草牧业发展项目.dot</Template>
  <Company>Microsoft</Company>
  <Pages>81</Pages>
  <Words>6717</Words>
  <Characters>38293</Characters>
  <Lines>319</Lines>
  <Paragraphs>89</Paragraphs>
  <TotalTime>3</TotalTime>
  <ScaleCrop>false</ScaleCrop>
  <LinksUpToDate>false</LinksUpToDate>
  <CharactersWithSpaces>44921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2021-10-19T10:30:00Z</dcterms:created>
  <dc:creator>PHILIPS</dc:creator>
  <cp:lastModifiedBy>木子     </cp:lastModifiedBy>
  <cp:lastPrinted>2021-05-08T01:20:00Z</cp:lastPrinted>
  <dcterms:modified xsi:type="dcterms:W3CDTF">2021-10-21T07:17:57Z</dcterms:modified>
  <dc:title>招标编号：xx政采招[xxxx] xx号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53DF8B243FD7460980569FA39430AFCD</vt:lpwstr>
  </property>
</Properties>
</file>