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b/>
          <w:color w:val="auto"/>
          <w:sz w:val="30"/>
          <w:szCs w:val="30"/>
        </w:rPr>
      </w:pPr>
      <w:r>
        <w:rPr>
          <w:rFonts w:hint="eastAsia" w:ascii="仿宋" w:hAnsi="仿宋" w:eastAsia="仿宋" w:cs="仿宋"/>
          <w:b/>
          <w:color w:val="auto"/>
          <w:sz w:val="30"/>
          <w:szCs w:val="30"/>
        </w:rPr>
        <w:t>项目编号：510106202100100</w:t>
      </w:r>
    </w:p>
    <w:p>
      <w:pPr>
        <w:jc w:val="right"/>
        <w:rPr>
          <w:rFonts w:ascii="仿宋" w:hAnsi="仿宋" w:eastAsia="仿宋" w:cs="仿宋"/>
          <w:b/>
          <w:color w:val="auto"/>
          <w:sz w:val="30"/>
          <w:szCs w:val="30"/>
        </w:rPr>
      </w:pPr>
    </w:p>
    <w:p>
      <w:pPr>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金牛区中小学教师信息技术应用能力提升工程2.0培训采购项目</w:t>
      </w:r>
    </w:p>
    <w:p>
      <w:pPr>
        <w:jc w:val="center"/>
        <w:rPr>
          <w:rFonts w:ascii="仿宋" w:hAnsi="仿宋" w:eastAsia="仿宋" w:cs="仿宋"/>
          <w:b/>
          <w:color w:val="auto"/>
          <w:sz w:val="52"/>
          <w:szCs w:val="52"/>
        </w:rPr>
      </w:pPr>
      <w:r>
        <w:rPr>
          <w:rFonts w:hint="eastAsia" w:ascii="仿宋" w:hAnsi="仿宋" w:eastAsia="仿宋" w:cs="仿宋"/>
          <w:b/>
          <w:color w:val="auto"/>
          <w:sz w:val="52"/>
          <w:szCs w:val="52"/>
        </w:rPr>
        <w:t>竞</w:t>
      </w:r>
    </w:p>
    <w:p>
      <w:pPr>
        <w:jc w:val="center"/>
        <w:rPr>
          <w:rFonts w:ascii="仿宋" w:hAnsi="仿宋" w:eastAsia="仿宋" w:cs="仿宋"/>
          <w:b/>
          <w:color w:val="auto"/>
          <w:sz w:val="52"/>
          <w:szCs w:val="52"/>
        </w:rPr>
      </w:pPr>
      <w:r>
        <w:rPr>
          <w:rFonts w:hint="eastAsia" w:ascii="仿宋" w:hAnsi="仿宋" w:eastAsia="仿宋" w:cs="仿宋"/>
          <w:b/>
          <w:color w:val="auto"/>
          <w:sz w:val="52"/>
          <w:szCs w:val="52"/>
        </w:rPr>
        <w:t>争</w:t>
      </w:r>
    </w:p>
    <w:p>
      <w:pPr>
        <w:jc w:val="center"/>
        <w:rPr>
          <w:rFonts w:ascii="仿宋" w:hAnsi="仿宋" w:eastAsia="仿宋" w:cs="仿宋"/>
          <w:b/>
          <w:color w:val="auto"/>
          <w:sz w:val="52"/>
          <w:szCs w:val="52"/>
        </w:rPr>
      </w:pPr>
      <w:r>
        <w:rPr>
          <w:rFonts w:hint="eastAsia" w:ascii="仿宋" w:hAnsi="仿宋" w:eastAsia="仿宋" w:cs="仿宋"/>
          <w:b/>
          <w:color w:val="auto"/>
          <w:sz w:val="52"/>
          <w:szCs w:val="52"/>
        </w:rPr>
        <w:t>性</w:t>
      </w:r>
    </w:p>
    <w:p>
      <w:pPr>
        <w:jc w:val="center"/>
        <w:rPr>
          <w:rFonts w:ascii="仿宋" w:hAnsi="仿宋" w:eastAsia="仿宋" w:cs="仿宋"/>
          <w:b/>
          <w:color w:val="auto"/>
          <w:sz w:val="52"/>
          <w:szCs w:val="52"/>
        </w:rPr>
      </w:pPr>
      <w:r>
        <w:rPr>
          <w:rFonts w:hint="eastAsia" w:ascii="仿宋" w:hAnsi="仿宋" w:eastAsia="仿宋" w:cs="仿宋"/>
          <w:b/>
          <w:color w:val="auto"/>
          <w:sz w:val="52"/>
          <w:szCs w:val="52"/>
        </w:rPr>
        <w:t>磋</w:t>
      </w:r>
    </w:p>
    <w:p>
      <w:pPr>
        <w:jc w:val="center"/>
        <w:rPr>
          <w:rFonts w:ascii="仿宋" w:hAnsi="仿宋" w:eastAsia="仿宋" w:cs="仿宋"/>
          <w:b/>
          <w:color w:val="auto"/>
          <w:sz w:val="52"/>
          <w:szCs w:val="52"/>
        </w:rPr>
      </w:pPr>
      <w:r>
        <w:rPr>
          <w:rFonts w:hint="eastAsia" w:ascii="仿宋" w:hAnsi="仿宋" w:eastAsia="仿宋" w:cs="仿宋"/>
          <w:b/>
          <w:color w:val="auto"/>
          <w:sz w:val="52"/>
          <w:szCs w:val="52"/>
        </w:rPr>
        <w:t>商</w:t>
      </w:r>
    </w:p>
    <w:p>
      <w:pPr>
        <w:jc w:val="center"/>
        <w:rPr>
          <w:rFonts w:ascii="仿宋" w:hAnsi="仿宋" w:eastAsia="仿宋" w:cs="仿宋"/>
          <w:b/>
          <w:color w:val="auto"/>
          <w:sz w:val="52"/>
          <w:szCs w:val="52"/>
        </w:rPr>
      </w:pPr>
      <w:r>
        <w:rPr>
          <w:rFonts w:hint="eastAsia" w:ascii="仿宋" w:hAnsi="仿宋" w:eastAsia="仿宋" w:cs="仿宋"/>
          <w:b/>
          <w:color w:val="auto"/>
          <w:sz w:val="52"/>
          <w:szCs w:val="52"/>
        </w:rPr>
        <w:t>文</w:t>
      </w:r>
    </w:p>
    <w:p>
      <w:pPr>
        <w:jc w:val="center"/>
        <w:rPr>
          <w:rFonts w:ascii="仿宋" w:hAnsi="仿宋" w:eastAsia="仿宋" w:cs="仿宋"/>
          <w:b/>
          <w:color w:val="auto"/>
          <w:sz w:val="52"/>
          <w:szCs w:val="52"/>
        </w:rPr>
      </w:pPr>
      <w:r>
        <w:rPr>
          <w:rFonts w:hint="eastAsia" w:ascii="仿宋" w:hAnsi="仿宋" w:eastAsia="仿宋" w:cs="仿宋"/>
          <w:b/>
          <w:color w:val="auto"/>
          <w:sz w:val="52"/>
          <w:szCs w:val="52"/>
        </w:rPr>
        <w:t>件</w:t>
      </w:r>
    </w:p>
    <w:p>
      <w:pPr>
        <w:jc w:val="center"/>
        <w:rPr>
          <w:rFonts w:ascii="仿宋" w:hAnsi="仿宋" w:eastAsia="仿宋" w:cs="仿宋"/>
          <w:b/>
          <w:color w:val="auto"/>
          <w:sz w:val="52"/>
          <w:szCs w:val="52"/>
        </w:rPr>
      </w:pPr>
    </w:p>
    <w:p>
      <w:pPr>
        <w:snapToGrid w:val="0"/>
        <w:spacing w:line="360" w:lineRule="auto"/>
        <w:jc w:val="center"/>
        <w:rPr>
          <w:rFonts w:ascii="仿宋" w:hAnsi="仿宋" w:eastAsia="仿宋" w:cs="仿宋"/>
          <w:b/>
          <w:color w:val="auto"/>
          <w:kern w:val="0"/>
          <w:sz w:val="28"/>
          <w:szCs w:val="28"/>
          <w:lang w:val="zh-CN"/>
        </w:rPr>
      </w:pPr>
      <w:r>
        <w:rPr>
          <w:rFonts w:hint="eastAsia" w:ascii="仿宋" w:hAnsi="仿宋" w:eastAsia="仿宋" w:cs="仿宋"/>
          <w:b/>
          <w:color w:val="auto"/>
          <w:kern w:val="0"/>
          <w:sz w:val="28"/>
          <w:szCs w:val="28"/>
          <w:lang w:val="zh-CN"/>
        </w:rPr>
        <w:t>中国•四川（成都）</w:t>
      </w:r>
    </w:p>
    <w:p>
      <w:pPr>
        <w:snapToGrid w:val="0"/>
        <w:spacing w:line="360" w:lineRule="auto"/>
        <w:jc w:val="center"/>
        <w:rPr>
          <w:rFonts w:ascii="仿宋" w:hAnsi="仿宋" w:eastAsia="仿宋" w:cs="仿宋"/>
          <w:b/>
          <w:color w:val="auto"/>
          <w:kern w:val="0"/>
          <w:sz w:val="28"/>
          <w:szCs w:val="28"/>
          <w:lang w:val="zh-CN"/>
        </w:rPr>
      </w:pPr>
      <w:r>
        <w:rPr>
          <w:rFonts w:hint="eastAsia" w:ascii="仿宋" w:hAnsi="仿宋" w:eastAsia="仿宋" w:cs="仿宋"/>
          <w:b/>
          <w:bCs/>
          <w:color w:val="auto"/>
          <w:spacing w:val="-2"/>
          <w:sz w:val="28"/>
          <w:szCs w:val="28"/>
          <w:lang w:eastAsia="zh-CN"/>
        </w:rPr>
        <w:t>成都市金牛区教育科学研究院</w:t>
      </w:r>
      <w:r>
        <w:rPr>
          <w:rFonts w:hint="eastAsia" w:ascii="仿宋" w:hAnsi="仿宋" w:eastAsia="仿宋" w:cs="仿宋"/>
          <w:b/>
          <w:bCs/>
          <w:color w:val="auto"/>
          <w:spacing w:val="-2"/>
          <w:sz w:val="28"/>
          <w:szCs w:val="28"/>
        </w:rPr>
        <w:t>、四川尚运晟工程项目管理有限公司</w:t>
      </w:r>
    </w:p>
    <w:p>
      <w:pPr>
        <w:snapToGrid w:val="0"/>
        <w:spacing w:line="360" w:lineRule="auto"/>
        <w:jc w:val="center"/>
        <w:rPr>
          <w:rFonts w:ascii="仿宋" w:hAnsi="仿宋" w:eastAsia="仿宋" w:cs="仿宋"/>
          <w:b/>
          <w:color w:val="auto"/>
          <w:kern w:val="0"/>
          <w:sz w:val="28"/>
          <w:szCs w:val="28"/>
          <w:lang w:val="zh-CN"/>
        </w:rPr>
      </w:pPr>
      <w:r>
        <w:rPr>
          <w:rFonts w:hint="eastAsia" w:ascii="仿宋" w:hAnsi="仿宋" w:eastAsia="仿宋" w:cs="仿宋"/>
          <w:b/>
          <w:color w:val="auto"/>
          <w:kern w:val="0"/>
          <w:sz w:val="28"/>
          <w:szCs w:val="28"/>
          <w:lang w:val="zh-CN"/>
        </w:rPr>
        <w:t>共同编制</w:t>
      </w:r>
    </w:p>
    <w:p>
      <w:pPr>
        <w:spacing w:line="360" w:lineRule="auto"/>
        <w:jc w:val="center"/>
        <w:rPr>
          <w:rFonts w:ascii="仿宋" w:hAnsi="仿宋" w:eastAsia="仿宋" w:cs="仿宋"/>
          <w:b/>
          <w:color w:val="auto"/>
          <w:kern w:val="0"/>
          <w:sz w:val="28"/>
          <w:szCs w:val="28"/>
          <w:lang w:val="zh-CN"/>
        </w:rPr>
        <w:sectPr>
          <w:headerReference r:id="rId5" w:type="first"/>
          <w:headerReference r:id="rId3" w:type="default"/>
          <w:footerReference r:id="rId6" w:type="default"/>
          <w:headerReference r:id="rId4" w:type="even"/>
          <w:footerReference r:id="rId7" w:type="even"/>
          <w:pgSz w:w="11906" w:h="16840"/>
          <w:pgMar w:top="1440" w:right="1797" w:bottom="1440" w:left="1797" w:header="851" w:footer="992" w:gutter="0"/>
          <w:pgNumType w:fmt="numberInDash"/>
          <w:cols w:space="720" w:num="1"/>
          <w:titlePg/>
          <w:docGrid w:type="linesAndChars" w:linePitch="312" w:charSpace="0"/>
        </w:sectPr>
      </w:pPr>
      <w:r>
        <w:rPr>
          <w:rFonts w:hint="eastAsia" w:ascii="仿宋" w:hAnsi="仿宋" w:eastAsia="仿宋" w:cs="仿宋"/>
          <w:b/>
          <w:color w:val="auto"/>
          <w:kern w:val="0"/>
          <w:sz w:val="28"/>
          <w:szCs w:val="28"/>
          <w:lang w:val="zh-CN"/>
        </w:rPr>
        <w:t>二〇二一年</w:t>
      </w:r>
      <w:r>
        <w:rPr>
          <w:rFonts w:hint="eastAsia" w:ascii="仿宋" w:hAnsi="仿宋" w:eastAsia="仿宋" w:cs="仿宋"/>
          <w:b/>
          <w:color w:val="auto"/>
          <w:kern w:val="0"/>
          <w:sz w:val="28"/>
          <w:szCs w:val="28"/>
          <w:lang w:val="en-US" w:eastAsia="zh-CN"/>
        </w:rPr>
        <w:t>七</w:t>
      </w:r>
      <w:r>
        <w:rPr>
          <w:rFonts w:hint="eastAsia" w:ascii="仿宋" w:hAnsi="仿宋" w:eastAsia="仿宋" w:cs="仿宋"/>
          <w:b/>
          <w:color w:val="auto"/>
          <w:kern w:val="0"/>
          <w:sz w:val="28"/>
          <w:szCs w:val="28"/>
          <w:lang w:val="zh-CN"/>
        </w:rPr>
        <w:t>月</w:t>
      </w:r>
    </w:p>
    <w:p>
      <w:pPr>
        <w:tabs>
          <w:tab w:val="left" w:pos="7665"/>
        </w:tabs>
        <w:spacing w:line="360" w:lineRule="auto"/>
        <w:ind w:firstLine="480" w:firstLineChars="200"/>
        <w:jc w:val="center"/>
        <w:rPr>
          <w:rFonts w:ascii="仿宋" w:hAnsi="仿宋" w:eastAsia="仿宋" w:cs="仿宋"/>
          <w:color w:val="auto"/>
          <w:sz w:val="24"/>
        </w:rPr>
      </w:pPr>
      <w:bookmarkStart w:id="0" w:name="_Hlt101233737"/>
      <w:bookmarkEnd w:id="0"/>
      <w:bookmarkStart w:id="1" w:name="_Hlt101843627"/>
      <w:bookmarkEnd w:id="1"/>
      <w:r>
        <w:rPr>
          <w:rFonts w:hint="eastAsia" w:ascii="仿宋" w:hAnsi="仿宋" w:eastAsia="仿宋" w:cs="仿宋"/>
          <w:color w:val="auto"/>
          <w:sz w:val="24"/>
        </w:rPr>
        <w:t>目    录</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TOC \o "1-1" \h \z \u </w:instrText>
      </w:r>
      <w:r>
        <w:rPr>
          <w:rFonts w:hint="eastAsia" w:ascii="仿宋" w:hAnsi="仿宋" w:eastAsia="仿宋" w:cs="仿宋"/>
          <w:color w:val="auto"/>
          <w:sz w:val="24"/>
        </w:rPr>
        <w:fldChar w:fldCharType="separate"/>
      </w:r>
      <w:r>
        <w:rPr>
          <w:color w:val="auto"/>
        </w:rPr>
        <w:fldChar w:fldCharType="begin"/>
      </w:r>
      <w:r>
        <w:rPr>
          <w:color w:val="auto"/>
        </w:rPr>
        <w:instrText xml:space="preserve"> HYPERLINK \l "_Toc508714401" </w:instrText>
      </w:r>
      <w:r>
        <w:rPr>
          <w:color w:val="auto"/>
        </w:rPr>
        <w:fldChar w:fldCharType="separate"/>
      </w:r>
      <w:r>
        <w:rPr>
          <w:rFonts w:hint="eastAsia" w:ascii="仿宋" w:hAnsi="仿宋" w:eastAsia="仿宋" w:cs="仿宋"/>
          <w:color w:val="auto"/>
          <w:sz w:val="24"/>
        </w:rPr>
        <w:t>第一章  磋商邀请</w:t>
      </w:r>
      <w:r>
        <w:rPr>
          <w:rFonts w:hint="eastAsia" w:ascii="仿宋" w:hAnsi="仿宋" w:eastAsia="仿宋" w:cs="仿宋"/>
          <w:color w:val="auto"/>
          <w:sz w:val="24"/>
        </w:rPr>
        <w:tab/>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PAGEREF _Toc508714401 \h </w:instrText>
      </w:r>
      <w:r>
        <w:rPr>
          <w:rFonts w:hint="eastAsia" w:ascii="仿宋" w:hAnsi="仿宋" w:eastAsia="仿宋" w:cs="仿宋"/>
          <w:color w:val="auto"/>
          <w:sz w:val="24"/>
        </w:rPr>
        <w:fldChar w:fldCharType="separate"/>
      </w:r>
      <w:r>
        <w:rPr>
          <w:rFonts w:hint="eastAsia" w:ascii="仿宋" w:hAnsi="仿宋" w:eastAsia="仿宋" w:cs="仿宋"/>
          <w:color w:val="auto"/>
          <w:sz w:val="24"/>
        </w:rPr>
        <w:t>2</w:t>
      </w:r>
      <w:r>
        <w:rPr>
          <w:rFonts w:hint="eastAsia" w:ascii="仿宋" w:hAnsi="仿宋" w:eastAsia="仿宋" w:cs="仿宋"/>
          <w:color w:val="auto"/>
          <w:sz w:val="24"/>
        </w:rPr>
        <w:fldChar w:fldCharType="end"/>
      </w:r>
      <w:r>
        <w:rPr>
          <w:rFonts w:hint="eastAsia" w:ascii="仿宋" w:hAnsi="仿宋" w:eastAsia="仿宋" w:cs="仿宋"/>
          <w:color w:val="auto"/>
          <w:sz w:val="24"/>
        </w:rPr>
        <w:fldChar w:fldCharType="end"/>
      </w:r>
    </w:p>
    <w:p>
      <w:pPr>
        <w:tabs>
          <w:tab w:val="left" w:pos="7665"/>
        </w:tabs>
        <w:spacing w:line="360" w:lineRule="auto"/>
        <w:ind w:firstLine="420" w:firstLineChars="200"/>
        <w:rPr>
          <w:rFonts w:ascii="仿宋" w:hAnsi="仿宋" w:eastAsia="仿宋" w:cs="仿宋"/>
          <w:color w:val="auto"/>
          <w:sz w:val="24"/>
        </w:rPr>
      </w:pPr>
      <w:r>
        <w:rPr>
          <w:color w:val="auto"/>
        </w:rPr>
        <w:fldChar w:fldCharType="begin"/>
      </w:r>
      <w:r>
        <w:rPr>
          <w:color w:val="auto"/>
        </w:rPr>
        <w:instrText xml:space="preserve"> HYPERLINK \l "_Toc508714402" </w:instrText>
      </w:r>
      <w:r>
        <w:rPr>
          <w:color w:val="auto"/>
        </w:rPr>
        <w:fldChar w:fldCharType="separate"/>
      </w:r>
      <w:r>
        <w:rPr>
          <w:rFonts w:hint="eastAsia" w:ascii="仿宋" w:hAnsi="仿宋" w:eastAsia="仿宋" w:cs="仿宋"/>
          <w:color w:val="auto"/>
          <w:sz w:val="24"/>
        </w:rPr>
        <w:t>第二章  磋商须知</w:t>
      </w:r>
      <w:r>
        <w:rPr>
          <w:rFonts w:hint="eastAsia" w:ascii="仿宋" w:hAnsi="仿宋" w:eastAsia="仿宋" w:cs="仿宋"/>
          <w:color w:val="auto"/>
          <w:sz w:val="24"/>
        </w:rPr>
        <w:tab/>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PAGEREF _Toc508714402 \h </w:instrText>
      </w:r>
      <w:r>
        <w:rPr>
          <w:rFonts w:hint="eastAsia" w:ascii="仿宋" w:hAnsi="仿宋" w:eastAsia="仿宋" w:cs="仿宋"/>
          <w:color w:val="auto"/>
          <w:sz w:val="24"/>
        </w:rPr>
        <w:fldChar w:fldCharType="separate"/>
      </w:r>
      <w:r>
        <w:rPr>
          <w:rFonts w:hint="eastAsia" w:ascii="仿宋" w:hAnsi="仿宋" w:eastAsia="仿宋" w:cs="仿宋"/>
          <w:color w:val="auto"/>
          <w:sz w:val="24"/>
        </w:rPr>
        <w:t>5</w:t>
      </w:r>
      <w:r>
        <w:rPr>
          <w:rFonts w:hint="eastAsia" w:ascii="仿宋" w:hAnsi="仿宋" w:eastAsia="仿宋" w:cs="仿宋"/>
          <w:color w:val="auto"/>
          <w:sz w:val="24"/>
        </w:rPr>
        <w:fldChar w:fldCharType="end"/>
      </w:r>
      <w:r>
        <w:rPr>
          <w:rFonts w:hint="eastAsia" w:ascii="仿宋" w:hAnsi="仿宋" w:eastAsia="仿宋" w:cs="仿宋"/>
          <w:color w:val="auto"/>
          <w:sz w:val="24"/>
        </w:rPr>
        <w:fldChar w:fldCharType="end"/>
      </w:r>
    </w:p>
    <w:p>
      <w:pPr>
        <w:tabs>
          <w:tab w:val="left" w:pos="7665"/>
        </w:tabs>
        <w:spacing w:line="360" w:lineRule="auto"/>
        <w:ind w:firstLine="420" w:firstLineChars="200"/>
        <w:rPr>
          <w:rFonts w:ascii="仿宋" w:hAnsi="仿宋" w:eastAsia="仿宋" w:cs="仿宋"/>
          <w:color w:val="auto"/>
          <w:sz w:val="24"/>
        </w:rPr>
      </w:pPr>
      <w:r>
        <w:rPr>
          <w:color w:val="auto"/>
        </w:rPr>
        <w:fldChar w:fldCharType="begin"/>
      </w:r>
      <w:r>
        <w:rPr>
          <w:color w:val="auto"/>
        </w:rPr>
        <w:instrText xml:space="preserve"> HYPERLINK \l "_Toc508714403" </w:instrText>
      </w:r>
      <w:r>
        <w:rPr>
          <w:color w:val="auto"/>
        </w:rPr>
        <w:fldChar w:fldCharType="separate"/>
      </w:r>
      <w:r>
        <w:rPr>
          <w:rFonts w:hint="eastAsia" w:ascii="仿宋" w:hAnsi="仿宋" w:eastAsia="仿宋" w:cs="仿宋"/>
          <w:color w:val="auto"/>
          <w:sz w:val="24"/>
        </w:rPr>
        <w:t>第三章  供应商资格</w:t>
      </w:r>
      <w:bookmarkStart w:id="2" w:name="_Hlt517265517"/>
      <w:bookmarkStart w:id="3" w:name="_Hlt517265516"/>
      <w:bookmarkStart w:id="4" w:name="_Hlt18662271"/>
      <w:bookmarkStart w:id="5" w:name="_Hlt18662270"/>
      <w:r>
        <w:rPr>
          <w:rFonts w:hint="eastAsia" w:ascii="仿宋" w:hAnsi="仿宋" w:eastAsia="仿宋" w:cs="仿宋"/>
          <w:color w:val="auto"/>
          <w:sz w:val="24"/>
        </w:rPr>
        <w:t>条</w:t>
      </w:r>
      <w:bookmarkEnd w:id="2"/>
      <w:bookmarkEnd w:id="3"/>
      <w:bookmarkEnd w:id="4"/>
      <w:bookmarkEnd w:id="5"/>
      <w:bookmarkStart w:id="6" w:name="_Hlt5010972"/>
      <w:bookmarkStart w:id="7" w:name="_Hlt5010971"/>
      <w:r>
        <w:rPr>
          <w:rFonts w:hint="eastAsia" w:ascii="仿宋" w:hAnsi="仿宋" w:eastAsia="仿宋" w:cs="仿宋"/>
          <w:color w:val="auto"/>
          <w:sz w:val="24"/>
        </w:rPr>
        <w:t>件</w:t>
      </w:r>
      <w:bookmarkEnd w:id="6"/>
      <w:bookmarkEnd w:id="7"/>
      <w:r>
        <w:rPr>
          <w:rFonts w:hint="eastAsia" w:ascii="仿宋" w:hAnsi="仿宋" w:eastAsia="仿宋" w:cs="仿宋"/>
          <w:color w:val="auto"/>
          <w:sz w:val="24"/>
        </w:rPr>
        <w:t>要求</w:t>
      </w:r>
      <w:r>
        <w:rPr>
          <w:rFonts w:hint="eastAsia" w:ascii="仿宋" w:hAnsi="仿宋" w:eastAsia="仿宋" w:cs="仿宋"/>
          <w:color w:val="auto"/>
          <w:sz w:val="24"/>
        </w:rPr>
        <w:tab/>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PAGEREF _Toc508714403 \h </w:instrText>
      </w:r>
      <w:r>
        <w:rPr>
          <w:rFonts w:hint="eastAsia" w:ascii="仿宋" w:hAnsi="仿宋" w:eastAsia="仿宋" w:cs="仿宋"/>
          <w:color w:val="auto"/>
          <w:sz w:val="24"/>
        </w:rPr>
        <w:fldChar w:fldCharType="separate"/>
      </w:r>
      <w:r>
        <w:rPr>
          <w:rFonts w:hint="eastAsia" w:ascii="仿宋" w:hAnsi="仿宋" w:eastAsia="仿宋" w:cs="仿宋"/>
          <w:color w:val="auto"/>
          <w:sz w:val="24"/>
        </w:rPr>
        <w:t>22</w:t>
      </w:r>
      <w:r>
        <w:rPr>
          <w:rFonts w:hint="eastAsia" w:ascii="仿宋" w:hAnsi="仿宋" w:eastAsia="仿宋" w:cs="仿宋"/>
          <w:color w:val="auto"/>
          <w:sz w:val="24"/>
        </w:rPr>
        <w:fldChar w:fldCharType="end"/>
      </w:r>
      <w:r>
        <w:rPr>
          <w:rFonts w:hint="eastAsia" w:ascii="仿宋" w:hAnsi="仿宋" w:eastAsia="仿宋" w:cs="仿宋"/>
          <w:color w:val="auto"/>
          <w:sz w:val="24"/>
        </w:rPr>
        <w:fldChar w:fldCharType="end"/>
      </w:r>
    </w:p>
    <w:p>
      <w:pPr>
        <w:tabs>
          <w:tab w:val="left" w:pos="7665"/>
        </w:tabs>
        <w:spacing w:line="360" w:lineRule="auto"/>
        <w:ind w:firstLine="420" w:firstLineChars="200"/>
        <w:rPr>
          <w:rFonts w:ascii="仿宋" w:hAnsi="仿宋" w:eastAsia="仿宋" w:cs="仿宋"/>
          <w:color w:val="auto"/>
          <w:sz w:val="24"/>
        </w:rPr>
      </w:pPr>
      <w:r>
        <w:rPr>
          <w:color w:val="auto"/>
        </w:rPr>
        <w:fldChar w:fldCharType="begin"/>
      </w:r>
      <w:r>
        <w:rPr>
          <w:color w:val="auto"/>
        </w:rPr>
        <w:instrText xml:space="preserve"> HYPERLINK \l "_Toc508714404" </w:instrText>
      </w:r>
      <w:r>
        <w:rPr>
          <w:color w:val="auto"/>
        </w:rPr>
        <w:fldChar w:fldCharType="separate"/>
      </w:r>
      <w:r>
        <w:rPr>
          <w:rFonts w:hint="eastAsia" w:ascii="仿宋" w:hAnsi="仿宋" w:eastAsia="仿宋" w:cs="仿宋"/>
          <w:color w:val="auto"/>
          <w:sz w:val="24"/>
        </w:rPr>
        <w:t>第四章  供应商资格</w:t>
      </w:r>
      <w:bookmarkStart w:id="8" w:name="_Hlt9504687"/>
      <w:bookmarkStart w:id="9" w:name="_Hlt9504688"/>
      <w:r>
        <w:rPr>
          <w:rFonts w:hint="eastAsia" w:ascii="仿宋" w:hAnsi="仿宋" w:eastAsia="仿宋" w:cs="仿宋"/>
          <w:color w:val="auto"/>
          <w:sz w:val="24"/>
        </w:rPr>
        <w:t>证</w:t>
      </w:r>
      <w:bookmarkEnd w:id="8"/>
      <w:bookmarkEnd w:id="9"/>
      <w:r>
        <w:rPr>
          <w:rFonts w:hint="eastAsia" w:ascii="仿宋" w:hAnsi="仿宋" w:eastAsia="仿宋" w:cs="仿宋"/>
          <w:color w:val="auto"/>
          <w:sz w:val="24"/>
        </w:rPr>
        <w:t>明材料</w:t>
      </w:r>
      <w:r>
        <w:rPr>
          <w:rFonts w:hint="eastAsia" w:ascii="仿宋" w:hAnsi="仿宋" w:eastAsia="仿宋" w:cs="仿宋"/>
          <w:color w:val="auto"/>
          <w:sz w:val="24"/>
        </w:rPr>
        <w:tab/>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PAGEREF _Toc508714404 \h </w:instrText>
      </w:r>
      <w:r>
        <w:rPr>
          <w:rFonts w:hint="eastAsia" w:ascii="仿宋" w:hAnsi="仿宋" w:eastAsia="仿宋" w:cs="仿宋"/>
          <w:color w:val="auto"/>
          <w:sz w:val="24"/>
        </w:rPr>
        <w:fldChar w:fldCharType="separate"/>
      </w:r>
      <w:r>
        <w:rPr>
          <w:rFonts w:hint="eastAsia" w:ascii="仿宋" w:hAnsi="仿宋" w:eastAsia="仿宋" w:cs="仿宋"/>
          <w:color w:val="auto"/>
          <w:sz w:val="24"/>
        </w:rPr>
        <w:t>24</w:t>
      </w:r>
      <w:r>
        <w:rPr>
          <w:rFonts w:hint="eastAsia" w:ascii="仿宋" w:hAnsi="仿宋" w:eastAsia="仿宋" w:cs="仿宋"/>
          <w:color w:val="auto"/>
          <w:sz w:val="24"/>
        </w:rPr>
        <w:fldChar w:fldCharType="end"/>
      </w:r>
      <w:r>
        <w:rPr>
          <w:rFonts w:hint="eastAsia" w:ascii="仿宋" w:hAnsi="仿宋" w:eastAsia="仿宋" w:cs="仿宋"/>
          <w:color w:val="auto"/>
          <w:sz w:val="24"/>
        </w:rPr>
        <w:fldChar w:fldCharType="end"/>
      </w:r>
    </w:p>
    <w:p>
      <w:pPr>
        <w:tabs>
          <w:tab w:val="left" w:pos="7665"/>
        </w:tabs>
        <w:spacing w:line="360" w:lineRule="auto"/>
        <w:ind w:firstLine="420" w:firstLineChars="200"/>
        <w:rPr>
          <w:rFonts w:ascii="仿宋" w:hAnsi="仿宋" w:eastAsia="仿宋" w:cs="仿宋"/>
          <w:color w:val="auto"/>
          <w:sz w:val="24"/>
        </w:rPr>
      </w:pPr>
      <w:r>
        <w:rPr>
          <w:color w:val="auto"/>
        </w:rPr>
        <w:fldChar w:fldCharType="begin"/>
      </w:r>
      <w:r>
        <w:rPr>
          <w:color w:val="auto"/>
        </w:rPr>
        <w:instrText xml:space="preserve"> HYPERLINK \l "_Toc508714405" </w:instrText>
      </w:r>
      <w:r>
        <w:rPr>
          <w:color w:val="auto"/>
        </w:rPr>
        <w:fldChar w:fldCharType="separate"/>
      </w:r>
      <w:r>
        <w:rPr>
          <w:rFonts w:hint="eastAsia" w:ascii="仿宋" w:hAnsi="仿宋" w:eastAsia="仿宋" w:cs="仿宋"/>
          <w:color w:val="auto"/>
          <w:sz w:val="24"/>
        </w:rPr>
        <w:t>第五章  采购项目技术、服务、政府采购合同内容条款及其他商务要求</w:t>
      </w:r>
      <w:r>
        <w:rPr>
          <w:rFonts w:hint="eastAsia" w:ascii="仿宋" w:hAnsi="仿宋" w:eastAsia="仿宋" w:cs="仿宋"/>
          <w:color w:val="auto"/>
          <w:sz w:val="24"/>
        </w:rPr>
        <w:tab/>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PAGEREF _Toc508714405 \h </w:instrText>
      </w:r>
      <w:r>
        <w:rPr>
          <w:rFonts w:hint="eastAsia" w:ascii="仿宋" w:hAnsi="仿宋" w:eastAsia="仿宋" w:cs="仿宋"/>
          <w:color w:val="auto"/>
          <w:sz w:val="24"/>
        </w:rPr>
        <w:fldChar w:fldCharType="separate"/>
      </w:r>
      <w:r>
        <w:rPr>
          <w:rFonts w:hint="eastAsia" w:ascii="仿宋" w:hAnsi="仿宋" w:eastAsia="仿宋" w:cs="仿宋"/>
          <w:color w:val="auto"/>
          <w:sz w:val="24"/>
        </w:rPr>
        <w:t>26</w:t>
      </w:r>
      <w:r>
        <w:rPr>
          <w:rFonts w:hint="eastAsia" w:ascii="仿宋" w:hAnsi="仿宋" w:eastAsia="仿宋" w:cs="仿宋"/>
          <w:color w:val="auto"/>
          <w:sz w:val="24"/>
        </w:rPr>
        <w:fldChar w:fldCharType="end"/>
      </w:r>
      <w:r>
        <w:rPr>
          <w:rFonts w:hint="eastAsia" w:ascii="仿宋" w:hAnsi="仿宋" w:eastAsia="仿宋" w:cs="仿宋"/>
          <w:color w:val="auto"/>
          <w:sz w:val="24"/>
        </w:rPr>
        <w:fldChar w:fldCharType="end"/>
      </w:r>
    </w:p>
    <w:p>
      <w:pPr>
        <w:tabs>
          <w:tab w:val="left" w:pos="7665"/>
        </w:tabs>
        <w:spacing w:line="360" w:lineRule="auto"/>
        <w:ind w:firstLine="420" w:firstLineChars="200"/>
        <w:rPr>
          <w:rFonts w:ascii="仿宋" w:hAnsi="仿宋" w:eastAsia="仿宋" w:cs="仿宋"/>
          <w:color w:val="auto"/>
          <w:sz w:val="24"/>
        </w:rPr>
      </w:pPr>
      <w:r>
        <w:rPr>
          <w:color w:val="auto"/>
        </w:rPr>
        <w:fldChar w:fldCharType="begin"/>
      </w:r>
      <w:r>
        <w:rPr>
          <w:color w:val="auto"/>
        </w:rPr>
        <w:instrText xml:space="preserve"> HYPERLINK \l "_Toc508714406" </w:instrText>
      </w:r>
      <w:r>
        <w:rPr>
          <w:color w:val="auto"/>
        </w:rPr>
        <w:fldChar w:fldCharType="separate"/>
      </w:r>
      <w:r>
        <w:rPr>
          <w:rFonts w:hint="eastAsia" w:ascii="仿宋" w:hAnsi="仿宋" w:eastAsia="仿宋" w:cs="仿宋"/>
          <w:color w:val="auto"/>
          <w:sz w:val="24"/>
        </w:rPr>
        <w:t>第六章  采购项目实质性要求</w:t>
      </w:r>
      <w:r>
        <w:rPr>
          <w:rFonts w:hint="eastAsia" w:ascii="仿宋" w:hAnsi="仿宋" w:eastAsia="仿宋" w:cs="仿宋"/>
          <w:color w:val="auto"/>
          <w:sz w:val="24"/>
        </w:rPr>
        <w:tab/>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PAGEREF _Toc508714406 \h </w:instrText>
      </w:r>
      <w:r>
        <w:rPr>
          <w:rFonts w:hint="eastAsia" w:ascii="仿宋" w:hAnsi="仿宋" w:eastAsia="仿宋" w:cs="仿宋"/>
          <w:color w:val="auto"/>
          <w:sz w:val="24"/>
        </w:rPr>
        <w:fldChar w:fldCharType="separate"/>
      </w:r>
      <w:r>
        <w:rPr>
          <w:rFonts w:hint="eastAsia" w:ascii="仿宋" w:hAnsi="仿宋" w:eastAsia="仿宋" w:cs="仿宋"/>
          <w:color w:val="auto"/>
          <w:sz w:val="24"/>
        </w:rPr>
        <w:t>35</w:t>
      </w:r>
      <w:r>
        <w:rPr>
          <w:rFonts w:hint="eastAsia" w:ascii="仿宋" w:hAnsi="仿宋" w:eastAsia="仿宋" w:cs="仿宋"/>
          <w:color w:val="auto"/>
          <w:sz w:val="24"/>
        </w:rPr>
        <w:fldChar w:fldCharType="end"/>
      </w:r>
      <w:r>
        <w:rPr>
          <w:rFonts w:hint="eastAsia" w:ascii="仿宋" w:hAnsi="仿宋" w:eastAsia="仿宋" w:cs="仿宋"/>
          <w:color w:val="auto"/>
          <w:sz w:val="24"/>
        </w:rPr>
        <w:fldChar w:fldCharType="end"/>
      </w:r>
    </w:p>
    <w:p>
      <w:pPr>
        <w:tabs>
          <w:tab w:val="left" w:pos="7665"/>
        </w:tabs>
        <w:spacing w:line="360" w:lineRule="auto"/>
        <w:ind w:firstLine="420" w:firstLineChars="200"/>
        <w:rPr>
          <w:rFonts w:ascii="仿宋" w:hAnsi="仿宋" w:eastAsia="仿宋" w:cs="仿宋"/>
          <w:color w:val="auto"/>
          <w:sz w:val="24"/>
        </w:rPr>
      </w:pPr>
      <w:r>
        <w:rPr>
          <w:color w:val="auto"/>
        </w:rPr>
        <w:fldChar w:fldCharType="begin"/>
      </w:r>
      <w:r>
        <w:rPr>
          <w:color w:val="auto"/>
        </w:rPr>
        <w:instrText xml:space="preserve"> HYPERLINK \l "_Toc508714407" </w:instrText>
      </w:r>
      <w:r>
        <w:rPr>
          <w:color w:val="auto"/>
        </w:rPr>
        <w:fldChar w:fldCharType="separate"/>
      </w:r>
      <w:r>
        <w:rPr>
          <w:rFonts w:hint="eastAsia" w:ascii="仿宋" w:hAnsi="仿宋" w:eastAsia="仿宋" w:cs="仿宋"/>
          <w:color w:val="auto"/>
          <w:sz w:val="24"/>
        </w:rPr>
        <w:t>第七章  磋商内容、磋商过程中可实质性变动的内容</w:t>
      </w:r>
      <w:r>
        <w:rPr>
          <w:rFonts w:hint="eastAsia" w:ascii="仿宋" w:hAnsi="仿宋" w:eastAsia="仿宋" w:cs="仿宋"/>
          <w:color w:val="auto"/>
          <w:sz w:val="24"/>
        </w:rPr>
        <w:tab/>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PAGEREF _Toc508714407 \h </w:instrText>
      </w:r>
      <w:r>
        <w:rPr>
          <w:rFonts w:hint="eastAsia" w:ascii="仿宋" w:hAnsi="仿宋" w:eastAsia="仿宋" w:cs="仿宋"/>
          <w:color w:val="auto"/>
          <w:sz w:val="24"/>
        </w:rPr>
        <w:fldChar w:fldCharType="separate"/>
      </w:r>
      <w:r>
        <w:rPr>
          <w:rFonts w:hint="eastAsia" w:ascii="仿宋" w:hAnsi="仿宋" w:eastAsia="仿宋" w:cs="仿宋"/>
          <w:color w:val="auto"/>
          <w:sz w:val="24"/>
        </w:rPr>
        <w:t>36</w:t>
      </w:r>
      <w:r>
        <w:rPr>
          <w:rFonts w:hint="eastAsia" w:ascii="仿宋" w:hAnsi="仿宋" w:eastAsia="仿宋" w:cs="仿宋"/>
          <w:color w:val="auto"/>
          <w:sz w:val="24"/>
        </w:rPr>
        <w:fldChar w:fldCharType="end"/>
      </w:r>
      <w:r>
        <w:rPr>
          <w:rFonts w:hint="eastAsia" w:ascii="仿宋" w:hAnsi="仿宋" w:eastAsia="仿宋" w:cs="仿宋"/>
          <w:color w:val="auto"/>
          <w:sz w:val="24"/>
        </w:rPr>
        <w:fldChar w:fldCharType="end"/>
      </w:r>
    </w:p>
    <w:p>
      <w:pPr>
        <w:tabs>
          <w:tab w:val="left" w:pos="7665"/>
        </w:tabs>
        <w:spacing w:line="360" w:lineRule="auto"/>
        <w:ind w:firstLine="420" w:firstLineChars="200"/>
        <w:rPr>
          <w:rFonts w:ascii="仿宋" w:hAnsi="仿宋" w:eastAsia="仿宋" w:cs="仿宋"/>
          <w:color w:val="auto"/>
          <w:sz w:val="24"/>
        </w:rPr>
      </w:pPr>
      <w:r>
        <w:rPr>
          <w:color w:val="auto"/>
        </w:rPr>
        <w:fldChar w:fldCharType="begin"/>
      </w:r>
      <w:r>
        <w:rPr>
          <w:color w:val="auto"/>
        </w:rPr>
        <w:instrText xml:space="preserve"> HYPERLINK \l "_Toc508714408" </w:instrText>
      </w:r>
      <w:r>
        <w:rPr>
          <w:color w:val="auto"/>
        </w:rPr>
        <w:fldChar w:fldCharType="separate"/>
      </w:r>
      <w:r>
        <w:rPr>
          <w:rFonts w:hint="eastAsia" w:ascii="仿宋" w:hAnsi="仿宋" w:eastAsia="仿宋" w:cs="仿宋"/>
          <w:color w:val="auto"/>
          <w:sz w:val="24"/>
        </w:rPr>
        <w:t>第八章  响应文件格式</w:t>
      </w:r>
      <w:r>
        <w:rPr>
          <w:rFonts w:hint="eastAsia" w:ascii="仿宋" w:hAnsi="仿宋" w:eastAsia="仿宋" w:cs="仿宋"/>
          <w:color w:val="auto"/>
          <w:sz w:val="24"/>
        </w:rPr>
        <w:tab/>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PAGEREF _Toc508714408 \h </w:instrText>
      </w:r>
      <w:r>
        <w:rPr>
          <w:rFonts w:hint="eastAsia" w:ascii="仿宋" w:hAnsi="仿宋" w:eastAsia="仿宋" w:cs="仿宋"/>
          <w:color w:val="auto"/>
          <w:sz w:val="24"/>
        </w:rPr>
        <w:fldChar w:fldCharType="separate"/>
      </w:r>
      <w:r>
        <w:rPr>
          <w:rFonts w:hint="eastAsia" w:ascii="仿宋" w:hAnsi="仿宋" w:eastAsia="仿宋" w:cs="仿宋"/>
          <w:color w:val="auto"/>
          <w:sz w:val="24"/>
        </w:rPr>
        <w:t>37</w:t>
      </w:r>
      <w:r>
        <w:rPr>
          <w:rFonts w:hint="eastAsia" w:ascii="仿宋" w:hAnsi="仿宋" w:eastAsia="仿宋" w:cs="仿宋"/>
          <w:color w:val="auto"/>
          <w:sz w:val="24"/>
        </w:rPr>
        <w:fldChar w:fldCharType="end"/>
      </w:r>
      <w:r>
        <w:rPr>
          <w:rFonts w:hint="eastAsia" w:ascii="仿宋" w:hAnsi="仿宋" w:eastAsia="仿宋" w:cs="仿宋"/>
          <w:color w:val="auto"/>
          <w:sz w:val="24"/>
        </w:rPr>
        <w:fldChar w:fldCharType="end"/>
      </w:r>
    </w:p>
    <w:p>
      <w:pPr>
        <w:tabs>
          <w:tab w:val="left" w:pos="7665"/>
        </w:tabs>
        <w:spacing w:line="360" w:lineRule="auto"/>
        <w:ind w:firstLine="420" w:firstLineChars="200"/>
        <w:rPr>
          <w:rFonts w:ascii="仿宋" w:hAnsi="仿宋" w:eastAsia="仿宋" w:cs="仿宋"/>
          <w:color w:val="auto"/>
          <w:sz w:val="24"/>
        </w:rPr>
      </w:pPr>
      <w:r>
        <w:rPr>
          <w:color w:val="auto"/>
        </w:rPr>
        <w:fldChar w:fldCharType="begin"/>
      </w:r>
      <w:r>
        <w:rPr>
          <w:color w:val="auto"/>
        </w:rPr>
        <w:instrText xml:space="preserve"> HYPERLINK \l "_Toc508714409" </w:instrText>
      </w:r>
      <w:r>
        <w:rPr>
          <w:color w:val="auto"/>
        </w:rPr>
        <w:fldChar w:fldCharType="separate"/>
      </w:r>
      <w:r>
        <w:rPr>
          <w:rFonts w:hint="eastAsia" w:ascii="仿宋" w:hAnsi="仿宋" w:eastAsia="仿宋" w:cs="仿宋"/>
          <w:color w:val="auto"/>
          <w:sz w:val="24"/>
        </w:rPr>
        <w:t>第九章  评审</w:t>
      </w:r>
      <w:bookmarkStart w:id="10" w:name="_Hlt511211004"/>
      <w:bookmarkStart w:id="11" w:name="_Hlt511211005"/>
      <w:r>
        <w:rPr>
          <w:rFonts w:hint="eastAsia" w:ascii="仿宋" w:hAnsi="仿宋" w:eastAsia="仿宋" w:cs="仿宋"/>
          <w:color w:val="auto"/>
          <w:sz w:val="24"/>
        </w:rPr>
        <w:t>方</w:t>
      </w:r>
      <w:bookmarkEnd w:id="10"/>
      <w:bookmarkEnd w:id="11"/>
      <w:r>
        <w:rPr>
          <w:rFonts w:hint="eastAsia" w:ascii="仿宋" w:hAnsi="仿宋" w:eastAsia="仿宋" w:cs="仿宋"/>
          <w:color w:val="auto"/>
          <w:sz w:val="24"/>
        </w:rPr>
        <w:t>法</w:t>
      </w:r>
      <w:r>
        <w:rPr>
          <w:rFonts w:hint="eastAsia" w:ascii="仿宋" w:hAnsi="仿宋" w:eastAsia="仿宋" w:cs="仿宋"/>
          <w:color w:val="auto"/>
          <w:sz w:val="24"/>
        </w:rPr>
        <w:tab/>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PAGEREF _Toc508714409 \h </w:instrText>
      </w:r>
      <w:r>
        <w:rPr>
          <w:rFonts w:hint="eastAsia" w:ascii="仿宋" w:hAnsi="仿宋" w:eastAsia="仿宋" w:cs="仿宋"/>
          <w:color w:val="auto"/>
          <w:sz w:val="24"/>
        </w:rPr>
        <w:fldChar w:fldCharType="separate"/>
      </w:r>
      <w:r>
        <w:rPr>
          <w:rFonts w:hint="eastAsia" w:ascii="仿宋" w:hAnsi="仿宋" w:eastAsia="仿宋" w:cs="仿宋"/>
          <w:color w:val="auto"/>
          <w:sz w:val="24"/>
        </w:rPr>
        <w:t>55</w:t>
      </w:r>
      <w:r>
        <w:rPr>
          <w:rFonts w:hint="eastAsia" w:ascii="仿宋" w:hAnsi="仿宋" w:eastAsia="仿宋" w:cs="仿宋"/>
          <w:color w:val="auto"/>
          <w:sz w:val="24"/>
        </w:rPr>
        <w:fldChar w:fldCharType="end"/>
      </w:r>
      <w:r>
        <w:rPr>
          <w:rFonts w:hint="eastAsia" w:ascii="仿宋" w:hAnsi="仿宋" w:eastAsia="仿宋" w:cs="仿宋"/>
          <w:color w:val="auto"/>
          <w:sz w:val="24"/>
        </w:rPr>
        <w:fldChar w:fldCharType="end"/>
      </w:r>
    </w:p>
    <w:p>
      <w:pPr>
        <w:tabs>
          <w:tab w:val="left" w:pos="7665"/>
        </w:tabs>
        <w:spacing w:line="360" w:lineRule="auto"/>
        <w:ind w:firstLine="420" w:firstLineChars="200"/>
        <w:rPr>
          <w:rFonts w:ascii="仿宋" w:hAnsi="仿宋" w:eastAsia="仿宋" w:cs="仿宋"/>
          <w:color w:val="auto"/>
          <w:sz w:val="24"/>
        </w:rPr>
      </w:pPr>
      <w:r>
        <w:rPr>
          <w:color w:val="auto"/>
        </w:rPr>
        <w:fldChar w:fldCharType="begin"/>
      </w:r>
      <w:r>
        <w:rPr>
          <w:color w:val="auto"/>
        </w:rPr>
        <w:instrText xml:space="preserve"> HYPERLINK \l "_Toc508714410" </w:instrText>
      </w:r>
      <w:r>
        <w:rPr>
          <w:color w:val="auto"/>
        </w:rPr>
        <w:fldChar w:fldCharType="separate"/>
      </w:r>
      <w:r>
        <w:rPr>
          <w:rFonts w:hint="eastAsia" w:ascii="仿宋" w:hAnsi="仿宋" w:eastAsia="仿宋" w:cs="仿宋"/>
          <w:color w:val="auto"/>
          <w:sz w:val="24"/>
        </w:rPr>
        <w:t>第十章  政府采购合同（草案）</w:t>
      </w:r>
      <w:r>
        <w:rPr>
          <w:rFonts w:hint="eastAsia" w:ascii="仿宋" w:hAnsi="仿宋" w:eastAsia="仿宋" w:cs="仿宋"/>
          <w:color w:val="auto"/>
          <w:sz w:val="24"/>
        </w:rPr>
        <w:tab/>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PAGEREF _Toc508714410 \h </w:instrText>
      </w:r>
      <w:r>
        <w:rPr>
          <w:rFonts w:hint="eastAsia" w:ascii="仿宋" w:hAnsi="仿宋" w:eastAsia="仿宋" w:cs="仿宋"/>
          <w:color w:val="auto"/>
          <w:sz w:val="24"/>
        </w:rPr>
        <w:fldChar w:fldCharType="separate"/>
      </w:r>
      <w:r>
        <w:rPr>
          <w:rFonts w:hint="eastAsia" w:ascii="仿宋" w:hAnsi="仿宋" w:eastAsia="仿宋" w:cs="仿宋"/>
          <w:color w:val="auto"/>
          <w:sz w:val="24"/>
        </w:rPr>
        <w:t>66</w:t>
      </w:r>
      <w:r>
        <w:rPr>
          <w:rFonts w:hint="eastAsia" w:ascii="仿宋" w:hAnsi="仿宋" w:eastAsia="仿宋" w:cs="仿宋"/>
          <w:color w:val="auto"/>
          <w:sz w:val="24"/>
        </w:rPr>
        <w:fldChar w:fldCharType="end"/>
      </w:r>
      <w:r>
        <w:rPr>
          <w:rFonts w:hint="eastAsia" w:ascii="仿宋" w:hAnsi="仿宋" w:eastAsia="仿宋" w:cs="仿宋"/>
          <w:color w:val="auto"/>
          <w:sz w:val="24"/>
        </w:rPr>
        <w:fldChar w:fldCharType="end"/>
      </w: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fldChar w:fldCharType="end"/>
      </w: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sectPr>
          <w:footerReference r:id="rId8" w:type="first"/>
          <w:pgSz w:w="11906" w:h="16840"/>
          <w:pgMar w:top="1440" w:right="1797" w:bottom="1440" w:left="1797" w:header="851" w:footer="992" w:gutter="0"/>
          <w:pgNumType w:start="1"/>
          <w:cols w:space="720" w:num="1"/>
          <w:titlePg/>
          <w:docGrid w:type="linesAndChars" w:linePitch="312" w:charSpace="0"/>
        </w:sectPr>
      </w:pPr>
    </w:p>
    <w:p>
      <w:pPr>
        <w:tabs>
          <w:tab w:val="left" w:pos="7665"/>
        </w:tabs>
        <w:spacing w:line="360" w:lineRule="auto"/>
        <w:ind w:firstLine="480" w:firstLineChars="200"/>
        <w:jc w:val="center"/>
        <w:rPr>
          <w:rFonts w:ascii="仿宋" w:hAnsi="仿宋" w:eastAsia="仿宋" w:cs="仿宋"/>
          <w:b/>
          <w:bCs/>
          <w:color w:val="auto"/>
          <w:sz w:val="24"/>
        </w:rPr>
      </w:pPr>
      <w:bookmarkStart w:id="12" w:name="_Toc508714401"/>
      <w:r>
        <w:rPr>
          <w:rFonts w:hint="eastAsia" w:ascii="仿宋" w:hAnsi="仿宋" w:eastAsia="仿宋" w:cs="仿宋"/>
          <w:b/>
          <w:bCs/>
          <w:color w:val="auto"/>
          <w:sz w:val="24"/>
        </w:rPr>
        <w:t>第一章  磋商邀请</w:t>
      </w:r>
      <w:bookmarkEnd w:id="12"/>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u w:val="single"/>
        </w:rPr>
        <w:t>四川尚运晟工程项目管理有限公司</w:t>
      </w:r>
      <w:r>
        <w:rPr>
          <w:rFonts w:hint="eastAsia" w:ascii="仿宋" w:hAnsi="仿宋" w:eastAsia="仿宋" w:cs="仿宋"/>
          <w:color w:val="auto"/>
          <w:sz w:val="24"/>
        </w:rPr>
        <w:t>受</w:t>
      </w:r>
      <w:r>
        <w:rPr>
          <w:rFonts w:hint="eastAsia" w:ascii="仿宋" w:hAnsi="仿宋" w:eastAsia="仿宋" w:cs="仿宋"/>
          <w:color w:val="auto"/>
          <w:sz w:val="24"/>
          <w:u w:val="single"/>
          <w:lang w:eastAsia="zh-CN"/>
        </w:rPr>
        <w:t>成都市金牛区教育科学研究院</w:t>
      </w:r>
      <w:r>
        <w:rPr>
          <w:rFonts w:hint="eastAsia" w:ascii="仿宋" w:hAnsi="仿宋" w:eastAsia="仿宋" w:cs="仿宋"/>
          <w:color w:val="auto"/>
          <w:sz w:val="24"/>
        </w:rPr>
        <w:t>委托，拟对</w:t>
      </w:r>
      <w:r>
        <w:rPr>
          <w:rFonts w:hint="eastAsia" w:ascii="仿宋" w:hAnsi="仿宋" w:eastAsia="仿宋" w:cs="仿宋"/>
          <w:color w:val="auto"/>
          <w:sz w:val="24"/>
          <w:u w:val="single"/>
          <w:lang w:eastAsia="zh-CN"/>
        </w:rPr>
        <w:t>金牛区中小学教师信息技术应用能力提升工程2.0培训采购项目</w:t>
      </w:r>
      <w:r>
        <w:rPr>
          <w:rFonts w:hint="eastAsia" w:ascii="仿宋" w:hAnsi="仿宋" w:eastAsia="仿宋" w:cs="仿宋"/>
          <w:color w:val="auto"/>
          <w:sz w:val="24"/>
        </w:rPr>
        <w:t>采用竞争性磋商方式进行采购，特邀请符合本次采购要求的供应商参加本项目的竞争性磋商。</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一、采购项目基本情况</w:t>
      </w:r>
    </w:p>
    <w:p>
      <w:pPr>
        <w:tabs>
          <w:tab w:val="left" w:pos="7665"/>
        </w:tabs>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1.项目编号：510106202100100</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2.采购项目名称：</w:t>
      </w:r>
      <w:r>
        <w:rPr>
          <w:rFonts w:hint="eastAsia" w:ascii="仿宋" w:hAnsi="仿宋" w:eastAsia="仿宋" w:cs="仿宋"/>
          <w:color w:val="auto"/>
          <w:sz w:val="24"/>
          <w:u w:val="single"/>
          <w:lang w:eastAsia="zh-CN"/>
        </w:rPr>
        <w:t>金牛区中小学教师信息技术应用能力提升工程2.0培训采购项目</w:t>
      </w:r>
      <w:r>
        <w:rPr>
          <w:rFonts w:hint="eastAsia" w:ascii="仿宋" w:hAnsi="仿宋" w:eastAsia="仿宋" w:cs="仿宋"/>
          <w:color w:val="auto"/>
          <w:sz w:val="24"/>
        </w:rPr>
        <w:t>。</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3.采购人：</w:t>
      </w:r>
      <w:r>
        <w:rPr>
          <w:rFonts w:hint="eastAsia" w:ascii="仿宋" w:hAnsi="仿宋" w:eastAsia="仿宋" w:cs="仿宋"/>
          <w:color w:val="auto"/>
          <w:sz w:val="24"/>
          <w:u w:val="single"/>
          <w:lang w:eastAsia="zh-CN"/>
        </w:rPr>
        <w:t>成都市金牛区教育科学研究院</w:t>
      </w:r>
      <w:r>
        <w:rPr>
          <w:rFonts w:hint="eastAsia" w:ascii="仿宋" w:hAnsi="仿宋" w:eastAsia="仿宋" w:cs="仿宋"/>
          <w:color w:val="auto"/>
          <w:sz w:val="24"/>
        </w:rPr>
        <w:t>。</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4.采购代理机构：</w:t>
      </w:r>
      <w:r>
        <w:rPr>
          <w:rFonts w:hint="eastAsia" w:ascii="仿宋" w:hAnsi="仿宋" w:eastAsia="仿宋" w:cs="仿宋"/>
          <w:color w:val="auto"/>
          <w:sz w:val="24"/>
          <w:u w:val="single"/>
        </w:rPr>
        <w:t>四川尚运晟工程项目管理有限公司</w:t>
      </w:r>
      <w:r>
        <w:rPr>
          <w:rFonts w:hint="eastAsia" w:ascii="仿宋" w:hAnsi="仿宋" w:eastAsia="仿宋" w:cs="仿宋"/>
          <w:color w:val="auto"/>
          <w:sz w:val="24"/>
        </w:rPr>
        <w:t>。</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二、资金情况</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资金来源及金额：</w:t>
      </w:r>
      <w:r>
        <w:rPr>
          <w:rFonts w:hint="eastAsia" w:ascii="仿宋" w:hAnsi="仿宋" w:eastAsia="仿宋" w:cs="仿宋"/>
          <w:color w:val="auto"/>
          <w:sz w:val="24"/>
          <w:lang w:val="en-US" w:eastAsia="zh-CN"/>
        </w:rPr>
        <w:t>财政资金，教师培训专项经费</w:t>
      </w:r>
      <w:r>
        <w:rPr>
          <w:rFonts w:hint="eastAsia" w:ascii="仿宋" w:hAnsi="仿宋" w:eastAsia="仿宋" w:cs="仿宋"/>
          <w:color w:val="auto"/>
          <w:sz w:val="24"/>
        </w:rPr>
        <w:t>，已落实</w:t>
      </w:r>
      <w:r>
        <w:rPr>
          <w:rFonts w:hint="eastAsia" w:ascii="仿宋" w:hAnsi="仿宋" w:eastAsia="仿宋" w:cs="仿宋"/>
          <w:color w:val="auto"/>
          <w:sz w:val="24"/>
          <w:u w:val="single"/>
          <w:lang w:val="en-US" w:eastAsia="zh-CN"/>
        </w:rPr>
        <w:t>187.5</w:t>
      </w:r>
      <w:r>
        <w:rPr>
          <w:rFonts w:hint="eastAsia" w:ascii="仿宋" w:hAnsi="仿宋" w:eastAsia="仿宋" w:cs="仿宋"/>
          <w:color w:val="auto"/>
          <w:sz w:val="24"/>
          <w:u w:val="single"/>
        </w:rPr>
        <w:t>万元</w:t>
      </w:r>
      <w:r>
        <w:rPr>
          <w:rFonts w:hint="eastAsia" w:ascii="仿宋" w:hAnsi="仿宋" w:eastAsia="仿宋" w:cs="仿宋"/>
          <w:color w:val="auto"/>
          <w:sz w:val="24"/>
        </w:rPr>
        <w:t>。</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三、采购项目简介：</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u w:val="single"/>
          <w:lang w:eastAsia="zh-CN"/>
        </w:rPr>
        <w:t>金牛区中小学教师信息技术应用能力提升工程2.0培训采购项目</w:t>
      </w:r>
      <w:r>
        <w:rPr>
          <w:rFonts w:hint="eastAsia" w:ascii="仿宋" w:hAnsi="仿宋" w:eastAsia="仿宋" w:cs="仿宋"/>
          <w:color w:val="auto"/>
          <w:sz w:val="24"/>
        </w:rPr>
        <w:t>，详见磋商文件第五章。</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四、供应商邀请方式</w:t>
      </w:r>
    </w:p>
    <w:p>
      <w:pPr>
        <w:tabs>
          <w:tab w:val="left" w:pos="7665"/>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公告方式：本次竞争性磋商邀请在四川政府采购网上以公告形式发布。</w:t>
      </w:r>
    </w:p>
    <w:p>
      <w:pPr>
        <w:tabs>
          <w:tab w:val="left" w:pos="7665"/>
        </w:tabs>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none"/>
        </w:rPr>
        <w:t>五、供应商参加本次政府采购活动应具备下列条件</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2.具有良好的商业信誉和健全的财务会计制度；</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4.具有依法缴纳税收和社会保障资金的良好记录；</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5.参加本次政府采购活动前三年内，在经营活动中没有重大违法记录；</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6.法律、行政法规规定的其他条件：无；</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7.采购人根据采购项目提出的特殊条件：</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（1）按竞争性磋商文件要求报名成功；</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根据《关于在政府采购活动中查询及使用信用记录有关问题的通知》（财库〔2016〕125号）的要求，采购代理机构将通过“信用中国”网站（www.creditchina.gov.cn）、“中国政府采购网”网站（www.ccgp.gov.cn）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以联合体形式参加本项目采购活动，联合体成员存在不良信用记录的，视同联合体存在不良信用记录）。</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b/>
          <w:bCs/>
          <w:color w:val="auto"/>
          <w:sz w:val="24"/>
        </w:rPr>
        <w:t>六、本项目不接受联合体参与采购活动</w:t>
      </w:r>
      <w:r>
        <w:rPr>
          <w:rFonts w:hint="eastAsia" w:ascii="仿宋" w:hAnsi="仿宋" w:eastAsia="仿宋" w:cs="仿宋"/>
          <w:color w:val="auto"/>
          <w:sz w:val="24"/>
        </w:rPr>
        <w:t>。</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七、磋商文件获取方式、时间、地点：</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磋商文件自</w:t>
      </w:r>
      <w:r>
        <w:rPr>
          <w:rFonts w:hint="eastAsia" w:ascii="仿宋" w:hAnsi="仿宋" w:eastAsia="仿宋" w:cs="仿宋"/>
          <w:color w:val="auto"/>
          <w:sz w:val="24"/>
          <w:u w:val="single"/>
        </w:rPr>
        <w:t xml:space="preserve">2021年 </w:t>
      </w:r>
      <w:r>
        <w:rPr>
          <w:rFonts w:hint="eastAsia" w:ascii="仿宋" w:hAnsi="仿宋" w:eastAsia="仿宋" w:cs="仿宋"/>
          <w:color w:val="auto"/>
          <w:sz w:val="24"/>
          <w:u w:val="single"/>
          <w:lang w:val="en-US" w:eastAsia="zh-CN"/>
        </w:rPr>
        <w:t>8</w:t>
      </w:r>
      <w:r>
        <w:rPr>
          <w:rFonts w:hint="eastAsia" w:ascii="仿宋" w:hAnsi="仿宋" w:eastAsia="仿宋" w:cs="仿宋"/>
          <w:color w:val="auto"/>
          <w:sz w:val="24"/>
          <w:u w:val="single"/>
        </w:rPr>
        <w:t xml:space="preserve">月 </w:t>
      </w:r>
      <w:r>
        <w:rPr>
          <w:rFonts w:hint="eastAsia" w:ascii="仿宋" w:hAnsi="仿宋" w:eastAsia="仿宋" w:cs="仿宋"/>
          <w:color w:val="auto"/>
          <w:sz w:val="24"/>
          <w:u w:val="single"/>
          <w:lang w:val="en-US" w:eastAsia="zh-CN"/>
        </w:rPr>
        <w:t>31</w:t>
      </w:r>
      <w:r>
        <w:rPr>
          <w:rFonts w:hint="eastAsia" w:ascii="仿宋" w:hAnsi="仿宋" w:eastAsia="仿宋" w:cs="仿宋"/>
          <w:color w:val="auto"/>
          <w:sz w:val="24"/>
          <w:u w:val="single"/>
        </w:rPr>
        <w:t xml:space="preserve"> 日至2021年 </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 xml:space="preserve"> 月</w:t>
      </w:r>
      <w:r>
        <w:rPr>
          <w:rFonts w:hint="eastAsia" w:ascii="仿宋" w:hAnsi="仿宋" w:eastAsia="仿宋" w:cs="仿宋"/>
          <w:color w:val="auto"/>
          <w:sz w:val="24"/>
          <w:u w:val="single"/>
          <w:lang w:val="en-US" w:eastAsia="zh-CN"/>
        </w:rPr>
        <w:t>6</w:t>
      </w:r>
      <w:r>
        <w:rPr>
          <w:rFonts w:hint="eastAsia" w:ascii="仿宋" w:hAnsi="仿宋" w:eastAsia="仿宋" w:cs="仿宋"/>
          <w:color w:val="auto"/>
          <w:sz w:val="24"/>
          <w:u w:val="single"/>
        </w:rPr>
        <w:t>日</w:t>
      </w:r>
      <w:r>
        <w:rPr>
          <w:rFonts w:hint="eastAsia" w:ascii="仿宋" w:hAnsi="仿宋" w:eastAsia="仿宋" w:cs="仿宋"/>
          <w:color w:val="auto"/>
          <w:sz w:val="24"/>
        </w:rPr>
        <w:t>9:00-17:00（北京时间，法定节假日除外）在</w:t>
      </w:r>
      <w:r>
        <w:rPr>
          <w:rFonts w:hint="eastAsia" w:ascii="仿宋" w:hAnsi="仿宋" w:eastAsia="仿宋" w:cs="仿宋"/>
          <w:color w:val="auto"/>
          <w:sz w:val="24"/>
          <w:u w:val="single"/>
        </w:rPr>
        <w:t>成都市青羊区光华东三路489号2栋1002（四川尚运晟工程项目管理有限公司）</w:t>
      </w:r>
      <w:r>
        <w:rPr>
          <w:rFonts w:hint="eastAsia" w:ascii="仿宋" w:hAnsi="仿宋" w:eastAsia="仿宋" w:cs="仿宋"/>
          <w:color w:val="auto"/>
          <w:sz w:val="24"/>
        </w:rPr>
        <w:t>获取。</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本项目磋商文件</w:t>
      </w:r>
      <w:r>
        <w:rPr>
          <w:rFonts w:hint="eastAsia" w:ascii="仿宋" w:hAnsi="仿宋" w:eastAsia="仿宋" w:cs="仿宋"/>
          <w:color w:val="auto"/>
          <w:sz w:val="24"/>
          <w:lang w:eastAsia="zh-CN"/>
        </w:rPr>
        <w:t>无</w:t>
      </w:r>
      <w:r>
        <w:rPr>
          <w:rFonts w:hint="eastAsia" w:ascii="仿宋" w:hAnsi="仿宋" w:eastAsia="仿宋" w:cs="仿宋"/>
          <w:color w:val="auto"/>
          <w:sz w:val="24"/>
        </w:rPr>
        <w:t>偿获取。获取磋商文件时，经办人员</w:t>
      </w:r>
      <w:r>
        <w:rPr>
          <w:rFonts w:hint="eastAsia" w:ascii="仿宋" w:hAnsi="仿宋" w:eastAsia="仿宋" w:cs="仿宋"/>
          <w:color w:val="auto"/>
          <w:sz w:val="24"/>
          <w:lang w:eastAsia="zh-CN"/>
        </w:rPr>
        <w:t>应当</w:t>
      </w:r>
      <w:r>
        <w:rPr>
          <w:rFonts w:hint="eastAsia" w:ascii="仿宋" w:hAnsi="仿宋" w:eastAsia="仿宋" w:cs="仿宋"/>
          <w:color w:val="auto"/>
          <w:sz w:val="24"/>
        </w:rPr>
        <w:t>提交以下资料：供应商为法人或者其他组织的，只需提供单位介绍信原件、经办人身份证明复印件；供应商为自然人的，只需提供本人身份证明复印件；采取邮件网络报名的应将以上资料扫描件发送至代理机构邮箱2804139409@qq.com。</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（获取磋商文件的供应商为联合体的，应当在现场注明联合体，同时应当提供联合体全体成员单位名称，否则对自身参与磋商事宜造成影响的，由供应商自行承担责任。）。</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b/>
          <w:bCs/>
          <w:color w:val="auto"/>
          <w:sz w:val="24"/>
        </w:rPr>
        <w:t>八、供应商递交响应文件起止时间</w:t>
      </w:r>
      <w:r>
        <w:rPr>
          <w:rFonts w:hint="eastAsia" w:ascii="仿宋" w:hAnsi="仿宋" w:eastAsia="仿宋" w:cs="仿宋"/>
          <w:color w:val="auto"/>
          <w:sz w:val="24"/>
        </w:rPr>
        <w:t>：</w:t>
      </w:r>
      <w:r>
        <w:rPr>
          <w:rFonts w:hint="eastAsia" w:ascii="仿宋" w:hAnsi="仿宋" w:eastAsia="仿宋" w:cs="仿宋"/>
          <w:color w:val="auto"/>
          <w:sz w:val="24"/>
          <w:u w:val="single"/>
        </w:rPr>
        <w:t>2021年</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 xml:space="preserve">日 </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 至2021年</w:t>
      </w:r>
      <w:r>
        <w:rPr>
          <w:rFonts w:hint="eastAsia" w:ascii="仿宋" w:hAnsi="仿宋" w:eastAsia="仿宋" w:cs="仿宋"/>
          <w:color w:val="auto"/>
          <w:sz w:val="24"/>
          <w:u w:val="single"/>
          <w:lang w:val="en-US" w:eastAsia="zh-CN"/>
        </w:rPr>
        <w:t>8</w:t>
      </w:r>
      <w:r>
        <w:rPr>
          <w:rFonts w:hint="eastAsia" w:ascii="仿宋" w:hAnsi="仿宋" w:eastAsia="仿宋" w:cs="仿宋"/>
          <w:color w:val="auto"/>
          <w:sz w:val="24"/>
          <w:u w:val="single"/>
        </w:rPr>
        <w:t xml:space="preserve"> 月 </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 xml:space="preserve">日 </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 xml:space="preserve"> : 00 </w:t>
      </w:r>
      <w:r>
        <w:rPr>
          <w:rFonts w:hint="eastAsia" w:ascii="仿宋" w:hAnsi="仿宋" w:eastAsia="仿宋" w:cs="仿宋"/>
          <w:color w:val="auto"/>
          <w:sz w:val="24"/>
        </w:rPr>
        <w:t>（北京时间）。</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b/>
          <w:bCs/>
          <w:color w:val="auto"/>
          <w:sz w:val="24"/>
        </w:rPr>
        <w:t>九、递交响应文件地点</w:t>
      </w:r>
      <w:r>
        <w:rPr>
          <w:rFonts w:hint="eastAsia" w:ascii="仿宋" w:hAnsi="仿宋" w:eastAsia="仿宋" w:cs="仿宋"/>
          <w:color w:val="auto"/>
          <w:sz w:val="24"/>
        </w:rPr>
        <w:t>：</w:t>
      </w:r>
      <w:r>
        <w:rPr>
          <w:rFonts w:hint="eastAsia" w:ascii="仿宋" w:hAnsi="仿宋" w:eastAsia="仿宋" w:cs="仿宋"/>
          <w:color w:val="auto"/>
          <w:sz w:val="24"/>
          <w:u w:val="single"/>
        </w:rPr>
        <w:t>成都市青羊区光华东三路489号2栋1002（四川尚运晟工程项目管理有限公司）开标厅</w:t>
      </w:r>
      <w:r>
        <w:rPr>
          <w:rFonts w:hint="eastAsia" w:ascii="仿宋" w:hAnsi="仿宋" w:eastAsia="仿宋" w:cs="仿宋"/>
          <w:color w:val="auto"/>
          <w:sz w:val="24"/>
        </w:rPr>
        <w:t>。</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响应文件必须在递交响应文件截止日期当日截止时间前送达递交响应文件地点。逾期送达、密封和标注错误的响应文件，采购人、采购代理机构恕不接收。</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本次采购不接收邮寄的响应文件。</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b/>
          <w:bCs/>
          <w:color w:val="auto"/>
          <w:sz w:val="24"/>
        </w:rPr>
        <w:t>十、响应文件开启时间及地点</w:t>
      </w:r>
      <w:r>
        <w:rPr>
          <w:rFonts w:hint="eastAsia" w:ascii="仿宋" w:hAnsi="仿宋" w:eastAsia="仿宋" w:cs="仿宋"/>
          <w:color w:val="auto"/>
          <w:sz w:val="24"/>
        </w:rPr>
        <w:t>：</w:t>
      </w:r>
      <w:r>
        <w:rPr>
          <w:rFonts w:hint="eastAsia" w:ascii="仿宋" w:hAnsi="仿宋" w:eastAsia="仿宋" w:cs="仿宋"/>
          <w:color w:val="auto"/>
          <w:sz w:val="24"/>
          <w:u w:val="single"/>
        </w:rPr>
        <w:t>2021年</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 xml:space="preserve">日 </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 xml:space="preserve"> : 00</w:t>
      </w:r>
      <w:r>
        <w:rPr>
          <w:rFonts w:hint="eastAsia" w:ascii="仿宋" w:hAnsi="仿宋" w:eastAsia="仿宋" w:cs="仿宋"/>
          <w:color w:val="auto"/>
          <w:sz w:val="24"/>
        </w:rPr>
        <w:t xml:space="preserve"> （北京时间）在磋商地点开启。</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b/>
          <w:bCs/>
          <w:color w:val="auto"/>
          <w:sz w:val="24"/>
        </w:rPr>
        <w:t>十一、磋商地点：</w:t>
      </w:r>
      <w:r>
        <w:rPr>
          <w:rFonts w:hint="eastAsia" w:ascii="仿宋" w:hAnsi="仿宋" w:eastAsia="仿宋" w:cs="仿宋"/>
          <w:color w:val="auto"/>
          <w:sz w:val="24"/>
          <w:u w:val="single"/>
        </w:rPr>
        <w:t>成都市青羊区光华东三路489号2栋1002（四川尚运晟工程项目管理有限公司）</w:t>
      </w:r>
      <w:r>
        <w:rPr>
          <w:rFonts w:hint="eastAsia" w:ascii="仿宋" w:hAnsi="仿宋" w:eastAsia="仿宋" w:cs="仿宋"/>
          <w:color w:val="auto"/>
          <w:sz w:val="24"/>
        </w:rPr>
        <w:t>。</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b/>
          <w:bCs/>
          <w:color w:val="auto"/>
          <w:sz w:val="24"/>
        </w:rPr>
        <w:t>十二、本项目支持中小企业信用融资(详见第二章磋商须知)</w:t>
      </w:r>
      <w:r>
        <w:rPr>
          <w:rFonts w:hint="eastAsia" w:ascii="仿宋" w:hAnsi="仿宋" w:eastAsia="仿宋" w:cs="仿宋"/>
          <w:color w:val="auto"/>
          <w:sz w:val="24"/>
        </w:rPr>
        <w:t>。</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十三、联系方式</w:t>
      </w:r>
    </w:p>
    <w:p>
      <w:pPr>
        <w:tabs>
          <w:tab w:val="left" w:pos="7665"/>
        </w:tabs>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采 购 人：</w:t>
      </w:r>
      <w:r>
        <w:rPr>
          <w:rFonts w:hint="eastAsia" w:ascii="仿宋" w:hAnsi="仿宋" w:eastAsia="仿宋" w:cs="仿宋"/>
          <w:color w:val="auto"/>
          <w:sz w:val="24"/>
          <w:lang w:eastAsia="zh-CN"/>
        </w:rPr>
        <w:t>成都市金牛区教育科学研究院</w:t>
      </w:r>
    </w:p>
    <w:p>
      <w:pPr>
        <w:tabs>
          <w:tab w:val="left" w:pos="7665"/>
        </w:tabs>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联 系 人：</w:t>
      </w:r>
      <w:r>
        <w:rPr>
          <w:rFonts w:hint="eastAsia" w:ascii="仿宋" w:hAnsi="仿宋" w:eastAsia="仿宋" w:cs="仿宋"/>
          <w:color w:val="auto"/>
          <w:sz w:val="24"/>
          <w:lang w:eastAsia="zh-CN"/>
        </w:rPr>
        <w:t>唐老师</w:t>
      </w:r>
    </w:p>
    <w:p>
      <w:pPr>
        <w:tabs>
          <w:tab w:val="left" w:pos="7665"/>
        </w:tabs>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电话传真：</w:t>
      </w:r>
      <w:r>
        <w:rPr>
          <w:rFonts w:hint="eastAsia" w:ascii="仿宋" w:hAnsi="仿宋" w:eastAsia="仿宋" w:cs="仿宋"/>
          <w:color w:val="auto"/>
          <w:sz w:val="24"/>
          <w:lang w:val="en-US" w:eastAsia="zh-CN"/>
        </w:rPr>
        <w:t>028-87566101-8805</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通讯地址：成都市金牛区黄苑街19号</w:t>
      </w: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采购代理机构：</w:t>
      </w:r>
      <w:r>
        <w:rPr>
          <w:rFonts w:hint="eastAsia" w:ascii="仿宋" w:hAnsi="仿宋" w:eastAsia="仿宋" w:cs="仿宋"/>
          <w:color w:val="auto"/>
          <w:sz w:val="24"/>
          <w:u w:val="single"/>
        </w:rPr>
        <w:t>四川尚运晟工程项目管理有限公司</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收款单位：</w:t>
      </w:r>
      <w:r>
        <w:rPr>
          <w:rFonts w:hint="eastAsia" w:ascii="仿宋" w:hAnsi="仿宋" w:eastAsia="仿宋" w:cs="仿宋"/>
          <w:color w:val="auto"/>
          <w:sz w:val="24"/>
          <w:u w:val="single"/>
        </w:rPr>
        <w:t xml:space="preserve">四川尚运晟工程项目管理有限公司  </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开户银行：</w:t>
      </w:r>
      <w:r>
        <w:rPr>
          <w:rFonts w:hint="eastAsia" w:ascii="仿宋" w:hAnsi="仿宋" w:eastAsia="仿宋" w:cs="仿宋"/>
          <w:color w:val="auto"/>
          <w:sz w:val="24"/>
          <w:u w:val="single"/>
        </w:rPr>
        <w:t>中国建设银行股份有限公司泸定支行</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账 号：</w:t>
      </w:r>
      <w:r>
        <w:rPr>
          <w:rFonts w:hint="eastAsia" w:ascii="仿宋" w:hAnsi="仿宋" w:eastAsia="仿宋" w:cs="仿宋"/>
          <w:color w:val="auto"/>
          <w:sz w:val="24"/>
          <w:u w:val="single"/>
        </w:rPr>
        <w:t>51050180004100000281</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通讯地址：</w:t>
      </w:r>
      <w:r>
        <w:rPr>
          <w:rFonts w:hint="eastAsia" w:ascii="仿宋" w:hAnsi="仿宋" w:eastAsia="仿宋" w:cs="仿宋"/>
          <w:color w:val="auto"/>
          <w:sz w:val="24"/>
          <w:u w:val="single"/>
        </w:rPr>
        <w:t>成都市青羊区光华东三路489号2栋1002（西环广场）</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 系 人：</w:t>
      </w:r>
      <w:r>
        <w:rPr>
          <w:rFonts w:hint="eastAsia" w:ascii="仿宋" w:hAnsi="仿宋" w:eastAsia="仿宋" w:cs="仿宋"/>
          <w:color w:val="auto"/>
          <w:sz w:val="24"/>
          <w:u w:val="single"/>
        </w:rPr>
        <w:t>康女士</w:t>
      </w:r>
    </w:p>
    <w:p>
      <w:pPr>
        <w:tabs>
          <w:tab w:val="left" w:pos="7665"/>
        </w:tabs>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电话传真： </w:t>
      </w:r>
      <w:r>
        <w:rPr>
          <w:rFonts w:hint="eastAsia" w:ascii="仿宋" w:hAnsi="仿宋" w:eastAsia="仿宋" w:cs="仿宋"/>
          <w:color w:val="auto"/>
          <w:sz w:val="24"/>
          <w:u w:val="single"/>
        </w:rPr>
        <w:t>028-89395118</w:t>
      </w:r>
    </w:p>
    <w:p>
      <w:pPr>
        <w:tabs>
          <w:tab w:val="left" w:pos="7665"/>
        </w:tabs>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电子邮件：</w:t>
      </w:r>
      <w:r>
        <w:rPr>
          <w:rFonts w:hint="eastAsia" w:ascii="仿宋" w:hAnsi="仿宋" w:eastAsia="仿宋" w:cs="仿宋"/>
          <w:color w:val="auto"/>
          <w:sz w:val="24"/>
          <w:u w:val="single"/>
        </w:rPr>
        <w:t>2804139409@qq.com</w:t>
      </w: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2021年</w:t>
      </w:r>
      <w:r>
        <w:rPr>
          <w:rFonts w:hint="eastAsia" w:ascii="仿宋" w:hAnsi="仿宋" w:eastAsia="仿宋" w:cs="仿宋"/>
          <w:color w:val="auto"/>
          <w:sz w:val="24"/>
          <w:lang w:val="en-US" w:eastAsia="zh-CN"/>
        </w:rPr>
        <w:t>8</w:t>
      </w:r>
      <w:r>
        <w:rPr>
          <w:rFonts w:hint="eastAsia" w:ascii="仿宋" w:hAnsi="仿宋" w:eastAsia="仿宋" w:cs="仿宋"/>
          <w:color w:val="auto"/>
          <w:sz w:val="24"/>
        </w:rPr>
        <w:t>月</w:t>
      </w:r>
      <w:r>
        <w:rPr>
          <w:rFonts w:hint="eastAsia" w:ascii="仿宋" w:hAnsi="仿宋" w:eastAsia="仿宋" w:cs="仿宋"/>
          <w:color w:val="auto"/>
          <w:sz w:val="24"/>
          <w:lang w:val="en-US" w:eastAsia="zh-CN"/>
        </w:rPr>
        <w:t>30</w:t>
      </w:r>
      <w:bookmarkStart w:id="119" w:name="_GoBack"/>
      <w:bookmarkEnd w:id="119"/>
      <w:r>
        <w:rPr>
          <w:rFonts w:hint="eastAsia" w:ascii="仿宋" w:hAnsi="仿宋" w:eastAsia="仿宋" w:cs="仿宋"/>
          <w:color w:val="auto"/>
          <w:sz w:val="24"/>
        </w:rPr>
        <w:t>日</w:t>
      </w: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rPr>
          <w:rFonts w:ascii="仿宋" w:hAnsi="仿宋" w:eastAsia="仿宋" w:cs="仿宋"/>
          <w:color w:val="auto"/>
          <w:sz w:val="24"/>
        </w:rPr>
        <w:sectPr>
          <w:footerReference r:id="rId9" w:type="default"/>
          <w:pgSz w:w="11906" w:h="16840"/>
          <w:pgMar w:top="1440" w:right="1797" w:bottom="1440" w:left="1797" w:header="851" w:footer="992" w:gutter="0"/>
          <w:cols w:space="720" w:num="1"/>
          <w:titlePg/>
          <w:docGrid w:type="linesAndChars" w:linePitch="312" w:charSpace="0"/>
        </w:sectPr>
      </w:pPr>
    </w:p>
    <w:p>
      <w:pPr>
        <w:tabs>
          <w:tab w:val="left" w:pos="7665"/>
        </w:tabs>
        <w:spacing w:line="360" w:lineRule="auto"/>
        <w:ind w:firstLine="480" w:firstLineChars="200"/>
        <w:jc w:val="center"/>
        <w:rPr>
          <w:rFonts w:ascii="仿宋" w:hAnsi="仿宋" w:eastAsia="仿宋" w:cs="仿宋"/>
          <w:color w:val="auto"/>
          <w:sz w:val="24"/>
        </w:rPr>
      </w:pPr>
      <w:bookmarkStart w:id="13" w:name="_Toc213396759"/>
      <w:bookmarkStart w:id="14" w:name="_Toc213496267"/>
      <w:bookmarkStart w:id="15" w:name="_Toc508714402"/>
      <w:bookmarkStart w:id="16" w:name="_Toc213396945"/>
      <w:bookmarkStart w:id="17" w:name="_Toc213397009"/>
      <w:bookmarkStart w:id="18" w:name="_Toc217446031"/>
      <w:r>
        <w:rPr>
          <w:rFonts w:hint="eastAsia" w:ascii="仿宋" w:hAnsi="仿宋" w:eastAsia="仿宋" w:cs="仿宋"/>
          <w:color w:val="auto"/>
          <w:sz w:val="24"/>
        </w:rPr>
        <w:t>第二章  磋商须知</w:t>
      </w:r>
      <w:bookmarkEnd w:id="13"/>
      <w:bookmarkEnd w:id="14"/>
      <w:bookmarkEnd w:id="15"/>
      <w:bookmarkEnd w:id="16"/>
      <w:bookmarkEnd w:id="17"/>
      <w:bookmarkEnd w:id="18"/>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一、供应商须知附表</w:t>
      </w:r>
    </w:p>
    <w:tbl>
      <w:tblPr>
        <w:tblStyle w:val="2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42"/>
        <w:gridCol w:w="2008"/>
        <w:gridCol w:w="665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Align w:val="center"/>
          </w:tcPr>
          <w:p>
            <w:pPr>
              <w:tabs>
                <w:tab w:val="left" w:pos="7665"/>
              </w:tabs>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序号 </w:t>
            </w:r>
          </w:p>
        </w:tc>
        <w:tc>
          <w:tcPr>
            <w:tcW w:w="2008"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 xml:space="preserve">应知事项 </w:t>
            </w:r>
          </w:p>
        </w:tc>
        <w:tc>
          <w:tcPr>
            <w:tcW w:w="6656" w:type="dxa"/>
            <w:vAlign w:val="center"/>
          </w:tcPr>
          <w:p>
            <w:pPr>
              <w:tabs>
                <w:tab w:val="left" w:pos="7665"/>
              </w:tabs>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w:t>
            </w:r>
          </w:p>
        </w:tc>
        <w:tc>
          <w:tcPr>
            <w:tcW w:w="2008"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确定邀请磋商的供应商数量和方式</w:t>
            </w:r>
          </w:p>
        </w:tc>
        <w:tc>
          <w:tcPr>
            <w:tcW w:w="6656"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本次磋商邀请的供应商数量：不少于3家，即首次递交响应文件的供应商不少于3家。</w:t>
            </w:r>
          </w:p>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本次邀请供应商参加磋商的方式：见第1章磋商邀请。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Merge w:val="restart"/>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2</w:t>
            </w:r>
          </w:p>
        </w:tc>
        <w:tc>
          <w:tcPr>
            <w:tcW w:w="2008"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采购预算</w:t>
            </w:r>
          </w:p>
        </w:tc>
        <w:tc>
          <w:tcPr>
            <w:tcW w:w="6656" w:type="dxa"/>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 xml:space="preserve">预算金额为人民币 </w:t>
            </w:r>
            <w:r>
              <w:rPr>
                <w:rFonts w:hint="eastAsia" w:ascii="仿宋" w:hAnsi="仿宋" w:eastAsia="仿宋" w:cs="仿宋"/>
                <w:color w:val="auto"/>
                <w:sz w:val="24"/>
                <w:u w:val="single"/>
                <w:lang w:val="en-US" w:eastAsia="zh-CN"/>
              </w:rPr>
              <w:t>187.5</w:t>
            </w:r>
            <w:r>
              <w:rPr>
                <w:rFonts w:hint="eastAsia" w:ascii="仿宋" w:hAnsi="仿宋" w:eastAsia="仿宋" w:cs="仿宋"/>
                <w:color w:val="auto"/>
                <w:sz w:val="24"/>
                <w:lang w:val="zh-CN"/>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Merge w:val="continue"/>
            <w:vAlign w:val="center"/>
          </w:tcPr>
          <w:p>
            <w:pPr>
              <w:tabs>
                <w:tab w:val="left" w:pos="7665"/>
              </w:tabs>
              <w:spacing w:line="360" w:lineRule="auto"/>
              <w:ind w:firstLine="480" w:firstLineChars="200"/>
              <w:rPr>
                <w:rFonts w:ascii="仿宋" w:hAnsi="仿宋" w:eastAsia="仿宋" w:cs="仿宋"/>
                <w:color w:val="auto"/>
                <w:sz w:val="24"/>
                <w:lang w:val="zh-CN"/>
              </w:rPr>
            </w:pPr>
          </w:p>
        </w:tc>
        <w:tc>
          <w:tcPr>
            <w:tcW w:w="2008"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是否专门面向中小企业、小微企业</w:t>
            </w:r>
          </w:p>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（实质性要求）</w:t>
            </w:r>
          </w:p>
        </w:tc>
        <w:tc>
          <w:tcPr>
            <w:tcW w:w="6656" w:type="dxa"/>
            <w:vAlign w:val="center"/>
          </w:tcPr>
          <w:p>
            <w:pPr>
              <w:tabs>
                <w:tab w:val="left" w:pos="7665"/>
              </w:tabs>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本项目专门面向中小企业： </w:t>
            </w:r>
            <w:r>
              <w:rPr>
                <w:rFonts w:hint="eastAsia" w:ascii="仿宋" w:hAnsi="仿宋" w:eastAsia="仿宋" w:cs="仿宋"/>
                <w:color w:val="auto"/>
                <w:sz w:val="24"/>
                <w:lang w:val="zh-CN" w:eastAsia="zh-CN"/>
              </w:rPr>
              <w:t>是</w:t>
            </w:r>
            <w:r>
              <w:rPr>
                <w:rFonts w:hint="eastAsia" w:ascii="仿宋" w:hAnsi="仿宋" w:eastAsia="仿宋" w:cs="仿宋"/>
                <w:color w:val="auto"/>
                <w:sz w:val="24"/>
                <w:lang w:val="zh-CN"/>
              </w:rPr>
              <w:t>；</w:t>
            </w:r>
          </w:p>
          <w:p>
            <w:pPr>
              <w:tabs>
                <w:tab w:val="left" w:pos="7665"/>
              </w:tabs>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本项目专门面向小微企业： </w:t>
            </w:r>
            <w:r>
              <w:rPr>
                <w:rFonts w:hint="eastAsia" w:ascii="仿宋" w:hAnsi="仿宋" w:eastAsia="仿宋" w:cs="仿宋"/>
                <w:color w:val="auto"/>
                <w:sz w:val="24"/>
                <w:lang w:val="zh-CN" w:eastAsia="zh-CN"/>
              </w:rPr>
              <w:t>是</w:t>
            </w:r>
            <w:r>
              <w:rPr>
                <w:rFonts w:hint="eastAsia" w:ascii="仿宋" w:hAnsi="仿宋" w:eastAsia="仿宋" w:cs="仿宋"/>
                <w:color w:val="auto"/>
                <w:sz w:val="24"/>
                <w:lang w:val="zh-CN"/>
              </w:rPr>
              <w:t>。</w:t>
            </w:r>
          </w:p>
          <w:p>
            <w:pPr>
              <w:tabs>
                <w:tab w:val="left" w:pos="7665"/>
              </w:tabs>
              <w:spacing w:line="360" w:lineRule="auto"/>
              <w:ind w:firstLine="480" w:firstLineChars="200"/>
              <w:rPr>
                <w:lang w:val="zh-CN"/>
              </w:rPr>
            </w:pPr>
            <w:r>
              <w:rPr>
                <w:rFonts w:hint="eastAsia" w:ascii="仿宋" w:hAnsi="仿宋" w:eastAsia="仿宋" w:cs="仿宋"/>
                <w:color w:val="auto"/>
                <w:sz w:val="24"/>
                <w:lang w:val="zh-CN"/>
              </w:rPr>
              <w:t>本项目属于专门面向中小企业采购的项目，供应商应为中小微企业、监狱企业、残疾人福利性单位。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3</w:t>
            </w:r>
          </w:p>
        </w:tc>
        <w:tc>
          <w:tcPr>
            <w:tcW w:w="2008"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最高限价</w:t>
            </w:r>
          </w:p>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（实质性要求）</w:t>
            </w:r>
          </w:p>
        </w:tc>
        <w:tc>
          <w:tcPr>
            <w:tcW w:w="6656" w:type="dxa"/>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本项目最高限价为人民币</w:t>
            </w:r>
            <w:r>
              <w:rPr>
                <w:rFonts w:hint="eastAsia" w:ascii="仿宋" w:hAnsi="仿宋" w:eastAsia="仿宋" w:cs="仿宋"/>
                <w:color w:val="auto"/>
                <w:sz w:val="24"/>
                <w:u w:val="single"/>
                <w:lang w:val="en-US" w:eastAsia="zh-CN"/>
              </w:rPr>
              <w:t>187.5</w:t>
            </w:r>
            <w:r>
              <w:rPr>
                <w:rFonts w:hint="eastAsia" w:ascii="仿宋" w:hAnsi="仿宋" w:eastAsia="仿宋" w:cs="仿宋"/>
                <w:color w:val="auto"/>
                <w:sz w:val="24"/>
                <w:lang w:val="zh-CN"/>
              </w:rPr>
              <w:t>万元,供应商最后报价超过本项目最高限价的，其响应文件作为无效处理。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4</w:t>
            </w:r>
          </w:p>
        </w:tc>
        <w:tc>
          <w:tcPr>
            <w:tcW w:w="2008"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联合体</w:t>
            </w:r>
          </w:p>
        </w:tc>
        <w:tc>
          <w:tcPr>
            <w:tcW w:w="6656"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5</w:t>
            </w:r>
          </w:p>
        </w:tc>
        <w:tc>
          <w:tcPr>
            <w:tcW w:w="2008" w:type="dxa"/>
            <w:vAlign w:val="center"/>
          </w:tcPr>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低于成本价</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不正当竞争预防措施</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（实质性要求）</w:t>
            </w:r>
          </w:p>
        </w:tc>
        <w:tc>
          <w:tcPr>
            <w:tcW w:w="6656" w:type="dxa"/>
            <w:vAlign w:val="center"/>
          </w:tcPr>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 在评审过程中，供应商最后报价明显低于其他有效供应商最后报价的，有可能影响产品质量或者不能诚信履约的，磋商小组应当要求其在磋商现场合理的时间内提供书面说明，并提交相关证明材料。</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供应商的书面说明材料应当按照国家财务会计制度的规定要求，逐项就供应商提供的货物、工程或服务的主营业务成本、税金及附加、销售费用、管理费用、财务费用等成本构成事项详细陈述。</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 供应商书面说明应当签字确认或者加盖公章，否则无效。书面说明的签字确认，供应商为法人的，由其法定代表人或者代理人签字确认；供应商为其他组织的，由其负责人或者代理人签字确认；供应商为自然人的，由其本人或者代理人签字确认。</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6</w:t>
            </w:r>
          </w:p>
        </w:tc>
        <w:tc>
          <w:tcPr>
            <w:tcW w:w="2008"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小微企业、监狱企业、残疾人福利性单位价格扣除和失信企业扣分</w:t>
            </w:r>
          </w:p>
        </w:tc>
        <w:tc>
          <w:tcPr>
            <w:tcW w:w="6656" w:type="dxa"/>
            <w:vAlign w:val="center"/>
          </w:tcPr>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一、小微企业价格扣除</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zh-CN"/>
              </w:rPr>
              <w:t>根据《政府采购促进中小企业发展管理办法》（财库[2020]046号）的规定，对小型和微型企业产品的价格给予</w:t>
            </w:r>
            <w:r>
              <w:rPr>
                <w:rFonts w:hint="eastAsia" w:ascii="仿宋" w:hAnsi="仿宋" w:eastAsia="仿宋" w:cs="仿宋"/>
                <w:color w:val="auto"/>
                <w:sz w:val="24"/>
              </w:rPr>
              <w:t>10</w:t>
            </w:r>
            <w:r>
              <w:rPr>
                <w:rFonts w:hint="eastAsia" w:ascii="仿宋" w:hAnsi="仿宋" w:eastAsia="仿宋" w:cs="仿宋"/>
                <w:color w:val="auto"/>
                <w:sz w:val="24"/>
                <w:lang w:val="zh-CN"/>
              </w:rPr>
              <w:t>%的价格扣除，用扣除后的价格参与评审</w:t>
            </w:r>
            <w:r>
              <w:rPr>
                <w:rFonts w:hint="eastAsia" w:ascii="仿宋" w:hAnsi="仿宋" w:eastAsia="仿宋" w:cs="仿宋"/>
                <w:color w:val="auto"/>
                <w:sz w:val="24"/>
              </w:rPr>
              <w:t>。</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2、参加政府采购活动的中小企业应当提供《中小企业声明函》原件。</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联合体参加本项目采购活动的，大中型企业与小型、微型企业组成联合体共同参加非专门面向中小企业的政府采购活动的，联合体协议中约定，小型、微型企业的协议合同金额占到联合体协议合同总金额30%以上的，可给予联合体3%的价格扣除。</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联合体各方均为小型、微型企业的，联合体视同为小型、微型企业享受规定的扶持政策。组成联合体的大中型企业与小型、微型企业之间不得存在投资关系。</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二、监狱企业价格扣除</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1、根据《关于政府采购支持监狱企业发展有关问题的通知》（财库[2014]68号）的规定，对监狱企业产品的价格给予10%的价格扣除，用扣除后的价格参与评审。</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2、参加政府采购活动的监狱企业应当提供省级以上监狱管理局、戒毒管理局（含新疆生产建设兵团）出具的属于监狱企业的证明文件。</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三、残疾人福利性单位价格扣除</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1、根据《财政部 民政部 中国残疾人联合会关于促进残疾人就业政府采购政策的通知》（财库[2017]141号）的规定，对残疾人福利性单位产品的价格给予10%的价格扣除，用扣除后的价格参与评审。残疾人福利性单位属于小型、微型企业的，不重复享受政策。</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2、参加政府采购活动的残疾人福利性单位应当提供《残疾人福利性单位声明函》原件。</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四、失信企业扣分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对按照《四川省政府采购当事人诚信管理办法》（川财采[2015]33号）记入诚信档案的且在有效期内的失信供应商，在参加政府采购活动中实行直接从总分中扣除3分，且供应商失信行为惩戒实行无限制累加制，直至总分扣完为止。</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2、供应商参加政府采购活动时，应当就自己的诚信情况在响应文件中进行承诺。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7</w:t>
            </w:r>
          </w:p>
        </w:tc>
        <w:tc>
          <w:tcPr>
            <w:tcW w:w="2008" w:type="dxa"/>
            <w:vAlign w:val="center"/>
          </w:tcPr>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进口产品（实质性要求）</w:t>
            </w:r>
          </w:p>
        </w:tc>
        <w:tc>
          <w:tcPr>
            <w:tcW w:w="6656" w:type="dxa"/>
            <w:vAlign w:val="center"/>
          </w:tcPr>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本项目不允许采购进口产品或服务。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Merge w:val="restart"/>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8</w:t>
            </w:r>
          </w:p>
        </w:tc>
        <w:tc>
          <w:tcPr>
            <w:tcW w:w="2008" w:type="dxa"/>
            <w:vMerge w:val="restart"/>
            <w:vAlign w:val="center"/>
          </w:tcPr>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国家规定的优先、强制采购范围（节能、环保）</w:t>
            </w:r>
          </w:p>
        </w:tc>
        <w:tc>
          <w:tcPr>
            <w:tcW w:w="6656" w:type="dxa"/>
            <w:vAlign w:val="center"/>
          </w:tcPr>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本项目为服务类采购项目，不涉及国家规定的强制采购产品范围</w:t>
            </w:r>
            <w:r>
              <w:rPr>
                <w:rFonts w:hint="eastAsia" w:ascii="仿宋" w:hAnsi="仿宋" w:eastAsia="仿宋" w:cs="仿宋"/>
                <w:color w:val="auto"/>
                <w:sz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Merge w:val="continue"/>
            <w:vAlign w:val="center"/>
          </w:tcPr>
          <w:p>
            <w:pPr>
              <w:tabs>
                <w:tab w:val="left" w:pos="7665"/>
              </w:tabs>
              <w:spacing w:line="360" w:lineRule="auto"/>
              <w:ind w:firstLine="480" w:firstLineChars="200"/>
              <w:rPr>
                <w:rFonts w:ascii="仿宋" w:hAnsi="仿宋" w:eastAsia="仿宋" w:cs="仿宋"/>
                <w:color w:val="auto"/>
                <w:sz w:val="24"/>
                <w:lang w:val="zh-CN"/>
              </w:rPr>
            </w:pPr>
          </w:p>
        </w:tc>
        <w:tc>
          <w:tcPr>
            <w:tcW w:w="2008" w:type="dxa"/>
            <w:vMerge w:val="continue"/>
            <w:vAlign w:val="center"/>
          </w:tcPr>
          <w:p>
            <w:pPr>
              <w:tabs>
                <w:tab w:val="left" w:pos="7665"/>
              </w:tabs>
              <w:spacing w:line="360" w:lineRule="auto"/>
              <w:ind w:firstLine="480" w:firstLineChars="200"/>
              <w:rPr>
                <w:rFonts w:ascii="仿宋" w:hAnsi="仿宋" w:eastAsia="仿宋" w:cs="仿宋"/>
                <w:color w:val="auto"/>
                <w:sz w:val="24"/>
                <w:lang w:val="zh-CN"/>
              </w:rPr>
            </w:pPr>
          </w:p>
        </w:tc>
        <w:tc>
          <w:tcPr>
            <w:tcW w:w="6656" w:type="dxa"/>
            <w:vAlign w:val="center"/>
          </w:tcPr>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本项目为服务类采购项目，不涉及国家规定的优先采购产品范围</w:t>
            </w:r>
            <w:r>
              <w:rPr>
                <w:rFonts w:hint="eastAsia" w:ascii="仿宋" w:hAnsi="仿宋" w:eastAsia="仿宋" w:cs="仿宋"/>
                <w:color w:val="auto"/>
                <w:sz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9</w:t>
            </w:r>
          </w:p>
        </w:tc>
        <w:tc>
          <w:tcPr>
            <w:tcW w:w="2008"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磋商保证金</w:t>
            </w:r>
          </w:p>
        </w:tc>
        <w:tc>
          <w:tcPr>
            <w:tcW w:w="6656" w:type="dxa"/>
            <w:vAlign w:val="center"/>
          </w:tcPr>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10</w:t>
            </w:r>
          </w:p>
        </w:tc>
        <w:tc>
          <w:tcPr>
            <w:tcW w:w="2008"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履约保证金</w:t>
            </w:r>
          </w:p>
        </w:tc>
        <w:tc>
          <w:tcPr>
            <w:tcW w:w="6656"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本项目不作要求。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11</w:t>
            </w:r>
          </w:p>
        </w:tc>
        <w:tc>
          <w:tcPr>
            <w:tcW w:w="2008"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磋商</w:t>
            </w:r>
            <w:r>
              <w:rPr>
                <w:rFonts w:hint="eastAsia" w:ascii="仿宋" w:hAnsi="仿宋" w:eastAsia="仿宋" w:cs="仿宋"/>
                <w:color w:val="auto"/>
                <w:sz w:val="24"/>
                <w:lang w:val="zh-CN"/>
              </w:rPr>
              <w:t>文件咨询、磋商过程、结果工作咨询</w:t>
            </w:r>
          </w:p>
        </w:tc>
        <w:tc>
          <w:tcPr>
            <w:tcW w:w="6656"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联系人、联系电话：详见第一章磋商邀请中的采购代理机构联系方式。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12</w:t>
            </w:r>
          </w:p>
        </w:tc>
        <w:tc>
          <w:tcPr>
            <w:tcW w:w="2008"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招标代理服务费</w:t>
            </w:r>
          </w:p>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（实质性要求）</w:t>
            </w:r>
          </w:p>
        </w:tc>
        <w:tc>
          <w:tcPr>
            <w:tcW w:w="6656"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1.根据相关规定，本磋商文件特别约定，招标代理服务费由各包件（若有）成交供应商按照采购代理合同约定向采购代理机构支付，代理费</w:t>
            </w:r>
            <w:r>
              <w:rPr>
                <w:rFonts w:hint="eastAsia" w:ascii="仿宋" w:hAnsi="仿宋" w:eastAsia="仿宋" w:cs="仿宋"/>
                <w:color w:val="auto"/>
                <w:sz w:val="24"/>
                <w:lang w:val="zh-CN" w:eastAsia="zh-TW"/>
              </w:rPr>
              <w:t>根据国家计委（计价格</w:t>
            </w:r>
            <w:r>
              <w:rPr>
                <w:rFonts w:hint="eastAsia" w:ascii="仿宋" w:hAnsi="仿宋" w:eastAsia="仿宋" w:cs="仿宋"/>
                <w:color w:val="auto"/>
                <w:sz w:val="24"/>
                <w:lang w:val="zh-CN"/>
              </w:rPr>
              <w:t>[2002]1980</w:t>
            </w:r>
            <w:r>
              <w:rPr>
                <w:rFonts w:hint="eastAsia" w:ascii="仿宋" w:hAnsi="仿宋" w:eastAsia="仿宋" w:cs="仿宋"/>
                <w:color w:val="auto"/>
                <w:sz w:val="24"/>
                <w:lang w:val="zh-CN" w:eastAsia="zh-TW"/>
              </w:rPr>
              <w:t>号）文件及国家发展和发改价格【2015】299号文规定计算</w:t>
            </w:r>
            <w:r>
              <w:rPr>
                <w:rFonts w:hint="eastAsia" w:ascii="仿宋" w:hAnsi="仿宋" w:eastAsia="仿宋" w:cs="仿宋"/>
                <w:color w:val="auto"/>
                <w:sz w:val="24"/>
                <w:lang w:val="zh-CN"/>
              </w:rPr>
              <w:t>。</w:t>
            </w:r>
          </w:p>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2.在领取成交通知书前办理招标代理服务费，可使用银行转账、电汇或采购代理机构认可的方式支付。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13</w:t>
            </w:r>
          </w:p>
        </w:tc>
        <w:tc>
          <w:tcPr>
            <w:tcW w:w="2008"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成交通知书领取</w:t>
            </w:r>
          </w:p>
        </w:tc>
        <w:tc>
          <w:tcPr>
            <w:tcW w:w="6656"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接采购代理机构通知后，请成交供应商凭有效身份证明证件及招标代理服务费交纳凭证到采购代理机构领取成交通知书。</w:t>
            </w:r>
          </w:p>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联系人：康女士</w:t>
            </w:r>
          </w:p>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联系电话：028-89395118</w:t>
            </w:r>
          </w:p>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地址：成都市青羊区光华东三路489号2栋1002（西环广场）。</w:t>
            </w:r>
          </w:p>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注：领取成交通知书时，根据四川省财政厅关于推进四川省政府采购供应商信用融资工作的通知（川财采[2018]123号）、成都市财政局 中国人民银行成都分行营业管理部关于印发《成都市中小企业政府采购信用融资暂行办法》和《成都市级支持中小企业政府采购信用融资实施方案》的通知（成财采[2019]17号）的要求，符合通知要求、有融资需求的供应商可根据四川政府采购网公示的银行或成都市政府采购监督管理系统集中展示的融资机构及其“政采贷”产品，自行选择符合自身情况的“政采贷”银行及其产品，选择“政采贷”银行及其产品的需向代理机构进行登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14</w:t>
            </w:r>
          </w:p>
        </w:tc>
        <w:tc>
          <w:tcPr>
            <w:tcW w:w="2008" w:type="dxa"/>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供应商询问</w:t>
            </w:r>
          </w:p>
        </w:tc>
        <w:tc>
          <w:tcPr>
            <w:tcW w:w="6656" w:type="dxa"/>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供应商对磋商文件技术指标、参数、资质要求、评分因素的询问，由采购人负责答复或代理机构代为答复。</w:t>
            </w:r>
          </w:p>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供应商对采购过程和采购结果提出的询问，由采购代理机构负责答复。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tcBorders>
              <w:top w:val="single" w:color="auto" w:sz="8" w:space="0"/>
              <w:left w:val="single" w:color="auto" w:sz="18" w:space="0"/>
              <w:bottom w:val="single" w:color="auto" w:sz="8" w:space="0"/>
              <w:right w:val="single" w:color="auto" w:sz="8" w:space="0"/>
            </w:tcBorders>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15</w:t>
            </w:r>
          </w:p>
        </w:tc>
        <w:tc>
          <w:tcPr>
            <w:tcW w:w="2008" w:type="dxa"/>
            <w:tcBorders>
              <w:top w:val="single" w:color="auto" w:sz="8" w:space="0"/>
              <w:left w:val="single" w:color="auto" w:sz="8" w:space="0"/>
              <w:bottom w:val="single" w:color="auto" w:sz="8" w:space="0"/>
              <w:right w:val="single" w:color="auto" w:sz="8" w:space="0"/>
            </w:tcBorders>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供应商质疑</w:t>
            </w:r>
          </w:p>
        </w:tc>
        <w:tc>
          <w:tcPr>
            <w:tcW w:w="6656" w:type="dxa"/>
            <w:tcBorders>
              <w:top w:val="single" w:color="auto" w:sz="8" w:space="0"/>
              <w:left w:val="single" w:color="auto" w:sz="8" w:space="0"/>
              <w:bottom w:val="single" w:color="auto" w:sz="8" w:space="0"/>
              <w:right w:val="single" w:color="auto" w:sz="18" w:space="0"/>
            </w:tcBorders>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供应商对磋商文件技术指标、参数、资质要求、评分因素的质疑由采购人负责答复或代理机构代为答复；</w:t>
            </w:r>
          </w:p>
          <w:p>
            <w:pPr>
              <w:tabs>
                <w:tab w:val="left" w:pos="7665"/>
              </w:tabs>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联 系 人：</w:t>
            </w:r>
            <w:r>
              <w:rPr>
                <w:rFonts w:hint="eastAsia" w:ascii="仿宋" w:hAnsi="仿宋" w:eastAsia="仿宋" w:cs="仿宋"/>
                <w:color w:val="auto"/>
                <w:sz w:val="24"/>
                <w:lang w:eastAsia="zh-CN"/>
              </w:rPr>
              <w:t>唐老师</w:t>
            </w:r>
          </w:p>
          <w:p>
            <w:pPr>
              <w:tabs>
                <w:tab w:val="left" w:pos="7665"/>
              </w:tabs>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电话传真：</w:t>
            </w:r>
            <w:r>
              <w:rPr>
                <w:rFonts w:hint="eastAsia" w:ascii="仿宋" w:hAnsi="仿宋" w:eastAsia="仿宋" w:cs="仿宋"/>
                <w:color w:val="auto"/>
                <w:sz w:val="24"/>
                <w:lang w:val="en-US" w:eastAsia="zh-CN"/>
              </w:rPr>
              <w:t>028-87566101-8805</w:t>
            </w:r>
          </w:p>
          <w:p>
            <w:pPr>
              <w:tabs>
                <w:tab w:val="left" w:pos="7665"/>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通讯地址：成都市金牛区黄苑街19号</w:t>
            </w:r>
          </w:p>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供应商对采购过程和采购结果提出的质疑由采购代理机构负责答复。</w:t>
            </w:r>
          </w:p>
          <w:p>
            <w:pPr>
              <w:tabs>
                <w:tab w:val="left" w:pos="7665"/>
              </w:tabs>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联 系 人：康女士</w:t>
            </w:r>
          </w:p>
          <w:p>
            <w:pPr>
              <w:tabs>
                <w:tab w:val="left" w:pos="7665"/>
              </w:tabs>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联系电话： 028-89395118</w:t>
            </w:r>
          </w:p>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联系地址：成都市青羊区光华东三路489号2栋1002（西环广场）。</w:t>
            </w:r>
          </w:p>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注：供应商按要求报名成功并购买磋商文件的，为依法获取磋商文件的供应商，可以对该文件提出质疑。供应商质疑不得超出磋商文件、磋商过程、磋商结果的范围，供应商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tcBorders>
              <w:top w:val="single" w:color="auto" w:sz="8" w:space="0"/>
              <w:left w:val="single" w:color="auto" w:sz="18" w:space="0"/>
              <w:bottom w:val="single" w:color="auto" w:sz="8" w:space="0"/>
              <w:right w:val="single" w:color="auto" w:sz="8" w:space="0"/>
            </w:tcBorders>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16</w:t>
            </w:r>
          </w:p>
        </w:tc>
        <w:tc>
          <w:tcPr>
            <w:tcW w:w="2008" w:type="dxa"/>
            <w:tcBorders>
              <w:top w:val="single" w:color="auto" w:sz="8" w:space="0"/>
              <w:left w:val="single" w:color="auto" w:sz="8" w:space="0"/>
              <w:bottom w:val="single" w:color="auto" w:sz="8" w:space="0"/>
              <w:right w:val="single" w:color="auto" w:sz="8" w:space="0"/>
            </w:tcBorders>
            <w:vAlign w:val="center"/>
          </w:tcPr>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供应商投诉</w:t>
            </w:r>
          </w:p>
        </w:tc>
        <w:tc>
          <w:tcPr>
            <w:tcW w:w="6656" w:type="dxa"/>
            <w:tcBorders>
              <w:top w:val="single" w:color="auto" w:sz="8" w:space="0"/>
              <w:left w:val="single" w:color="auto" w:sz="8" w:space="0"/>
              <w:bottom w:val="single" w:color="auto" w:sz="8" w:space="0"/>
              <w:right w:val="single" w:color="auto" w:sz="18" w:space="0"/>
            </w:tcBorders>
            <w:vAlign w:val="center"/>
          </w:tcPr>
          <w:p>
            <w:pPr>
              <w:tabs>
                <w:tab w:val="left" w:pos="7665"/>
              </w:tabs>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投诉受理单位：金牛区财政局。</w:t>
            </w:r>
          </w:p>
          <w:p>
            <w:pPr>
              <w:tabs>
                <w:tab w:val="left" w:pos="7665"/>
              </w:tabs>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注：供应商投诉事项不得超出已质疑事项的范围。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842" w:type="dxa"/>
            <w:tcBorders>
              <w:top w:val="single" w:color="auto" w:sz="8" w:space="0"/>
              <w:left w:val="single" w:color="auto" w:sz="18" w:space="0"/>
              <w:bottom w:val="single" w:color="auto" w:sz="8" w:space="0"/>
              <w:right w:val="single" w:color="auto" w:sz="8" w:space="0"/>
            </w:tcBorders>
            <w:vAlign w:val="center"/>
          </w:tcPr>
          <w:p>
            <w:pPr>
              <w:tabs>
                <w:tab w:val="left" w:pos="7665"/>
              </w:tabs>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17</w:t>
            </w:r>
          </w:p>
        </w:tc>
        <w:tc>
          <w:tcPr>
            <w:tcW w:w="2008" w:type="dxa"/>
            <w:tcBorders>
              <w:top w:val="single" w:color="auto" w:sz="8" w:space="0"/>
              <w:left w:val="single" w:color="auto" w:sz="8" w:space="0"/>
              <w:bottom w:val="single" w:color="auto" w:sz="8" w:space="0"/>
              <w:right w:val="single" w:color="auto" w:sz="8" w:space="0"/>
            </w:tcBorders>
            <w:vAlign w:val="center"/>
          </w:tcPr>
          <w:p>
            <w:pPr>
              <w:tabs>
                <w:tab w:val="left" w:pos="7665"/>
              </w:tabs>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行业划分</w:t>
            </w:r>
          </w:p>
        </w:tc>
        <w:tc>
          <w:tcPr>
            <w:tcW w:w="6656" w:type="dxa"/>
            <w:tcBorders>
              <w:top w:val="single" w:color="auto" w:sz="8" w:space="0"/>
              <w:left w:val="single" w:color="auto" w:sz="8" w:space="0"/>
              <w:bottom w:val="single" w:color="auto" w:sz="8" w:space="0"/>
              <w:right w:val="single" w:color="auto" w:sz="18" w:space="0"/>
            </w:tcBorders>
            <w:vAlign w:val="center"/>
          </w:tcPr>
          <w:p>
            <w:pPr>
              <w:tabs>
                <w:tab w:val="left" w:pos="7665"/>
              </w:tabs>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eastAsia="zh-CN"/>
              </w:rPr>
              <w:t>其他未列明行业（培训服务）</w:t>
            </w:r>
          </w:p>
        </w:tc>
      </w:tr>
    </w:tbl>
    <w:p>
      <w:pPr>
        <w:pStyle w:val="4"/>
        <w:keepNext w:val="0"/>
        <w:keepLines w:val="0"/>
        <w:spacing w:before="0" w:after="0" w:line="400" w:lineRule="exact"/>
        <w:jc w:val="center"/>
        <w:rPr>
          <w:rFonts w:ascii="仿宋" w:hAnsi="仿宋" w:eastAsia="仿宋" w:cs="仿宋"/>
          <w:bCs w:val="0"/>
          <w:color w:val="auto"/>
        </w:rPr>
      </w:pPr>
    </w:p>
    <w:p>
      <w:pPr>
        <w:pStyle w:val="4"/>
        <w:keepNext w:val="0"/>
        <w:keepLines w:val="0"/>
        <w:spacing w:before="0" w:after="0" w:line="400" w:lineRule="exact"/>
        <w:jc w:val="center"/>
        <w:rPr>
          <w:rFonts w:ascii="仿宋" w:hAnsi="仿宋" w:eastAsia="仿宋" w:cs="仿宋"/>
          <w:bCs w:val="0"/>
          <w:color w:val="auto"/>
        </w:rPr>
      </w:pPr>
      <w:r>
        <w:rPr>
          <w:rFonts w:hint="eastAsia" w:ascii="仿宋" w:hAnsi="仿宋" w:eastAsia="仿宋" w:cs="仿宋"/>
          <w:bCs w:val="0"/>
          <w:color w:val="auto"/>
        </w:rPr>
        <w:t>二、总  则</w:t>
      </w:r>
    </w:p>
    <w:p>
      <w:pPr>
        <w:tabs>
          <w:tab w:val="left" w:pos="7665"/>
        </w:tabs>
        <w:spacing w:line="360" w:lineRule="auto"/>
        <w:ind w:firstLine="480" w:firstLineChars="200"/>
        <w:rPr>
          <w:rFonts w:ascii="仿宋" w:hAnsi="仿宋" w:eastAsia="仿宋" w:cs="仿宋"/>
          <w:b/>
          <w:bCs/>
          <w:color w:val="auto"/>
          <w:sz w:val="24"/>
        </w:rPr>
      </w:pPr>
      <w:bookmarkStart w:id="19" w:name="_Toc183682342"/>
      <w:bookmarkStart w:id="20" w:name="_Toc183582205"/>
      <w:bookmarkStart w:id="21" w:name="_Toc217446034"/>
      <w:r>
        <w:rPr>
          <w:rFonts w:hint="eastAsia" w:ascii="仿宋" w:hAnsi="仿宋" w:eastAsia="仿宋" w:cs="仿宋"/>
          <w:b/>
          <w:bCs/>
          <w:color w:val="auto"/>
          <w:sz w:val="24"/>
        </w:rPr>
        <w:t>1.</w:t>
      </w:r>
      <w:bookmarkEnd w:id="19"/>
      <w:bookmarkEnd w:id="20"/>
      <w:r>
        <w:rPr>
          <w:rFonts w:hint="eastAsia" w:ascii="仿宋" w:hAnsi="仿宋" w:eastAsia="仿宋" w:cs="仿宋"/>
          <w:b/>
          <w:bCs/>
          <w:color w:val="auto"/>
          <w:sz w:val="24"/>
        </w:rPr>
        <w:t>适用范围</w:t>
      </w:r>
      <w:bookmarkEnd w:id="21"/>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 本磋商文件仅适用于本次磋商所叙述的服务采购。</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 本磋商文件的解释权归采购人和采购代理机构所有。</w:t>
      </w:r>
    </w:p>
    <w:p>
      <w:pPr>
        <w:tabs>
          <w:tab w:val="left" w:pos="7665"/>
        </w:tabs>
        <w:spacing w:line="360" w:lineRule="auto"/>
        <w:ind w:firstLine="480" w:firstLineChars="200"/>
        <w:rPr>
          <w:rFonts w:ascii="仿宋" w:hAnsi="仿宋" w:eastAsia="仿宋" w:cs="仿宋"/>
          <w:b/>
          <w:bCs/>
          <w:color w:val="auto"/>
          <w:sz w:val="24"/>
        </w:rPr>
      </w:pPr>
      <w:bookmarkStart w:id="22" w:name="_Toc183582206"/>
      <w:bookmarkStart w:id="23" w:name="_Toc217446035"/>
      <w:bookmarkStart w:id="24" w:name="_Toc183682343"/>
      <w:r>
        <w:rPr>
          <w:rFonts w:hint="eastAsia" w:ascii="仿宋" w:hAnsi="仿宋" w:eastAsia="仿宋" w:cs="仿宋"/>
          <w:b/>
          <w:bCs/>
          <w:color w:val="auto"/>
          <w:sz w:val="24"/>
        </w:rPr>
        <w:t>2.</w:t>
      </w:r>
      <w:bookmarkEnd w:id="22"/>
      <w:bookmarkEnd w:id="23"/>
      <w:bookmarkEnd w:id="24"/>
      <w:r>
        <w:rPr>
          <w:rFonts w:hint="eastAsia" w:ascii="仿宋" w:hAnsi="仿宋" w:eastAsia="仿宋" w:cs="仿宋"/>
          <w:b/>
          <w:bCs/>
          <w:color w:val="auto"/>
          <w:sz w:val="24"/>
        </w:rPr>
        <w:t>采购主体</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2.1本次磋商的采购人是</w:t>
      </w:r>
      <w:r>
        <w:rPr>
          <w:rFonts w:hint="eastAsia" w:ascii="仿宋" w:hAnsi="仿宋" w:eastAsia="仿宋" w:cs="仿宋"/>
          <w:color w:val="auto"/>
          <w:sz w:val="24"/>
          <w:u w:val="single"/>
          <w:lang w:eastAsia="zh-CN"/>
        </w:rPr>
        <w:t>成都市金牛区教育科学研究院</w:t>
      </w:r>
      <w:r>
        <w:rPr>
          <w:rFonts w:hint="eastAsia" w:ascii="仿宋" w:hAnsi="仿宋" w:eastAsia="仿宋" w:cs="仿宋"/>
          <w:color w:val="auto"/>
          <w:sz w:val="24"/>
        </w:rPr>
        <w:t>。</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2.2本次磋商的采购代理机构是</w:t>
      </w:r>
      <w:r>
        <w:rPr>
          <w:rFonts w:hint="eastAsia" w:ascii="仿宋" w:hAnsi="仿宋" w:eastAsia="仿宋" w:cs="仿宋"/>
          <w:color w:val="auto"/>
          <w:sz w:val="24"/>
          <w:u w:val="single"/>
        </w:rPr>
        <w:t>四川尚运晟工程项目管理有限公司</w:t>
      </w:r>
      <w:r>
        <w:rPr>
          <w:rFonts w:hint="eastAsia" w:ascii="仿宋" w:hAnsi="仿宋" w:eastAsia="仿宋" w:cs="仿宋"/>
          <w:color w:val="auto"/>
          <w:sz w:val="24"/>
        </w:rPr>
        <w:t>。</w:t>
      </w:r>
    </w:p>
    <w:p>
      <w:pPr>
        <w:tabs>
          <w:tab w:val="left" w:pos="7665"/>
        </w:tabs>
        <w:spacing w:line="360" w:lineRule="auto"/>
        <w:ind w:firstLine="480" w:firstLineChars="200"/>
        <w:rPr>
          <w:rFonts w:ascii="仿宋" w:hAnsi="仿宋" w:eastAsia="仿宋" w:cs="仿宋"/>
          <w:color w:val="auto"/>
          <w:sz w:val="24"/>
        </w:rPr>
      </w:pPr>
      <w:bookmarkStart w:id="25" w:name="_Toc183682344"/>
      <w:bookmarkStart w:id="26" w:name="_Toc217390843"/>
      <w:bookmarkStart w:id="27" w:name="_Toc183582207"/>
      <w:bookmarkStart w:id="28" w:name="_Toc217446036"/>
      <w:r>
        <w:rPr>
          <w:rFonts w:hint="eastAsia" w:ascii="仿宋" w:hAnsi="仿宋" w:eastAsia="仿宋" w:cs="仿宋"/>
          <w:b/>
          <w:bCs/>
          <w:color w:val="auto"/>
          <w:sz w:val="24"/>
        </w:rPr>
        <w:t>3. 合格</w:t>
      </w:r>
      <w:bookmarkEnd w:id="25"/>
      <w:bookmarkEnd w:id="26"/>
      <w:bookmarkEnd w:id="27"/>
      <w:bookmarkEnd w:id="28"/>
      <w:r>
        <w:rPr>
          <w:rFonts w:hint="eastAsia" w:ascii="仿宋" w:hAnsi="仿宋" w:eastAsia="仿宋" w:cs="仿宋"/>
          <w:b/>
          <w:bCs/>
          <w:color w:val="auto"/>
          <w:sz w:val="24"/>
        </w:rPr>
        <w:t>供应商（实质性要求）</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合格供应商应具备以下条件：</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 具备法律法规和本采购文件规定的资格条件；</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 不属于禁止参加本项目采购活动的供应商；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 按照规定获取了磋商文件，属于实质性参加政府采购活动的供应商。</w:t>
      </w:r>
      <w:bookmarkStart w:id="29" w:name="_Toc217446037"/>
      <w:bookmarkStart w:id="30" w:name="_Toc183582208"/>
      <w:bookmarkStart w:id="31" w:name="_Toc183682345"/>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4. 磋商费用</w:t>
      </w:r>
      <w:bookmarkEnd w:id="29"/>
      <w:bookmarkEnd w:id="30"/>
      <w:bookmarkEnd w:id="31"/>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供应商应自行承担参加磋商活动的全部费用。</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5.充分、公平竞争保障措施（实质性要求）</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5.1利害关系供应商处理。单位负责人为同一人或者存在直接控股、管理关系的不同供应商不得参加同一合同项下的政府采购活动。（可以与其他承诺一并进行承诺）</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利害关系授权代表处理。两家以上的供应商不得在同一合同项下的采购项目中，委托同一个自然人、同一家庭的人员、同一单位的人员作为其授权代表，否则，其响应文件作为无效处理。（可以与其他承诺一并进行承诺）</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可以与其他承诺一并进行承诺）</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5.4提供相同品牌产品处理。提供相同品牌产品的不同供应商参加同一合同项下采购活动的，以其中通过资格审查且报价最低的供应商参加磋商，报价相同的，由采购人自主采取公平、择优的方式确定一个供应商参加磋商，其他响应文件无效。</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非单一产品采购项目中，多家供应商提供的部分或所有核心产品品牌相同的，视为提供相同品牌产品。</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5.5供应商实际控制人或者中高级管理人员，同时是采购代理机构工作人员，不得参与本项目政府采购活动。（可以与其他承诺一并进行承诺）</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5.6同一母公司的两家以上的子公司只能组成联合体参加本项目同一合同项下的采购活动，不得以不同供应商身份同时参加本项目同一合同项下的采购活动。（可以与其他承诺一并进行承诺）</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5.7供应商与采购代理机构存在关联关系，或者是采购代理机构的母公司或子公司，不得参加本项目政府采购活动。</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5.8回避。政府采购活动中，采购人员及相关人员与供应商有下列利害关系之一的，应当回避：</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（1）参加采购活动前3年内与供应商存在劳动关系；</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（2）参加采购活动前3年内担任供应商的董事、监事；</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（3）参加采购活动前3年内是供应商的控股股东或者实际控制人；</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（4）与供应商的法定代表人或者负责人有夫妻、直系血亲、三代以内旁系血亲或者近姻亲关系；</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（5）与供应商有其他可能影响政府采购活动公平、公正进行的关系。</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6.联合体竞争性磋商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本项目不接受联合体参与采购活动。</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7.磋商保证金</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本项目磋商保证金不作要求</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8.响应文件有效期（实质性要求）</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本项目响应文件有效期为递交磋商响应文件截止之日起</w:t>
      </w:r>
      <w:r>
        <w:rPr>
          <w:rFonts w:hint="eastAsia" w:ascii="仿宋" w:hAnsi="仿宋" w:eastAsia="仿宋" w:cs="仿宋"/>
          <w:b/>
          <w:bCs/>
          <w:color w:val="auto"/>
          <w:sz w:val="24"/>
          <w:u w:val="single"/>
        </w:rPr>
        <w:t>90</w:t>
      </w:r>
      <w:r>
        <w:rPr>
          <w:rFonts w:hint="eastAsia" w:ascii="仿宋" w:hAnsi="仿宋" w:eastAsia="仿宋" w:cs="仿宋"/>
          <w:color w:val="auto"/>
          <w:sz w:val="24"/>
        </w:rPr>
        <w:t>天。供应商响应文件中必须载明响应文件有效期，响应文件中载明的响应文件有效期可以长于磋商文件规定的期限，但不得短于磋商文件规定的期限。否则，其响应文件将作为无效处理。</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9.知识产权（实质性要求）</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9.2 磋商文件特别规定，采购人享有本项目实施过程中产生的知识成果及知识产权，供应商响应文件中响应承诺。</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同时应当在响应文件中载明，并提供相关知识产权证明文件，否则视为供应商未在本项目实施过程中采用自有或者第三方知识成果，不影响有效性。</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9.4 如采用供应商所不拥有的知识产权，则在报价中必须包括合法获取该知识产权的相关费用，采购人不再因供应商采用所不拥有的知识产权而另行支付任何费用。</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9.5 根据《中华人民共和国政府采购法实施条例》第四十三条的规定，公告内容应当包括主要成交标的的名称、规格型号、数量、单价、服务要求以及评审专家名单。供应商需将响应文件中涉及商业秘密和知识产权的内容进行标注和说明。若未进行标注和说明的，视为全部内容均可公布，采购代理机构对此不承担任何责任。</w:t>
      </w:r>
    </w:p>
    <w:p>
      <w:pPr>
        <w:tabs>
          <w:tab w:val="left" w:pos="7665"/>
        </w:tabs>
        <w:spacing w:line="360" w:lineRule="auto"/>
        <w:ind w:firstLine="480" w:firstLineChars="200"/>
        <w:rPr>
          <w:rFonts w:ascii="仿宋" w:hAnsi="仿宋" w:eastAsia="仿宋" w:cs="仿宋"/>
          <w:color w:val="auto"/>
          <w:sz w:val="24"/>
        </w:rPr>
      </w:pPr>
      <w:bookmarkStart w:id="32" w:name="_Toc77400779"/>
      <w:bookmarkStart w:id="33" w:name="_Toc217446038"/>
      <w:bookmarkStart w:id="34" w:name="_Toc89075875"/>
      <w:bookmarkStart w:id="35" w:name="_Toc183582209"/>
      <w:bookmarkStart w:id="36" w:name="_Toc183682346"/>
    </w:p>
    <w:p>
      <w:pPr>
        <w:tabs>
          <w:tab w:val="left" w:pos="7665"/>
        </w:tabs>
        <w:spacing w:line="360" w:lineRule="auto"/>
        <w:ind w:firstLine="480" w:firstLineChars="200"/>
        <w:rPr>
          <w:rFonts w:ascii="仿宋" w:hAnsi="仿宋" w:eastAsia="仿宋" w:cs="仿宋"/>
          <w:color w:val="auto"/>
          <w:sz w:val="24"/>
        </w:rPr>
      </w:pP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三、磋商文件</w:t>
      </w:r>
      <w:bookmarkEnd w:id="32"/>
      <w:bookmarkEnd w:id="33"/>
      <w:bookmarkEnd w:id="34"/>
      <w:bookmarkEnd w:id="35"/>
      <w:bookmarkEnd w:id="36"/>
    </w:p>
    <w:p>
      <w:pPr>
        <w:tabs>
          <w:tab w:val="left" w:pos="7665"/>
        </w:tabs>
        <w:spacing w:line="360" w:lineRule="auto"/>
        <w:ind w:firstLine="480" w:firstLineChars="200"/>
        <w:rPr>
          <w:rFonts w:ascii="仿宋" w:hAnsi="仿宋" w:eastAsia="仿宋" w:cs="仿宋"/>
          <w:b/>
          <w:bCs/>
          <w:color w:val="auto"/>
          <w:sz w:val="24"/>
        </w:rPr>
      </w:pPr>
      <w:bookmarkStart w:id="37" w:name="_Toc217446039"/>
      <w:bookmarkStart w:id="38" w:name="_Toc183682347"/>
      <w:bookmarkStart w:id="39" w:name="_Toc183582210"/>
      <w:r>
        <w:rPr>
          <w:rFonts w:hint="eastAsia" w:ascii="仿宋" w:hAnsi="仿宋" w:eastAsia="仿宋" w:cs="仿宋"/>
          <w:b/>
          <w:bCs/>
          <w:color w:val="auto"/>
          <w:sz w:val="24"/>
        </w:rPr>
        <w:t>10．磋商文件的构成</w:t>
      </w:r>
      <w:bookmarkEnd w:id="37"/>
      <w:bookmarkEnd w:id="38"/>
      <w:bookmarkEnd w:id="39"/>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10.2 供应商应认真阅读和充分理解磋商文件中所有的事项、格式条款和规范要求。供应商应详细阅读磋商文件的全部内容，按照磋商文件的要求提供响应文件，并对其所提供的全部资料的真实性和有效性负责，一经发现有虚假行为的，将取消其参加磋商或成交资格，并承担相应的法律责任。</w:t>
      </w:r>
    </w:p>
    <w:p>
      <w:pPr>
        <w:tabs>
          <w:tab w:val="left" w:pos="7665"/>
        </w:tabs>
        <w:spacing w:line="360" w:lineRule="auto"/>
        <w:ind w:firstLine="480" w:firstLineChars="200"/>
        <w:rPr>
          <w:rFonts w:ascii="仿宋" w:hAnsi="仿宋" w:eastAsia="仿宋" w:cs="仿宋"/>
          <w:b/>
          <w:bCs/>
          <w:color w:val="auto"/>
          <w:sz w:val="24"/>
        </w:rPr>
      </w:pPr>
      <w:bookmarkStart w:id="40" w:name="_Toc183582211"/>
      <w:bookmarkStart w:id="41" w:name="_Toc183682348"/>
      <w:bookmarkStart w:id="42" w:name="_Toc217446040"/>
      <w:r>
        <w:rPr>
          <w:rFonts w:hint="eastAsia" w:ascii="仿宋" w:hAnsi="仿宋" w:eastAsia="仿宋" w:cs="仿宋"/>
          <w:b/>
          <w:bCs/>
          <w:color w:val="auto"/>
          <w:sz w:val="24"/>
        </w:rPr>
        <w:t>11. 磋商文件的澄清</w:t>
      </w:r>
      <w:bookmarkEnd w:id="40"/>
      <w:bookmarkEnd w:id="41"/>
      <w:r>
        <w:rPr>
          <w:rFonts w:hint="eastAsia" w:ascii="仿宋" w:hAnsi="仿宋" w:eastAsia="仿宋" w:cs="仿宋"/>
          <w:b/>
          <w:bCs/>
          <w:color w:val="auto"/>
          <w:sz w:val="24"/>
        </w:rPr>
        <w:t>和修改</w:t>
      </w:r>
      <w:bookmarkEnd w:id="42"/>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 在递交响应文件截止时间前，采购人、采购代理机构可以对磋商文件进行澄清或者修改。</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11.3供应商认为采购人/采购代理机构需要对磋商文件进行澄清或者修改的，可以在5日前以书面形式向采购人/采购代理机构提出申请，由采购人/采购代理机构决定是否采纳供应商的申请事项。</w:t>
      </w:r>
    </w:p>
    <w:p>
      <w:pPr>
        <w:tabs>
          <w:tab w:val="left" w:pos="7665"/>
        </w:tabs>
        <w:spacing w:line="360" w:lineRule="auto"/>
        <w:ind w:firstLine="480" w:firstLineChars="200"/>
        <w:rPr>
          <w:rFonts w:ascii="仿宋" w:hAnsi="仿宋" w:eastAsia="仿宋" w:cs="仿宋"/>
          <w:b/>
          <w:bCs/>
          <w:color w:val="auto"/>
          <w:sz w:val="24"/>
        </w:rPr>
      </w:pPr>
      <w:bookmarkStart w:id="43" w:name="_Toc217446041"/>
      <w:bookmarkStart w:id="44" w:name="_Toc208848971"/>
      <w:r>
        <w:rPr>
          <w:rFonts w:hint="eastAsia" w:ascii="仿宋" w:hAnsi="仿宋" w:eastAsia="仿宋" w:cs="仿宋"/>
          <w:b/>
          <w:bCs/>
          <w:color w:val="auto"/>
          <w:sz w:val="24"/>
        </w:rPr>
        <w:t>12. 答疑会和现场考察</w:t>
      </w:r>
      <w:bookmarkEnd w:id="43"/>
      <w:bookmarkEnd w:id="44"/>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12.1 根据采购项目和具体情况，采购人、采购代理机构认为有必要，可以在磋商文件提供期限截止后响应文件提交截止前，组织已获取磋商文件的潜在供应商现场考察或者召开答疑会。</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12.3 供应商考察现场或者参加答疑会所发生的一切费用由供应商自己承担。</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12.4 本项目不组织答疑会和现场考察。</w:t>
      </w:r>
    </w:p>
    <w:p>
      <w:pPr>
        <w:tabs>
          <w:tab w:val="left" w:pos="7665"/>
        </w:tabs>
        <w:spacing w:line="360" w:lineRule="auto"/>
        <w:ind w:firstLine="480" w:firstLineChars="200"/>
        <w:rPr>
          <w:rFonts w:ascii="仿宋" w:hAnsi="仿宋" w:eastAsia="仿宋" w:cs="仿宋"/>
          <w:b/>
          <w:bCs/>
          <w:color w:val="auto"/>
          <w:sz w:val="24"/>
        </w:rPr>
      </w:pPr>
      <w:bookmarkStart w:id="45" w:name="_Toc217446042"/>
      <w:bookmarkStart w:id="46" w:name="_Toc183582214"/>
      <w:bookmarkStart w:id="47" w:name="_Toc183682351"/>
      <w:bookmarkStart w:id="48" w:name="_Toc89075876"/>
      <w:bookmarkStart w:id="49" w:name="_Toc77400780"/>
      <w:r>
        <w:rPr>
          <w:rFonts w:hint="eastAsia" w:ascii="仿宋" w:hAnsi="仿宋" w:eastAsia="仿宋" w:cs="仿宋"/>
          <w:b/>
          <w:bCs/>
          <w:color w:val="auto"/>
          <w:sz w:val="24"/>
        </w:rPr>
        <w:t>四、响应文件</w:t>
      </w:r>
      <w:bookmarkEnd w:id="45"/>
      <w:bookmarkEnd w:id="46"/>
      <w:bookmarkEnd w:id="47"/>
      <w:bookmarkEnd w:id="48"/>
      <w:bookmarkEnd w:id="49"/>
    </w:p>
    <w:p>
      <w:pPr>
        <w:tabs>
          <w:tab w:val="left" w:pos="7665"/>
        </w:tabs>
        <w:spacing w:line="360" w:lineRule="auto"/>
        <w:ind w:firstLine="480" w:firstLineChars="200"/>
        <w:rPr>
          <w:rFonts w:ascii="仿宋" w:hAnsi="仿宋" w:eastAsia="仿宋" w:cs="仿宋"/>
          <w:b/>
          <w:bCs/>
          <w:color w:val="auto"/>
          <w:sz w:val="24"/>
        </w:rPr>
      </w:pPr>
      <w:bookmarkStart w:id="50" w:name="_Toc183582215"/>
      <w:bookmarkStart w:id="51" w:name="_Toc183682352"/>
      <w:bookmarkStart w:id="52" w:name="_Toc217446043"/>
      <w:r>
        <w:rPr>
          <w:rFonts w:hint="eastAsia" w:ascii="仿宋" w:hAnsi="仿宋" w:eastAsia="仿宋" w:cs="仿宋"/>
          <w:b/>
          <w:bCs/>
          <w:color w:val="auto"/>
          <w:sz w:val="24"/>
        </w:rPr>
        <w:t>13.响应文件的组成</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资格性响应文件用于资格审查，应包括供应商响应磋商文件要求资格条件的所有证明材料。（详见竞争性磋商文件第三章、第四章）</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其他响应文件用于磋商，应包括供应商响应磋商文件要求的资格条件以外的所有材料。</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14.响应文件的语言</w:t>
      </w:r>
      <w:bookmarkEnd w:id="50"/>
      <w:bookmarkEnd w:id="51"/>
      <w:bookmarkEnd w:id="52"/>
      <w:r>
        <w:rPr>
          <w:rFonts w:hint="eastAsia" w:ascii="仿宋" w:hAnsi="仿宋" w:eastAsia="仿宋" w:cs="仿宋"/>
          <w:b/>
          <w:bCs/>
          <w:color w:val="auto"/>
          <w:sz w:val="24"/>
        </w:rPr>
        <w:t>（实质性要求）</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14.1 供应商提交的响应文件以及供应商与采购人、采购代理机构就有关竞争性磋商活动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14.2 翻译的中文资料与外文资料如果出现差异和矛盾，以中文为准。但不能故意错误翻译，否则，供应商的响应文件将作为无效处理。</w:t>
      </w:r>
      <w:bookmarkStart w:id="53" w:name="_Toc183682353"/>
      <w:bookmarkStart w:id="54" w:name="_Toc183582216"/>
      <w:bookmarkStart w:id="55" w:name="_Toc217446044"/>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15．计量单位</w:t>
      </w:r>
      <w:bookmarkEnd w:id="53"/>
      <w:bookmarkEnd w:id="54"/>
      <w:bookmarkEnd w:id="55"/>
      <w:r>
        <w:rPr>
          <w:rFonts w:hint="eastAsia" w:ascii="仿宋" w:hAnsi="仿宋" w:eastAsia="仿宋" w:cs="仿宋"/>
          <w:b/>
          <w:bCs/>
          <w:color w:val="auto"/>
          <w:sz w:val="24"/>
        </w:rPr>
        <w:t>（实质性要求）</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除磋商文件中另有规定外，本次采购项目所有合同项下的报价均采用国家法定的计量单位。</w:t>
      </w:r>
    </w:p>
    <w:p>
      <w:pPr>
        <w:tabs>
          <w:tab w:val="left" w:pos="7665"/>
        </w:tabs>
        <w:spacing w:line="360" w:lineRule="auto"/>
        <w:ind w:firstLine="480" w:firstLineChars="200"/>
        <w:rPr>
          <w:rFonts w:ascii="仿宋" w:hAnsi="仿宋" w:eastAsia="仿宋" w:cs="仿宋"/>
          <w:color w:val="auto"/>
          <w:sz w:val="24"/>
        </w:rPr>
      </w:pPr>
      <w:bookmarkStart w:id="56" w:name="_Toc217446045"/>
      <w:r>
        <w:rPr>
          <w:rFonts w:hint="eastAsia" w:ascii="仿宋" w:hAnsi="仿宋" w:eastAsia="仿宋" w:cs="仿宋"/>
          <w:b/>
          <w:bCs/>
          <w:color w:val="auto"/>
          <w:sz w:val="24"/>
        </w:rPr>
        <w:t xml:space="preserve">  16. 报价货币（实质性要求）</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本次磋商项目的报价货币为人民币，报价以磋商文件规定为准。</w:t>
      </w:r>
    </w:p>
    <w:bookmarkEnd w:id="56"/>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17.响应文件格式</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17.1 供应商应执行磋商文件第八章的规定要求。</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17.2 对于没有格式要求的磋商文件由供应商自行编写。</w:t>
      </w:r>
    </w:p>
    <w:p>
      <w:pPr>
        <w:tabs>
          <w:tab w:val="left" w:pos="7665"/>
        </w:tabs>
        <w:spacing w:line="360" w:lineRule="auto"/>
        <w:ind w:firstLine="480" w:firstLineChars="200"/>
        <w:rPr>
          <w:rFonts w:ascii="仿宋" w:hAnsi="仿宋" w:eastAsia="仿宋" w:cs="仿宋"/>
          <w:b/>
          <w:bCs/>
          <w:color w:val="auto"/>
          <w:sz w:val="24"/>
        </w:rPr>
      </w:pPr>
      <w:bookmarkStart w:id="57" w:name="_Toc183682361"/>
      <w:bookmarkStart w:id="58" w:name="_Toc183582224"/>
      <w:bookmarkStart w:id="59" w:name="_Toc217446051"/>
      <w:r>
        <w:rPr>
          <w:rFonts w:hint="eastAsia" w:ascii="仿宋" w:hAnsi="仿宋" w:eastAsia="仿宋" w:cs="仿宋"/>
          <w:b/>
          <w:bCs/>
          <w:color w:val="auto"/>
          <w:sz w:val="24"/>
        </w:rPr>
        <w:t>18.响应文件的编制和签署</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18.1 资格性响应文件正本一份副本两份，并在其封面上清楚地标明资格性响应文件、采购项目名称、项目编号、包件号及名称（若有）、供应商名称以及“正本”或“副本”字样。若正本和副本有不一致的内容，以正本书面响应文件为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18.2 其他响应文件正本一份副本两份，并在其封面上清楚地标明其他响应文件、采购项目名称、项目编号、包件号及名称（若有）、供应商名称以及“正本”或“副本”字样。若正本和副本有不一致的内容，以正本书面响应文件为准。</w:t>
      </w:r>
    </w:p>
    <w:bookmarkEnd w:id="57"/>
    <w:bookmarkEnd w:id="58"/>
    <w:bookmarkEnd w:id="59"/>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18.3 响应文件正本和副本均需在规定签章处按照磋商文件要求签字、盖章。响应文件副本可采用正本的复印件。</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18.4响应文件的打印和书写应清楚工整，任何行间插字、涂改或增删，必须由供应商的法定代表人或其授权代表签字并盖供应商公章。</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18.5（实质性要求）响应文件应在磋商文件要求签字的地方签字或加盖印章（供应商为法人的，由其法定代表人或者代理人签字或加盖印章；供应商为其他组织的，由其负责人或者代理人签字或加盖印章；供应商为自然人的，由其本人或者代理人签字或加盖印章），要求加盖公章的地方加盖单位公章，不得使用专用章（如经济合同章、投标专用章等）或下属单位印章代替。</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18.6响应文件正本和副本需要逐页编目编码。</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18.7（实质性要求）响应文件正本和副本应当采用胶装方式装订成册，不得散装或者合页装订。</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18.8（实质性要求）响应文件应根据磋商文件的要求制作，签署、盖章。</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18.9响应文件统一用A4幅面纸印制，另有规定除外。</w:t>
      </w:r>
    </w:p>
    <w:p>
      <w:pPr>
        <w:tabs>
          <w:tab w:val="left" w:pos="7665"/>
        </w:tabs>
        <w:spacing w:line="360" w:lineRule="auto"/>
        <w:ind w:firstLine="480" w:firstLineChars="200"/>
        <w:rPr>
          <w:rFonts w:ascii="仿宋" w:hAnsi="仿宋" w:eastAsia="仿宋" w:cs="仿宋"/>
          <w:color w:val="auto"/>
          <w:sz w:val="24"/>
        </w:rPr>
      </w:pPr>
      <w:bookmarkStart w:id="60" w:name="_Toc183682363"/>
      <w:bookmarkStart w:id="61" w:name="_Toc217446053"/>
      <w:bookmarkStart w:id="62" w:name="_Toc77400781"/>
      <w:bookmarkStart w:id="63" w:name="_Toc89075877"/>
      <w:bookmarkStart w:id="64" w:name="_Toc183582226"/>
      <w:r>
        <w:rPr>
          <w:rFonts w:hint="eastAsia" w:ascii="仿宋" w:hAnsi="仿宋" w:eastAsia="仿宋" w:cs="仿宋"/>
          <w:color w:val="auto"/>
          <w:sz w:val="24"/>
        </w:rPr>
        <w:t>18.10电子文档</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18.10.1电子文档一份为响应文件Word或WPS版本。电子文档保存介质推荐使用USB闪存盘（U盘）。</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18.10.2若电子文档与书面响应文件有不一致的内容，以正本书面响应文件为准。</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19.响应文件和电子文档的包装、密封和标注（不属于本项目磋商小组评审范畴，由采购人、采购代理机构在接收响应文件时及时处理）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资格性响应文件、其他响应文件和电子文档未按磋商文件要求进行包装、密封和标注的，采购人、采购代理机构应当拒收。</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19.1 资格性响应文件、其他响应文件应按包件（若有）分别包装和密封。</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19.2资格性响应文件密封袋的最外层应清楚地标明采购项目名称、项目编号、包件号及名称（若有）、资格性响应文件、供应商名称。其他响应文件密封袋的最外层应清楚地标明采购项目名称、项目编号、包件号及名称（若有）、其他响应文件、供应商名称。</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19.3 所有外层密封袋的封口处应粘贴牢固。</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19.4电子文档的包装和密封、标注</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电子文档须单独密封包装，且包装最外层应清楚地标明采购项目名称、项目编号、包件号及名称（若有）、电子文档、供应商名称，与响应文件一起同时递交。</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20.响应文件的递交</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20.1 资格性响应文件、其他响应文件应于递交响应文件截止日期当日截止时间前送达递交响应文件地点，采购人、采购代理机构拒绝接收截止时间后送达的响应文件。</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20.2 最后报价表在磋商结束后，磋商小组要求供应商进行最后报价时递交，最后报价表由采购代理机构提供。</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20.3 本次采购不接收邮寄的响应文件。</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20.4首次递交响应文件的供应商不足3家的，本次竞争性磋商采购活动终止，并发布终止竞争性磋商公告。</w:t>
      </w:r>
    </w:p>
    <w:bookmarkEnd w:id="60"/>
    <w:bookmarkEnd w:id="61"/>
    <w:bookmarkEnd w:id="62"/>
    <w:bookmarkEnd w:id="63"/>
    <w:bookmarkEnd w:id="64"/>
    <w:p>
      <w:pPr>
        <w:tabs>
          <w:tab w:val="left" w:pos="7665"/>
        </w:tabs>
        <w:spacing w:line="360" w:lineRule="auto"/>
        <w:ind w:firstLine="480" w:firstLineChars="200"/>
        <w:rPr>
          <w:rFonts w:ascii="仿宋" w:hAnsi="仿宋" w:eastAsia="仿宋" w:cs="仿宋"/>
          <w:b/>
          <w:bCs/>
          <w:color w:val="auto"/>
          <w:sz w:val="24"/>
        </w:rPr>
      </w:pPr>
      <w:bookmarkStart w:id="65" w:name="_Toc183682365"/>
      <w:bookmarkStart w:id="66" w:name="_Toc217446055"/>
      <w:bookmarkStart w:id="67" w:name="_Toc183582228"/>
      <w:r>
        <w:rPr>
          <w:rFonts w:hint="eastAsia" w:ascii="仿宋" w:hAnsi="仿宋" w:eastAsia="仿宋" w:cs="仿宋"/>
          <w:b/>
          <w:bCs/>
          <w:color w:val="auto"/>
          <w:sz w:val="24"/>
        </w:rPr>
        <w:t>21.响应文件的修改和撤回（补充、修改响应文件的密封和标注按照本章“19.响应文件的密封和标注”规定处理）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21.2供应商对响应文件修改的书面材料或撤回的通知应该按规定进行编写、密封、标注和递送，并注明“修改响应文件”字样。</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21.3供应商不得在递交截止时间起至响应文件有效期期满前撤销其响应文件（已提交响应文件的供应商，在提交最后报价之前，根据磋商情况退出磋商的除外）。</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21.4 响应文件中报价如果出现下列不一致的，可按以下原则进行修改：</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（1）大写金额和小写金额不一致的，以大写金额为准，但大写金额文字存在错误的，应当先对大写金额的文字错误进行澄清、说明或者更正，再行修正。</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（2）总价金额与按单价汇总金额不一致的，以单价金额计算结果为准，但单价或者单价汇总金额存在数字或者文字错误的，应当先对数字或者文字错误进行澄清、说明或者更正，再行修正。</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（3）单价金额小数点或者百分比有明显错位的，以总价为准，修正单价。</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21.5供应商对其提交的响应文件的真实性、合法性承担法律责任。</w:t>
      </w:r>
      <w:bookmarkEnd w:id="65"/>
      <w:bookmarkEnd w:id="66"/>
      <w:bookmarkEnd w:id="67"/>
    </w:p>
    <w:p>
      <w:pPr>
        <w:tabs>
          <w:tab w:val="left" w:pos="7665"/>
        </w:tabs>
        <w:spacing w:line="360" w:lineRule="auto"/>
        <w:ind w:firstLine="480" w:firstLineChars="200"/>
        <w:rPr>
          <w:rFonts w:ascii="仿宋" w:hAnsi="仿宋" w:eastAsia="仿宋" w:cs="仿宋"/>
          <w:b/>
          <w:bCs/>
          <w:color w:val="auto"/>
          <w:sz w:val="24"/>
        </w:rPr>
      </w:pPr>
      <w:bookmarkStart w:id="68" w:name="_Toc77400782"/>
      <w:bookmarkStart w:id="69" w:name="_Toc183582231"/>
      <w:bookmarkStart w:id="70" w:name="_Toc217446056"/>
      <w:bookmarkStart w:id="71" w:name="_Toc89075878"/>
      <w:bookmarkStart w:id="72" w:name="_Toc183682368"/>
      <w:r>
        <w:rPr>
          <w:rFonts w:hint="eastAsia" w:ascii="仿宋" w:hAnsi="仿宋" w:eastAsia="仿宋" w:cs="仿宋"/>
          <w:b/>
          <w:bCs/>
          <w:color w:val="auto"/>
          <w:sz w:val="24"/>
        </w:rPr>
        <w:t>五、评审</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22.磋商小组的组建及其评审工作按照有关法律制度和本文件第九章的规定进行。</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六、成交事项</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23.确定成交供应商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采购人将按磋商小组推荐的成交候选供应商顺序确定成交供应商。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23.1采购代理机构自评审结束后2个工作日内将磋商报告及有关资料送交采购人确定成交供应商。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23.1采购人应在评审当日书面委托磋商小组直接确定成交供应商。 </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23.2磋商小组收到采购人书面委托后，直接确定排名第一的成交候选供应商为本项目成交供应商。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23.3磋商小组在出具的评审报告中确定成交供应商后，由采购代理向其发出成交通知书并发布成交结果公告。</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23.3采购人确定成交供应商过程中，发现成交候选供应商有下列情形之一的，应当不予确定其为成交供应商：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（1）发现成交候选供应商存在禁止参加本项目采购活动的违法行为的；</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（2）成交候选供应商因不可抗力，无法履行合同的；</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（3）成交候选供应商无偿赠与或者低于成本价竞争；</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（4）成交候选供应商提供虚假材料；</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（5）成交候选供应商恶意串通。</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成交候选供应商有本条情形之一的，采购人可以确定后一位成交候选供应商为成交供应商，依次类推。无法确定成交供应商的，应当重新组织采购。</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24.行贿犯罪档案查询</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24.1（实质性要求）根据《最高人民检察院关于行贿犯罪档案查询工作的规定》和《关于在政府采购活动中全面开展行贿犯罪档案查询的通知》（川检会[2016]5号）的要求，供应商承诺单位及其现任法定代表人、主要负责人不存在行贿犯罪记录或者可以通过“中国裁判文书网”自行查询供应商及其现任法定代表人、主要负责人的行贿犯罪记录，提供查询网页截图（现任法定代表人、主要负责人为同一人的需进行情况说明）。</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24.2若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25.成交结果</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25.1采购人确定成交供应商后，将及时书面通知采购代理机构，发出成交通知书并发布成交结果公告。</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25.2成交供应商应当及时领取成交通知书。本项目不需要交纳履约保证金的。</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25.3成家供应商不能及时领取成交通知书，采购代理机应当通过邮寄、快递等方式将项目成交通知书送达成交供应商。</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26.成交通知书</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26.1成交通知书为签订政府采购合同的依据之一，是合同的有效组成部分。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26.2成交通知书对采购人和成交供应商均具有法律效力。成交通知书发出后，采购人无正当理由改变成交结果，或者成交供应商无正当理由放弃成交的，将承担相应的法律责任。</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七、合同事项</w:t>
      </w:r>
    </w:p>
    <w:p>
      <w:pPr>
        <w:tabs>
          <w:tab w:val="left" w:pos="7665"/>
        </w:tabs>
        <w:spacing w:line="360" w:lineRule="auto"/>
        <w:ind w:firstLine="480" w:firstLineChars="200"/>
        <w:rPr>
          <w:rFonts w:ascii="仿宋" w:hAnsi="仿宋" w:eastAsia="仿宋" w:cs="仿宋"/>
          <w:b/>
          <w:bCs/>
          <w:color w:val="auto"/>
          <w:sz w:val="24"/>
        </w:rPr>
      </w:pPr>
      <w:bookmarkStart w:id="73" w:name="_Toc101174151"/>
      <w:bookmarkStart w:id="74" w:name="_Toc101250646"/>
      <w:bookmarkStart w:id="75" w:name="_Toc430773927"/>
      <w:bookmarkStart w:id="76" w:name="_Toc101338364"/>
      <w:bookmarkStart w:id="77" w:name="_Toc209847069"/>
      <w:r>
        <w:rPr>
          <w:rFonts w:hint="eastAsia" w:ascii="仿宋" w:hAnsi="仿宋" w:eastAsia="仿宋" w:cs="仿宋"/>
          <w:b/>
          <w:bCs/>
          <w:color w:val="auto"/>
          <w:sz w:val="24"/>
        </w:rPr>
        <w:t>27.签订合同</w:t>
      </w:r>
      <w:bookmarkEnd w:id="73"/>
      <w:bookmarkEnd w:id="74"/>
      <w:bookmarkEnd w:id="75"/>
      <w:bookmarkEnd w:id="76"/>
      <w:bookmarkEnd w:id="77"/>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27.2 磋商文件、成交供应商的响应文件及双方确认的澄清文件等，均为有法律约束力的合同组成部分。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27.4 成交供应商因不可抗力原因不能履行采购合同或放弃成交的，采购人可以与排在成交供应商之后第一位的成交候选人签订采购合同，以此类推，也可以重新开展采购活动。</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27.5竞争性磋商文件、成交供应商提交的响应文件、最后报价、成交供应商承诺书、成交通知书等均称为有法律约束力的合同组成内容。</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28.合同分包（实质性要求）</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28.1 经采购人同意，成交供应商可以依法采取分包方式履行合同，但必须在响应文件中事前载明或磋商过程中澄清。这种要求应当在合同签订之前征得采购人同意，并且分包供应商履行的分包项目的品牌、规格型号及技术要求等，必须与成交的一致。</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分包履行合同的部分应当为采购项目的非主体、非关键性工作，不属于成交供应商的主要合同义务。</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28.2 采购合同实行分包履行的，成交供应商就采购项目和分包项目向采购人负责，分包供应商就分包项目承担责任。</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28.3 </w:t>
      </w:r>
      <w:r>
        <w:rPr>
          <w:rFonts w:hint="eastAsia" w:ascii="仿宋" w:hAnsi="仿宋" w:eastAsia="仿宋" w:cs="仿宋"/>
          <w:color w:val="auto"/>
          <w:sz w:val="24"/>
          <w:lang w:val="zh-CN"/>
        </w:rPr>
        <w:t>根据《政府采购促进中小企业发展管理办法》（财库[2020]046号）</w:t>
      </w:r>
      <w:r>
        <w:rPr>
          <w:rFonts w:hint="eastAsia" w:ascii="仿宋" w:hAnsi="仿宋" w:eastAsia="仿宋" w:cs="仿宋"/>
          <w:color w:val="auto"/>
          <w:sz w:val="24"/>
        </w:rPr>
        <w:t>规定的政策获取政府采购合同后，小型、微型企业不得分包或转包给大型、中型企业，中型企业不得分包或转包给大型企业。</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29.合同转包（实质性要求）</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成交供应商转包的，视同拒绝履行政府采购合同义务，将依法追究法律责任。</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30.补充合同</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31.履约保证金</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本项目不作要求。</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32.合同公告</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采购人应当自政府采购合同签订（双方当事人均已签字盖章）之日起2个工作日内，将政府采购合同在四川政府采购网上公告，但政府采购合同中涉及国家秘密、商业秘密的内容除外。</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33.合同备案</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采购人应当将政府采购合同副本自签订（双方当事人均已签字盖章）之日起七个工作日内通过四川政府采购网报同级财政部门备案。</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34.履行合同</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34.1 成交供应商与采购人签订合同后，合同双方应严格执行合同条款，履行合同规定的义务，保证合同的顺利完成。</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34.2 在合同履行过程中，如发生合同纠纷，合同双方应按照《合同法》的有关规定进行处理。</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35.验收</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35.1本项目采购人</w:t>
      </w:r>
      <w:bookmarkStart w:id="78" w:name="_Toc217446071"/>
      <w:r>
        <w:rPr>
          <w:rFonts w:hint="eastAsia" w:ascii="仿宋" w:hAnsi="仿宋" w:eastAsia="仿宋" w:cs="仿宋"/>
          <w:color w:val="auto"/>
          <w:sz w:val="24"/>
        </w:rPr>
        <w:t>严格按照《财政部关于进一步加强政府釆购需求和履约验收管理的指导意见》(财库〔2016〕205 号)要求进行验收。</w:t>
      </w:r>
      <w:bookmarkEnd w:id="78"/>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35.2验收结果不合格的，将不予支付采购资金，还可能会报本项目同级财政部门按照政府采购法律法规及《四川省政府采购当事人诚信管理办法》（川财采〔2015〕33号）等有关规定给予行政处罚或者以失信行为记入诚信档案。</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36.资金支付</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采购人将按照政府采购合同规定，及时向成交供应商支付采购资金。</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八、磋商纪律要求</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37.供应商不得具有的情形</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供应商参加本项目磋商不得有下列情形：</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（1）提供虚假材料谋取成交；</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（2）采取不正当手段诋毁、排挤其他供应商；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（3）与采购人、采购代理机构、或其他供应商恶意串通；</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（4）向采购人、采购代理机构、磋商小组成员行贿或者提供其他不正当利益；</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（5）在磋商过程中与采购人、采购代理机构进行协商；</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（6）成交后无正当理由拒不与采购人签订政府采购合同；</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（7）未按照磋商文件确定的事项签订政府采购合同；</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（8）将政府采购合同转包或者违规分包；</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（9）提供假冒伪劣产品；</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（10）擅自变更、中止或者终止政府采购合同；</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（11）拒绝有关部门的监督检查或者向监督检查部门提供虚假情况；</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（12）法律法规规定的其他情形。</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供应商有上述情形的，按照规定追究法律责任，具备（1）-（10）条情形之一的，同时将取消被确认为成交供应商的资格或者认定成交无效。</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九、询问、质疑和投诉</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38.询问、质疑、投诉的接收和处理严格按照《中华人共和国政府采购法》、《中华人民共和国政府采购法实施条例》、《财政部关于加强政府采购供应商投诉受理审查工作的通知》、《政府采购质疑和投诉办法》和四川省的有关规定办理。</w:t>
      </w:r>
    </w:p>
    <w:p>
      <w:pPr>
        <w:tabs>
          <w:tab w:val="left" w:pos="7665"/>
        </w:tabs>
        <w:spacing w:line="360" w:lineRule="auto"/>
        <w:ind w:firstLine="480" w:firstLineChars="200"/>
        <w:rPr>
          <w:rFonts w:ascii="仿宋" w:hAnsi="仿宋" w:eastAsia="仿宋" w:cs="仿宋"/>
          <w:b/>
          <w:bCs/>
          <w:color w:val="auto"/>
          <w:sz w:val="24"/>
        </w:rPr>
      </w:pPr>
      <w:r>
        <w:rPr>
          <w:rFonts w:hint="eastAsia" w:ascii="仿宋" w:hAnsi="仿宋" w:eastAsia="仿宋" w:cs="仿宋"/>
          <w:b/>
          <w:bCs/>
          <w:color w:val="auto"/>
          <w:sz w:val="24"/>
        </w:rPr>
        <w:t>十、其  他</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本磋商文件中未引用的相关法律制度规定，按照中华人民共和国政府采购法及其实施条例，以及其他相关的法律、规章的规定执行。</w:t>
      </w:r>
    </w:p>
    <w:p>
      <w:pPr>
        <w:tabs>
          <w:tab w:val="left" w:pos="7665"/>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41.（实质性要求）国家或行业主管部门对供应商和采购产品的技术标准、质量标准和资格资质条件等有强制性规定的，必须符合其要求。</w:t>
      </w:r>
    </w:p>
    <w:p>
      <w:pPr>
        <w:pStyle w:val="2"/>
        <w:rPr>
          <w:rFonts w:hint="eastAsia" w:ascii="仿宋" w:hAnsi="仿宋" w:eastAsia="仿宋" w:cs="仿宋"/>
          <w:color w:val="auto"/>
        </w:rPr>
      </w:pPr>
    </w:p>
    <w:p>
      <w:pPr>
        <w:rPr>
          <w:rFonts w:hint="eastAsia"/>
          <w:color w:val="auto"/>
        </w:rPr>
      </w:pPr>
    </w:p>
    <w:p>
      <w:pPr>
        <w:pStyle w:val="3"/>
        <w:widowControl/>
        <w:spacing w:line="240" w:lineRule="auto"/>
        <w:jc w:val="center"/>
        <w:rPr>
          <w:rFonts w:ascii="仿宋" w:hAnsi="仿宋" w:eastAsia="仿宋" w:cs="仿宋"/>
          <w:color w:val="auto"/>
          <w:kern w:val="2"/>
          <w:sz w:val="24"/>
          <w:szCs w:val="24"/>
        </w:rPr>
      </w:pPr>
      <w:bookmarkStart w:id="79" w:name="_Toc508714403"/>
      <w:r>
        <w:rPr>
          <w:rFonts w:hint="eastAsia" w:ascii="仿宋" w:hAnsi="仿宋" w:eastAsia="仿宋" w:cs="仿宋"/>
          <w:color w:val="auto"/>
          <w:kern w:val="2"/>
          <w:sz w:val="24"/>
          <w:szCs w:val="24"/>
        </w:rPr>
        <w:t>第三章  供应商资格条件要求</w:t>
      </w:r>
      <w:bookmarkEnd w:id="79"/>
    </w:p>
    <w:p>
      <w:pPr>
        <w:spacing w:line="360" w:lineRule="auto"/>
        <w:ind w:firstLine="540" w:firstLineChars="225"/>
        <w:rPr>
          <w:rFonts w:ascii="仿宋" w:hAnsi="仿宋" w:eastAsia="仿宋" w:cs="仿宋"/>
          <w:b/>
          <w:bCs/>
          <w:color w:val="auto"/>
          <w:sz w:val="24"/>
        </w:rPr>
      </w:pPr>
      <w:r>
        <w:rPr>
          <w:rFonts w:hint="eastAsia" w:ascii="仿宋" w:hAnsi="仿宋" w:eastAsia="仿宋" w:cs="仿宋"/>
          <w:b/>
          <w:bCs/>
          <w:color w:val="auto"/>
          <w:sz w:val="24"/>
        </w:rPr>
        <w:t>一、参加磋商的供应商应具备下列资格条件：</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（一）《中华人民共和国政府采购法》第二十二条第一款第1项至第5项规定的条件：</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1.具有独立承担民事责任的能力；</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2.具有良好的商业信誉和健全的财务会计制度；</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4.具有依法缴纳税收和社会保障资金的良好记录；</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5.参加本次政府采购活动前三年内，在经营活动中没有重大违法记录；</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（二）法律、行政法规规定的其他条件：无；</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（三）根据采购项目提出的特殊条件：</w:t>
      </w:r>
    </w:p>
    <w:p>
      <w:pPr>
        <w:pStyle w:val="71"/>
        <w:spacing w:line="440" w:lineRule="exact"/>
        <w:ind w:firstLine="600" w:firstLineChars="250"/>
        <w:rPr>
          <w:rFonts w:ascii="仿宋" w:hAnsi="仿宋" w:eastAsia="仿宋" w:cs="仿宋"/>
          <w:color w:val="auto"/>
          <w:sz w:val="24"/>
        </w:rPr>
      </w:pPr>
      <w:r>
        <w:rPr>
          <w:rFonts w:hint="eastAsia" w:ascii="仿宋" w:hAnsi="仿宋" w:eastAsia="仿宋" w:cs="仿宋"/>
          <w:color w:val="auto"/>
          <w:sz w:val="24"/>
        </w:rPr>
        <w:t>（1）按竞争性磋商文件要求报名成功；</w:t>
      </w:r>
    </w:p>
    <w:p>
      <w:pPr>
        <w:pStyle w:val="71"/>
        <w:spacing w:line="440" w:lineRule="exact"/>
        <w:ind w:firstLine="600" w:firstLineChars="250"/>
        <w:rPr>
          <w:rFonts w:ascii="仿宋" w:hAnsi="仿宋" w:eastAsia="仿宋" w:cs="仿宋"/>
          <w:color w:val="auto"/>
          <w:sz w:val="24"/>
        </w:rPr>
      </w:pPr>
      <w:r>
        <w:rPr>
          <w:rFonts w:hint="eastAsia" w:ascii="仿宋" w:hAnsi="仿宋" w:eastAsia="仿宋" w:cs="仿宋"/>
          <w:color w:val="auto"/>
          <w:sz w:val="24"/>
        </w:rPr>
        <w:t>（2）根据《关于在政府采购活动中查询及使用信用记录有关问题的通知》（财库〔2016〕125号）的要求，采购代理机构将通过“信用中国”网站（www.creditchina.gov.cn）、“中国政府采购网”网站（www.ccgp.gov.cn）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以联合体形式参加本项目采购活动，联合体成员存在不良信用记录的，视同联合体存在不良信用记录）。</w:t>
      </w:r>
    </w:p>
    <w:p>
      <w:pPr>
        <w:spacing w:line="360" w:lineRule="auto"/>
        <w:ind w:firstLine="540" w:firstLineChars="225"/>
        <w:rPr>
          <w:rFonts w:ascii="仿宋" w:hAnsi="仿宋" w:eastAsia="仿宋" w:cs="仿宋"/>
          <w:b/>
          <w:bCs/>
          <w:color w:val="auto"/>
          <w:sz w:val="24"/>
        </w:rPr>
      </w:pPr>
      <w:r>
        <w:rPr>
          <w:rFonts w:hint="eastAsia" w:ascii="仿宋" w:hAnsi="仿宋" w:eastAsia="仿宋" w:cs="仿宋"/>
          <w:b/>
          <w:bCs/>
          <w:color w:val="auto"/>
          <w:sz w:val="24"/>
        </w:rPr>
        <w:t>二、报价产品的资格、资质性及其他类似效力要求</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无。</w:t>
      </w:r>
    </w:p>
    <w:p>
      <w:pPr>
        <w:spacing w:line="360" w:lineRule="auto"/>
        <w:ind w:firstLine="540" w:firstLineChars="225"/>
        <w:rPr>
          <w:rFonts w:ascii="仿宋" w:hAnsi="仿宋" w:eastAsia="仿宋" w:cs="仿宋"/>
          <w:b/>
          <w:bCs/>
          <w:color w:val="auto"/>
          <w:sz w:val="24"/>
        </w:rPr>
      </w:pPr>
      <w:r>
        <w:rPr>
          <w:rFonts w:hint="eastAsia" w:ascii="仿宋" w:hAnsi="仿宋" w:eastAsia="仿宋" w:cs="仿宋"/>
          <w:b/>
          <w:bCs/>
          <w:color w:val="auto"/>
          <w:sz w:val="24"/>
        </w:rPr>
        <w:t>三、其他类似效力要求：</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1、授权参加本次磋商活动的供应商代表；</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2、第八章四、承诺函。</w:t>
      </w:r>
    </w:p>
    <w:p>
      <w:pPr>
        <w:spacing w:line="360" w:lineRule="auto"/>
        <w:ind w:firstLine="540" w:firstLineChars="225"/>
        <w:rPr>
          <w:rFonts w:ascii="仿宋" w:hAnsi="仿宋" w:eastAsia="仿宋" w:cs="仿宋"/>
          <w:b/>
          <w:bCs/>
          <w:color w:val="auto"/>
          <w:sz w:val="24"/>
        </w:rPr>
      </w:pPr>
      <w:r>
        <w:rPr>
          <w:rFonts w:hint="eastAsia" w:ascii="仿宋" w:hAnsi="仿宋" w:eastAsia="仿宋" w:cs="仿宋"/>
          <w:b/>
          <w:bCs/>
          <w:color w:val="auto"/>
          <w:sz w:val="24"/>
        </w:rPr>
        <w:t>四、本项目不接受联合体参与采购活动，联合体参与采购活动的，作无效响应处理。</w:t>
      </w:r>
    </w:p>
    <w:p>
      <w:pPr>
        <w:spacing w:line="360" w:lineRule="auto"/>
        <w:ind w:firstLine="472" w:firstLineChars="225"/>
        <w:rPr>
          <w:rFonts w:ascii="仿宋" w:hAnsi="仿宋" w:eastAsia="仿宋" w:cs="仿宋"/>
          <w:color w:val="auto"/>
          <w:szCs w:val="21"/>
        </w:rPr>
      </w:pPr>
      <w:r>
        <w:rPr>
          <w:rFonts w:hint="eastAsia" w:ascii="仿宋" w:hAnsi="仿宋" w:eastAsia="仿宋" w:cs="仿宋"/>
          <w:color w:val="auto"/>
          <w:szCs w:val="21"/>
        </w:rPr>
        <w:t>注：1.本项目确定供应商重大违法记录中较大数额罚款的金额标准为：2万元。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spacing w:line="360" w:lineRule="auto"/>
        <w:ind w:firstLine="892" w:firstLineChars="425"/>
        <w:rPr>
          <w:rFonts w:ascii="仿宋" w:hAnsi="仿宋" w:eastAsia="仿宋" w:cs="仿宋"/>
          <w:color w:val="auto"/>
          <w:szCs w:val="21"/>
        </w:rPr>
      </w:pPr>
      <w:r>
        <w:rPr>
          <w:rFonts w:hint="eastAsia" w:ascii="仿宋" w:hAnsi="仿宋" w:eastAsia="仿宋" w:cs="仿宋"/>
          <w:color w:val="auto"/>
          <w:szCs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bookmarkStart w:id="80" w:name="_Toc508714404"/>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hint="eastAsia" w:ascii="仿宋" w:hAnsi="仿宋" w:eastAsia="仿宋" w:cs="仿宋"/>
          <w:b/>
          <w:bCs/>
          <w:color w:val="auto"/>
          <w:sz w:val="24"/>
        </w:rPr>
      </w:pPr>
    </w:p>
    <w:p>
      <w:pPr>
        <w:spacing w:line="360" w:lineRule="auto"/>
        <w:ind w:firstLine="1020" w:firstLineChars="425"/>
        <w:jc w:val="center"/>
        <w:rPr>
          <w:rFonts w:ascii="仿宋" w:hAnsi="仿宋" w:eastAsia="仿宋" w:cs="仿宋"/>
          <w:b/>
          <w:bCs/>
          <w:color w:val="auto"/>
          <w:sz w:val="24"/>
        </w:rPr>
      </w:pPr>
      <w:r>
        <w:rPr>
          <w:rFonts w:hint="eastAsia" w:ascii="仿宋" w:hAnsi="仿宋" w:eastAsia="仿宋" w:cs="仿宋"/>
          <w:b/>
          <w:bCs/>
          <w:color w:val="auto"/>
          <w:sz w:val="24"/>
        </w:rPr>
        <w:t>第四章  供应商资格证明材料</w:t>
      </w:r>
      <w:bookmarkEnd w:id="80"/>
    </w:p>
    <w:p>
      <w:pPr>
        <w:ind w:firstLine="470" w:firstLineChars="196"/>
        <w:rPr>
          <w:rFonts w:ascii="仿宋" w:hAnsi="仿宋" w:eastAsia="仿宋" w:cs="仿宋"/>
          <w:b/>
          <w:bCs/>
          <w:color w:val="auto"/>
          <w:sz w:val="24"/>
        </w:rPr>
      </w:pPr>
      <w:r>
        <w:rPr>
          <w:rFonts w:hint="eastAsia" w:ascii="仿宋" w:hAnsi="仿宋" w:eastAsia="仿宋" w:cs="仿宋"/>
          <w:b/>
          <w:bCs/>
          <w:color w:val="auto"/>
          <w:sz w:val="24"/>
        </w:rPr>
        <w:t>一、供应商应提交的资格证明材料</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（一）《中华人民共和国政府采购法》第二十二条第一款第1项至第5项规定条件的证明材料：</w:t>
      </w:r>
    </w:p>
    <w:p>
      <w:pPr>
        <w:snapToGrid w:val="0"/>
        <w:spacing w:line="52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1、具有独立承担民事责任能力的证明材料复印件（①法人或其他组织的营业执照（或法人证书）或执业许可证明材料。）；</w:t>
      </w:r>
    </w:p>
    <w:p>
      <w:pPr>
        <w:snapToGrid w:val="0"/>
        <w:spacing w:line="52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2、具有良好的商业信誉承诺函原件；</w:t>
      </w:r>
    </w:p>
    <w:p>
      <w:pPr>
        <w:snapToGrid w:val="0"/>
        <w:spacing w:line="52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3、具备履行合同所必需的设备和专业技术能力的证明材料 (①承诺函原件)；</w:t>
      </w:r>
    </w:p>
    <w:p>
      <w:pPr>
        <w:snapToGrid w:val="0"/>
        <w:spacing w:line="52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4、财务状况报告，依法缴纳税收和社会保障资金的相关材料：</w:t>
      </w:r>
    </w:p>
    <w:p>
      <w:pPr>
        <w:snapToGrid w:val="0"/>
        <w:spacing w:line="52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（1）①201</w:t>
      </w:r>
      <w:r>
        <w:rPr>
          <w:rFonts w:hint="eastAsia" w:ascii="仿宋" w:hAnsi="仿宋" w:eastAsia="仿宋" w:cs="仿宋"/>
          <w:color w:val="auto"/>
          <w:sz w:val="24"/>
        </w:rPr>
        <w:t>9</w:t>
      </w:r>
      <w:r>
        <w:rPr>
          <w:rFonts w:hint="eastAsia" w:ascii="仿宋" w:hAnsi="仿宋" w:eastAsia="仿宋" w:cs="仿宋"/>
          <w:color w:val="auto"/>
          <w:sz w:val="24"/>
          <w:lang w:val="zh-CN"/>
        </w:rPr>
        <w:t>年度或2020年度经审计的财务报告(包含审计报告和审计报告中所涉及的财务报表、报表附注和出具报告机构、人员的证照)复印件②供应商内部出具的201</w:t>
      </w:r>
      <w:r>
        <w:rPr>
          <w:rFonts w:hint="eastAsia" w:ascii="仿宋" w:hAnsi="仿宋" w:eastAsia="仿宋" w:cs="仿宋"/>
          <w:color w:val="auto"/>
          <w:sz w:val="24"/>
        </w:rPr>
        <w:t>9</w:t>
      </w:r>
      <w:r>
        <w:rPr>
          <w:rFonts w:hint="eastAsia" w:ascii="仿宋" w:hAnsi="仿宋" w:eastAsia="仿宋" w:cs="仿宋"/>
          <w:color w:val="auto"/>
          <w:sz w:val="24"/>
          <w:lang w:val="zh-CN"/>
        </w:rPr>
        <w:t>年度或2020年度财务报表复印件（至少包含资产负债表）③银行出具的资信证明复印件</w:t>
      </w:r>
      <w:r>
        <w:rPr>
          <w:rFonts w:hint="eastAsia" w:ascii="仿宋" w:hAnsi="仿宋" w:eastAsia="仿宋" w:cs="仿宋"/>
          <w:color w:val="auto"/>
          <w:sz w:val="24"/>
        </w:rPr>
        <w:t>。</w:t>
      </w:r>
    </w:p>
    <w:p>
      <w:pPr>
        <w:snapToGrid w:val="0"/>
        <w:spacing w:line="52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注：以上①②③提供任一即可，但供应商成立时间至首次递交响应文件截止时间为止不足一年的，提供任意时间段的资产负债表复印件或银行出具的资信证明复印件即可，供应商为事业单位或其他组织的提供其具有健全的财务会计制度的承诺函原件即可；</w:t>
      </w:r>
    </w:p>
    <w:p>
      <w:pPr>
        <w:snapToGrid w:val="0"/>
        <w:spacing w:line="52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（2）2</w:t>
      </w:r>
      <w:r>
        <w:rPr>
          <w:rFonts w:hint="eastAsia" w:ascii="仿宋" w:hAnsi="仿宋" w:eastAsia="仿宋" w:cs="仿宋"/>
          <w:color w:val="auto"/>
          <w:sz w:val="24"/>
        </w:rPr>
        <w:t>020</w:t>
      </w:r>
      <w:r>
        <w:rPr>
          <w:rFonts w:hint="eastAsia" w:ascii="仿宋" w:hAnsi="仿宋" w:eastAsia="仿宋" w:cs="仿宋"/>
          <w:color w:val="auto"/>
          <w:sz w:val="24"/>
          <w:lang w:val="zh-CN"/>
        </w:rPr>
        <w:t>年以来任意1个月的税收缴纳证明材料复印件或税收缴纳的承诺函原件（注：证明材料可为银行电子回单或者税务部门出具的纳税证明或完税证明或有效票据的复印件）；</w:t>
      </w:r>
    </w:p>
    <w:p>
      <w:pPr>
        <w:snapToGrid w:val="0"/>
        <w:spacing w:line="52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（3）20</w:t>
      </w:r>
      <w:r>
        <w:rPr>
          <w:rFonts w:hint="eastAsia" w:ascii="仿宋" w:hAnsi="仿宋" w:eastAsia="仿宋" w:cs="仿宋"/>
          <w:color w:val="auto"/>
          <w:sz w:val="24"/>
        </w:rPr>
        <w:t>20</w:t>
      </w:r>
      <w:r>
        <w:rPr>
          <w:rFonts w:hint="eastAsia" w:ascii="仿宋" w:hAnsi="仿宋" w:eastAsia="仿宋" w:cs="仿宋"/>
          <w:color w:val="auto"/>
          <w:sz w:val="24"/>
          <w:lang w:val="zh-CN"/>
        </w:rPr>
        <w:t>年以来任意1个月的社保缴纳证明材料复印件或社保缴纳的承诺函原件（注：证明材料可为银行电子回单或社保部门出具的社保缴纳证明材料或有效票据复印件）；</w:t>
      </w:r>
    </w:p>
    <w:p>
      <w:pPr>
        <w:spacing w:line="360" w:lineRule="auto"/>
        <w:ind w:firstLine="540" w:firstLineChars="225"/>
        <w:rPr>
          <w:rFonts w:ascii="仿宋" w:hAnsi="仿宋" w:eastAsia="仿宋" w:cs="仿宋"/>
          <w:color w:val="auto"/>
          <w:sz w:val="24"/>
          <w:lang w:val="zh-CN"/>
        </w:rPr>
      </w:pPr>
      <w:r>
        <w:rPr>
          <w:rFonts w:hint="eastAsia" w:ascii="仿宋" w:hAnsi="仿宋" w:eastAsia="仿宋" w:cs="仿宋"/>
          <w:color w:val="auto"/>
          <w:sz w:val="24"/>
          <w:lang w:val="zh-CN"/>
        </w:rPr>
        <w:t>5、参加政府采购活动前3年内在经营活动中没有重大违法记录的证明材料(①承诺函原件)；</w:t>
      </w:r>
    </w:p>
    <w:p>
      <w:pPr>
        <w:spacing w:line="360" w:lineRule="auto"/>
        <w:ind w:firstLine="540" w:firstLineChars="225"/>
        <w:rPr>
          <w:rFonts w:ascii="仿宋" w:hAnsi="仿宋" w:eastAsia="仿宋" w:cs="仿宋"/>
          <w:b/>
          <w:bCs/>
          <w:color w:val="auto"/>
          <w:sz w:val="24"/>
        </w:rPr>
      </w:pPr>
      <w:r>
        <w:rPr>
          <w:rFonts w:hint="eastAsia" w:ascii="仿宋" w:hAnsi="仿宋" w:eastAsia="仿宋" w:cs="仿宋"/>
          <w:b/>
          <w:bCs/>
          <w:color w:val="auto"/>
          <w:sz w:val="24"/>
        </w:rPr>
        <w:t>（二）法律、行政法规规定的其他条件：无。</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具备法律、行政法规规定的其他条件的证明材料复印件或承诺函原件</w:t>
      </w:r>
    </w:p>
    <w:p>
      <w:pPr>
        <w:spacing w:line="360" w:lineRule="auto"/>
        <w:ind w:firstLine="540" w:firstLineChars="225"/>
        <w:rPr>
          <w:rFonts w:ascii="仿宋" w:hAnsi="仿宋" w:eastAsia="仿宋" w:cs="仿宋"/>
          <w:b/>
          <w:bCs/>
          <w:color w:val="auto"/>
          <w:sz w:val="24"/>
        </w:rPr>
      </w:pPr>
      <w:r>
        <w:rPr>
          <w:rFonts w:hint="eastAsia" w:ascii="仿宋" w:hAnsi="仿宋" w:eastAsia="仿宋" w:cs="仿宋"/>
          <w:b/>
          <w:bCs/>
          <w:color w:val="auto"/>
          <w:sz w:val="24"/>
        </w:rPr>
        <w:t>（三）根据采购项目提出的特殊条件：</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（1）按竞争性磋商文件要求报名成功的证明材料（代理机构出具的报名登记表即可，供应商无须提供）；</w:t>
      </w:r>
    </w:p>
    <w:p>
      <w:pPr>
        <w:spacing w:line="360" w:lineRule="auto"/>
        <w:ind w:firstLine="540" w:firstLineChars="225"/>
        <w:rPr>
          <w:rFonts w:ascii="仿宋" w:hAnsi="仿宋" w:eastAsia="仿宋" w:cs="仿宋"/>
          <w:color w:val="auto"/>
          <w:sz w:val="24"/>
        </w:rPr>
      </w:pPr>
      <w:r>
        <w:rPr>
          <w:rFonts w:hint="eastAsia" w:ascii="仿宋" w:hAnsi="仿宋" w:eastAsia="仿宋" w:cs="仿宋"/>
          <w:color w:val="auto"/>
          <w:sz w:val="24"/>
        </w:rPr>
        <w:t>（2）根据《关于在政府采购活动中查询及使用信用记录有关问题的通知》（财库〔2016〕125号）的要求，采购代理机构将通过“信用中国”网站（www.creditchina.gov.cn）、“中国政府采购网”网站（www.ccgp.gov.cn）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以联合体形式参加本项目采购活动，联合体成员存在不良信用记录的，视同联合体存在不良信用记录）（采购代理机构出具的信用记录结果网页截图即可，供应商无须提供）。</w:t>
      </w:r>
    </w:p>
    <w:p>
      <w:pPr>
        <w:spacing w:after="50" w:line="420" w:lineRule="exact"/>
        <w:ind w:firstLine="480"/>
        <w:rPr>
          <w:rFonts w:ascii="仿宋" w:hAnsi="仿宋" w:eastAsia="仿宋" w:cs="仿宋"/>
          <w:b/>
          <w:bCs/>
          <w:color w:val="auto"/>
          <w:sz w:val="24"/>
        </w:rPr>
      </w:pPr>
      <w:r>
        <w:rPr>
          <w:rFonts w:hint="eastAsia" w:ascii="仿宋" w:hAnsi="仿宋" w:eastAsia="仿宋" w:cs="仿宋"/>
          <w:b/>
          <w:bCs/>
          <w:color w:val="auto"/>
          <w:sz w:val="24"/>
        </w:rPr>
        <w:t>二、供应商应提供的报价产品的资格、资质性及其他类似效力要求的相关证明材料：</w:t>
      </w:r>
    </w:p>
    <w:p>
      <w:pPr>
        <w:ind w:firstLine="480" w:firstLineChars="200"/>
        <w:rPr>
          <w:rFonts w:ascii="仿宋" w:hAnsi="仿宋" w:eastAsia="仿宋" w:cs="仿宋"/>
          <w:b/>
          <w:bCs/>
          <w:color w:val="auto"/>
          <w:sz w:val="24"/>
        </w:rPr>
      </w:pPr>
      <w:r>
        <w:rPr>
          <w:rFonts w:hint="eastAsia" w:ascii="仿宋" w:hAnsi="仿宋" w:eastAsia="仿宋" w:cs="仿宋"/>
          <w:b/>
          <w:bCs/>
          <w:color w:val="auto"/>
          <w:sz w:val="24"/>
        </w:rPr>
        <w:t>无。</w:t>
      </w:r>
    </w:p>
    <w:p>
      <w:pPr>
        <w:spacing w:line="360" w:lineRule="auto"/>
        <w:ind w:firstLine="540" w:firstLineChars="225"/>
        <w:rPr>
          <w:rFonts w:ascii="仿宋" w:hAnsi="仿宋" w:eastAsia="仿宋" w:cs="仿宋"/>
          <w:b/>
          <w:bCs/>
          <w:color w:val="auto"/>
          <w:sz w:val="24"/>
        </w:rPr>
      </w:pPr>
      <w:r>
        <w:rPr>
          <w:rFonts w:hint="eastAsia" w:ascii="仿宋" w:hAnsi="仿宋" w:eastAsia="仿宋" w:cs="仿宋"/>
          <w:b/>
          <w:bCs/>
          <w:color w:val="auto"/>
          <w:sz w:val="24"/>
        </w:rPr>
        <w:t>三、其他类似效力要求：</w:t>
      </w:r>
    </w:p>
    <w:p>
      <w:pPr>
        <w:snapToGrid w:val="0"/>
        <w:spacing w:line="52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1、法定代表人授权委托书原件及法定代表人身份证、代理人身份证复印件</w:t>
      </w:r>
      <w:r>
        <w:rPr>
          <w:rFonts w:hint="eastAsia" w:ascii="仿宋" w:hAnsi="仿宋" w:eastAsia="仿宋" w:cs="仿宋"/>
          <w:color w:val="auto"/>
          <w:sz w:val="24"/>
        </w:rPr>
        <w:t>（注：①响应文件均由供应商法定代表人签署的不需提供法定代表人授权委托书及代理人身份证复印件，但必须提供法定代表人身份证复印件；）</w:t>
      </w:r>
      <w:r>
        <w:rPr>
          <w:rFonts w:hint="eastAsia" w:ascii="仿宋" w:hAnsi="仿宋" w:eastAsia="仿宋" w:cs="仿宋"/>
          <w:color w:val="auto"/>
          <w:sz w:val="24"/>
          <w:lang w:val="zh-CN"/>
        </w:rPr>
        <w:t>；</w:t>
      </w:r>
    </w:p>
    <w:p>
      <w:pPr>
        <w:snapToGrid w:val="0"/>
        <w:spacing w:line="52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第八章四、承诺函（①承诺函原件；。）</w:t>
      </w:r>
      <w:r>
        <w:rPr>
          <w:rFonts w:hint="eastAsia" w:ascii="仿宋" w:hAnsi="仿宋" w:eastAsia="仿宋" w:cs="仿宋"/>
          <w:color w:val="auto"/>
          <w:sz w:val="24"/>
          <w:lang w:val="zh-CN"/>
        </w:rPr>
        <w:t>。</w:t>
      </w:r>
    </w:p>
    <w:p>
      <w:pPr>
        <w:spacing w:line="360" w:lineRule="auto"/>
        <w:ind w:firstLine="540" w:firstLineChars="225"/>
        <w:rPr>
          <w:rFonts w:ascii="仿宋" w:hAnsi="仿宋" w:eastAsia="仿宋" w:cs="仿宋"/>
          <w:b/>
          <w:bCs/>
          <w:color w:val="auto"/>
          <w:sz w:val="24"/>
        </w:rPr>
      </w:pPr>
      <w:r>
        <w:rPr>
          <w:rFonts w:hint="eastAsia" w:ascii="仿宋" w:hAnsi="仿宋" w:eastAsia="仿宋" w:cs="仿宋"/>
          <w:b/>
          <w:bCs/>
          <w:color w:val="auto"/>
          <w:sz w:val="24"/>
        </w:rPr>
        <w:t>四、本项目不接受联合体参与采购活动。</w:t>
      </w:r>
    </w:p>
    <w:p>
      <w:pPr>
        <w:rPr>
          <w:rFonts w:ascii="仿宋" w:hAnsi="仿宋" w:eastAsia="仿宋" w:cs="仿宋"/>
          <w:color w:val="auto"/>
          <w:sz w:val="24"/>
        </w:rPr>
      </w:pPr>
      <w:r>
        <w:rPr>
          <w:rFonts w:hint="eastAsia" w:ascii="仿宋" w:hAnsi="仿宋" w:eastAsia="仿宋" w:cs="仿宋"/>
          <w:color w:val="auto"/>
          <w:sz w:val="24"/>
        </w:rPr>
        <w:t>注：</w:t>
      </w:r>
    </w:p>
    <w:p>
      <w:pPr>
        <w:numPr>
          <w:ilvl w:val="0"/>
          <w:numId w:val="1"/>
        </w:numPr>
        <w:ind w:firstLine="480" w:firstLineChars="200"/>
        <w:rPr>
          <w:rFonts w:ascii="仿宋" w:hAnsi="仿宋" w:eastAsia="仿宋" w:cs="仿宋"/>
          <w:color w:val="auto"/>
          <w:sz w:val="24"/>
        </w:rPr>
      </w:pPr>
      <w:r>
        <w:rPr>
          <w:rFonts w:hint="eastAsia" w:ascii="仿宋" w:hAnsi="仿宋" w:eastAsia="仿宋" w:cs="仿宋"/>
          <w:color w:val="auto"/>
          <w:sz w:val="24"/>
        </w:rPr>
        <w:t xml:space="preserve">竞争性磋商文件要求相关证明材料签字或盖章的，应签字或盖章，否则视为无效证明材料； </w:t>
      </w:r>
    </w:p>
    <w:p>
      <w:pPr>
        <w:numPr>
          <w:ilvl w:val="0"/>
          <w:numId w:val="1"/>
        </w:numPr>
        <w:ind w:firstLine="480" w:firstLineChars="200"/>
        <w:rPr>
          <w:rFonts w:ascii="仿宋" w:hAnsi="仿宋" w:eastAsia="仿宋" w:cs="仿宋"/>
          <w:color w:val="auto"/>
          <w:sz w:val="24"/>
        </w:rPr>
      </w:pPr>
      <w:r>
        <w:rPr>
          <w:rFonts w:hint="eastAsia" w:ascii="仿宋" w:hAnsi="仿宋" w:eastAsia="仿宋" w:cs="仿宋"/>
          <w:color w:val="auto"/>
          <w:sz w:val="24"/>
        </w:rPr>
        <w:t>上述内容中涉及承诺函的，供应商可以单独提供，也可以在承诺函中一并进行承诺。</w:t>
      </w:r>
    </w:p>
    <w:p>
      <w:pPr>
        <w:numPr>
          <w:ilvl w:val="0"/>
          <w:numId w:val="1"/>
        </w:numPr>
        <w:ind w:firstLine="480" w:firstLineChars="200"/>
        <w:rPr>
          <w:rFonts w:ascii="仿宋" w:hAnsi="仿宋" w:eastAsia="仿宋" w:cs="仿宋"/>
          <w:color w:val="auto"/>
          <w:sz w:val="24"/>
        </w:rPr>
      </w:pPr>
      <w:r>
        <w:rPr>
          <w:rFonts w:hint="eastAsia" w:ascii="仿宋" w:hAnsi="仿宋" w:eastAsia="仿宋" w:cs="仿宋"/>
          <w:color w:val="auto"/>
          <w:sz w:val="24"/>
        </w:rPr>
        <w:t>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numPr>
          <w:ilvl w:val="0"/>
          <w:numId w:val="1"/>
        </w:numPr>
        <w:ind w:firstLine="480" w:firstLineChars="200"/>
        <w:rPr>
          <w:rFonts w:ascii="仿宋" w:hAnsi="仿宋" w:eastAsia="仿宋" w:cs="仿宋"/>
          <w:color w:val="auto"/>
          <w:sz w:val="24"/>
        </w:rPr>
      </w:pPr>
      <w:r>
        <w:rPr>
          <w:rFonts w:hint="eastAsia" w:ascii="仿宋" w:hAnsi="仿宋" w:eastAsia="仿宋" w:cs="仿宋"/>
          <w:color w:val="auto"/>
          <w:sz w:val="24"/>
        </w:rPr>
        <w:t>供应商若未将用于资格审查的证明材料装订入资格性响应文件的，资格审查将不予通过。</w:t>
      </w:r>
    </w:p>
    <w:p>
      <w:pPr>
        <w:numPr>
          <w:ilvl w:val="0"/>
          <w:numId w:val="1"/>
        </w:numPr>
        <w:ind w:firstLine="480" w:firstLineChars="200"/>
        <w:rPr>
          <w:rFonts w:ascii="仿宋" w:hAnsi="仿宋" w:eastAsia="仿宋" w:cs="仿宋"/>
          <w:color w:val="auto"/>
          <w:sz w:val="24"/>
        </w:rPr>
        <w:sectPr>
          <w:footerReference r:id="rId11" w:type="first"/>
          <w:footerReference r:id="rId10" w:type="default"/>
          <w:pgSz w:w="11906" w:h="16840"/>
          <w:pgMar w:top="1440" w:right="1797" w:bottom="1440" w:left="1797" w:header="851" w:footer="992" w:gutter="0"/>
          <w:cols w:space="720" w:num="1"/>
          <w:titlePg/>
          <w:docGrid w:type="linesAndChars" w:linePitch="312" w:charSpace="0"/>
        </w:sectPr>
      </w:pPr>
    </w:p>
    <w:p>
      <w:pPr>
        <w:pStyle w:val="3"/>
        <w:widowControl/>
        <w:spacing w:line="240" w:lineRule="auto"/>
        <w:jc w:val="center"/>
        <w:rPr>
          <w:rFonts w:ascii="仿宋" w:hAnsi="仿宋" w:eastAsia="仿宋" w:cs="仿宋"/>
          <w:color w:val="auto"/>
          <w:kern w:val="2"/>
          <w:sz w:val="24"/>
          <w:szCs w:val="24"/>
        </w:rPr>
      </w:pPr>
      <w:bookmarkStart w:id="81" w:name="_Toc508714405"/>
      <w:r>
        <w:rPr>
          <w:rFonts w:hint="eastAsia" w:ascii="仿宋" w:hAnsi="仿宋" w:eastAsia="仿宋" w:cs="仿宋"/>
          <w:color w:val="auto"/>
          <w:kern w:val="2"/>
          <w:sz w:val="24"/>
          <w:szCs w:val="24"/>
        </w:rPr>
        <w:t>第五章  采购项目技术、服务、政府采购合同内容条款及其他商务要求</w:t>
      </w:r>
      <w:bookmarkEnd w:id="81"/>
    </w:p>
    <w:p>
      <w:pPr>
        <w:snapToGrid w:val="0"/>
        <w:spacing w:line="520" w:lineRule="exact"/>
        <w:ind w:firstLine="480" w:firstLineChars="200"/>
        <w:rPr>
          <w:rFonts w:ascii="仿宋" w:hAnsi="仿宋" w:eastAsia="仿宋" w:cs="仿宋"/>
          <w:b/>
          <w:bCs/>
          <w:color w:val="auto"/>
          <w:sz w:val="24"/>
        </w:rPr>
      </w:pPr>
      <w:bookmarkStart w:id="82" w:name="_Toc217446094"/>
      <w:r>
        <w:rPr>
          <w:rFonts w:hint="eastAsia" w:ascii="仿宋" w:hAnsi="仿宋" w:eastAsia="仿宋" w:cs="仿宋"/>
          <w:b/>
          <w:bCs/>
          <w:color w:val="auto"/>
          <w:sz w:val="24"/>
        </w:rPr>
        <w:t>一. 项目概述</w:t>
      </w:r>
      <w:bookmarkEnd w:id="82"/>
    </w:p>
    <w:p>
      <w:pPr>
        <w:pStyle w:val="2"/>
        <w:rPr>
          <w:rFonts w:ascii="仿宋" w:hAnsi="仿宋" w:eastAsia="仿宋" w:cs="仿宋"/>
          <w:color w:val="auto"/>
          <w:kern w:val="2"/>
        </w:rPr>
      </w:pPr>
      <w:r>
        <w:rPr>
          <w:rFonts w:hint="eastAsia" w:ascii="仿宋" w:hAnsi="仿宋" w:eastAsia="仿宋" w:cs="仿宋"/>
          <w:color w:val="auto"/>
          <w:kern w:val="2"/>
        </w:rPr>
        <w:t xml:space="preserve">    根据教育部《关于实施全国中小学教师信息技术应用能力提升工程</w:t>
      </w:r>
      <w:r>
        <w:rPr>
          <w:rFonts w:hint="eastAsia" w:ascii="仿宋" w:hAnsi="仿宋" w:eastAsia="仿宋" w:cs="仿宋"/>
          <w:color w:val="auto"/>
          <w:kern w:val="2"/>
          <w:lang w:val="en-US" w:eastAsia="zh-CN"/>
        </w:rPr>
        <w:t>2.</w:t>
      </w:r>
      <w:r>
        <w:rPr>
          <w:rFonts w:hint="eastAsia" w:ascii="仿宋" w:hAnsi="仿宋" w:eastAsia="仿宋" w:cs="仿宋"/>
          <w:color w:val="auto"/>
          <w:kern w:val="2"/>
        </w:rPr>
        <w:t>0的意见》要求，按照四川省教育厅《四川省中小学教师信息技术应用能力提升工程</w:t>
      </w:r>
      <w:r>
        <w:rPr>
          <w:rFonts w:hint="eastAsia" w:ascii="仿宋" w:hAnsi="仿宋" w:eastAsia="仿宋" w:cs="仿宋"/>
          <w:color w:val="auto"/>
          <w:kern w:val="2"/>
          <w:lang w:val="en-US" w:eastAsia="zh-CN"/>
        </w:rPr>
        <w:t>2.0</w:t>
      </w:r>
      <w:r>
        <w:rPr>
          <w:rFonts w:hint="eastAsia" w:ascii="仿宋" w:hAnsi="仿宋" w:eastAsia="仿宋" w:cs="仿宋"/>
          <w:color w:val="auto"/>
          <w:kern w:val="2"/>
        </w:rPr>
        <w:t>实施方案》（川教函（2020）266号）、成都市教育局关于印发《成都市中小学教师信息技术应用能力提升工程</w:t>
      </w:r>
      <w:r>
        <w:rPr>
          <w:rFonts w:hint="eastAsia" w:ascii="仿宋" w:hAnsi="仿宋" w:eastAsia="仿宋" w:cs="仿宋"/>
          <w:color w:val="auto"/>
          <w:kern w:val="2"/>
          <w:lang w:val="en-US" w:eastAsia="zh-CN"/>
        </w:rPr>
        <w:t>2.0</w:t>
      </w:r>
      <w:r>
        <w:rPr>
          <w:rFonts w:hint="eastAsia" w:ascii="仿宋" w:hAnsi="仿宋" w:eastAsia="仿宋" w:cs="仿宋"/>
          <w:color w:val="auto"/>
          <w:kern w:val="2"/>
        </w:rPr>
        <w:t>实施方案的通知》文件精神，为构建</w:t>
      </w:r>
      <w:r>
        <w:rPr>
          <w:rFonts w:hint="eastAsia" w:ascii="仿宋" w:hAnsi="仿宋" w:eastAsia="仿宋" w:cs="仿宋"/>
          <w:color w:val="auto"/>
          <w:kern w:val="2"/>
          <w:lang w:val="zh-CN" w:eastAsia="zh-CN"/>
        </w:rPr>
        <w:t>“以校</w:t>
      </w:r>
      <w:r>
        <w:rPr>
          <w:rFonts w:hint="eastAsia" w:ascii="仿宋" w:hAnsi="仿宋" w:eastAsia="仿宋" w:cs="仿宋"/>
          <w:color w:val="auto"/>
          <w:kern w:val="2"/>
        </w:rPr>
        <w:t>为本、基于课堂、应用驱动、注重创新、精准测评”的教师信息素养发展新机制，实现“三提升一全面</w:t>
      </w:r>
      <w:r>
        <w:rPr>
          <w:rFonts w:hint="eastAsia" w:ascii="仿宋" w:hAnsi="仿宋" w:eastAsia="仿宋" w:cs="仿宋"/>
          <w:color w:val="auto"/>
          <w:kern w:val="2"/>
          <w:lang w:val="zh-CN" w:eastAsia="zh-CN"/>
        </w:rPr>
        <w:t>”的总</w:t>
      </w:r>
      <w:r>
        <w:rPr>
          <w:rFonts w:hint="eastAsia" w:ascii="仿宋" w:hAnsi="仿宋" w:eastAsia="仿宋" w:cs="仿宋"/>
          <w:color w:val="auto"/>
          <w:kern w:val="2"/>
        </w:rPr>
        <w:t>体发展目标，我区将组织实施中小学教师信息技术应用能力提升工程2.0培训。本采购项目共1个包：</w:t>
      </w:r>
      <w:r>
        <w:rPr>
          <w:rFonts w:hint="eastAsia" w:ascii="仿宋" w:hAnsi="仿宋" w:eastAsia="仿宋" w:cs="仿宋"/>
          <w:color w:val="auto"/>
          <w:kern w:val="2"/>
          <w:lang w:eastAsia="zh-CN"/>
        </w:rPr>
        <w:t>金牛区</w:t>
      </w:r>
      <w:r>
        <w:rPr>
          <w:rFonts w:hint="eastAsia" w:ascii="仿宋" w:hAnsi="仿宋" w:eastAsia="仿宋" w:cs="仿宋"/>
          <w:color w:val="auto"/>
          <w:kern w:val="2"/>
        </w:rPr>
        <w:t>中小学教师信息技术应用能力提升工程2.0</w:t>
      </w:r>
      <w:r>
        <w:rPr>
          <w:rFonts w:hint="eastAsia" w:ascii="仿宋" w:hAnsi="仿宋" w:eastAsia="仿宋" w:cs="仿宋"/>
          <w:color w:val="auto"/>
          <w:kern w:val="2"/>
          <w:lang w:eastAsia="zh-CN"/>
        </w:rPr>
        <w:t>培训</w:t>
      </w:r>
      <w:r>
        <w:rPr>
          <w:rFonts w:hint="eastAsia" w:ascii="仿宋" w:hAnsi="仿宋" w:eastAsia="仿宋" w:cs="仿宋"/>
          <w:color w:val="auto"/>
          <w:kern w:val="2"/>
        </w:rPr>
        <w:t>。</w:t>
      </w:r>
    </w:p>
    <w:p>
      <w:pPr>
        <w:snapToGrid w:val="0"/>
        <w:spacing w:line="520" w:lineRule="exact"/>
        <w:rPr>
          <w:rFonts w:hint="eastAsia" w:ascii="仿宋" w:hAnsi="仿宋" w:eastAsia="仿宋" w:cs="仿宋"/>
          <w:b/>
          <w:bCs/>
          <w:color w:val="auto"/>
          <w:sz w:val="24"/>
          <w:lang w:eastAsia="zh-CN"/>
        </w:rPr>
      </w:pPr>
      <w:r>
        <w:rPr>
          <w:rFonts w:hint="eastAsia" w:ascii="仿宋" w:hAnsi="仿宋" w:eastAsia="仿宋" w:cs="仿宋"/>
          <w:b/>
          <w:bCs/>
          <w:color w:val="auto"/>
          <w:sz w:val="24"/>
        </w:rPr>
        <w:t xml:space="preserve">    二 、服务</w:t>
      </w:r>
      <w:r>
        <w:rPr>
          <w:rFonts w:hint="eastAsia" w:ascii="仿宋" w:hAnsi="仿宋" w:eastAsia="仿宋" w:cs="仿宋"/>
          <w:b/>
          <w:bCs/>
          <w:color w:val="auto"/>
          <w:sz w:val="24"/>
          <w:lang w:eastAsia="zh-CN"/>
        </w:rPr>
        <w:t>要求</w:t>
      </w:r>
    </w:p>
    <w:p>
      <w:pPr>
        <w:pStyle w:val="76"/>
        <w:spacing w:line="540" w:lineRule="exact"/>
        <w:ind w:firstLine="540"/>
        <w:jc w:val="both"/>
        <w:rPr>
          <w:rFonts w:hint="eastAsia" w:ascii="仿宋" w:hAnsi="仿宋" w:eastAsia="仿宋" w:cs="仿宋"/>
          <w:color w:val="auto"/>
          <w:sz w:val="21"/>
          <w:szCs w:val="21"/>
        </w:rPr>
      </w:pPr>
      <w:bookmarkStart w:id="83" w:name="bookmark3"/>
      <w:r>
        <w:rPr>
          <w:rFonts w:hint="eastAsia" w:ascii="仿宋" w:hAnsi="仿宋" w:eastAsia="仿宋" w:cs="仿宋"/>
          <w:color w:val="auto"/>
          <w:sz w:val="21"/>
          <w:szCs w:val="21"/>
        </w:rPr>
        <w:t>（</w:t>
      </w:r>
      <w:bookmarkEnd w:id="83"/>
      <w:r>
        <w:rPr>
          <w:rFonts w:hint="eastAsia" w:ascii="仿宋" w:hAnsi="仿宋" w:eastAsia="仿宋" w:cs="仿宋"/>
          <w:color w:val="auto"/>
          <w:sz w:val="21"/>
          <w:szCs w:val="21"/>
          <w:lang w:eastAsia="zh-CN"/>
        </w:rPr>
        <w:t>一</w:t>
      </w:r>
      <w:r>
        <w:rPr>
          <w:rFonts w:hint="eastAsia" w:ascii="仿宋" w:hAnsi="仿宋" w:eastAsia="仿宋" w:cs="仿宋"/>
          <w:color w:val="auto"/>
          <w:sz w:val="21"/>
          <w:szCs w:val="21"/>
        </w:rPr>
        <w:t>）培训目标：</w:t>
      </w:r>
    </w:p>
    <w:p>
      <w:pPr>
        <w:pStyle w:val="76"/>
        <w:spacing w:line="540" w:lineRule="exact"/>
        <w:ind w:firstLine="420" w:firstLineChars="200"/>
        <w:jc w:val="both"/>
        <w:rPr>
          <w:rFonts w:hint="eastAsia" w:ascii="仿宋" w:hAnsi="仿宋" w:eastAsia="仿宋" w:cs="仿宋"/>
          <w:color w:val="auto"/>
          <w:sz w:val="21"/>
          <w:szCs w:val="21"/>
        </w:rPr>
      </w:pPr>
      <w:bookmarkStart w:id="84" w:name="bookmark4"/>
      <w:r>
        <w:rPr>
          <w:rFonts w:hint="eastAsia" w:ascii="仿宋" w:hAnsi="仿宋" w:eastAsia="仿宋" w:cs="仿宋"/>
          <w:color w:val="auto"/>
          <w:sz w:val="21"/>
          <w:szCs w:val="21"/>
        </w:rPr>
        <w:t>通过专家引领、案例分享、整校推进、研讨交流等形式，提高</w:t>
      </w:r>
      <w:r>
        <w:rPr>
          <w:rFonts w:hint="eastAsia" w:ascii="仿宋" w:hAnsi="仿宋" w:eastAsia="仿宋" w:cs="仿宋"/>
          <w:color w:val="auto"/>
          <w:sz w:val="21"/>
          <w:szCs w:val="21"/>
          <w:lang w:eastAsia="zh-CN"/>
        </w:rPr>
        <w:t>金牛</w:t>
      </w:r>
      <w:r>
        <w:rPr>
          <w:rFonts w:hint="eastAsia" w:ascii="仿宋" w:hAnsi="仿宋" w:eastAsia="仿宋" w:cs="仿宋"/>
          <w:color w:val="auto"/>
          <w:sz w:val="21"/>
          <w:szCs w:val="21"/>
        </w:rPr>
        <w:t>区中小学教师信息技术应用能力提升</w:t>
      </w:r>
      <w:r>
        <w:rPr>
          <w:rFonts w:hint="eastAsia" w:ascii="仿宋" w:hAnsi="仿宋" w:eastAsia="仿宋" w:cs="仿宋"/>
          <w:color w:val="auto"/>
          <w:sz w:val="21"/>
          <w:szCs w:val="21"/>
          <w:lang w:val="en-US" w:eastAsia="zh-CN" w:bidi="en-US"/>
        </w:rPr>
        <w:t>2.0</w:t>
      </w:r>
      <w:r>
        <w:rPr>
          <w:rFonts w:hint="eastAsia" w:ascii="仿宋" w:hAnsi="仿宋" w:eastAsia="仿宋" w:cs="仿宋"/>
          <w:color w:val="auto"/>
          <w:sz w:val="21"/>
          <w:szCs w:val="21"/>
        </w:rPr>
        <w:t>观念，围绕信息技术应用能力提升，提供覆盖多技术融合应用模式（多媒体教学环境、混合学习环境</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和智慧教育应用模式（智慧学习环境）下的学情分析、教学设计、学法指导、学业评价，促进</w:t>
      </w:r>
      <w:r>
        <w:rPr>
          <w:rFonts w:hint="eastAsia" w:ascii="仿宋" w:hAnsi="仿宋" w:eastAsia="仿宋" w:cs="仿宋"/>
          <w:color w:val="auto"/>
          <w:sz w:val="21"/>
          <w:szCs w:val="21"/>
          <w:lang w:eastAsia="zh-CN"/>
        </w:rPr>
        <w:t>金牛</w:t>
      </w:r>
      <w:r>
        <w:rPr>
          <w:rFonts w:hint="eastAsia" w:ascii="仿宋" w:hAnsi="仿宋" w:eastAsia="仿宋" w:cs="仿宋"/>
          <w:color w:val="auto"/>
          <w:sz w:val="21"/>
          <w:szCs w:val="21"/>
        </w:rPr>
        <w:t>区中小学教师信息技术应用能力全面提升。</w:t>
      </w:r>
    </w:p>
    <w:p>
      <w:pPr>
        <w:pStyle w:val="76"/>
        <w:spacing w:line="540" w:lineRule="exact"/>
        <w:ind w:firstLine="540"/>
        <w:jc w:val="both"/>
        <w:rPr>
          <w:rFonts w:hint="eastAsia" w:ascii="仿宋" w:hAnsi="仿宋" w:eastAsia="仿宋" w:cs="仿宋"/>
          <w:color w:val="auto"/>
          <w:sz w:val="21"/>
          <w:szCs w:val="21"/>
        </w:rPr>
      </w:pPr>
      <w:r>
        <w:rPr>
          <w:rFonts w:hint="eastAsia" w:ascii="仿宋" w:hAnsi="仿宋" w:eastAsia="仿宋" w:cs="仿宋"/>
          <w:color w:val="auto"/>
          <w:sz w:val="21"/>
          <w:szCs w:val="21"/>
        </w:rPr>
        <w:t>（</w:t>
      </w:r>
      <w:bookmarkEnd w:id="84"/>
      <w:r>
        <w:rPr>
          <w:rFonts w:hint="eastAsia" w:ascii="仿宋" w:hAnsi="仿宋" w:eastAsia="仿宋" w:cs="仿宋"/>
          <w:color w:val="auto"/>
          <w:sz w:val="21"/>
          <w:szCs w:val="21"/>
          <w:lang w:eastAsia="zh-CN"/>
        </w:rPr>
        <w:t>二</w:t>
      </w:r>
      <w:r>
        <w:rPr>
          <w:rFonts w:hint="eastAsia" w:ascii="仿宋" w:hAnsi="仿宋" w:eastAsia="仿宋" w:cs="仿宋"/>
          <w:color w:val="auto"/>
          <w:sz w:val="21"/>
          <w:szCs w:val="21"/>
        </w:rPr>
        <w:t>）培训内容：</w:t>
      </w:r>
    </w:p>
    <w:p>
      <w:pPr>
        <w:spacing w:line="440" w:lineRule="exact"/>
        <w:ind w:firstLine="420" w:firstLineChars="200"/>
        <w:contextualSpacing/>
        <w:rPr>
          <w:rFonts w:hint="eastAsia" w:ascii="仿宋" w:hAnsi="仿宋" w:eastAsia="仿宋" w:cs="仿宋"/>
          <w:color w:val="auto"/>
          <w:sz w:val="21"/>
          <w:szCs w:val="21"/>
          <w:lang w:eastAsia="zh-CN"/>
        </w:rPr>
      </w:pPr>
      <w:bookmarkStart w:id="85" w:name="bookmark5"/>
      <w:r>
        <w:rPr>
          <w:rFonts w:hint="eastAsia" w:ascii="仿宋" w:hAnsi="仿宋" w:eastAsia="仿宋" w:cs="仿宋"/>
          <w:color w:val="auto"/>
          <w:sz w:val="21"/>
          <w:szCs w:val="21"/>
          <w:lang w:eastAsia="zh-CN"/>
        </w:rPr>
        <w:t>1</w:t>
      </w:r>
      <w:bookmarkEnd w:id="85"/>
      <w:r>
        <w:rPr>
          <w:rFonts w:hint="eastAsia" w:ascii="仿宋" w:hAnsi="仿宋" w:eastAsia="仿宋" w:cs="仿宋"/>
          <w:color w:val="auto"/>
          <w:sz w:val="21"/>
          <w:szCs w:val="21"/>
          <w:lang w:eastAsia="zh-CN"/>
        </w:rPr>
        <w:t>. 紧紧围绕多媒体教学、混合学习、智慧学习3种环境下的学情分析、教学设计、学法指导和学业评价4个维度30项信息技术应用微能力。</w:t>
      </w:r>
      <w:bookmarkStart w:id="86" w:name="bookmark6"/>
    </w:p>
    <w:p>
      <w:pPr>
        <w:pStyle w:val="76"/>
        <w:tabs>
          <w:tab w:val="left" w:pos="793"/>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w:t>
      </w:r>
      <w:bookmarkEnd w:id="86"/>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结合学校教育教学改革发展目标，以学校信息化发展规划的制订与落实为主线，开展面向所有学校管理团队的专项培训，提升信息化领导力。</w:t>
      </w:r>
    </w:p>
    <w:p>
      <w:pPr>
        <w:pStyle w:val="76"/>
        <w:tabs>
          <w:tab w:val="left" w:pos="710"/>
        </w:tabs>
        <w:spacing w:line="540" w:lineRule="exact"/>
        <w:ind w:firstLine="420" w:firstLineChars="200"/>
        <w:jc w:val="both"/>
        <w:rPr>
          <w:rFonts w:hint="eastAsia" w:ascii="仿宋" w:hAnsi="仿宋" w:eastAsia="仿宋" w:cs="仿宋"/>
          <w:color w:val="auto"/>
          <w:sz w:val="21"/>
          <w:szCs w:val="21"/>
        </w:rPr>
      </w:pPr>
      <w:bookmarkStart w:id="87" w:name="bookmark7"/>
      <w:r>
        <w:rPr>
          <w:rFonts w:hint="eastAsia" w:ascii="仿宋" w:hAnsi="仿宋" w:eastAsia="仿宋" w:cs="仿宋"/>
          <w:color w:val="auto"/>
          <w:sz w:val="21"/>
          <w:szCs w:val="21"/>
        </w:rPr>
        <w:t>3</w:t>
      </w:r>
      <w:bookmarkEnd w:id="87"/>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推动培训指导团队开展应用信息技术促进学科教育教学研究，探索基于</w:t>
      </w:r>
      <w:r>
        <w:rPr>
          <w:rFonts w:hint="eastAsia" w:ascii="仿宋" w:hAnsi="仿宋" w:eastAsia="仿宋" w:cs="仿宋"/>
          <w:color w:val="auto"/>
          <w:sz w:val="21"/>
          <w:szCs w:val="21"/>
          <w:lang w:val="zh-CN" w:eastAsia="zh-CN" w:bidi="zh-CN"/>
        </w:rPr>
        <w:t>“互</w:t>
      </w:r>
      <w:r>
        <w:rPr>
          <w:rFonts w:hint="eastAsia" w:ascii="仿宋" w:hAnsi="仿宋" w:eastAsia="仿宋" w:cs="仿宋"/>
          <w:color w:val="auto"/>
          <w:sz w:val="21"/>
          <w:szCs w:val="21"/>
        </w:rPr>
        <w:t>联网+”的教研组织形式，提高指导学科教师信息化教学的能力，以及应用信息技术进行培训设计、管理、评价等的能力。</w:t>
      </w:r>
    </w:p>
    <w:p>
      <w:pPr>
        <w:pStyle w:val="76"/>
        <w:spacing w:line="540" w:lineRule="exact"/>
        <w:ind w:firstLine="540"/>
        <w:jc w:val="both"/>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三</w:t>
      </w:r>
      <w:r>
        <w:rPr>
          <w:rFonts w:hint="eastAsia" w:ascii="仿宋" w:hAnsi="仿宋" w:eastAsia="仿宋" w:cs="仿宋"/>
          <w:color w:val="auto"/>
          <w:sz w:val="21"/>
          <w:szCs w:val="21"/>
        </w:rPr>
        <w:t>）培训要求：</w:t>
      </w:r>
    </w:p>
    <w:p>
      <w:pPr>
        <w:pStyle w:val="76"/>
        <w:tabs>
          <w:tab w:val="left" w:pos="757"/>
        </w:tabs>
        <w:spacing w:line="540" w:lineRule="exact"/>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 xml:space="preserve">1. </w:t>
      </w:r>
      <w:r>
        <w:rPr>
          <w:rFonts w:hint="eastAsia" w:ascii="仿宋" w:hAnsi="仿宋" w:eastAsia="仿宋" w:cs="仿宋"/>
          <w:color w:val="auto"/>
          <w:sz w:val="21"/>
          <w:szCs w:val="21"/>
        </w:rPr>
        <w:t>线上研修部分（20学时）：</w:t>
      </w:r>
    </w:p>
    <w:p>
      <w:pPr>
        <w:pStyle w:val="76"/>
        <w:tabs>
          <w:tab w:val="left" w:pos="757"/>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供应商提供培训期间所需要的教学实践环境</w:t>
      </w:r>
      <w:r>
        <w:rPr>
          <w:rFonts w:hint="eastAsia" w:ascii="仿宋" w:hAnsi="仿宋" w:eastAsia="仿宋" w:cs="仿宋"/>
          <w:color w:val="auto"/>
          <w:sz w:val="21"/>
          <w:szCs w:val="21"/>
          <w:lang w:eastAsia="zh-CN"/>
        </w:rPr>
        <w:t>，包括</w:t>
      </w:r>
      <w:r>
        <w:rPr>
          <w:rFonts w:hint="eastAsia" w:ascii="仿宋" w:hAnsi="仿宋" w:eastAsia="仿宋" w:cs="仿宋"/>
          <w:color w:val="auto"/>
          <w:sz w:val="21"/>
          <w:szCs w:val="21"/>
        </w:rPr>
        <w:t>供应商自有</w:t>
      </w:r>
      <w:r>
        <w:rPr>
          <w:rFonts w:hint="eastAsia" w:ascii="仿宋" w:hAnsi="仿宋" w:eastAsia="仿宋" w:cs="仿宋"/>
          <w:color w:val="auto"/>
          <w:sz w:val="21"/>
          <w:szCs w:val="21"/>
          <w:lang w:eastAsia="zh-CN"/>
        </w:rPr>
        <w:t>的</w:t>
      </w:r>
      <w:r>
        <w:rPr>
          <w:rFonts w:hint="eastAsia" w:ascii="仿宋" w:hAnsi="仿宋" w:eastAsia="仿宋" w:cs="仿宋"/>
          <w:color w:val="auto"/>
          <w:sz w:val="21"/>
          <w:szCs w:val="21"/>
        </w:rPr>
        <w:t>比较完善的教师研修平台与课程资源。研修平台</w:t>
      </w:r>
      <w:r>
        <w:rPr>
          <w:rFonts w:hint="eastAsia" w:ascii="仿宋" w:hAnsi="仿宋" w:eastAsia="仿宋" w:cs="仿宋"/>
          <w:color w:val="auto"/>
          <w:sz w:val="21"/>
          <w:szCs w:val="21"/>
          <w:lang w:eastAsia="zh-CN"/>
        </w:rPr>
        <w:t>采</w:t>
      </w:r>
      <w:r>
        <w:rPr>
          <w:rFonts w:hint="eastAsia" w:ascii="仿宋" w:hAnsi="仿宋" w:eastAsia="仿宋" w:cs="仿宋"/>
          <w:color w:val="auto"/>
          <w:sz w:val="21"/>
          <w:szCs w:val="21"/>
        </w:rPr>
        <w:t>用互联网主流技术框架进行整体和底层设计，功能可扩展、接口可开放、数据可共享、应用可管理、安全可保障，平台可接入区域大数据管理服务平台，实现数据整合。平台</w:t>
      </w:r>
      <w:r>
        <w:rPr>
          <w:rFonts w:hint="eastAsia" w:ascii="仿宋" w:hAnsi="仿宋" w:eastAsia="仿宋" w:cs="仿宋"/>
          <w:color w:val="auto"/>
          <w:sz w:val="21"/>
          <w:szCs w:val="21"/>
          <w:lang w:eastAsia="zh-CN"/>
        </w:rPr>
        <w:t>开</w:t>
      </w:r>
      <w:r>
        <w:rPr>
          <w:rFonts w:hint="eastAsia" w:ascii="仿宋" w:hAnsi="仿宋" w:eastAsia="仿宋" w:cs="仿宋"/>
          <w:color w:val="auto"/>
          <w:sz w:val="21"/>
          <w:szCs w:val="21"/>
        </w:rPr>
        <w:t>发应用具备相应的保障技术设计，如文件缓存和上下行流量控制技术或策略等。平台并发承载能力应根据区域用户峰值的110%或更多来计算。课程资源符合国家课程标准和和四川省中小学教师信息技术应用能力提升工程</w:t>
      </w:r>
      <w:r>
        <w:rPr>
          <w:rFonts w:hint="eastAsia" w:ascii="仿宋" w:hAnsi="仿宋" w:eastAsia="仿宋" w:cs="仿宋"/>
          <w:color w:val="auto"/>
          <w:sz w:val="21"/>
          <w:szCs w:val="21"/>
          <w:lang w:val="en-US" w:eastAsia="zh-CN" w:bidi="en-US"/>
        </w:rPr>
        <w:t>2.0</w:t>
      </w:r>
      <w:r>
        <w:rPr>
          <w:rFonts w:hint="eastAsia" w:ascii="仿宋" w:hAnsi="仿宋" w:eastAsia="仿宋" w:cs="仿宋"/>
          <w:color w:val="auto"/>
          <w:sz w:val="21"/>
          <w:szCs w:val="21"/>
        </w:rPr>
        <w:t>研修内容要求，体现较强的学科引领性、思想性和实用性，无政治性、科学性和思想性错误。应符合国家有关技术标准和规范，申报或上传平台前须进行防病毒处理。具有合法或明确的知识产权界定。具体为以下要求：</w:t>
      </w:r>
    </w:p>
    <w:p>
      <w:pPr>
        <w:spacing w:line="440" w:lineRule="exact"/>
        <w:ind w:firstLine="420" w:firstLineChars="200"/>
        <w:contextualSpacing/>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（1）平台功能要求</w:t>
      </w:r>
      <w:r>
        <w:rPr>
          <w:rFonts w:hint="eastAsia" w:ascii="仿宋" w:hAnsi="仿宋" w:eastAsia="仿宋" w:cs="仿宋"/>
          <w:color w:val="auto"/>
          <w:sz w:val="21"/>
          <w:szCs w:val="21"/>
          <w:lang w:val="zh-TW" w:eastAsia="zh-TW" w:bidi="zh-TW"/>
        </w:rPr>
        <w:t>：平台功能必须满足能力提升工程2.0基本业务功能和流程要求，包括线上学习、线下校本应用实践、校本应用测评、各级抽检等。具有支持分级分层的整校推进实施的过程性管理功能。同时开放数据接口，能接至四川省中小学教师信息技术应用能力提升工程管理系统；平台兼容性强，支持多用户同时操作和高并发、高访问量；能够提供优质资源的本地化共享服务；确保平台的网络安全、系统安全、数据和信息安全，具有提供平台扩展服务能力等。</w:t>
      </w:r>
    </w:p>
    <w:p>
      <w:pPr>
        <w:spacing w:line="440" w:lineRule="exact"/>
        <w:contextualSpacing/>
        <w:rPr>
          <w:rFonts w:hint="eastAsia" w:ascii="仿宋" w:hAnsi="仿宋" w:eastAsia="仿宋" w:cs="仿宋"/>
          <w:color w:val="auto"/>
          <w:sz w:val="21"/>
          <w:szCs w:val="21"/>
          <w:lang w:val="zh-TW" w:eastAsia="zh-TW" w:bidi="zh-TW"/>
        </w:rPr>
      </w:pPr>
      <w:r>
        <w:rPr>
          <w:rFonts w:hint="eastAsia" w:ascii="仿宋" w:hAnsi="仿宋" w:eastAsia="仿宋" w:cs="仿宋"/>
          <w:color w:val="auto"/>
          <w:sz w:val="21"/>
          <w:szCs w:val="21"/>
          <w:lang w:val="zh-TW" w:eastAsia="zh-TW" w:bidi="zh-TW"/>
        </w:rPr>
        <w:t>（2）线上学习课程和资源</w:t>
      </w:r>
    </w:p>
    <w:p>
      <w:pPr>
        <w:spacing w:line="440" w:lineRule="exact"/>
        <w:ind w:firstLine="420" w:firstLineChars="200"/>
        <w:contextualSpacing/>
        <w:rPr>
          <w:rFonts w:hint="eastAsia" w:ascii="仿宋" w:hAnsi="仿宋" w:eastAsia="仿宋" w:cs="仿宋"/>
          <w:color w:val="auto"/>
          <w:sz w:val="21"/>
          <w:szCs w:val="21"/>
          <w:lang w:val="zh-TW" w:eastAsia="zh-CN" w:bidi="zh-TW"/>
        </w:rPr>
      </w:pPr>
      <w:r>
        <w:rPr>
          <w:rFonts w:hint="eastAsia" w:ascii="仿宋" w:hAnsi="仿宋" w:eastAsia="仿宋" w:cs="仿宋"/>
          <w:color w:val="auto"/>
          <w:sz w:val="21"/>
          <w:szCs w:val="21"/>
          <w:lang w:val="zh-TW" w:eastAsia="zh-TW" w:bidi="zh-TW"/>
        </w:rPr>
        <w:t>线上学习课程和资源必须符合国家及省市相关法律法规，党的教育方针、政策，体现社会主义核心价值观，无政治性、科学性错误。紧紧依据30个能力点考核标准进行设置，且完整覆盖30项能力点，课程设置合理，资源形式丰富，内容权威，画质清晰，拥有自主知识产权，无版权争议等。30</w:t>
      </w:r>
      <w:r>
        <w:rPr>
          <w:rFonts w:hint="eastAsia" w:ascii="仿宋" w:hAnsi="仿宋" w:eastAsia="仿宋" w:cs="仿宋"/>
          <w:color w:val="auto"/>
          <w:sz w:val="21"/>
          <w:szCs w:val="21"/>
          <w:lang w:val="zh-TW" w:eastAsia="zh-CN" w:bidi="zh-TW"/>
        </w:rPr>
        <w:t>个能力点如下：</w:t>
      </w:r>
    </w:p>
    <w:tbl>
      <w:tblPr>
        <w:tblStyle w:val="29"/>
        <w:tblpPr w:leftFromText="180" w:rightFromText="180" w:vertAnchor="text" w:horzAnchor="margin" w:tblpX="-357" w:tblpY="60"/>
        <w:tblW w:w="8471" w:type="dxa"/>
        <w:tblInd w:w="0" w:type="dxa"/>
        <w:tblLayout w:type="autofit"/>
        <w:tblCellMar>
          <w:top w:w="0" w:type="dxa"/>
          <w:left w:w="108" w:type="dxa"/>
          <w:bottom w:w="0" w:type="dxa"/>
          <w:right w:w="108" w:type="dxa"/>
        </w:tblCellMar>
      </w:tblPr>
      <w:tblGrid>
        <w:gridCol w:w="1701"/>
        <w:gridCol w:w="2376"/>
        <w:gridCol w:w="2268"/>
        <w:gridCol w:w="2126"/>
      </w:tblGrid>
      <w:tr>
        <w:tblPrEx>
          <w:tblCellMar>
            <w:top w:w="0" w:type="dxa"/>
            <w:left w:w="108" w:type="dxa"/>
            <w:bottom w:w="0" w:type="dxa"/>
            <w:right w:w="108" w:type="dxa"/>
          </w:tblCellMar>
        </w:tblPrEx>
        <w:trPr>
          <w:trHeight w:val="750" w:hRule="atLeast"/>
        </w:trPr>
        <w:tc>
          <w:tcPr>
            <w:tcW w:w="1701" w:type="dxa"/>
            <w:tcBorders>
              <w:top w:val="single" w:color="auto" w:sz="4" w:space="0"/>
              <w:left w:val="single" w:color="auto" w:sz="4" w:space="0"/>
              <w:bottom w:val="single" w:color="auto" w:sz="4" w:space="0"/>
              <w:right w:val="nil"/>
            </w:tcBorders>
            <w:shd w:val="clear" w:color="auto" w:fill="auto"/>
            <w:vAlign w:val="center"/>
          </w:tcPr>
          <w:p>
            <w:pPr>
              <w:widowControl/>
              <w:spacing w:line="440" w:lineRule="exact"/>
              <w:contextualSpacing/>
              <w:jc w:val="center"/>
              <w:rPr>
                <w:rFonts w:hint="eastAsia" w:ascii="仿宋" w:hAnsi="仿宋" w:eastAsia="仿宋" w:cs="仿宋"/>
                <w:color w:val="auto"/>
                <w:sz w:val="21"/>
                <w:szCs w:val="21"/>
              </w:rPr>
            </w:pPr>
            <w:r>
              <w:rPr>
                <w:rFonts w:hint="eastAsia" w:ascii="仿宋" w:hAnsi="仿宋" w:eastAsia="仿宋" w:cs="仿宋"/>
                <w:color w:val="auto"/>
                <w:sz w:val="21"/>
                <w:szCs w:val="21"/>
              </w:rPr>
              <w:t>信息技术应用环境</w:t>
            </w:r>
          </w:p>
        </w:tc>
        <w:tc>
          <w:tcPr>
            <w:tcW w:w="23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contextualSpacing/>
              <w:jc w:val="center"/>
              <w:rPr>
                <w:rFonts w:hint="eastAsia" w:ascii="仿宋" w:hAnsi="仿宋" w:eastAsia="仿宋" w:cs="仿宋"/>
                <w:color w:val="auto"/>
                <w:sz w:val="21"/>
                <w:szCs w:val="21"/>
              </w:rPr>
            </w:pPr>
            <w:r>
              <w:rPr>
                <w:rFonts w:hint="eastAsia" w:ascii="仿宋" w:hAnsi="仿宋" w:eastAsia="仿宋" w:cs="仿宋"/>
                <w:color w:val="auto"/>
                <w:sz w:val="21"/>
                <w:szCs w:val="21"/>
              </w:rPr>
              <w:t>A 多媒体教学环境</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contextualSpacing/>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B 混合学习环境 </w:t>
            </w:r>
          </w:p>
        </w:tc>
        <w:tc>
          <w:tcPr>
            <w:tcW w:w="2126"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contextualSpacing/>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C 智慧学习环境 </w:t>
            </w:r>
          </w:p>
        </w:tc>
      </w:tr>
      <w:tr>
        <w:tblPrEx>
          <w:tblCellMar>
            <w:top w:w="0" w:type="dxa"/>
            <w:left w:w="108" w:type="dxa"/>
            <w:bottom w:w="0" w:type="dxa"/>
            <w:right w:w="108" w:type="dxa"/>
          </w:tblCellMar>
        </w:tblPrEx>
        <w:trPr>
          <w:trHeight w:val="390"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contextualSpacing/>
              <w:jc w:val="center"/>
              <w:rPr>
                <w:rFonts w:hint="eastAsia" w:ascii="仿宋" w:hAnsi="仿宋" w:eastAsia="仿宋" w:cs="仿宋"/>
                <w:color w:val="auto"/>
                <w:sz w:val="21"/>
                <w:szCs w:val="21"/>
              </w:rPr>
            </w:pPr>
            <w:r>
              <w:rPr>
                <w:rFonts w:hint="eastAsia" w:ascii="仿宋" w:hAnsi="仿宋" w:eastAsia="仿宋" w:cs="仿宋"/>
                <w:color w:val="auto"/>
                <w:sz w:val="21"/>
                <w:szCs w:val="21"/>
              </w:rPr>
              <w:t>学情分析</w:t>
            </w:r>
          </w:p>
        </w:tc>
        <w:tc>
          <w:tcPr>
            <w:tcW w:w="2376"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rPr>
            </w:pPr>
            <w:r>
              <w:rPr>
                <w:rFonts w:hint="eastAsia" w:ascii="仿宋" w:hAnsi="仿宋" w:eastAsia="仿宋" w:cs="仿宋"/>
                <w:color w:val="auto"/>
                <w:sz w:val="21"/>
                <w:szCs w:val="21"/>
              </w:rPr>
              <w:t xml:space="preserve">A1 技术支持的学情分析 </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B1 技术支持的测验与练习 </w:t>
            </w:r>
          </w:p>
        </w:tc>
        <w:tc>
          <w:tcPr>
            <w:tcW w:w="2126"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375" w:hRule="atLeast"/>
        </w:trPr>
        <w:tc>
          <w:tcPr>
            <w:tcW w:w="1701" w:type="dxa"/>
            <w:vMerge w:val="restart"/>
            <w:tcBorders>
              <w:top w:val="single" w:color="auto" w:sz="4" w:space="0"/>
              <w:left w:val="single" w:color="auto" w:sz="4" w:space="0"/>
              <w:bottom w:val="single" w:color="000000" w:sz="8" w:space="0"/>
              <w:right w:val="single" w:color="auto" w:sz="4" w:space="0"/>
            </w:tcBorders>
            <w:shd w:val="clear" w:color="auto" w:fill="auto"/>
            <w:vAlign w:val="center"/>
          </w:tcPr>
          <w:p>
            <w:pPr>
              <w:widowControl/>
              <w:spacing w:line="440" w:lineRule="exact"/>
              <w:contextualSpacing/>
              <w:jc w:val="center"/>
              <w:rPr>
                <w:rFonts w:hint="eastAsia" w:ascii="仿宋" w:hAnsi="仿宋" w:eastAsia="仿宋" w:cs="仿宋"/>
                <w:color w:val="auto"/>
                <w:sz w:val="21"/>
                <w:szCs w:val="21"/>
              </w:rPr>
            </w:pPr>
            <w:r>
              <w:rPr>
                <w:rFonts w:hint="eastAsia" w:ascii="仿宋" w:hAnsi="仿宋" w:eastAsia="仿宋" w:cs="仿宋"/>
                <w:color w:val="auto"/>
                <w:sz w:val="21"/>
                <w:szCs w:val="21"/>
              </w:rPr>
              <w:t>教学设计</w:t>
            </w:r>
          </w:p>
        </w:tc>
        <w:tc>
          <w:tcPr>
            <w:tcW w:w="2376"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A2 数字教育资源获取与评价 </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rPr>
            </w:pPr>
            <w:r>
              <w:rPr>
                <w:rFonts w:hint="eastAsia" w:ascii="仿宋" w:hAnsi="仿宋" w:eastAsia="仿宋" w:cs="仿宋"/>
                <w:color w:val="auto"/>
                <w:sz w:val="21"/>
                <w:szCs w:val="21"/>
              </w:rPr>
              <w:t xml:space="preserve">B2 微课程设计与制作 </w:t>
            </w:r>
          </w:p>
        </w:tc>
        <w:tc>
          <w:tcPr>
            <w:tcW w:w="2126"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C1 跨学科学习活动设计 </w:t>
            </w:r>
          </w:p>
        </w:tc>
      </w:tr>
      <w:tr>
        <w:tblPrEx>
          <w:tblCellMar>
            <w:top w:w="0" w:type="dxa"/>
            <w:left w:w="108" w:type="dxa"/>
            <w:bottom w:w="0" w:type="dxa"/>
            <w:right w:w="108" w:type="dxa"/>
          </w:tblCellMar>
        </w:tblPrEx>
        <w:trPr>
          <w:trHeight w:val="375" w:hRule="atLeast"/>
        </w:trPr>
        <w:tc>
          <w:tcPr>
            <w:tcW w:w="1701" w:type="dxa"/>
            <w:vMerge w:val="continue"/>
            <w:tcBorders>
              <w:top w:val="single" w:color="auto" w:sz="8" w:space="0"/>
              <w:left w:val="single" w:color="auto" w:sz="4" w:space="0"/>
              <w:bottom w:val="single" w:color="000000" w:sz="8" w:space="0"/>
              <w:right w:val="single" w:color="auto" w:sz="4" w:space="0"/>
            </w:tcBorders>
            <w:vAlign w:val="center"/>
          </w:tcPr>
          <w:p>
            <w:pPr>
              <w:widowControl/>
              <w:spacing w:line="440" w:lineRule="exact"/>
              <w:contextualSpacing/>
              <w:rPr>
                <w:rFonts w:hint="eastAsia" w:ascii="仿宋" w:hAnsi="仿宋" w:eastAsia="仿宋" w:cs="仿宋"/>
                <w:color w:val="auto"/>
                <w:sz w:val="21"/>
                <w:szCs w:val="21"/>
                <w:lang w:eastAsia="zh-CN"/>
              </w:rPr>
            </w:pPr>
          </w:p>
        </w:tc>
        <w:tc>
          <w:tcPr>
            <w:tcW w:w="2376"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rPr>
            </w:pPr>
            <w:r>
              <w:rPr>
                <w:rFonts w:hint="eastAsia" w:ascii="仿宋" w:hAnsi="仿宋" w:eastAsia="仿宋" w:cs="仿宋"/>
                <w:color w:val="auto"/>
                <w:sz w:val="21"/>
                <w:szCs w:val="21"/>
              </w:rPr>
              <w:t xml:space="preserve">A3 演示文稿设计与制作 </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B3 探究型学习活动设计 </w:t>
            </w:r>
          </w:p>
        </w:tc>
        <w:tc>
          <w:tcPr>
            <w:tcW w:w="2126"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rPr>
            </w:pPr>
            <w:r>
              <w:rPr>
                <w:rFonts w:hint="eastAsia" w:ascii="仿宋" w:hAnsi="仿宋" w:eastAsia="仿宋" w:cs="仿宋"/>
                <w:color w:val="auto"/>
                <w:sz w:val="21"/>
                <w:szCs w:val="21"/>
              </w:rPr>
              <w:t xml:space="preserve">C2 创造真实学习情境 </w:t>
            </w:r>
          </w:p>
        </w:tc>
      </w:tr>
      <w:tr>
        <w:tblPrEx>
          <w:tblCellMar>
            <w:top w:w="0" w:type="dxa"/>
            <w:left w:w="108" w:type="dxa"/>
            <w:bottom w:w="0" w:type="dxa"/>
            <w:right w:w="108" w:type="dxa"/>
          </w:tblCellMar>
        </w:tblPrEx>
        <w:trPr>
          <w:trHeight w:val="390" w:hRule="atLeast"/>
        </w:trPr>
        <w:tc>
          <w:tcPr>
            <w:tcW w:w="1701" w:type="dxa"/>
            <w:vMerge w:val="continue"/>
            <w:tcBorders>
              <w:top w:val="single" w:color="auto" w:sz="8" w:space="0"/>
              <w:left w:val="single" w:color="auto" w:sz="4" w:space="0"/>
              <w:bottom w:val="single" w:color="000000" w:sz="8" w:space="0"/>
              <w:right w:val="single" w:color="auto" w:sz="4" w:space="0"/>
            </w:tcBorders>
            <w:vAlign w:val="center"/>
          </w:tcPr>
          <w:p>
            <w:pPr>
              <w:widowControl/>
              <w:spacing w:line="440" w:lineRule="exact"/>
              <w:contextualSpacing/>
              <w:rPr>
                <w:rFonts w:hint="eastAsia" w:ascii="仿宋" w:hAnsi="仿宋" w:eastAsia="仿宋" w:cs="仿宋"/>
                <w:color w:val="auto"/>
                <w:sz w:val="21"/>
                <w:szCs w:val="21"/>
              </w:rPr>
            </w:pPr>
          </w:p>
        </w:tc>
        <w:tc>
          <w:tcPr>
            <w:tcW w:w="2376" w:type="dxa"/>
            <w:tcBorders>
              <w:top w:val="nil"/>
              <w:left w:val="nil"/>
              <w:bottom w:val="single" w:color="auto" w:sz="8"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rPr>
            </w:pPr>
            <w:r>
              <w:rPr>
                <w:rFonts w:hint="eastAsia" w:ascii="仿宋" w:hAnsi="仿宋" w:eastAsia="仿宋" w:cs="仿宋"/>
                <w:color w:val="auto"/>
                <w:sz w:val="21"/>
                <w:szCs w:val="21"/>
              </w:rPr>
              <w:t xml:space="preserve">A4 数字教育资源管理 </w:t>
            </w:r>
          </w:p>
        </w:tc>
        <w:tc>
          <w:tcPr>
            <w:tcW w:w="2268" w:type="dxa"/>
            <w:tcBorders>
              <w:top w:val="nil"/>
              <w:left w:val="nil"/>
              <w:bottom w:val="single" w:color="auto" w:sz="8" w:space="0"/>
              <w:right w:val="single" w:color="auto" w:sz="4" w:space="0"/>
            </w:tcBorders>
            <w:shd w:val="clear" w:color="auto" w:fill="auto"/>
            <w:noWrap/>
            <w:vAlign w:val="center"/>
          </w:tcPr>
          <w:p>
            <w:pPr>
              <w:widowControl/>
              <w:spacing w:line="440" w:lineRule="exact"/>
              <w:contextualSpacing/>
              <w:rPr>
                <w:rFonts w:hint="eastAsia" w:ascii="仿宋" w:hAnsi="仿宋" w:eastAsia="仿宋" w:cs="仿宋"/>
                <w:color w:val="auto"/>
                <w:sz w:val="21"/>
                <w:szCs w:val="21"/>
              </w:rPr>
            </w:pPr>
          </w:p>
        </w:tc>
        <w:tc>
          <w:tcPr>
            <w:tcW w:w="2126" w:type="dxa"/>
            <w:tcBorders>
              <w:top w:val="nil"/>
              <w:left w:val="nil"/>
              <w:bottom w:val="single" w:color="auto" w:sz="8" w:space="0"/>
              <w:right w:val="single" w:color="auto" w:sz="4" w:space="0"/>
            </w:tcBorders>
            <w:shd w:val="clear" w:color="auto" w:fill="auto"/>
            <w:noWrap/>
            <w:vAlign w:val="center"/>
          </w:tcPr>
          <w:p>
            <w:pPr>
              <w:widowControl/>
              <w:spacing w:line="440" w:lineRule="exact"/>
              <w:contextualSpacing/>
              <w:rPr>
                <w:rFonts w:hint="eastAsia" w:ascii="仿宋" w:hAnsi="仿宋" w:eastAsia="仿宋" w:cs="仿宋"/>
                <w:color w:val="auto"/>
                <w:sz w:val="21"/>
                <w:szCs w:val="21"/>
              </w:rPr>
            </w:pPr>
          </w:p>
        </w:tc>
      </w:tr>
      <w:tr>
        <w:tblPrEx>
          <w:tblCellMar>
            <w:top w:w="0" w:type="dxa"/>
            <w:left w:w="108" w:type="dxa"/>
            <w:bottom w:w="0" w:type="dxa"/>
            <w:right w:w="108" w:type="dxa"/>
          </w:tblCellMar>
        </w:tblPrEx>
        <w:trPr>
          <w:trHeight w:val="375" w:hRule="atLeast"/>
        </w:trPr>
        <w:tc>
          <w:tcPr>
            <w:tcW w:w="1701" w:type="dxa"/>
            <w:vMerge w:val="restart"/>
            <w:tcBorders>
              <w:top w:val="nil"/>
              <w:left w:val="single" w:color="auto" w:sz="4" w:space="0"/>
              <w:bottom w:val="single" w:color="000000" w:sz="8" w:space="0"/>
              <w:right w:val="single" w:color="auto" w:sz="4" w:space="0"/>
            </w:tcBorders>
            <w:shd w:val="clear" w:color="auto" w:fill="auto"/>
            <w:vAlign w:val="center"/>
          </w:tcPr>
          <w:p>
            <w:pPr>
              <w:widowControl/>
              <w:spacing w:line="440" w:lineRule="exact"/>
              <w:contextualSpacing/>
              <w:jc w:val="center"/>
              <w:rPr>
                <w:rFonts w:hint="eastAsia" w:ascii="仿宋" w:hAnsi="仿宋" w:eastAsia="仿宋" w:cs="仿宋"/>
                <w:color w:val="auto"/>
                <w:sz w:val="21"/>
                <w:szCs w:val="21"/>
              </w:rPr>
            </w:pPr>
            <w:r>
              <w:rPr>
                <w:rFonts w:hint="eastAsia" w:ascii="仿宋" w:hAnsi="仿宋" w:eastAsia="仿宋" w:cs="仿宋"/>
                <w:color w:val="auto"/>
                <w:sz w:val="21"/>
                <w:szCs w:val="21"/>
              </w:rPr>
              <w:t>学法指导</w:t>
            </w:r>
          </w:p>
        </w:tc>
        <w:tc>
          <w:tcPr>
            <w:tcW w:w="2376"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rPr>
            </w:pPr>
            <w:r>
              <w:rPr>
                <w:rFonts w:hint="eastAsia" w:ascii="仿宋" w:hAnsi="仿宋" w:eastAsia="仿宋" w:cs="仿宋"/>
                <w:color w:val="auto"/>
                <w:sz w:val="21"/>
                <w:szCs w:val="21"/>
              </w:rPr>
              <w:t xml:space="preserve">A5 技术支持的课堂导入 </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B4 技术支持的发现与解决问题 </w:t>
            </w:r>
          </w:p>
        </w:tc>
        <w:tc>
          <w:tcPr>
            <w:tcW w:w="2126"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C3 创新解决问题的方法 </w:t>
            </w:r>
          </w:p>
        </w:tc>
      </w:tr>
      <w:tr>
        <w:tblPrEx>
          <w:tblCellMar>
            <w:top w:w="0" w:type="dxa"/>
            <w:left w:w="108" w:type="dxa"/>
            <w:bottom w:w="0" w:type="dxa"/>
            <w:right w:w="108" w:type="dxa"/>
          </w:tblCellMar>
        </w:tblPrEx>
        <w:trPr>
          <w:trHeight w:val="375" w:hRule="atLeast"/>
        </w:trPr>
        <w:tc>
          <w:tcPr>
            <w:tcW w:w="1701" w:type="dxa"/>
            <w:vMerge w:val="continue"/>
            <w:tcBorders>
              <w:top w:val="nil"/>
              <w:left w:val="single" w:color="auto" w:sz="4" w:space="0"/>
              <w:bottom w:val="single" w:color="000000" w:sz="8" w:space="0"/>
              <w:right w:val="single" w:color="auto" w:sz="4" w:space="0"/>
            </w:tcBorders>
            <w:vAlign w:val="center"/>
          </w:tcPr>
          <w:p>
            <w:pPr>
              <w:widowControl/>
              <w:spacing w:line="440" w:lineRule="exact"/>
              <w:contextualSpacing/>
              <w:rPr>
                <w:rFonts w:hint="eastAsia" w:ascii="仿宋" w:hAnsi="仿宋" w:eastAsia="仿宋" w:cs="仿宋"/>
                <w:color w:val="auto"/>
                <w:sz w:val="21"/>
                <w:szCs w:val="21"/>
                <w:lang w:eastAsia="zh-CN"/>
              </w:rPr>
            </w:pPr>
          </w:p>
        </w:tc>
        <w:tc>
          <w:tcPr>
            <w:tcW w:w="2376"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rPr>
            </w:pPr>
            <w:r>
              <w:rPr>
                <w:rFonts w:hint="eastAsia" w:ascii="仿宋" w:hAnsi="仿宋" w:eastAsia="仿宋" w:cs="仿宋"/>
                <w:color w:val="auto"/>
                <w:sz w:val="21"/>
                <w:szCs w:val="21"/>
              </w:rPr>
              <w:t xml:space="preserve">A6 技术支持的课堂讲授 </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B5 学习小组组织与管理 </w:t>
            </w:r>
          </w:p>
        </w:tc>
        <w:tc>
          <w:tcPr>
            <w:tcW w:w="2126"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C4 支持学生创造性学习与表达 </w:t>
            </w:r>
          </w:p>
        </w:tc>
      </w:tr>
      <w:tr>
        <w:tblPrEx>
          <w:tblCellMar>
            <w:top w:w="0" w:type="dxa"/>
            <w:left w:w="108" w:type="dxa"/>
            <w:bottom w:w="0" w:type="dxa"/>
            <w:right w:w="108" w:type="dxa"/>
          </w:tblCellMar>
        </w:tblPrEx>
        <w:trPr>
          <w:trHeight w:val="375" w:hRule="atLeast"/>
        </w:trPr>
        <w:tc>
          <w:tcPr>
            <w:tcW w:w="1701" w:type="dxa"/>
            <w:vMerge w:val="continue"/>
            <w:tcBorders>
              <w:top w:val="nil"/>
              <w:left w:val="single" w:color="auto" w:sz="4" w:space="0"/>
              <w:bottom w:val="single" w:color="000000" w:sz="8" w:space="0"/>
              <w:right w:val="single" w:color="auto" w:sz="4" w:space="0"/>
            </w:tcBorders>
            <w:vAlign w:val="center"/>
          </w:tcPr>
          <w:p>
            <w:pPr>
              <w:widowControl/>
              <w:spacing w:line="440" w:lineRule="exact"/>
              <w:contextualSpacing/>
              <w:rPr>
                <w:rFonts w:hint="eastAsia" w:ascii="仿宋" w:hAnsi="仿宋" w:eastAsia="仿宋" w:cs="仿宋"/>
                <w:color w:val="auto"/>
                <w:sz w:val="21"/>
                <w:szCs w:val="21"/>
                <w:lang w:eastAsia="zh-CN"/>
              </w:rPr>
            </w:pPr>
          </w:p>
        </w:tc>
        <w:tc>
          <w:tcPr>
            <w:tcW w:w="2376"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rPr>
            </w:pPr>
            <w:r>
              <w:rPr>
                <w:rFonts w:hint="eastAsia" w:ascii="仿宋" w:hAnsi="仿宋" w:eastAsia="仿宋" w:cs="仿宋"/>
                <w:color w:val="auto"/>
                <w:sz w:val="21"/>
                <w:szCs w:val="21"/>
              </w:rPr>
              <w:t xml:space="preserve">A7 技术支持的总结提升 </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B6 技术支持的展示交流 </w:t>
            </w:r>
          </w:p>
        </w:tc>
        <w:tc>
          <w:tcPr>
            <w:tcW w:w="2126"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C5 基于数据的个别化指导 </w:t>
            </w:r>
          </w:p>
        </w:tc>
      </w:tr>
      <w:tr>
        <w:tblPrEx>
          <w:tblCellMar>
            <w:top w:w="0" w:type="dxa"/>
            <w:left w:w="108" w:type="dxa"/>
            <w:bottom w:w="0" w:type="dxa"/>
            <w:right w:w="108" w:type="dxa"/>
          </w:tblCellMar>
        </w:tblPrEx>
        <w:trPr>
          <w:trHeight w:val="375" w:hRule="atLeast"/>
        </w:trPr>
        <w:tc>
          <w:tcPr>
            <w:tcW w:w="1701" w:type="dxa"/>
            <w:vMerge w:val="continue"/>
            <w:tcBorders>
              <w:top w:val="nil"/>
              <w:left w:val="single" w:color="auto" w:sz="4" w:space="0"/>
              <w:bottom w:val="single" w:color="000000" w:sz="8" w:space="0"/>
              <w:right w:val="single" w:color="auto" w:sz="4" w:space="0"/>
            </w:tcBorders>
            <w:vAlign w:val="center"/>
          </w:tcPr>
          <w:p>
            <w:pPr>
              <w:widowControl/>
              <w:spacing w:line="440" w:lineRule="exact"/>
              <w:contextualSpacing/>
              <w:rPr>
                <w:rFonts w:hint="eastAsia" w:ascii="仿宋" w:hAnsi="仿宋" w:eastAsia="仿宋" w:cs="仿宋"/>
                <w:color w:val="auto"/>
                <w:sz w:val="21"/>
                <w:szCs w:val="21"/>
                <w:lang w:eastAsia="zh-CN"/>
              </w:rPr>
            </w:pPr>
          </w:p>
        </w:tc>
        <w:tc>
          <w:tcPr>
            <w:tcW w:w="2376"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rPr>
            </w:pPr>
            <w:r>
              <w:rPr>
                <w:rFonts w:hint="eastAsia" w:ascii="仿宋" w:hAnsi="仿宋" w:eastAsia="仿宋" w:cs="仿宋"/>
                <w:color w:val="auto"/>
                <w:sz w:val="21"/>
                <w:szCs w:val="21"/>
              </w:rPr>
              <w:t xml:space="preserve">A8 技术支持的方法指导 </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rPr>
            </w:pPr>
            <w:r>
              <w:rPr>
                <w:rFonts w:hint="eastAsia" w:ascii="仿宋" w:hAnsi="仿宋" w:eastAsia="仿宋" w:cs="仿宋"/>
                <w:color w:val="auto"/>
                <w:sz w:val="21"/>
                <w:szCs w:val="21"/>
              </w:rPr>
              <w:t xml:space="preserve">B7 家校交流与指导 </w:t>
            </w:r>
          </w:p>
        </w:tc>
        <w:tc>
          <w:tcPr>
            <w:tcW w:w="2126" w:type="dxa"/>
            <w:tcBorders>
              <w:top w:val="nil"/>
              <w:left w:val="nil"/>
              <w:bottom w:val="single" w:color="auto" w:sz="4" w:space="0"/>
              <w:right w:val="single" w:color="auto" w:sz="4" w:space="0"/>
            </w:tcBorders>
            <w:shd w:val="clear" w:color="auto" w:fill="auto"/>
            <w:noWrap/>
            <w:vAlign w:val="center"/>
          </w:tcPr>
          <w:p>
            <w:pPr>
              <w:widowControl/>
              <w:spacing w:line="440" w:lineRule="exact"/>
              <w:contextualSpacing/>
              <w:rPr>
                <w:rFonts w:hint="eastAsia" w:ascii="仿宋" w:hAnsi="仿宋" w:eastAsia="仿宋" w:cs="仿宋"/>
                <w:color w:val="auto"/>
                <w:sz w:val="21"/>
                <w:szCs w:val="21"/>
              </w:rPr>
            </w:pPr>
          </w:p>
        </w:tc>
      </w:tr>
      <w:tr>
        <w:tblPrEx>
          <w:tblCellMar>
            <w:top w:w="0" w:type="dxa"/>
            <w:left w:w="108" w:type="dxa"/>
            <w:bottom w:w="0" w:type="dxa"/>
            <w:right w:w="108" w:type="dxa"/>
          </w:tblCellMar>
        </w:tblPrEx>
        <w:trPr>
          <w:trHeight w:val="375" w:hRule="atLeast"/>
        </w:trPr>
        <w:tc>
          <w:tcPr>
            <w:tcW w:w="1701" w:type="dxa"/>
            <w:vMerge w:val="continue"/>
            <w:tcBorders>
              <w:top w:val="nil"/>
              <w:left w:val="single" w:color="auto" w:sz="4" w:space="0"/>
              <w:bottom w:val="single" w:color="000000" w:sz="8" w:space="0"/>
              <w:right w:val="single" w:color="auto" w:sz="4" w:space="0"/>
            </w:tcBorders>
            <w:vAlign w:val="center"/>
          </w:tcPr>
          <w:p>
            <w:pPr>
              <w:widowControl/>
              <w:spacing w:line="440" w:lineRule="exact"/>
              <w:contextualSpacing/>
              <w:rPr>
                <w:rFonts w:hint="eastAsia" w:ascii="仿宋" w:hAnsi="仿宋" w:eastAsia="仿宋" w:cs="仿宋"/>
                <w:color w:val="auto"/>
                <w:sz w:val="21"/>
                <w:szCs w:val="21"/>
              </w:rPr>
            </w:pPr>
          </w:p>
        </w:tc>
        <w:tc>
          <w:tcPr>
            <w:tcW w:w="2376"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rPr>
            </w:pPr>
            <w:r>
              <w:rPr>
                <w:rFonts w:hint="eastAsia" w:ascii="仿宋" w:hAnsi="仿宋" w:eastAsia="仿宋" w:cs="仿宋"/>
                <w:color w:val="auto"/>
                <w:sz w:val="21"/>
                <w:szCs w:val="21"/>
              </w:rPr>
              <w:t xml:space="preserve">A9 学生信息道德培养 </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rPr>
            </w:pPr>
            <w:r>
              <w:rPr>
                <w:rFonts w:hint="eastAsia" w:ascii="仿宋" w:hAnsi="仿宋" w:eastAsia="仿宋" w:cs="仿宋"/>
                <w:color w:val="auto"/>
                <w:sz w:val="21"/>
                <w:szCs w:val="21"/>
              </w:rPr>
              <w:t xml:space="preserve">B8 公平管理技术资源 </w:t>
            </w:r>
          </w:p>
        </w:tc>
        <w:tc>
          <w:tcPr>
            <w:tcW w:w="2126" w:type="dxa"/>
            <w:tcBorders>
              <w:top w:val="nil"/>
              <w:left w:val="nil"/>
              <w:bottom w:val="single" w:color="auto" w:sz="4" w:space="0"/>
              <w:right w:val="single" w:color="auto" w:sz="4" w:space="0"/>
            </w:tcBorders>
            <w:shd w:val="clear" w:color="000000" w:fill="FFFFFF"/>
            <w:noWrap/>
            <w:vAlign w:val="center"/>
          </w:tcPr>
          <w:p>
            <w:pPr>
              <w:widowControl/>
              <w:spacing w:line="440" w:lineRule="exact"/>
              <w:contextualSpacing/>
              <w:rPr>
                <w:rFonts w:hint="eastAsia" w:ascii="仿宋" w:hAnsi="仿宋" w:eastAsia="仿宋" w:cs="仿宋"/>
                <w:color w:val="auto"/>
                <w:sz w:val="21"/>
                <w:szCs w:val="21"/>
              </w:rPr>
            </w:pPr>
          </w:p>
        </w:tc>
      </w:tr>
      <w:tr>
        <w:tblPrEx>
          <w:tblCellMar>
            <w:top w:w="0" w:type="dxa"/>
            <w:left w:w="108" w:type="dxa"/>
            <w:bottom w:w="0" w:type="dxa"/>
            <w:right w:w="108" w:type="dxa"/>
          </w:tblCellMar>
        </w:tblPrEx>
        <w:trPr>
          <w:trHeight w:val="390" w:hRule="atLeast"/>
        </w:trPr>
        <w:tc>
          <w:tcPr>
            <w:tcW w:w="1701" w:type="dxa"/>
            <w:vMerge w:val="continue"/>
            <w:tcBorders>
              <w:top w:val="nil"/>
              <w:left w:val="single" w:color="auto" w:sz="4" w:space="0"/>
              <w:bottom w:val="single" w:color="000000" w:sz="8" w:space="0"/>
              <w:right w:val="single" w:color="auto" w:sz="4" w:space="0"/>
            </w:tcBorders>
            <w:vAlign w:val="center"/>
          </w:tcPr>
          <w:p>
            <w:pPr>
              <w:widowControl/>
              <w:spacing w:line="440" w:lineRule="exact"/>
              <w:contextualSpacing/>
              <w:rPr>
                <w:rFonts w:hint="eastAsia" w:ascii="仿宋" w:hAnsi="仿宋" w:eastAsia="仿宋" w:cs="仿宋"/>
                <w:color w:val="auto"/>
                <w:sz w:val="21"/>
                <w:szCs w:val="21"/>
              </w:rPr>
            </w:pPr>
          </w:p>
        </w:tc>
        <w:tc>
          <w:tcPr>
            <w:tcW w:w="2376" w:type="dxa"/>
            <w:tcBorders>
              <w:top w:val="nil"/>
              <w:left w:val="nil"/>
              <w:bottom w:val="single" w:color="auto" w:sz="8"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rPr>
            </w:pPr>
            <w:r>
              <w:rPr>
                <w:rFonts w:hint="eastAsia" w:ascii="仿宋" w:hAnsi="仿宋" w:eastAsia="仿宋" w:cs="仿宋"/>
                <w:color w:val="auto"/>
                <w:sz w:val="21"/>
                <w:szCs w:val="21"/>
              </w:rPr>
              <w:t xml:space="preserve">A10 学生信息安全意识培养 </w:t>
            </w:r>
          </w:p>
        </w:tc>
        <w:tc>
          <w:tcPr>
            <w:tcW w:w="2268" w:type="dxa"/>
            <w:tcBorders>
              <w:top w:val="nil"/>
              <w:left w:val="nil"/>
              <w:bottom w:val="single" w:color="auto" w:sz="8" w:space="0"/>
              <w:right w:val="single" w:color="auto" w:sz="4" w:space="0"/>
            </w:tcBorders>
            <w:shd w:val="clear" w:color="auto" w:fill="auto"/>
            <w:noWrap/>
            <w:vAlign w:val="center"/>
          </w:tcPr>
          <w:p>
            <w:pPr>
              <w:widowControl/>
              <w:spacing w:line="440" w:lineRule="exact"/>
              <w:contextualSpacing/>
              <w:rPr>
                <w:rFonts w:hint="eastAsia" w:ascii="仿宋" w:hAnsi="仿宋" w:eastAsia="仿宋" w:cs="仿宋"/>
                <w:color w:val="auto"/>
                <w:sz w:val="21"/>
                <w:szCs w:val="21"/>
              </w:rPr>
            </w:pPr>
          </w:p>
        </w:tc>
        <w:tc>
          <w:tcPr>
            <w:tcW w:w="2126" w:type="dxa"/>
            <w:tcBorders>
              <w:top w:val="nil"/>
              <w:left w:val="nil"/>
              <w:bottom w:val="single" w:color="auto" w:sz="8" w:space="0"/>
              <w:right w:val="single" w:color="auto" w:sz="4" w:space="0"/>
            </w:tcBorders>
            <w:shd w:val="clear" w:color="000000" w:fill="FFFFFF"/>
            <w:noWrap/>
            <w:vAlign w:val="center"/>
          </w:tcPr>
          <w:p>
            <w:pPr>
              <w:widowControl/>
              <w:spacing w:line="440" w:lineRule="exact"/>
              <w:contextualSpacing/>
              <w:rPr>
                <w:rFonts w:hint="eastAsia" w:ascii="仿宋" w:hAnsi="仿宋" w:eastAsia="仿宋" w:cs="仿宋"/>
                <w:color w:val="auto"/>
                <w:sz w:val="21"/>
                <w:szCs w:val="21"/>
              </w:rPr>
            </w:pPr>
          </w:p>
        </w:tc>
      </w:tr>
      <w:tr>
        <w:tblPrEx>
          <w:tblCellMar>
            <w:top w:w="0" w:type="dxa"/>
            <w:left w:w="108" w:type="dxa"/>
            <w:bottom w:w="0" w:type="dxa"/>
            <w:right w:w="108" w:type="dxa"/>
          </w:tblCellMar>
        </w:tblPrEx>
        <w:trPr>
          <w:trHeight w:val="375" w:hRule="atLeast"/>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40" w:lineRule="exact"/>
              <w:contextualSpacing/>
              <w:jc w:val="center"/>
              <w:rPr>
                <w:rFonts w:hint="eastAsia" w:ascii="仿宋" w:hAnsi="仿宋" w:eastAsia="仿宋" w:cs="仿宋"/>
                <w:color w:val="auto"/>
                <w:sz w:val="21"/>
                <w:szCs w:val="21"/>
              </w:rPr>
            </w:pPr>
            <w:r>
              <w:rPr>
                <w:rFonts w:hint="eastAsia" w:ascii="仿宋" w:hAnsi="仿宋" w:eastAsia="仿宋" w:cs="仿宋"/>
                <w:color w:val="auto"/>
                <w:sz w:val="21"/>
                <w:szCs w:val="21"/>
              </w:rPr>
              <w:t>学业评价</w:t>
            </w:r>
          </w:p>
        </w:tc>
        <w:tc>
          <w:tcPr>
            <w:tcW w:w="2376"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A11 评价量规设计与应用 </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B9 自评与互评活动的组织 </w:t>
            </w:r>
          </w:p>
        </w:tc>
        <w:tc>
          <w:tcPr>
            <w:tcW w:w="2126"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rPr>
            </w:pPr>
            <w:r>
              <w:rPr>
                <w:rFonts w:hint="eastAsia" w:ascii="仿宋" w:hAnsi="仿宋" w:eastAsia="仿宋" w:cs="仿宋"/>
                <w:color w:val="auto"/>
                <w:sz w:val="21"/>
                <w:szCs w:val="21"/>
              </w:rPr>
              <w:t xml:space="preserve">C6 应用数据分析模型 </w:t>
            </w:r>
          </w:p>
        </w:tc>
      </w:tr>
      <w:tr>
        <w:tblPrEx>
          <w:tblCellMar>
            <w:top w:w="0" w:type="dxa"/>
            <w:left w:w="108" w:type="dxa"/>
            <w:bottom w:w="0" w:type="dxa"/>
            <w:right w:w="108" w:type="dxa"/>
          </w:tblCellMar>
        </w:tblPrEx>
        <w:trPr>
          <w:trHeight w:val="37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spacing w:line="440" w:lineRule="exact"/>
              <w:contextualSpacing/>
              <w:rPr>
                <w:rFonts w:hint="eastAsia" w:ascii="仿宋" w:hAnsi="仿宋" w:eastAsia="仿宋" w:cs="仿宋"/>
                <w:color w:val="auto"/>
                <w:sz w:val="21"/>
                <w:szCs w:val="21"/>
              </w:rPr>
            </w:pPr>
          </w:p>
        </w:tc>
        <w:tc>
          <w:tcPr>
            <w:tcW w:w="2376"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rPr>
            </w:pPr>
            <w:r>
              <w:rPr>
                <w:rFonts w:hint="eastAsia" w:ascii="仿宋" w:hAnsi="仿宋" w:eastAsia="仿宋" w:cs="仿宋"/>
                <w:color w:val="auto"/>
                <w:sz w:val="21"/>
                <w:szCs w:val="21"/>
              </w:rPr>
              <w:t xml:space="preserve">A12 评价数据的伴随性采集 </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rPr>
            </w:pPr>
            <w:r>
              <w:rPr>
                <w:rFonts w:hint="eastAsia" w:ascii="仿宋" w:hAnsi="仿宋" w:eastAsia="仿宋" w:cs="仿宋"/>
                <w:color w:val="auto"/>
                <w:sz w:val="21"/>
                <w:szCs w:val="21"/>
              </w:rPr>
              <w:t xml:space="preserve">B10 档案袋评价 </w:t>
            </w:r>
          </w:p>
        </w:tc>
        <w:tc>
          <w:tcPr>
            <w:tcW w:w="2126"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C7 创建数据分析策模型 </w:t>
            </w:r>
          </w:p>
        </w:tc>
      </w:tr>
      <w:tr>
        <w:tblPrEx>
          <w:tblCellMar>
            <w:top w:w="0" w:type="dxa"/>
            <w:left w:w="108" w:type="dxa"/>
            <w:bottom w:w="0" w:type="dxa"/>
            <w:right w:w="108" w:type="dxa"/>
          </w:tblCellMar>
        </w:tblPrEx>
        <w:trPr>
          <w:trHeight w:val="37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spacing w:line="440" w:lineRule="exact"/>
              <w:contextualSpacing/>
              <w:rPr>
                <w:rFonts w:hint="eastAsia" w:ascii="仿宋" w:hAnsi="仿宋" w:eastAsia="仿宋" w:cs="仿宋"/>
                <w:color w:val="auto"/>
                <w:sz w:val="21"/>
                <w:szCs w:val="21"/>
                <w:lang w:eastAsia="zh-CN"/>
              </w:rPr>
            </w:pPr>
          </w:p>
        </w:tc>
        <w:tc>
          <w:tcPr>
            <w:tcW w:w="2376" w:type="dxa"/>
            <w:tcBorders>
              <w:top w:val="nil"/>
              <w:left w:val="nil"/>
              <w:bottom w:val="single" w:color="auto" w:sz="4" w:space="0"/>
              <w:right w:val="single" w:color="auto" w:sz="4" w:space="0"/>
            </w:tcBorders>
            <w:shd w:val="clear" w:color="000000" w:fill="FFFFFF"/>
            <w:vAlign w:val="center"/>
          </w:tcPr>
          <w:p>
            <w:pPr>
              <w:widowControl/>
              <w:spacing w:line="440" w:lineRule="exact"/>
              <w:contextualSpacing/>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A13 数据可视化呈现与解读 </w:t>
            </w:r>
          </w:p>
        </w:tc>
        <w:tc>
          <w:tcPr>
            <w:tcW w:w="2268" w:type="dxa"/>
            <w:tcBorders>
              <w:top w:val="nil"/>
              <w:left w:val="nil"/>
              <w:bottom w:val="single" w:color="auto" w:sz="4" w:space="0"/>
              <w:right w:val="single" w:color="auto" w:sz="4" w:space="0"/>
            </w:tcBorders>
            <w:shd w:val="clear" w:color="auto" w:fill="auto"/>
            <w:noWrap/>
            <w:vAlign w:val="center"/>
          </w:tcPr>
          <w:p>
            <w:pPr>
              <w:widowControl/>
              <w:spacing w:line="440" w:lineRule="exact"/>
              <w:contextualSpacing/>
              <w:rPr>
                <w:rFonts w:hint="eastAsia" w:ascii="仿宋" w:hAnsi="仿宋" w:eastAsia="仿宋" w:cs="仿宋"/>
                <w:color w:val="auto"/>
                <w:sz w:val="21"/>
                <w:szCs w:val="21"/>
                <w:lang w:eastAsia="zh-CN"/>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440" w:lineRule="exact"/>
              <w:contextualSpacing/>
              <w:rPr>
                <w:rFonts w:hint="eastAsia" w:ascii="仿宋" w:hAnsi="仿宋" w:eastAsia="仿宋" w:cs="仿宋"/>
                <w:color w:val="auto"/>
                <w:sz w:val="21"/>
                <w:szCs w:val="21"/>
                <w:lang w:eastAsia="zh-CN"/>
              </w:rPr>
            </w:pPr>
          </w:p>
        </w:tc>
      </w:tr>
    </w:tbl>
    <w:p>
      <w:pPr>
        <w:spacing w:line="440" w:lineRule="exact"/>
        <w:contextualSpacing/>
        <w:rPr>
          <w:rFonts w:hint="eastAsia" w:ascii="仿宋" w:hAnsi="仿宋" w:eastAsia="仿宋" w:cs="仿宋"/>
          <w:color w:val="auto"/>
          <w:sz w:val="21"/>
          <w:szCs w:val="21"/>
          <w:lang w:eastAsia="zh-CN"/>
        </w:rPr>
      </w:pPr>
    </w:p>
    <w:p>
      <w:pPr>
        <w:spacing w:line="440" w:lineRule="exact"/>
        <w:contextualSpacing/>
        <w:rPr>
          <w:rFonts w:hint="eastAsia" w:ascii="仿宋" w:hAnsi="仿宋" w:eastAsia="仿宋" w:cs="仿宋"/>
          <w:color w:val="auto"/>
          <w:sz w:val="21"/>
          <w:szCs w:val="21"/>
          <w:lang w:eastAsia="zh-CN"/>
        </w:rPr>
      </w:pPr>
    </w:p>
    <w:p>
      <w:pPr>
        <w:spacing w:line="440" w:lineRule="exact"/>
        <w:contextualSpacing/>
        <w:rPr>
          <w:rFonts w:hint="eastAsia" w:ascii="仿宋" w:hAnsi="仿宋" w:eastAsia="仿宋" w:cs="仿宋"/>
          <w:color w:val="auto"/>
          <w:sz w:val="21"/>
          <w:szCs w:val="21"/>
          <w:lang w:eastAsia="zh-CN"/>
        </w:rPr>
      </w:pPr>
    </w:p>
    <w:p>
      <w:pPr>
        <w:spacing w:line="440" w:lineRule="exact"/>
        <w:contextualSpacing/>
        <w:rPr>
          <w:rFonts w:hint="eastAsia" w:ascii="仿宋" w:hAnsi="仿宋" w:eastAsia="仿宋" w:cs="仿宋"/>
          <w:color w:val="auto"/>
          <w:sz w:val="21"/>
          <w:szCs w:val="21"/>
          <w:lang w:eastAsia="zh-CN"/>
        </w:rPr>
      </w:pPr>
    </w:p>
    <w:p>
      <w:pPr>
        <w:pStyle w:val="76"/>
        <w:tabs>
          <w:tab w:val="left" w:pos="776"/>
        </w:tabs>
        <w:spacing w:after="80" w:line="540" w:lineRule="exact"/>
        <w:ind w:firstLine="420" w:firstLineChars="200"/>
        <w:jc w:val="both"/>
        <w:rPr>
          <w:rFonts w:hint="eastAsia" w:ascii="仿宋" w:hAnsi="仿宋" w:eastAsia="仿宋" w:cs="仿宋"/>
          <w:color w:val="auto"/>
          <w:sz w:val="21"/>
          <w:szCs w:val="21"/>
          <w:lang w:eastAsia="zh-CN"/>
        </w:rPr>
      </w:pPr>
    </w:p>
    <w:p>
      <w:pPr>
        <w:pStyle w:val="76"/>
        <w:tabs>
          <w:tab w:val="left" w:pos="776"/>
        </w:tabs>
        <w:spacing w:after="80" w:line="540" w:lineRule="exact"/>
        <w:ind w:firstLine="420" w:firstLineChars="200"/>
        <w:jc w:val="both"/>
        <w:rPr>
          <w:rFonts w:hint="eastAsia" w:ascii="仿宋" w:hAnsi="仿宋" w:eastAsia="仿宋" w:cs="仿宋"/>
          <w:color w:val="auto"/>
          <w:sz w:val="21"/>
          <w:szCs w:val="21"/>
          <w:lang w:eastAsia="zh-CN"/>
        </w:rPr>
      </w:pPr>
    </w:p>
    <w:p>
      <w:pPr>
        <w:pStyle w:val="76"/>
        <w:tabs>
          <w:tab w:val="left" w:pos="776"/>
        </w:tabs>
        <w:spacing w:after="80" w:line="540" w:lineRule="exact"/>
        <w:ind w:firstLine="420" w:firstLineChars="200"/>
        <w:jc w:val="both"/>
        <w:rPr>
          <w:rFonts w:hint="eastAsia" w:ascii="仿宋" w:hAnsi="仿宋" w:eastAsia="仿宋" w:cs="仿宋"/>
          <w:color w:val="auto"/>
          <w:sz w:val="21"/>
          <w:szCs w:val="21"/>
          <w:lang w:eastAsia="zh-CN"/>
        </w:rPr>
      </w:pPr>
    </w:p>
    <w:p>
      <w:pPr>
        <w:pStyle w:val="76"/>
        <w:tabs>
          <w:tab w:val="left" w:pos="776"/>
        </w:tabs>
        <w:spacing w:after="80" w:line="540" w:lineRule="exact"/>
        <w:ind w:firstLine="420" w:firstLineChars="200"/>
        <w:jc w:val="both"/>
        <w:rPr>
          <w:rFonts w:hint="eastAsia" w:ascii="仿宋" w:hAnsi="仿宋" w:eastAsia="仿宋" w:cs="仿宋"/>
          <w:color w:val="auto"/>
          <w:sz w:val="21"/>
          <w:szCs w:val="21"/>
          <w:lang w:eastAsia="zh-CN"/>
        </w:rPr>
      </w:pPr>
    </w:p>
    <w:p>
      <w:pPr>
        <w:pStyle w:val="76"/>
        <w:tabs>
          <w:tab w:val="left" w:pos="776"/>
        </w:tabs>
        <w:spacing w:after="80" w:line="540" w:lineRule="exact"/>
        <w:ind w:firstLine="420" w:firstLineChars="200"/>
        <w:jc w:val="both"/>
        <w:rPr>
          <w:rFonts w:hint="eastAsia" w:ascii="仿宋" w:hAnsi="仿宋" w:eastAsia="仿宋" w:cs="仿宋"/>
          <w:color w:val="auto"/>
          <w:sz w:val="21"/>
          <w:szCs w:val="21"/>
          <w:lang w:eastAsia="zh-CN"/>
        </w:rPr>
      </w:pPr>
    </w:p>
    <w:p>
      <w:pPr>
        <w:pStyle w:val="76"/>
        <w:tabs>
          <w:tab w:val="left" w:pos="776"/>
        </w:tabs>
        <w:spacing w:after="80" w:line="540" w:lineRule="exact"/>
        <w:ind w:firstLine="420" w:firstLineChars="200"/>
        <w:jc w:val="both"/>
        <w:rPr>
          <w:rFonts w:hint="eastAsia" w:ascii="仿宋" w:hAnsi="仿宋" w:eastAsia="仿宋" w:cs="仿宋"/>
          <w:b/>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课程设置</w:t>
      </w:r>
      <w:r>
        <w:rPr>
          <w:rFonts w:hint="eastAsia" w:ascii="仿宋" w:hAnsi="仿宋" w:eastAsia="仿宋" w:cs="仿宋"/>
          <w:color w:val="auto"/>
          <w:sz w:val="21"/>
          <w:szCs w:val="21"/>
          <w:lang w:eastAsia="zh-CN"/>
        </w:rPr>
        <w:t>：</w:t>
      </w:r>
    </w:p>
    <w:p>
      <w:pPr>
        <w:pStyle w:val="76"/>
        <w:tabs>
          <w:tab w:val="left" w:pos="776"/>
        </w:tabs>
        <w:spacing w:after="80"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围绕《教育部关于实施全国中小学教师信息技术应用能力提升工程</w:t>
      </w:r>
      <w:r>
        <w:rPr>
          <w:rFonts w:hint="eastAsia" w:ascii="仿宋" w:hAnsi="仿宋" w:eastAsia="仿宋" w:cs="仿宋"/>
          <w:color w:val="auto"/>
          <w:sz w:val="21"/>
          <w:szCs w:val="21"/>
          <w:lang w:val="en-US" w:eastAsia="zh-CN" w:bidi="en-US"/>
        </w:rPr>
        <w:t>2.</w:t>
      </w:r>
      <w:r>
        <w:rPr>
          <w:rFonts w:hint="eastAsia" w:ascii="仿宋" w:hAnsi="仿宋" w:eastAsia="仿宋" w:cs="仿宋"/>
          <w:color w:val="auto"/>
          <w:sz w:val="21"/>
          <w:szCs w:val="21"/>
        </w:rPr>
        <w:t>0的意见》《四川省中小学教师信息技术应用能力提升工程</w:t>
      </w:r>
      <w:r>
        <w:rPr>
          <w:rFonts w:hint="eastAsia" w:ascii="仿宋" w:hAnsi="仿宋" w:eastAsia="仿宋" w:cs="仿宋"/>
          <w:color w:val="auto"/>
          <w:sz w:val="21"/>
          <w:szCs w:val="21"/>
          <w:lang w:val="en-US" w:eastAsia="zh-CN" w:bidi="en-US"/>
        </w:rPr>
        <w:t>2.</w:t>
      </w:r>
      <w:r>
        <w:rPr>
          <w:rFonts w:hint="eastAsia" w:ascii="仿宋" w:hAnsi="仿宋" w:eastAsia="仿宋" w:cs="仿宋"/>
          <w:color w:val="auto"/>
          <w:sz w:val="21"/>
          <w:szCs w:val="21"/>
        </w:rPr>
        <w:t>0实施方案》《成都市中小学教师信息技术应用能力提升工程</w:t>
      </w:r>
      <w:r>
        <w:rPr>
          <w:rFonts w:hint="eastAsia" w:ascii="仿宋" w:hAnsi="仿宋" w:eastAsia="仿宋" w:cs="仿宋"/>
          <w:color w:val="auto"/>
          <w:sz w:val="21"/>
          <w:szCs w:val="21"/>
          <w:lang w:val="en-US" w:eastAsia="zh-CN" w:bidi="en-US"/>
        </w:rPr>
        <w:t>2.0</w:t>
      </w:r>
      <w:r>
        <w:rPr>
          <w:rFonts w:hint="eastAsia" w:ascii="仿宋" w:hAnsi="仿宋" w:eastAsia="仿宋" w:cs="仿宋"/>
          <w:color w:val="auto"/>
          <w:sz w:val="21"/>
          <w:szCs w:val="21"/>
        </w:rPr>
        <w:t>实施方案》等文件精神，紧密结合新时期成都教育发展的新形势、新目标、新任务，根据教育信息化发展趋势和特点，准确确定研修内容，精心安排培训课程，提升管理人员规划和管理能力。</w:t>
      </w:r>
    </w:p>
    <w:p>
      <w:pPr>
        <w:pStyle w:val="76"/>
        <w:tabs>
          <w:tab w:val="left" w:pos="754"/>
        </w:tabs>
        <w:spacing w:line="540" w:lineRule="exact"/>
        <w:ind w:firstLine="420" w:firstLineChars="2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4）具体措施：</w:t>
      </w:r>
    </w:p>
    <w:p>
      <w:pPr>
        <w:pStyle w:val="76"/>
        <w:numPr>
          <w:ilvl w:val="0"/>
          <w:numId w:val="2"/>
        </w:numPr>
        <w:tabs>
          <w:tab w:val="left" w:pos="754"/>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研制</w:t>
      </w:r>
      <w:r>
        <w:rPr>
          <w:rFonts w:hint="eastAsia" w:ascii="仿宋" w:hAnsi="仿宋" w:eastAsia="仿宋" w:cs="仿宋"/>
          <w:color w:val="auto"/>
          <w:sz w:val="21"/>
          <w:szCs w:val="21"/>
        </w:rPr>
        <w:t>线上研修项目实施方案</w:t>
      </w:r>
      <w:r>
        <w:rPr>
          <w:rFonts w:hint="eastAsia" w:ascii="仿宋" w:hAnsi="仿宋" w:eastAsia="仿宋" w:cs="仿宋"/>
          <w:color w:val="auto"/>
          <w:sz w:val="21"/>
          <w:szCs w:val="21"/>
          <w:lang w:eastAsia="zh-CN"/>
        </w:rPr>
        <w:t>。</w:t>
      </w:r>
    </w:p>
    <w:p>
      <w:pPr>
        <w:pStyle w:val="76"/>
        <w:numPr>
          <w:ilvl w:val="0"/>
          <w:numId w:val="2"/>
        </w:numPr>
        <w:tabs>
          <w:tab w:val="left" w:pos="754"/>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组建</w:t>
      </w:r>
      <w:r>
        <w:rPr>
          <w:rFonts w:hint="eastAsia" w:ascii="仿宋" w:hAnsi="仿宋" w:eastAsia="仿宋" w:cs="仿宋"/>
          <w:color w:val="auto"/>
          <w:sz w:val="21"/>
          <w:szCs w:val="21"/>
        </w:rPr>
        <w:t>学科授课专家团队</w:t>
      </w:r>
      <w:r>
        <w:rPr>
          <w:rFonts w:hint="eastAsia" w:ascii="仿宋" w:hAnsi="仿宋" w:eastAsia="仿宋" w:cs="仿宋"/>
          <w:color w:val="auto"/>
          <w:sz w:val="21"/>
          <w:szCs w:val="21"/>
          <w:lang w:eastAsia="zh-CN"/>
        </w:rPr>
        <w:t>。</w:t>
      </w:r>
    </w:p>
    <w:p>
      <w:pPr>
        <w:pStyle w:val="76"/>
        <w:numPr>
          <w:ilvl w:val="0"/>
          <w:numId w:val="2"/>
        </w:numPr>
        <w:tabs>
          <w:tab w:val="left" w:pos="754"/>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搭建</w:t>
      </w:r>
      <w:r>
        <w:rPr>
          <w:rFonts w:hint="eastAsia" w:ascii="仿宋" w:hAnsi="仿宋" w:eastAsia="仿宋" w:cs="仿宋"/>
          <w:color w:val="auto"/>
          <w:sz w:val="21"/>
          <w:szCs w:val="21"/>
        </w:rPr>
        <w:t>网络研修课程设置和研修平台，为网络研修学员提供网络研修教学支持与服务。</w:t>
      </w:r>
    </w:p>
    <w:p>
      <w:pPr>
        <w:pStyle w:val="76"/>
        <w:numPr>
          <w:ilvl w:val="0"/>
          <w:numId w:val="2"/>
        </w:numPr>
        <w:tabs>
          <w:tab w:val="left" w:pos="754"/>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制定培训各角色周工作计划表</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规范远程培训实施和管理流程，明确各角色工作职责与任务。</w:t>
      </w:r>
    </w:p>
    <w:p>
      <w:pPr>
        <w:pStyle w:val="76"/>
        <w:numPr>
          <w:ilvl w:val="0"/>
          <w:numId w:val="2"/>
        </w:numPr>
        <w:tabs>
          <w:tab w:val="left" w:pos="754"/>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组建项目管理员服务团队</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团队通过平台对培训情况进行</w:t>
      </w:r>
      <w:r>
        <w:rPr>
          <w:rFonts w:hint="eastAsia" w:ascii="仿宋" w:hAnsi="仿宋" w:eastAsia="仿宋" w:cs="仿宋"/>
          <w:color w:val="auto"/>
          <w:sz w:val="21"/>
          <w:szCs w:val="21"/>
          <w:lang w:eastAsia="zh-CN"/>
        </w:rPr>
        <w:t>实时</w:t>
      </w:r>
      <w:r>
        <w:rPr>
          <w:rFonts w:hint="eastAsia" w:ascii="仿宋" w:hAnsi="仿宋" w:eastAsia="仿宋" w:cs="仿宋"/>
          <w:color w:val="auto"/>
          <w:sz w:val="21"/>
          <w:szCs w:val="21"/>
        </w:rPr>
        <w:t>监控；定期发布、分析培训数据，对学员学习进行督促；协助专家做好在线学习支持服务工作；做好培训项目的学员分班、远程培训学员的账号发放、督促注册、专家答疑、线上研讨、学情统计、校本研修线上线下管理、简报制作、评优总结等工作。</w:t>
      </w:r>
    </w:p>
    <w:p>
      <w:pPr>
        <w:pStyle w:val="76"/>
        <w:numPr>
          <w:ilvl w:val="0"/>
          <w:numId w:val="2"/>
        </w:numPr>
        <w:tabs>
          <w:tab w:val="left" w:pos="754"/>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制定远程培训考核方案</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对各培训阶段的学员进行学习情况实时考核，过程性考核和结果性考核。培训结束后按照要求，完成培训总结工作，提交培训总结报告。</w:t>
      </w:r>
    </w:p>
    <w:p>
      <w:pPr>
        <w:pStyle w:val="76"/>
        <w:tabs>
          <w:tab w:val="left" w:pos="757"/>
        </w:tabs>
        <w:spacing w:line="540" w:lineRule="exact"/>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 xml:space="preserve">2. </w:t>
      </w:r>
      <w:r>
        <w:rPr>
          <w:rFonts w:hint="eastAsia" w:ascii="仿宋" w:hAnsi="仿宋" w:eastAsia="仿宋" w:cs="仿宋"/>
          <w:color w:val="auto"/>
          <w:sz w:val="21"/>
          <w:szCs w:val="21"/>
        </w:rPr>
        <w:t>校本研修实践部分（</w:t>
      </w:r>
      <w:r>
        <w:rPr>
          <w:rFonts w:hint="eastAsia" w:ascii="仿宋" w:hAnsi="仿宋" w:eastAsia="仿宋" w:cs="仿宋"/>
          <w:color w:val="auto"/>
          <w:sz w:val="21"/>
          <w:szCs w:val="21"/>
          <w:lang w:eastAsia="zh-CN"/>
        </w:rPr>
        <w:t>3</w:t>
      </w:r>
      <w:r>
        <w:rPr>
          <w:rFonts w:hint="eastAsia" w:ascii="仿宋" w:hAnsi="仿宋" w:eastAsia="仿宋" w:cs="仿宋"/>
          <w:color w:val="auto"/>
          <w:sz w:val="21"/>
          <w:szCs w:val="21"/>
        </w:rPr>
        <w:t>0学时）</w:t>
      </w:r>
      <w:r>
        <w:rPr>
          <w:rFonts w:hint="eastAsia" w:ascii="仿宋" w:hAnsi="仿宋" w:eastAsia="仿宋" w:cs="仿宋"/>
          <w:color w:val="auto"/>
          <w:sz w:val="21"/>
          <w:szCs w:val="21"/>
          <w:lang w:eastAsia="zh-CN"/>
        </w:rPr>
        <w:t>：</w:t>
      </w:r>
    </w:p>
    <w:p>
      <w:pPr>
        <w:pStyle w:val="76"/>
        <w:tabs>
          <w:tab w:val="left" w:pos="757"/>
        </w:tabs>
        <w:spacing w:line="540" w:lineRule="exact"/>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校本研修实践由学校在第三方服务商指导下自主组织实施，以问题为导向，采用线上线下融合、团队与个人研修结合的混合式研修形式灵活开展。</w:t>
      </w:r>
    </w:p>
    <w:p>
      <w:pPr>
        <w:pStyle w:val="76"/>
        <w:tabs>
          <w:tab w:val="left" w:pos="737"/>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1</w:t>
      </w:r>
      <w:r>
        <w:rPr>
          <w:rFonts w:hint="eastAsia" w:ascii="仿宋" w:hAnsi="仿宋" w:eastAsia="仿宋" w:cs="仿宋"/>
          <w:color w:val="auto"/>
          <w:sz w:val="21"/>
          <w:szCs w:val="21"/>
          <w:lang w:eastAsia="zh-CN"/>
        </w:rPr>
        <w:t>）校本研修（1</w:t>
      </w:r>
      <w:r>
        <w:rPr>
          <w:rFonts w:hint="eastAsia" w:ascii="仿宋" w:hAnsi="仿宋" w:eastAsia="仿宋" w:cs="仿宋"/>
          <w:color w:val="auto"/>
          <w:sz w:val="21"/>
          <w:szCs w:val="21"/>
        </w:rPr>
        <w:t>0学时</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充分发挥教研组统筹整合和协调作用，依据学校校本研修方案与校本应用考核方案，组织教师研讨制定学科研修计划，可计2学时。</w:t>
      </w:r>
    </w:p>
    <w:p>
      <w:pPr>
        <w:pStyle w:val="76"/>
        <w:tabs>
          <w:tab w:val="left" w:pos="737"/>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针对调研并选择确定的个人信息技术应用能力提升目标（至少涵盖2个维度的3个微能力点），基于平台项目任务清单完成其余8学时的校本教研，校本教研活动的设计要与教师信息技术应用微能力认证、综合应用课堂实施密切关联。</w:t>
      </w:r>
    </w:p>
    <w:p>
      <w:pPr>
        <w:pStyle w:val="76"/>
        <w:tabs>
          <w:tab w:val="left" w:pos="737"/>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2</w:t>
      </w:r>
      <w:r>
        <w:rPr>
          <w:rFonts w:hint="eastAsia" w:ascii="仿宋" w:hAnsi="仿宋" w:eastAsia="仿宋" w:cs="仿宋"/>
          <w:color w:val="auto"/>
          <w:sz w:val="21"/>
          <w:szCs w:val="21"/>
          <w:lang w:eastAsia="zh-CN"/>
        </w:rPr>
        <w:t>）实践应用认证（1</w:t>
      </w:r>
      <w:r>
        <w:rPr>
          <w:rFonts w:hint="eastAsia" w:ascii="仿宋" w:hAnsi="仿宋" w:eastAsia="仿宋" w:cs="仿宋"/>
          <w:color w:val="auto"/>
          <w:sz w:val="21"/>
          <w:szCs w:val="21"/>
        </w:rPr>
        <w:t>5学时</w:t>
      </w:r>
      <w:r>
        <w:rPr>
          <w:rFonts w:hint="eastAsia" w:ascii="仿宋" w:hAnsi="仿宋" w:eastAsia="仿宋" w:cs="仿宋"/>
          <w:color w:val="auto"/>
          <w:sz w:val="21"/>
          <w:szCs w:val="21"/>
          <w:lang w:eastAsia="zh-CN"/>
        </w:rPr>
        <w:t>）：通过校本教研，每位教师完成相应的微能力认证材料，可在教学设计、实施计划、课堂实录片段、说课视频、教学资源、案例描述、教学反思、活动方案、学生体会等中选择任意3个，推荐提交教学设计、课堂实录片段、教学反思等3个认证材。</w:t>
      </w:r>
    </w:p>
    <w:p>
      <w:pPr>
        <w:pStyle w:val="76"/>
        <w:tabs>
          <w:tab w:val="left" w:pos="735"/>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3</w:t>
      </w:r>
      <w:r>
        <w:rPr>
          <w:rFonts w:hint="eastAsia" w:ascii="仿宋" w:hAnsi="仿宋" w:eastAsia="仿宋" w:cs="仿宋"/>
          <w:color w:val="auto"/>
          <w:sz w:val="21"/>
          <w:szCs w:val="21"/>
          <w:lang w:eastAsia="zh-CN"/>
        </w:rPr>
        <w:t>）课堂实录部分（5学时）：通过教师课堂录制、教研组教师线上互学互评、学校培训指导团队评价等，每位教师最终完成能够体现微能力综合应用的完整课堂实录1份。</w:t>
      </w:r>
    </w:p>
    <w:p>
      <w:pPr>
        <w:pStyle w:val="76"/>
        <w:tabs>
          <w:tab w:val="left" w:pos="735"/>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4</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开发相关能力点校本研修指导课程，制定详细的校本研修实施方案，统筹安排好校本研修期间的组织、管理、实施等工作。完成校本研修的总结工作，及时对收集培训材料（视频、文本）进行整理，撰写线下研修工作简报等工作，并根据成都市中小学教师信息技术应用能力提升工程</w:t>
      </w:r>
      <w:r>
        <w:rPr>
          <w:rFonts w:hint="eastAsia" w:ascii="仿宋" w:hAnsi="仿宋" w:eastAsia="仿宋" w:cs="仿宋"/>
          <w:color w:val="auto"/>
          <w:sz w:val="21"/>
          <w:szCs w:val="21"/>
          <w:lang w:val="en-US" w:eastAsia="zh-CN" w:bidi="en-US"/>
        </w:rPr>
        <w:t>2.0</w:t>
      </w:r>
      <w:r>
        <w:rPr>
          <w:rFonts w:hint="eastAsia" w:ascii="仿宋" w:hAnsi="仿宋" w:eastAsia="仿宋" w:cs="仿宋"/>
          <w:color w:val="auto"/>
          <w:sz w:val="21"/>
          <w:szCs w:val="21"/>
        </w:rPr>
        <w:t>相关要求，协同组织实施校本应用测评，完成相关成果收集。完成项目终期评估线下研修部分培训总结工作。</w:t>
      </w:r>
    </w:p>
    <w:p>
      <w:pPr>
        <w:pStyle w:val="76"/>
        <w:spacing w:line="540" w:lineRule="exact"/>
        <w:ind w:firstLine="420"/>
        <w:jc w:val="both"/>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四</w:t>
      </w:r>
      <w:r>
        <w:rPr>
          <w:rFonts w:hint="eastAsia" w:ascii="仿宋" w:hAnsi="仿宋" w:eastAsia="仿宋" w:cs="仿宋"/>
          <w:color w:val="auto"/>
          <w:sz w:val="21"/>
          <w:szCs w:val="21"/>
        </w:rPr>
        <w:t>）培训形式</w:t>
      </w:r>
    </w:p>
    <w:p>
      <w:pPr>
        <w:pStyle w:val="76"/>
        <w:tabs>
          <w:tab w:val="left" w:pos="789"/>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val="zh-CN" w:eastAsia="zh-CN" w:bidi="zh-CN"/>
        </w:rPr>
        <w:t>1</w:t>
      </w:r>
      <w:r>
        <w:rPr>
          <w:rFonts w:hint="eastAsia" w:ascii="仿宋" w:hAnsi="仿宋" w:eastAsia="仿宋" w:cs="仿宋"/>
          <w:color w:val="auto"/>
          <w:sz w:val="21"/>
          <w:szCs w:val="21"/>
          <w:lang w:val="en-US" w:eastAsia="zh-CN" w:bidi="zh-CN"/>
        </w:rPr>
        <w:t xml:space="preserve">. </w:t>
      </w:r>
      <w:r>
        <w:rPr>
          <w:rFonts w:hint="eastAsia" w:ascii="仿宋" w:hAnsi="仿宋" w:eastAsia="仿宋" w:cs="仿宋"/>
          <w:color w:val="auto"/>
          <w:sz w:val="21"/>
          <w:szCs w:val="21"/>
        </w:rPr>
        <w:t>培训时间不少于</w:t>
      </w:r>
      <w:r>
        <w:rPr>
          <w:rFonts w:hint="eastAsia" w:ascii="仿宋" w:hAnsi="仿宋" w:eastAsia="仿宋" w:cs="仿宋"/>
          <w:color w:val="auto"/>
          <w:sz w:val="21"/>
          <w:szCs w:val="21"/>
          <w:lang w:val="zh-CN" w:eastAsia="zh-CN" w:bidi="zh-CN"/>
        </w:rPr>
        <w:t>50</w:t>
      </w:r>
      <w:r>
        <w:rPr>
          <w:rFonts w:hint="eastAsia" w:ascii="仿宋" w:hAnsi="仿宋" w:eastAsia="仿宋" w:cs="仿宋"/>
          <w:color w:val="auto"/>
          <w:sz w:val="21"/>
          <w:szCs w:val="21"/>
        </w:rPr>
        <w:t>学时，其中线上研修培训不少于20学时，校本研修实践不少于30学时。（如因疫情等特殊原因需调整培训形式，经双方商议确定培训内容和形式）</w:t>
      </w:r>
    </w:p>
    <w:p>
      <w:pPr>
        <w:pStyle w:val="76"/>
        <w:tabs>
          <w:tab w:val="left" w:pos="793"/>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 采</w:t>
      </w:r>
      <w:r>
        <w:rPr>
          <w:rFonts w:hint="eastAsia" w:ascii="仿宋" w:hAnsi="仿宋" w:eastAsia="仿宋" w:cs="仿宋"/>
          <w:color w:val="auto"/>
          <w:sz w:val="21"/>
          <w:szCs w:val="21"/>
        </w:rPr>
        <w:t>用线上研修与指导（直播、研讨、互动交流等）、线下讲座与指导（专家讲座、案例分享、方案编制、方案指导、方案测评、展示交流等）、整校推进三种研修形式。</w:t>
      </w:r>
    </w:p>
    <w:p>
      <w:pPr>
        <w:pStyle w:val="76"/>
        <w:tabs>
          <w:tab w:val="left" w:pos="795"/>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培训完成后进行考核以及满意度调查。</w:t>
      </w:r>
    </w:p>
    <w:p>
      <w:pPr>
        <w:pStyle w:val="76"/>
        <w:spacing w:line="540" w:lineRule="exact"/>
        <w:ind w:firstLine="420"/>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（五）</w:t>
      </w:r>
      <w:r>
        <w:rPr>
          <w:rFonts w:hint="eastAsia" w:ascii="仿宋" w:hAnsi="仿宋" w:eastAsia="仿宋" w:cs="仿宋"/>
          <w:color w:val="auto"/>
          <w:sz w:val="21"/>
          <w:szCs w:val="21"/>
        </w:rPr>
        <w:t>培训管理</w:t>
      </w:r>
    </w:p>
    <w:p>
      <w:pPr>
        <w:pStyle w:val="76"/>
        <w:tabs>
          <w:tab w:val="left" w:pos="781"/>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项目管理</w:t>
      </w:r>
    </w:p>
    <w:p>
      <w:pPr>
        <w:pStyle w:val="76"/>
        <w:tabs>
          <w:tab w:val="left" w:pos="821"/>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线上和线下部分均须有项目</w:t>
      </w:r>
      <w:r>
        <w:rPr>
          <w:rFonts w:hint="eastAsia" w:ascii="仿宋" w:hAnsi="仿宋" w:eastAsia="仿宋" w:cs="仿宋"/>
          <w:color w:val="auto"/>
          <w:sz w:val="21"/>
          <w:szCs w:val="21"/>
          <w:lang w:eastAsia="zh-CN"/>
        </w:rPr>
        <w:t>专职</w:t>
      </w:r>
      <w:r>
        <w:rPr>
          <w:rFonts w:hint="eastAsia" w:ascii="仿宋" w:hAnsi="仿宋" w:eastAsia="仿宋" w:cs="仿宋"/>
          <w:color w:val="auto"/>
          <w:sz w:val="21"/>
          <w:szCs w:val="21"/>
        </w:rPr>
        <w:t>负责人1人、</w:t>
      </w:r>
      <w:r>
        <w:rPr>
          <w:rFonts w:hint="eastAsia" w:ascii="仿宋" w:hAnsi="仿宋" w:eastAsia="仿宋" w:cs="仿宋"/>
          <w:color w:val="auto"/>
          <w:sz w:val="21"/>
          <w:szCs w:val="21"/>
          <w:lang w:eastAsia="zh-CN"/>
        </w:rPr>
        <w:t>专职</w:t>
      </w:r>
      <w:r>
        <w:rPr>
          <w:rFonts w:hint="eastAsia" w:ascii="仿宋" w:hAnsi="仿宋" w:eastAsia="仿宋" w:cs="仿宋"/>
          <w:color w:val="auto"/>
          <w:sz w:val="21"/>
          <w:szCs w:val="21"/>
        </w:rPr>
        <w:t>联系人1人；</w:t>
      </w:r>
    </w:p>
    <w:p>
      <w:pPr>
        <w:pStyle w:val="76"/>
        <w:tabs>
          <w:tab w:val="left" w:pos="821"/>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线上和线</w:t>
      </w:r>
      <w:r>
        <w:rPr>
          <w:rFonts w:hint="eastAsia" w:ascii="仿宋" w:hAnsi="仿宋" w:eastAsia="仿宋" w:cs="仿宋"/>
          <w:color w:val="auto"/>
          <w:sz w:val="21"/>
          <w:szCs w:val="21"/>
          <w:lang w:val="en-US" w:eastAsia="zh-CN"/>
        </w:rPr>
        <w:t>下</w:t>
      </w:r>
      <w:r>
        <w:rPr>
          <w:rFonts w:hint="eastAsia" w:ascii="仿宋" w:hAnsi="仿宋" w:eastAsia="仿宋" w:cs="仿宋"/>
          <w:color w:val="auto"/>
          <w:sz w:val="21"/>
          <w:szCs w:val="21"/>
        </w:rPr>
        <w:t>都应具备相应的项目管理制度；</w:t>
      </w:r>
    </w:p>
    <w:p>
      <w:pPr>
        <w:pStyle w:val="76"/>
        <w:tabs>
          <w:tab w:val="left" w:pos="802"/>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制定学员培训手册（指南）、及学员安全及应急预案（含集中培训期间疫情防护措施的要求）。</w:t>
      </w:r>
    </w:p>
    <w:p>
      <w:pPr>
        <w:pStyle w:val="76"/>
        <w:tabs>
          <w:tab w:val="left" w:pos="795"/>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教学管理</w:t>
      </w:r>
    </w:p>
    <w:p>
      <w:pPr>
        <w:pStyle w:val="76"/>
        <w:tabs>
          <w:tab w:val="left" w:pos="821"/>
        </w:tabs>
        <w:spacing w:line="540" w:lineRule="exact"/>
        <w:ind w:firstLine="420" w:firstLineChars="200"/>
        <w:jc w:val="both"/>
        <w:rPr>
          <w:rFonts w:hint="eastAsia" w:ascii="仿宋" w:hAnsi="仿宋" w:eastAsia="仿宋" w:cs="仿宋"/>
          <w:color w:val="auto"/>
          <w:sz w:val="21"/>
          <w:szCs w:val="21"/>
        </w:rPr>
      </w:pPr>
      <w:bookmarkStart w:id="88" w:name="bookmark8"/>
      <w:bookmarkEnd w:id="88"/>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严格按照</w:t>
      </w:r>
      <w:r>
        <w:rPr>
          <w:rFonts w:hint="eastAsia" w:ascii="仿宋" w:hAnsi="仿宋" w:eastAsia="仿宋" w:cs="仿宋"/>
          <w:color w:val="auto"/>
          <w:sz w:val="21"/>
          <w:szCs w:val="21"/>
          <w:lang w:eastAsia="zh-CN"/>
        </w:rPr>
        <w:t>采购</w:t>
      </w:r>
      <w:r>
        <w:rPr>
          <w:rFonts w:hint="eastAsia" w:ascii="仿宋" w:hAnsi="仿宋" w:eastAsia="仿宋" w:cs="仿宋"/>
          <w:color w:val="auto"/>
          <w:sz w:val="21"/>
          <w:szCs w:val="21"/>
        </w:rPr>
        <w:t>文件执行；</w:t>
      </w:r>
    </w:p>
    <w:p>
      <w:pPr>
        <w:pStyle w:val="76"/>
        <w:tabs>
          <w:tab w:val="left" w:pos="821"/>
        </w:tabs>
        <w:spacing w:line="540" w:lineRule="exact"/>
        <w:ind w:firstLine="420" w:firstLineChars="200"/>
        <w:jc w:val="both"/>
        <w:rPr>
          <w:rFonts w:hint="eastAsia" w:ascii="仿宋" w:hAnsi="仿宋" w:eastAsia="仿宋" w:cs="仿宋"/>
          <w:color w:val="auto"/>
          <w:sz w:val="21"/>
          <w:szCs w:val="21"/>
        </w:rPr>
      </w:pPr>
      <w:bookmarkStart w:id="89" w:name="bookmark9"/>
      <w:bookmarkEnd w:id="89"/>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教学方案的调整比例不超过20%；</w:t>
      </w:r>
    </w:p>
    <w:p>
      <w:pPr>
        <w:pStyle w:val="76"/>
        <w:tabs>
          <w:tab w:val="left" w:pos="821"/>
        </w:tabs>
        <w:spacing w:line="540" w:lineRule="exact"/>
        <w:ind w:firstLine="420" w:firstLineChars="200"/>
        <w:jc w:val="both"/>
        <w:rPr>
          <w:rFonts w:hint="eastAsia" w:ascii="仿宋" w:hAnsi="仿宋" w:eastAsia="仿宋" w:cs="仿宋"/>
          <w:color w:val="auto"/>
          <w:sz w:val="21"/>
          <w:szCs w:val="21"/>
        </w:rPr>
      </w:pPr>
      <w:bookmarkStart w:id="90" w:name="bookmark10"/>
      <w:bookmarkEnd w:id="90"/>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培训方案必须经过</w:t>
      </w:r>
      <w:r>
        <w:rPr>
          <w:rFonts w:hint="eastAsia" w:ascii="仿宋" w:hAnsi="仿宋" w:eastAsia="仿宋" w:cs="仿宋"/>
          <w:color w:val="auto"/>
          <w:sz w:val="21"/>
          <w:szCs w:val="21"/>
          <w:lang w:eastAsia="zh-CN"/>
        </w:rPr>
        <w:t>采</w:t>
      </w:r>
      <w:r>
        <w:rPr>
          <w:rFonts w:hint="eastAsia" w:ascii="仿宋" w:hAnsi="仿宋" w:eastAsia="仿宋" w:cs="仿宋"/>
          <w:color w:val="auto"/>
          <w:sz w:val="21"/>
          <w:szCs w:val="21"/>
        </w:rPr>
        <w:t>购方认可，方可实施；</w:t>
      </w:r>
    </w:p>
    <w:p>
      <w:pPr>
        <w:pStyle w:val="76"/>
        <w:tabs>
          <w:tab w:val="left" w:pos="820"/>
        </w:tabs>
        <w:spacing w:line="540" w:lineRule="exact"/>
        <w:ind w:firstLine="420" w:firstLineChars="200"/>
        <w:jc w:val="both"/>
        <w:rPr>
          <w:rFonts w:hint="eastAsia" w:ascii="仿宋" w:hAnsi="仿宋" w:eastAsia="仿宋" w:cs="仿宋"/>
          <w:color w:val="auto"/>
          <w:sz w:val="21"/>
          <w:szCs w:val="21"/>
        </w:rPr>
      </w:pPr>
      <w:bookmarkStart w:id="91" w:name="bookmark11"/>
      <w:bookmarkEnd w:id="91"/>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lang w:eastAsia="zh-CN"/>
        </w:rPr>
        <w:t>采</w:t>
      </w:r>
      <w:r>
        <w:rPr>
          <w:rFonts w:hint="eastAsia" w:ascii="仿宋" w:hAnsi="仿宋" w:eastAsia="仿宋" w:cs="仿宋"/>
          <w:color w:val="auto"/>
          <w:sz w:val="21"/>
          <w:szCs w:val="21"/>
        </w:rPr>
        <w:t>用信息化的管理手段和数字化学习共享平台，实现班级管理和培训前、培训中和培训后的网络空间研修学习和资源共享等。</w:t>
      </w:r>
    </w:p>
    <w:p>
      <w:pPr>
        <w:pStyle w:val="76"/>
        <w:tabs>
          <w:tab w:val="left" w:pos="795"/>
        </w:tabs>
        <w:spacing w:line="540" w:lineRule="exact"/>
        <w:ind w:firstLine="420" w:firstLineChars="200"/>
        <w:jc w:val="both"/>
        <w:rPr>
          <w:rFonts w:hint="eastAsia" w:ascii="仿宋" w:hAnsi="仿宋" w:eastAsia="仿宋" w:cs="仿宋"/>
          <w:color w:val="auto"/>
          <w:sz w:val="21"/>
          <w:szCs w:val="21"/>
        </w:rPr>
      </w:pPr>
      <w:bookmarkStart w:id="92" w:name="bookmark12"/>
      <w:r>
        <w:rPr>
          <w:rFonts w:hint="eastAsia" w:ascii="仿宋" w:hAnsi="仿宋" w:eastAsia="仿宋" w:cs="仿宋"/>
          <w:color w:val="auto"/>
          <w:sz w:val="21"/>
          <w:szCs w:val="21"/>
        </w:rPr>
        <w:t>3</w:t>
      </w:r>
      <w:bookmarkEnd w:id="92"/>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团队</w:t>
      </w:r>
      <w:r>
        <w:rPr>
          <w:rFonts w:hint="eastAsia" w:ascii="仿宋" w:hAnsi="仿宋" w:eastAsia="仿宋" w:cs="仿宋"/>
          <w:color w:val="auto"/>
          <w:sz w:val="21"/>
          <w:szCs w:val="21"/>
          <w:lang w:eastAsia="zh-CN"/>
        </w:rPr>
        <w:t>管理</w:t>
      </w:r>
    </w:p>
    <w:p>
      <w:pPr>
        <w:pStyle w:val="76"/>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供应商应为本项目成立专家团队，充分发挥专家团队引领作用，为</w:t>
      </w:r>
      <w:r>
        <w:rPr>
          <w:rFonts w:hint="eastAsia" w:ascii="仿宋" w:hAnsi="仿宋" w:eastAsia="仿宋" w:cs="仿宋"/>
          <w:color w:val="auto"/>
          <w:sz w:val="21"/>
          <w:szCs w:val="21"/>
          <w:lang w:eastAsia="zh-CN"/>
        </w:rPr>
        <w:t>金牛</w:t>
      </w:r>
      <w:r>
        <w:rPr>
          <w:rFonts w:hint="eastAsia" w:ascii="仿宋" w:hAnsi="仿宋" w:eastAsia="仿宋" w:cs="仿宋"/>
          <w:color w:val="auto"/>
          <w:sz w:val="21"/>
          <w:szCs w:val="21"/>
        </w:rPr>
        <w:t>区中小学教师信息技术应用能力提升工程</w:t>
      </w:r>
      <w:r>
        <w:rPr>
          <w:rFonts w:hint="eastAsia" w:ascii="仿宋" w:hAnsi="仿宋" w:eastAsia="仿宋" w:cs="仿宋"/>
          <w:color w:val="auto"/>
          <w:sz w:val="21"/>
          <w:szCs w:val="21"/>
          <w:lang w:val="en-US" w:eastAsia="zh-CN" w:bidi="en-US"/>
        </w:rPr>
        <w:t>2.</w:t>
      </w:r>
      <w:r>
        <w:rPr>
          <w:rFonts w:hint="eastAsia" w:ascii="仿宋" w:hAnsi="仿宋" w:eastAsia="仿宋" w:cs="仿宋"/>
          <w:color w:val="auto"/>
          <w:sz w:val="21"/>
          <w:szCs w:val="21"/>
        </w:rPr>
        <w:t>0全程提供理论支撑和质量保障。省级专家团队核心成员主要包括高等学校、教研师训机构、电教技装等专家及部分学校一线骨干教师。</w:t>
      </w:r>
    </w:p>
    <w:p>
      <w:pPr>
        <w:pStyle w:val="76"/>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省市专家团队成员需具备在全国、省市或本专业领域中有较大影响力和较高声誉，或为中小学教师信息技术应用能力提升工程</w:t>
      </w:r>
      <w:r>
        <w:rPr>
          <w:rFonts w:hint="eastAsia" w:ascii="仿宋" w:hAnsi="仿宋" w:eastAsia="仿宋" w:cs="仿宋"/>
          <w:color w:val="auto"/>
          <w:sz w:val="21"/>
          <w:szCs w:val="21"/>
          <w:lang w:val="en-US" w:eastAsia="zh-CN" w:bidi="en-US"/>
        </w:rPr>
        <w:t>2.0</w:t>
      </w:r>
      <w:r>
        <w:rPr>
          <w:rFonts w:hint="eastAsia" w:ascii="仿宋" w:hAnsi="仿宋" w:eastAsia="仿宋" w:cs="仿宋"/>
          <w:color w:val="auto"/>
          <w:sz w:val="21"/>
          <w:szCs w:val="21"/>
        </w:rPr>
        <w:t>省级核心专家组成员，或为中小学教师信息技术应用能力提升工程</w:t>
      </w:r>
      <w:r>
        <w:rPr>
          <w:rFonts w:hint="eastAsia" w:ascii="仿宋" w:hAnsi="仿宋" w:eastAsia="仿宋" w:cs="仿宋"/>
          <w:color w:val="auto"/>
          <w:sz w:val="21"/>
          <w:szCs w:val="21"/>
          <w:lang w:val="en-US" w:eastAsia="zh-CN" w:bidi="en-US"/>
        </w:rPr>
        <w:t>2.</w:t>
      </w:r>
      <w:r>
        <w:rPr>
          <w:rFonts w:hint="eastAsia" w:ascii="仿宋" w:hAnsi="仿宋" w:eastAsia="仿宋" w:cs="仿宋"/>
          <w:color w:val="auto"/>
          <w:sz w:val="21"/>
          <w:szCs w:val="21"/>
        </w:rPr>
        <w:t>0市级专家团队成员或顾问。</w:t>
      </w:r>
    </w:p>
    <w:p>
      <w:pPr>
        <w:pStyle w:val="76"/>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本地化专家团队成员应熟悉中小学教师信息技术应用能力提升工程</w:t>
      </w:r>
      <w:r>
        <w:rPr>
          <w:rFonts w:hint="eastAsia" w:ascii="仿宋" w:hAnsi="仿宋" w:eastAsia="仿宋" w:cs="仿宋"/>
          <w:color w:val="auto"/>
          <w:sz w:val="21"/>
          <w:szCs w:val="21"/>
          <w:lang w:val="en-US" w:eastAsia="zh-CN" w:bidi="en-US"/>
        </w:rPr>
        <w:t>2.0</w:t>
      </w:r>
      <w:r>
        <w:rPr>
          <w:rFonts w:hint="eastAsia" w:ascii="仿宋" w:hAnsi="仿宋" w:eastAsia="仿宋" w:cs="仿宋"/>
          <w:color w:val="auto"/>
          <w:sz w:val="21"/>
          <w:szCs w:val="21"/>
        </w:rPr>
        <w:t>国家、省、市相关政策文件，深入了解能力提升</w:t>
      </w:r>
      <w:r>
        <w:rPr>
          <w:rFonts w:hint="eastAsia" w:ascii="仿宋" w:hAnsi="仿宋" w:eastAsia="仿宋" w:cs="仿宋"/>
          <w:color w:val="auto"/>
          <w:sz w:val="21"/>
          <w:szCs w:val="21"/>
          <w:lang w:val="en-US" w:eastAsia="zh-CN" w:bidi="en-US"/>
        </w:rPr>
        <w:t>2.</w:t>
      </w:r>
      <w:r>
        <w:rPr>
          <w:rFonts w:hint="eastAsia" w:ascii="仿宋" w:hAnsi="仿宋" w:eastAsia="仿宋" w:cs="仿宋"/>
          <w:color w:val="auto"/>
          <w:sz w:val="21"/>
          <w:szCs w:val="21"/>
        </w:rPr>
        <w:t>0整体规划与实施路径，熟悉全国其它城市和地区能力提升</w:t>
      </w:r>
      <w:r>
        <w:rPr>
          <w:rFonts w:hint="eastAsia" w:ascii="仿宋" w:hAnsi="仿宋" w:eastAsia="仿宋" w:cs="仿宋"/>
          <w:color w:val="auto"/>
          <w:sz w:val="21"/>
          <w:szCs w:val="21"/>
          <w:lang w:val="en-US" w:eastAsia="zh-CN" w:bidi="en-US"/>
        </w:rPr>
        <w:t>2.</w:t>
      </w:r>
      <w:r>
        <w:rPr>
          <w:rFonts w:hint="eastAsia" w:ascii="仿宋" w:hAnsi="仿宋" w:eastAsia="仿宋" w:cs="仿宋"/>
          <w:color w:val="auto"/>
          <w:sz w:val="21"/>
          <w:szCs w:val="21"/>
        </w:rPr>
        <w:t>0项目规划方案和应用案例；有较为丰富的信息技术与学科教学创新融合方面的实践应用和研究成果；能积极参与并高质量完成培训指导任务。</w:t>
      </w:r>
    </w:p>
    <w:p>
      <w:pPr>
        <w:pStyle w:val="76"/>
        <w:tabs>
          <w:tab w:val="left" w:pos="799"/>
        </w:tabs>
        <w:spacing w:line="540" w:lineRule="exact"/>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班级管理</w:t>
      </w:r>
    </w:p>
    <w:p>
      <w:pPr>
        <w:pStyle w:val="76"/>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行政班主任需参与过相关过培训工作，熟悉培训各类注意事项；具有较强组织沟通协调能力和信息化教学管理应用能力；能应对各类突发事件，具备班级管理、后勤服务等基本能力。需全程跟班。</w:t>
      </w:r>
    </w:p>
    <w:p>
      <w:pPr>
        <w:pStyle w:val="76"/>
        <w:tabs>
          <w:tab w:val="left" w:pos="799"/>
        </w:tabs>
        <w:spacing w:line="540" w:lineRule="exact"/>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学员管理</w:t>
      </w:r>
    </w:p>
    <w:p>
      <w:pPr>
        <w:pStyle w:val="76"/>
        <w:tabs>
          <w:tab w:val="left" w:pos="821"/>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严格考勤管理，学员请假必须经过送培单位同意；</w:t>
      </w:r>
    </w:p>
    <w:p>
      <w:pPr>
        <w:pStyle w:val="76"/>
        <w:tabs>
          <w:tab w:val="left" w:pos="821"/>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学员出勤情况必须统计上报</w:t>
      </w:r>
      <w:r>
        <w:rPr>
          <w:rFonts w:hint="eastAsia" w:ascii="仿宋" w:hAnsi="仿宋" w:eastAsia="仿宋" w:cs="仿宋"/>
          <w:color w:val="auto"/>
          <w:sz w:val="21"/>
          <w:szCs w:val="21"/>
          <w:lang w:eastAsia="zh-CN"/>
        </w:rPr>
        <w:t>采</w:t>
      </w:r>
      <w:r>
        <w:rPr>
          <w:rFonts w:hint="eastAsia" w:ascii="仿宋" w:hAnsi="仿宋" w:eastAsia="仿宋" w:cs="仿宋"/>
          <w:color w:val="auto"/>
          <w:sz w:val="21"/>
          <w:szCs w:val="21"/>
        </w:rPr>
        <w:t>购人；</w:t>
      </w:r>
    </w:p>
    <w:p>
      <w:pPr>
        <w:pStyle w:val="76"/>
        <w:tabs>
          <w:tab w:val="left" w:pos="821"/>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学员培训结束，学员缺勤达30%或者考核不合格者，不予发放证书。</w:t>
      </w:r>
    </w:p>
    <w:p>
      <w:pPr>
        <w:pStyle w:val="76"/>
        <w:tabs>
          <w:tab w:val="left" w:pos="799"/>
        </w:tabs>
        <w:spacing w:line="540" w:lineRule="exact"/>
        <w:ind w:firstLine="420" w:firstLineChars="2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 过程管理</w:t>
      </w:r>
    </w:p>
    <w:p>
      <w:pPr>
        <w:pStyle w:val="76"/>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根据培训要求</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制订区校两级平台管理员职能职责并纳入管理、指导、考核体系，平台管理员按要求高效开展平台技术支持服务工作。</w:t>
      </w:r>
    </w:p>
    <w:p>
      <w:pPr>
        <w:pStyle w:val="76"/>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接受</w:t>
      </w:r>
      <w:r>
        <w:rPr>
          <w:rFonts w:hint="eastAsia" w:ascii="仿宋" w:hAnsi="仿宋" w:eastAsia="仿宋" w:cs="仿宋"/>
          <w:color w:val="auto"/>
          <w:sz w:val="21"/>
          <w:szCs w:val="21"/>
          <w:lang w:eastAsia="zh-CN"/>
        </w:rPr>
        <w:t>采</w:t>
      </w:r>
      <w:r>
        <w:rPr>
          <w:rFonts w:hint="eastAsia" w:ascii="仿宋" w:hAnsi="仿宋" w:eastAsia="仿宋" w:cs="仿宋"/>
          <w:color w:val="auto"/>
          <w:sz w:val="21"/>
          <w:szCs w:val="21"/>
        </w:rPr>
        <w:t>购人的评估；</w:t>
      </w:r>
    </w:p>
    <w:p>
      <w:pPr>
        <w:pStyle w:val="76"/>
        <w:tabs>
          <w:tab w:val="left" w:pos="821"/>
        </w:tabs>
        <w:spacing w:line="540" w:lineRule="exact"/>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培训结束一个月内向</w:t>
      </w:r>
      <w:r>
        <w:rPr>
          <w:rFonts w:hint="eastAsia" w:ascii="仿宋" w:hAnsi="仿宋" w:eastAsia="仿宋" w:cs="仿宋"/>
          <w:color w:val="auto"/>
          <w:sz w:val="21"/>
          <w:szCs w:val="21"/>
          <w:lang w:eastAsia="zh-CN"/>
        </w:rPr>
        <w:t>采</w:t>
      </w:r>
      <w:r>
        <w:rPr>
          <w:rFonts w:hint="eastAsia" w:ascii="仿宋" w:hAnsi="仿宋" w:eastAsia="仿宋" w:cs="仿宋"/>
          <w:color w:val="auto"/>
          <w:sz w:val="21"/>
          <w:szCs w:val="21"/>
        </w:rPr>
        <w:t>购人提交汇编成册的培训资料，</w:t>
      </w:r>
      <w:r>
        <w:rPr>
          <w:rFonts w:hint="eastAsia" w:ascii="仿宋" w:hAnsi="仿宋" w:eastAsia="仿宋" w:cs="仿宋"/>
          <w:color w:val="auto"/>
          <w:sz w:val="21"/>
          <w:szCs w:val="21"/>
          <w:lang w:eastAsia="zh-CN"/>
        </w:rPr>
        <w:t>包括：</w:t>
      </w:r>
    </w:p>
    <w:p>
      <w:pPr>
        <w:pStyle w:val="76"/>
        <w:tabs>
          <w:tab w:val="left" w:pos="821"/>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纸质</w:t>
      </w:r>
      <w:r>
        <w:rPr>
          <w:rFonts w:hint="eastAsia" w:ascii="仿宋" w:hAnsi="仿宋" w:eastAsia="仿宋" w:cs="仿宋"/>
          <w:color w:val="auto"/>
          <w:sz w:val="21"/>
          <w:szCs w:val="21"/>
        </w:rPr>
        <w:t>汇编资料（一式三套）：包括培训实施方案、培训手册（培训指南）、项目总结、学员花名册、集体照片、课程安排表、学员考勤表、授课教师讲义、学员培训成果、满意度调查结果反馈等。</w:t>
      </w:r>
    </w:p>
    <w:p>
      <w:pPr>
        <w:pStyle w:val="76"/>
        <w:tabs>
          <w:tab w:val="left" w:pos="821"/>
        </w:tabs>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电子资料：上述纸质</w:t>
      </w:r>
      <w:r>
        <w:rPr>
          <w:rFonts w:hint="eastAsia" w:ascii="仿宋" w:hAnsi="仿宋" w:eastAsia="仿宋" w:cs="仿宋"/>
          <w:color w:val="auto"/>
          <w:sz w:val="21"/>
          <w:szCs w:val="21"/>
        </w:rPr>
        <w:t>汇编资料</w:t>
      </w:r>
      <w:r>
        <w:rPr>
          <w:rFonts w:hint="eastAsia" w:ascii="仿宋" w:hAnsi="仿宋" w:eastAsia="仿宋" w:cs="仿宋"/>
          <w:color w:val="auto"/>
          <w:sz w:val="21"/>
          <w:szCs w:val="21"/>
          <w:lang w:eastAsia="zh-CN"/>
        </w:rPr>
        <w:t>电子版</w:t>
      </w:r>
      <w:r>
        <w:rPr>
          <w:rFonts w:hint="eastAsia" w:ascii="仿宋" w:hAnsi="仿宋" w:eastAsia="仿宋" w:cs="仿宋"/>
          <w:color w:val="auto"/>
          <w:sz w:val="21"/>
          <w:szCs w:val="21"/>
        </w:rPr>
        <w:t>、授课教师的课件</w:t>
      </w:r>
      <w:r>
        <w:rPr>
          <w:rFonts w:hint="eastAsia" w:ascii="仿宋" w:hAnsi="仿宋" w:eastAsia="仿宋" w:cs="仿宋"/>
          <w:color w:val="auto"/>
          <w:sz w:val="21"/>
          <w:szCs w:val="21"/>
          <w:lang w:eastAsia="zh-CN"/>
        </w:rPr>
        <w:t>、课堂实录</w:t>
      </w:r>
      <w:r>
        <w:rPr>
          <w:rFonts w:hint="eastAsia" w:ascii="仿宋" w:hAnsi="仿宋" w:eastAsia="仿宋" w:cs="仿宋"/>
          <w:color w:val="auto"/>
          <w:sz w:val="21"/>
          <w:szCs w:val="21"/>
        </w:rPr>
        <w:t>。</w:t>
      </w:r>
    </w:p>
    <w:p>
      <w:pPr>
        <w:pStyle w:val="76"/>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（六）</w:t>
      </w:r>
      <w:r>
        <w:rPr>
          <w:rFonts w:hint="eastAsia" w:ascii="仿宋" w:hAnsi="仿宋" w:eastAsia="仿宋" w:cs="仿宋"/>
          <w:color w:val="auto"/>
          <w:sz w:val="21"/>
          <w:szCs w:val="21"/>
        </w:rPr>
        <w:t>、服务保障</w:t>
      </w:r>
    </w:p>
    <w:p>
      <w:pPr>
        <w:pStyle w:val="76"/>
        <w:spacing w:after="140" w:line="540" w:lineRule="exact"/>
        <w:ind w:firstLine="540"/>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（1）投标单位</w:t>
      </w:r>
      <w:r>
        <w:rPr>
          <w:rFonts w:hint="eastAsia" w:ascii="仿宋" w:hAnsi="仿宋" w:eastAsia="仿宋" w:cs="仿宋"/>
          <w:color w:val="auto"/>
          <w:sz w:val="21"/>
          <w:szCs w:val="21"/>
        </w:rPr>
        <w:t>应该具备专职的培训管理团队和技术服务人员，培训流程标准规范，管理制度科学健全；机构应组建具有一支经验丰富、专兼结合、结构合理、课程研发的专家团队和管理团队；机构负责培训相关人员掌握平台操作，熟悉学习与管理要求。</w:t>
      </w:r>
    </w:p>
    <w:p>
      <w:pPr>
        <w:pStyle w:val="76"/>
        <w:spacing w:line="540" w:lineRule="exact"/>
        <w:ind w:firstLine="540"/>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（2）投标单位</w:t>
      </w:r>
      <w:r>
        <w:rPr>
          <w:rFonts w:hint="eastAsia" w:ascii="仿宋" w:hAnsi="仿宋" w:eastAsia="仿宋" w:cs="仿宋"/>
          <w:color w:val="auto"/>
          <w:sz w:val="21"/>
          <w:szCs w:val="21"/>
        </w:rPr>
        <w:t>负责搭建研修平台，实现线上学习各项功能，保证系统运行稳定，保证各角色顺利使用平台，解答教师疑难问题和技术畅通，确保项目的顺利实施。</w:t>
      </w:r>
    </w:p>
    <w:p>
      <w:pPr>
        <w:pStyle w:val="76"/>
        <w:tabs>
          <w:tab w:val="left" w:pos="1125"/>
        </w:tabs>
        <w:spacing w:line="540" w:lineRule="exact"/>
        <w:ind w:firstLine="540"/>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（3）平台系统</w:t>
      </w:r>
      <w:r>
        <w:rPr>
          <w:rFonts w:hint="eastAsia" w:ascii="仿宋" w:hAnsi="仿宋" w:eastAsia="仿宋" w:cs="仿宋"/>
          <w:color w:val="auto"/>
          <w:sz w:val="21"/>
          <w:szCs w:val="21"/>
        </w:rPr>
        <w:t>需兼容各大主流浏览器内核，支持多用户同时操作，支持系统高并发、高访问量，</w:t>
      </w:r>
      <w:r>
        <w:rPr>
          <w:rFonts w:hint="eastAsia" w:ascii="仿宋" w:hAnsi="仿宋" w:eastAsia="仿宋" w:cs="仿宋"/>
          <w:color w:val="auto"/>
          <w:sz w:val="21"/>
          <w:szCs w:val="21"/>
          <w:lang w:eastAsia="zh-CN"/>
        </w:rPr>
        <w:t>支持手机移动端交互功能，</w:t>
      </w:r>
      <w:r>
        <w:rPr>
          <w:rFonts w:hint="eastAsia" w:ascii="仿宋" w:hAnsi="仿宋" w:eastAsia="仿宋" w:cs="仿宋"/>
          <w:color w:val="auto"/>
          <w:sz w:val="21"/>
          <w:szCs w:val="21"/>
        </w:rPr>
        <w:t>平台系统</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数据库管理系统完善，网络安全保障到位，对于可能出现的硬件损坏、程序错误、黑客攻击及系统访问堵塞突发情况，以及课程资源错误、不当言论、网站内容篡改重大安全事件等，应该有成熟的应对措施。</w:t>
      </w:r>
    </w:p>
    <w:p>
      <w:pPr>
        <w:pStyle w:val="76"/>
        <w:tabs>
          <w:tab w:val="left" w:pos="1125"/>
        </w:tabs>
        <w:spacing w:line="540" w:lineRule="exact"/>
        <w:ind w:firstLine="539"/>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（4）投标人</w:t>
      </w:r>
      <w:r>
        <w:rPr>
          <w:rFonts w:hint="eastAsia" w:ascii="仿宋" w:hAnsi="仿宋" w:eastAsia="仿宋" w:cs="仿宋"/>
          <w:color w:val="auto"/>
          <w:sz w:val="21"/>
          <w:szCs w:val="21"/>
        </w:rPr>
        <w:t>具有可满足教师线上</w:t>
      </w:r>
      <w:r>
        <w:rPr>
          <w:rFonts w:hint="eastAsia" w:ascii="仿宋" w:hAnsi="仿宋" w:eastAsia="仿宋" w:cs="仿宋"/>
          <w:color w:val="auto"/>
          <w:sz w:val="21"/>
          <w:szCs w:val="21"/>
          <w:lang w:eastAsia="zh-CN"/>
        </w:rPr>
        <w:t>线下</w:t>
      </w:r>
      <w:r>
        <w:rPr>
          <w:rFonts w:hint="eastAsia" w:ascii="仿宋" w:hAnsi="仿宋" w:eastAsia="仿宋" w:cs="仿宋"/>
          <w:color w:val="auto"/>
          <w:sz w:val="21"/>
          <w:szCs w:val="21"/>
        </w:rPr>
        <w:t>培训</w:t>
      </w:r>
      <w:r>
        <w:rPr>
          <w:rFonts w:hint="eastAsia" w:ascii="仿宋" w:hAnsi="仿宋" w:eastAsia="仿宋" w:cs="仿宋"/>
          <w:color w:val="auto"/>
          <w:sz w:val="21"/>
          <w:szCs w:val="21"/>
          <w:lang w:eastAsia="zh-CN"/>
        </w:rPr>
        <w:t>的条件和能力，负责组织线上线</w:t>
      </w:r>
      <w:r>
        <w:rPr>
          <w:rFonts w:hint="eastAsia" w:ascii="仿宋" w:hAnsi="仿宋" w:eastAsia="仿宋" w:cs="仿宋"/>
          <w:color w:val="auto"/>
          <w:sz w:val="21"/>
          <w:szCs w:val="21"/>
        </w:rPr>
        <w:t>下研修</w:t>
      </w:r>
      <w:r>
        <w:rPr>
          <w:rFonts w:hint="eastAsia" w:ascii="仿宋" w:hAnsi="仿宋" w:eastAsia="仿宋" w:cs="仿宋"/>
          <w:color w:val="auto"/>
          <w:sz w:val="21"/>
          <w:szCs w:val="21"/>
          <w:lang w:eastAsia="zh-CN"/>
        </w:rPr>
        <w:t>等活动</w:t>
      </w:r>
      <w:r>
        <w:rPr>
          <w:rFonts w:hint="eastAsia" w:ascii="仿宋" w:hAnsi="仿宋" w:eastAsia="仿宋" w:cs="仿宋"/>
          <w:color w:val="auto"/>
          <w:sz w:val="21"/>
          <w:szCs w:val="21"/>
        </w:rPr>
        <w:t>。</w:t>
      </w:r>
    </w:p>
    <w:p>
      <w:pPr>
        <w:pStyle w:val="76"/>
        <w:spacing w:line="54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（七）</w:t>
      </w:r>
      <w:r>
        <w:rPr>
          <w:rFonts w:hint="eastAsia" w:ascii="仿宋" w:hAnsi="仿宋" w:eastAsia="仿宋" w:cs="仿宋"/>
          <w:color w:val="auto"/>
          <w:sz w:val="21"/>
          <w:szCs w:val="21"/>
        </w:rPr>
        <w:t>、网络研修平台功能要求</w:t>
      </w:r>
    </w:p>
    <w:p>
      <w:pPr>
        <w:pStyle w:val="76"/>
        <w:spacing w:line="540" w:lineRule="exact"/>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功能条件有：①学校设置测评范畴；②考核评价反馈；③专家测评；④测评结果显示及下载；</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 5 \* GB3 \* MERGEFORMAT </w:instrText>
      </w:r>
      <w:r>
        <w:rPr>
          <w:rFonts w:hint="eastAsia" w:ascii="仿宋" w:hAnsi="仿宋" w:eastAsia="仿宋" w:cs="仿宋"/>
          <w:color w:val="auto"/>
          <w:sz w:val="21"/>
          <w:szCs w:val="21"/>
        </w:rPr>
        <w:fldChar w:fldCharType="separate"/>
      </w:r>
      <w:r>
        <w:rPr>
          <w:rFonts w:hint="eastAsia" w:ascii="仿宋" w:hAnsi="仿宋" w:eastAsia="仿宋" w:cs="仿宋"/>
          <w:color w:val="auto"/>
          <w:sz w:val="21"/>
          <w:szCs w:val="21"/>
        </w:rPr>
        <w:t>⑤</w: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lang w:eastAsia="zh-CN"/>
        </w:rPr>
        <w:t>手机移动端交互；</w:t>
      </w:r>
    </w:p>
    <w:p>
      <w:pPr>
        <w:pStyle w:val="76"/>
        <w:spacing w:line="540" w:lineRule="exact"/>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rPr>
        <w:t>资源条件有：①信息技术应用能力提升2.0有关政策及解读课程；②30个微能力的网络培训课程学习资源；③提供学校信息化诊断与规划制定所需的课程学习资源；④教师信息素养课程</w:t>
      </w:r>
      <w:r>
        <w:rPr>
          <w:rFonts w:hint="eastAsia" w:ascii="仿宋" w:hAnsi="仿宋" w:eastAsia="仿宋" w:cs="仿宋"/>
          <w:color w:val="auto"/>
          <w:sz w:val="21"/>
          <w:szCs w:val="21"/>
          <w:lang w:eastAsia="zh-CN"/>
        </w:rPr>
        <w:t>。</w:t>
      </w:r>
    </w:p>
    <w:p>
      <w:pPr>
        <w:pStyle w:val="79"/>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三、商务要求</w:t>
      </w:r>
    </w:p>
    <w:p>
      <w:pPr>
        <w:pStyle w:val="81"/>
        <w:spacing w:line="480" w:lineRule="auto"/>
        <w:ind w:firstLine="120" w:firstLineChars="5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1、服务期限：500日历天，合同签订之日起至2022年12月。</w:t>
      </w:r>
    </w:p>
    <w:p>
      <w:pPr>
        <w:spacing w:line="500" w:lineRule="exact"/>
        <w:ind w:firstLine="120" w:firstLineChars="50"/>
        <w:jc w:val="left"/>
        <w:rPr>
          <w:rFonts w:ascii="仿宋" w:hAnsi="仿宋" w:eastAsia="仿宋" w:cs="仿宋"/>
          <w:color w:val="auto"/>
          <w:sz w:val="24"/>
        </w:rPr>
      </w:pPr>
      <w:r>
        <w:rPr>
          <w:rFonts w:hint="eastAsia" w:ascii="仿宋" w:hAnsi="仿宋" w:eastAsia="仿宋" w:cs="仿宋"/>
          <w:color w:val="auto"/>
          <w:sz w:val="24"/>
        </w:rPr>
        <w:t>2、服务地点：成都市</w:t>
      </w:r>
      <w:r>
        <w:rPr>
          <w:rFonts w:hint="eastAsia" w:ascii="仿宋" w:hAnsi="仿宋" w:eastAsia="仿宋" w:cs="仿宋"/>
          <w:color w:val="auto"/>
          <w:sz w:val="24"/>
          <w:lang w:eastAsia="zh-CN"/>
        </w:rPr>
        <w:t>金牛区各学校及幼儿园</w:t>
      </w:r>
      <w:r>
        <w:rPr>
          <w:rFonts w:hint="eastAsia" w:ascii="仿宋" w:hAnsi="仿宋" w:eastAsia="仿宋" w:cs="仿宋"/>
          <w:color w:val="auto"/>
          <w:sz w:val="24"/>
        </w:rPr>
        <w:t xml:space="preserve">。  </w:t>
      </w:r>
    </w:p>
    <w:p>
      <w:pPr>
        <w:spacing w:line="500" w:lineRule="exact"/>
        <w:ind w:firstLine="120" w:firstLineChars="50"/>
        <w:rPr>
          <w:rFonts w:ascii="仿宋" w:hAnsi="仿宋" w:eastAsia="仿宋" w:cs="仿宋"/>
          <w:color w:val="auto"/>
          <w:sz w:val="24"/>
        </w:rPr>
      </w:pPr>
      <w:r>
        <w:rPr>
          <w:rFonts w:hint="eastAsia" w:ascii="仿宋" w:hAnsi="仿宋" w:eastAsia="仿宋" w:cs="仿宋"/>
          <w:color w:val="auto"/>
          <w:sz w:val="24"/>
        </w:rPr>
        <w:t>3、付款方式：</w:t>
      </w:r>
      <w:r>
        <w:rPr>
          <w:rFonts w:hint="eastAsia" w:ascii="仿宋" w:hAnsi="仿宋" w:eastAsia="仿宋" w:cs="仿宋"/>
          <w:color w:val="auto"/>
          <w:sz w:val="24"/>
          <w:lang w:eastAsia="zh-CN"/>
        </w:rPr>
        <w:t>按实际中标价格进行结算</w:t>
      </w:r>
      <w:r>
        <w:rPr>
          <w:rFonts w:hint="eastAsia" w:ascii="仿宋" w:hAnsi="仿宋" w:eastAsia="仿宋" w:cs="仿宋"/>
          <w:color w:val="auto"/>
          <w:sz w:val="24"/>
        </w:rPr>
        <w:t>。合同签订后，在30个工作日内支付合同金额的</w:t>
      </w:r>
      <w:r>
        <w:rPr>
          <w:rFonts w:hint="eastAsia" w:ascii="仿宋" w:hAnsi="仿宋" w:eastAsia="仿宋" w:cs="仿宋"/>
          <w:color w:val="auto"/>
          <w:sz w:val="24"/>
          <w:lang w:val="en-US" w:eastAsia="zh-CN"/>
        </w:rPr>
        <w:t>30</w:t>
      </w:r>
      <w:r>
        <w:rPr>
          <w:rFonts w:hint="eastAsia" w:ascii="仿宋" w:hAnsi="仿宋" w:eastAsia="仿宋" w:cs="仿宋"/>
          <w:color w:val="auto"/>
          <w:sz w:val="24"/>
        </w:rPr>
        <w:t>%；在四川省中小学教师信息技术应用能力提升工程2.0管理平台上合格率达到</w:t>
      </w:r>
      <w:r>
        <w:rPr>
          <w:rFonts w:hint="eastAsia" w:ascii="仿宋" w:hAnsi="仿宋" w:eastAsia="仿宋" w:cs="仿宋"/>
          <w:color w:val="auto"/>
          <w:sz w:val="24"/>
          <w:lang w:val="en-US" w:eastAsia="zh-CN"/>
        </w:rPr>
        <w:t>95</w:t>
      </w:r>
      <w:r>
        <w:rPr>
          <w:rFonts w:hint="eastAsia" w:ascii="仿宋" w:hAnsi="仿宋" w:eastAsia="仿宋" w:cs="仿宋"/>
          <w:color w:val="auto"/>
          <w:sz w:val="24"/>
        </w:rPr>
        <w:t>%，在20个工作日内支付剩余</w:t>
      </w:r>
      <w:r>
        <w:rPr>
          <w:rFonts w:hint="eastAsia" w:ascii="仿宋" w:hAnsi="仿宋" w:eastAsia="仿宋" w:cs="仿宋"/>
          <w:color w:val="auto"/>
          <w:sz w:val="24"/>
          <w:lang w:val="en-US" w:eastAsia="zh-CN"/>
        </w:rPr>
        <w:t>65</w:t>
      </w:r>
      <w:r>
        <w:rPr>
          <w:rFonts w:hint="eastAsia" w:ascii="仿宋" w:hAnsi="仿宋" w:eastAsia="仿宋" w:cs="仿宋"/>
          <w:color w:val="auto"/>
          <w:sz w:val="24"/>
        </w:rPr>
        <w:t>%</w:t>
      </w:r>
      <w:r>
        <w:rPr>
          <w:rFonts w:hint="eastAsia" w:ascii="仿宋" w:hAnsi="仿宋" w:eastAsia="仿宋" w:cs="仿宋"/>
          <w:color w:val="auto"/>
          <w:sz w:val="24"/>
          <w:lang w:eastAsia="zh-CN"/>
        </w:rPr>
        <w:t>；验收合格且</w:t>
      </w:r>
      <w:r>
        <w:rPr>
          <w:rFonts w:hint="eastAsia" w:ascii="仿宋" w:hAnsi="仿宋" w:eastAsia="仿宋" w:cs="仿宋"/>
          <w:color w:val="auto"/>
          <w:sz w:val="24"/>
        </w:rPr>
        <w:t>合格率达到</w:t>
      </w:r>
      <w:r>
        <w:rPr>
          <w:rFonts w:hint="eastAsia" w:ascii="仿宋" w:hAnsi="仿宋" w:eastAsia="仿宋" w:cs="仿宋"/>
          <w:color w:val="auto"/>
          <w:sz w:val="24"/>
          <w:lang w:val="en-US" w:eastAsia="zh-CN"/>
        </w:rPr>
        <w:t>100%后支付剩余合同价款的5%。</w:t>
      </w:r>
    </w:p>
    <w:p>
      <w:pPr>
        <w:spacing w:line="500" w:lineRule="exact"/>
        <w:ind w:firstLine="120" w:firstLineChars="50"/>
        <w:rPr>
          <w:rFonts w:hint="eastAsia" w:ascii="仿宋" w:hAnsi="仿宋" w:eastAsia="仿宋" w:cs="仿宋"/>
          <w:color w:val="auto"/>
          <w:sz w:val="24"/>
          <w:lang w:eastAsia="zh-CN"/>
        </w:rPr>
      </w:pPr>
      <w:r>
        <w:rPr>
          <w:rFonts w:hint="eastAsia" w:ascii="仿宋" w:hAnsi="仿宋" w:eastAsia="仿宋" w:cs="仿宋"/>
          <w:color w:val="auto"/>
          <w:sz w:val="24"/>
        </w:rPr>
        <w:t>4、</w:t>
      </w:r>
      <w:r>
        <w:rPr>
          <w:rFonts w:hint="eastAsia" w:ascii="仿宋" w:hAnsi="仿宋" w:eastAsia="仿宋" w:cs="仿宋"/>
          <w:color w:val="auto"/>
          <w:sz w:val="24"/>
          <w:lang w:eastAsia="zh-CN"/>
        </w:rPr>
        <w:t>验收：</w:t>
      </w:r>
      <w:r>
        <w:rPr>
          <w:rFonts w:hint="eastAsia" w:ascii="仿宋" w:hAnsi="仿宋" w:eastAsia="仿宋" w:cs="仿宋"/>
          <w:color w:val="auto"/>
          <w:sz w:val="24"/>
        </w:rPr>
        <w:t>成交供应商与采购人应严格按照《财政部关于进一步加强政府釆购需求和履约验收管理的指导意见》(财库〔2016〕205 号)要求、采购文件规定的要求和成交供应商响应文件及合同承诺的内容进行验收。</w:t>
      </w:r>
    </w:p>
    <w:p>
      <w:pPr>
        <w:spacing w:line="500" w:lineRule="exact"/>
        <w:ind w:firstLine="120" w:firstLineChars="50"/>
        <w:rPr>
          <w:rFonts w:ascii="仿宋" w:hAnsi="仿宋" w:eastAsia="仿宋" w:cs="仿宋"/>
          <w:color w:val="auto"/>
          <w:sz w:val="24"/>
        </w:rPr>
      </w:pPr>
    </w:p>
    <w:p>
      <w:pPr>
        <w:pStyle w:val="4"/>
        <w:keepNext w:val="0"/>
        <w:keepLines w:val="0"/>
        <w:spacing w:before="0" w:after="0" w:line="400" w:lineRule="exact"/>
        <w:ind w:firstLine="235" w:firstLineChars="98"/>
        <w:rPr>
          <w:rFonts w:ascii="仿宋" w:hAnsi="仿宋" w:eastAsia="仿宋" w:cs="仿宋"/>
          <w:b w:val="0"/>
          <w:bCs w:val="0"/>
          <w:color w:val="auto"/>
          <w:sz w:val="24"/>
          <w:szCs w:val="24"/>
        </w:rPr>
        <w:sectPr>
          <w:footerReference r:id="rId12" w:type="first"/>
          <w:pgSz w:w="11906" w:h="16840"/>
          <w:pgMar w:top="1440" w:right="1797" w:bottom="1440" w:left="1797" w:header="851" w:footer="992" w:gutter="0"/>
          <w:cols w:space="720" w:num="1"/>
          <w:titlePg/>
          <w:docGrid w:type="linesAndChars" w:linePitch="312" w:charSpace="0"/>
        </w:sectPr>
      </w:pPr>
      <w:r>
        <w:rPr>
          <w:rFonts w:hint="eastAsia" w:ascii="仿宋" w:hAnsi="仿宋" w:eastAsia="仿宋" w:cs="仿宋"/>
          <w:b w:val="0"/>
          <w:bCs w:val="0"/>
          <w:color w:val="auto"/>
          <w:sz w:val="24"/>
          <w:szCs w:val="24"/>
        </w:rPr>
        <w:t>注意：本章的要求不能作为资格性条件要求评审，如存在资格性条件要求，应当认定磋商文件编制存在重大缺陷，磋商小组应当停止评审。</w:t>
      </w:r>
    </w:p>
    <w:bookmarkEnd w:id="68"/>
    <w:bookmarkEnd w:id="69"/>
    <w:bookmarkEnd w:id="70"/>
    <w:bookmarkEnd w:id="71"/>
    <w:bookmarkEnd w:id="72"/>
    <w:p>
      <w:pPr>
        <w:pStyle w:val="3"/>
        <w:widowControl/>
        <w:spacing w:line="240" w:lineRule="auto"/>
        <w:jc w:val="center"/>
        <w:rPr>
          <w:rFonts w:ascii="仿宋" w:hAnsi="仿宋" w:eastAsia="仿宋" w:cs="仿宋"/>
          <w:color w:val="auto"/>
          <w:kern w:val="2"/>
          <w:sz w:val="24"/>
          <w:szCs w:val="24"/>
        </w:rPr>
      </w:pPr>
      <w:bookmarkStart w:id="93" w:name="_Toc508714406"/>
      <w:bookmarkStart w:id="94" w:name="_Toc183682369"/>
      <w:bookmarkStart w:id="95" w:name="_Toc183582232"/>
      <w:bookmarkStart w:id="96" w:name="_Toc217446057"/>
      <w:r>
        <w:rPr>
          <w:rFonts w:hint="eastAsia" w:ascii="仿宋" w:hAnsi="仿宋" w:eastAsia="仿宋" w:cs="仿宋"/>
          <w:color w:val="auto"/>
          <w:kern w:val="2"/>
          <w:sz w:val="24"/>
          <w:szCs w:val="24"/>
        </w:rPr>
        <w:t>第六章  采购项目实质性要求</w:t>
      </w:r>
      <w:bookmarkEnd w:id="93"/>
    </w:p>
    <w:p>
      <w:pPr>
        <w:rPr>
          <w:rFonts w:ascii="仿宋" w:hAnsi="仿宋" w:eastAsia="仿宋" w:cs="仿宋"/>
          <w:color w:val="auto"/>
          <w:sz w:val="24"/>
        </w:rPr>
      </w:pPr>
    </w:p>
    <w:p>
      <w:pPr>
        <w:pStyle w:val="4"/>
        <w:keepNext w:val="0"/>
        <w:keepLines w:val="0"/>
        <w:spacing w:before="0" w:after="0"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1.技术要求：</w:t>
      </w:r>
    </w:p>
    <w:p>
      <w:pPr>
        <w:pStyle w:val="4"/>
        <w:keepNext w:val="0"/>
        <w:keepLines w:val="0"/>
        <w:spacing w:before="0" w:after="0" w:line="400" w:lineRule="exact"/>
        <w:ind w:firstLine="480" w:firstLineChars="2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符合国家或行业相关技术标准要求</w:t>
      </w:r>
    </w:p>
    <w:p>
      <w:pPr>
        <w:pStyle w:val="4"/>
        <w:keepNext w:val="0"/>
        <w:keepLines w:val="0"/>
        <w:spacing w:before="0" w:after="0"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2.服务要求：</w:t>
      </w:r>
    </w:p>
    <w:p>
      <w:pPr>
        <w:pStyle w:val="4"/>
        <w:keepNext w:val="0"/>
        <w:keepLines w:val="0"/>
        <w:spacing w:before="0" w:after="0" w:line="400" w:lineRule="exact"/>
        <w:ind w:firstLine="480" w:firstLineChars="2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参培学员满意度达95%以上；2</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通过培训，学员能良好掌相关握理论与实践技能，完成培训考核任务，学员合格率达100%；3</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提交纸质以及电子培训资料均齐全</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w:t>
      </w:r>
    </w:p>
    <w:p>
      <w:pPr>
        <w:pStyle w:val="4"/>
        <w:keepNext w:val="0"/>
        <w:keepLines w:val="0"/>
        <w:spacing w:before="0" w:after="0"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3.其他商务要求：</w:t>
      </w:r>
    </w:p>
    <w:p>
      <w:pPr>
        <w:pStyle w:val="4"/>
        <w:keepNext w:val="0"/>
        <w:keepLines w:val="0"/>
        <w:spacing w:before="0" w:after="0" w:line="400" w:lineRule="exact"/>
        <w:ind w:firstLine="480" w:firstLineChars="2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投标报价不得超过最高预算价格</w:t>
      </w:r>
    </w:p>
    <w:p>
      <w:pPr>
        <w:ind w:firstLine="480" w:firstLineChars="200"/>
        <w:rPr>
          <w:rFonts w:ascii="仿宋" w:hAnsi="仿宋" w:eastAsia="仿宋" w:cs="仿宋"/>
          <w:b/>
          <w:bCs/>
          <w:color w:val="auto"/>
          <w:sz w:val="24"/>
        </w:rPr>
      </w:pPr>
      <w:r>
        <w:rPr>
          <w:rFonts w:hint="eastAsia" w:ascii="仿宋" w:hAnsi="仿宋" w:eastAsia="仿宋" w:cs="仿宋"/>
          <w:b/>
          <w:bCs/>
          <w:color w:val="auto"/>
          <w:sz w:val="24"/>
        </w:rPr>
        <w:t>4.政府采购政策要求：</w:t>
      </w:r>
    </w:p>
    <w:p>
      <w:pPr>
        <w:pStyle w:val="4"/>
        <w:keepNext w:val="0"/>
        <w:keepLines w:val="0"/>
        <w:spacing w:before="0" w:after="0" w:line="400" w:lineRule="exact"/>
        <w:ind w:firstLine="480" w:firstLineChars="2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本项目如涉及节能产品政府采购品目清单中政府强制采购产品的，供应商应提供国家确定的认证机构出具的、处于有效期之内的节能产品认证证书复印件加盖供应商公章，否则作无效响应处理。</w:t>
      </w:r>
    </w:p>
    <w:p>
      <w:pPr>
        <w:pStyle w:val="4"/>
        <w:keepNext w:val="0"/>
        <w:keepLines w:val="0"/>
        <w:spacing w:before="0" w:after="0" w:line="400" w:lineRule="exact"/>
        <w:ind w:firstLine="480" w:firstLineChars="2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本项目如涉及强制认证产品：供应商所投产品涉及国家强制认证的（CCC）或前置许可、认证的，在其他响应文件中提供符合国家强制认证（CCC）或前置许可、认证的承诺函原件，在供货时一并提供相关许可、认证材料。（提供承诺函原件加盖供应商公章）。</w:t>
      </w:r>
    </w:p>
    <w:p>
      <w:pPr>
        <w:ind w:firstLine="360" w:firstLineChars="150"/>
        <w:rPr>
          <w:rFonts w:ascii="仿宋" w:hAnsi="仿宋" w:eastAsia="仿宋" w:cs="仿宋"/>
          <w:color w:val="auto"/>
          <w:sz w:val="24"/>
        </w:rPr>
      </w:pPr>
    </w:p>
    <w:p>
      <w:pPr>
        <w:pStyle w:val="4"/>
        <w:keepNext w:val="0"/>
        <w:keepLines w:val="0"/>
        <w:spacing w:before="0" w:after="0" w:line="400" w:lineRule="exact"/>
        <w:rPr>
          <w:rFonts w:ascii="仿宋" w:hAnsi="仿宋" w:eastAsia="仿宋" w:cs="仿宋"/>
          <w:color w:val="auto"/>
          <w:sz w:val="24"/>
          <w:szCs w:val="24"/>
        </w:rPr>
      </w:pPr>
    </w:p>
    <w:p>
      <w:pPr>
        <w:tabs>
          <w:tab w:val="left" w:pos="7665"/>
        </w:tabs>
        <w:spacing w:line="400" w:lineRule="exact"/>
        <w:ind w:firstLine="480"/>
        <w:rPr>
          <w:rFonts w:ascii="仿宋" w:hAnsi="仿宋" w:eastAsia="仿宋" w:cs="仿宋"/>
          <w:bCs/>
          <w:color w:val="auto"/>
          <w:sz w:val="24"/>
        </w:rPr>
      </w:pPr>
    </w:p>
    <w:p>
      <w:pPr>
        <w:tabs>
          <w:tab w:val="left" w:pos="7665"/>
        </w:tabs>
        <w:spacing w:line="400" w:lineRule="exact"/>
        <w:ind w:firstLine="480"/>
        <w:rPr>
          <w:rFonts w:ascii="仿宋" w:hAnsi="仿宋" w:eastAsia="仿宋" w:cs="仿宋"/>
          <w:bCs/>
          <w:color w:val="auto"/>
          <w:sz w:val="24"/>
        </w:rPr>
      </w:pPr>
    </w:p>
    <w:p>
      <w:pPr>
        <w:tabs>
          <w:tab w:val="left" w:pos="7665"/>
        </w:tabs>
        <w:spacing w:line="400" w:lineRule="exact"/>
        <w:ind w:firstLine="480"/>
        <w:rPr>
          <w:rFonts w:ascii="仿宋" w:hAnsi="仿宋" w:eastAsia="仿宋" w:cs="仿宋"/>
          <w:bCs/>
          <w:color w:val="auto"/>
          <w:sz w:val="24"/>
        </w:rPr>
      </w:pPr>
    </w:p>
    <w:p>
      <w:pPr>
        <w:tabs>
          <w:tab w:val="left" w:pos="7665"/>
        </w:tabs>
        <w:spacing w:line="400" w:lineRule="exact"/>
        <w:ind w:firstLine="480"/>
        <w:rPr>
          <w:rFonts w:ascii="仿宋" w:hAnsi="仿宋" w:eastAsia="仿宋" w:cs="仿宋"/>
          <w:bCs/>
          <w:color w:val="auto"/>
          <w:sz w:val="24"/>
        </w:rPr>
      </w:pPr>
    </w:p>
    <w:p>
      <w:pPr>
        <w:tabs>
          <w:tab w:val="left" w:pos="7665"/>
        </w:tabs>
        <w:spacing w:line="400" w:lineRule="exact"/>
        <w:ind w:firstLine="480"/>
        <w:rPr>
          <w:rFonts w:ascii="仿宋" w:hAnsi="仿宋" w:eastAsia="仿宋" w:cs="仿宋"/>
          <w:bCs/>
          <w:color w:val="auto"/>
          <w:sz w:val="24"/>
        </w:rPr>
      </w:pPr>
    </w:p>
    <w:p>
      <w:pPr>
        <w:tabs>
          <w:tab w:val="left" w:pos="7665"/>
        </w:tabs>
        <w:spacing w:line="400" w:lineRule="exact"/>
        <w:ind w:firstLine="480"/>
        <w:rPr>
          <w:rFonts w:ascii="仿宋" w:hAnsi="仿宋" w:eastAsia="仿宋" w:cs="仿宋"/>
          <w:bCs/>
          <w:color w:val="auto"/>
          <w:sz w:val="24"/>
        </w:rPr>
      </w:pPr>
    </w:p>
    <w:p>
      <w:pPr>
        <w:tabs>
          <w:tab w:val="left" w:pos="7665"/>
        </w:tabs>
        <w:spacing w:line="400" w:lineRule="exact"/>
        <w:ind w:firstLine="480"/>
        <w:rPr>
          <w:rFonts w:ascii="仿宋" w:hAnsi="仿宋" w:eastAsia="仿宋" w:cs="仿宋"/>
          <w:bCs/>
          <w:color w:val="auto"/>
          <w:sz w:val="24"/>
        </w:rPr>
      </w:pPr>
    </w:p>
    <w:p>
      <w:pPr>
        <w:tabs>
          <w:tab w:val="left" w:pos="7665"/>
        </w:tabs>
        <w:spacing w:line="400" w:lineRule="exact"/>
        <w:ind w:firstLine="480"/>
        <w:rPr>
          <w:rFonts w:ascii="仿宋" w:hAnsi="仿宋" w:eastAsia="仿宋" w:cs="仿宋"/>
          <w:bCs/>
          <w:color w:val="auto"/>
          <w:sz w:val="24"/>
        </w:rPr>
      </w:pPr>
    </w:p>
    <w:p>
      <w:pPr>
        <w:jc w:val="center"/>
        <w:rPr>
          <w:rFonts w:ascii="仿宋" w:hAnsi="仿宋" w:eastAsia="仿宋" w:cs="仿宋"/>
          <w:b/>
          <w:color w:val="auto"/>
          <w:sz w:val="32"/>
          <w:szCs w:val="32"/>
        </w:rPr>
        <w:sectPr>
          <w:footerReference r:id="rId13" w:type="first"/>
          <w:pgSz w:w="11906" w:h="16840"/>
          <w:pgMar w:top="1440" w:right="1797" w:bottom="1440" w:left="1797" w:header="851" w:footer="992" w:gutter="0"/>
          <w:cols w:space="720" w:num="1"/>
          <w:titlePg/>
          <w:docGrid w:type="linesAndChars" w:linePitch="312" w:charSpace="0"/>
        </w:sectPr>
      </w:pPr>
    </w:p>
    <w:p>
      <w:pPr>
        <w:pStyle w:val="3"/>
        <w:widowControl/>
        <w:spacing w:line="240" w:lineRule="auto"/>
        <w:jc w:val="center"/>
        <w:rPr>
          <w:rFonts w:ascii="仿宋" w:hAnsi="仿宋" w:eastAsia="仿宋" w:cs="仿宋"/>
          <w:color w:val="auto"/>
          <w:kern w:val="2"/>
          <w:sz w:val="24"/>
          <w:szCs w:val="24"/>
        </w:rPr>
      </w:pPr>
      <w:bookmarkStart w:id="97" w:name="_Toc508714407"/>
      <w:r>
        <w:rPr>
          <w:rFonts w:hint="eastAsia" w:ascii="仿宋" w:hAnsi="仿宋" w:eastAsia="仿宋" w:cs="仿宋"/>
          <w:color w:val="auto"/>
          <w:kern w:val="2"/>
          <w:sz w:val="24"/>
          <w:szCs w:val="24"/>
        </w:rPr>
        <w:t>第七章  磋商内容、磋商过程中可实质性变动的内容</w:t>
      </w:r>
      <w:bookmarkEnd w:id="97"/>
    </w:p>
    <w:p>
      <w:pPr>
        <w:pStyle w:val="4"/>
        <w:keepNext w:val="0"/>
        <w:keepLines w:val="0"/>
        <w:spacing w:before="0" w:after="0" w:line="400" w:lineRule="exact"/>
        <w:rPr>
          <w:rFonts w:ascii="仿宋" w:hAnsi="仿宋" w:eastAsia="仿宋" w:cs="仿宋"/>
          <w:b w:val="0"/>
          <w:bCs w:val="0"/>
          <w:color w:val="auto"/>
          <w:sz w:val="24"/>
          <w:szCs w:val="24"/>
        </w:rPr>
      </w:pPr>
    </w:p>
    <w:p>
      <w:pPr>
        <w:tabs>
          <w:tab w:val="left" w:pos="7665"/>
        </w:tabs>
        <w:spacing w:line="400" w:lineRule="exact"/>
        <w:ind w:firstLine="480"/>
        <w:rPr>
          <w:rFonts w:ascii="仿宋" w:hAnsi="仿宋" w:eastAsia="仿宋" w:cs="仿宋"/>
          <w:color w:val="auto"/>
          <w:sz w:val="24"/>
        </w:rPr>
      </w:pPr>
    </w:p>
    <w:p>
      <w:pPr>
        <w:pStyle w:val="4"/>
        <w:keepNext w:val="0"/>
        <w:keepLines w:val="0"/>
        <w:spacing w:before="0" w:after="0"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1.技术要求：</w:t>
      </w:r>
    </w:p>
    <w:p>
      <w:pPr>
        <w:pStyle w:val="4"/>
        <w:keepNext w:val="0"/>
        <w:keepLines w:val="0"/>
        <w:spacing w:before="0" w:after="0" w:line="400" w:lineRule="exact"/>
        <w:ind w:firstLine="480" w:firstLineChars="2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无</w:t>
      </w:r>
    </w:p>
    <w:p>
      <w:pPr>
        <w:pStyle w:val="4"/>
        <w:keepNext w:val="0"/>
        <w:keepLines w:val="0"/>
        <w:spacing w:before="0" w:after="0"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2.服务要求：</w:t>
      </w:r>
    </w:p>
    <w:p>
      <w:pPr>
        <w:pStyle w:val="4"/>
        <w:keepNext w:val="0"/>
        <w:keepLines w:val="0"/>
        <w:spacing w:before="0" w:after="0" w:line="400" w:lineRule="exact"/>
        <w:ind w:firstLine="480" w:firstLineChars="2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无</w:t>
      </w:r>
    </w:p>
    <w:p>
      <w:pPr>
        <w:pStyle w:val="4"/>
        <w:keepNext w:val="0"/>
        <w:keepLines w:val="0"/>
        <w:spacing w:before="0" w:after="0"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3.政府采购合同内容条款要求：</w:t>
      </w:r>
    </w:p>
    <w:p>
      <w:pPr>
        <w:pStyle w:val="4"/>
        <w:keepNext w:val="0"/>
        <w:keepLines w:val="0"/>
        <w:spacing w:before="0" w:after="0" w:line="400" w:lineRule="exact"/>
        <w:ind w:firstLine="480" w:firstLineChars="200"/>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无</w:t>
      </w:r>
    </w:p>
    <w:p>
      <w:pPr>
        <w:tabs>
          <w:tab w:val="left" w:pos="7665"/>
        </w:tabs>
        <w:spacing w:line="400" w:lineRule="exact"/>
        <w:ind w:firstLine="480"/>
        <w:rPr>
          <w:rFonts w:ascii="仿宋" w:hAnsi="仿宋" w:eastAsia="仿宋" w:cs="仿宋"/>
          <w:color w:val="auto"/>
          <w:sz w:val="24"/>
        </w:rPr>
      </w:pPr>
    </w:p>
    <w:p>
      <w:pPr>
        <w:tabs>
          <w:tab w:val="left" w:pos="7665"/>
        </w:tabs>
        <w:spacing w:line="400" w:lineRule="exact"/>
        <w:ind w:firstLine="480"/>
        <w:rPr>
          <w:rFonts w:ascii="仿宋" w:hAnsi="仿宋" w:eastAsia="仿宋" w:cs="仿宋"/>
          <w:color w:val="auto"/>
          <w:sz w:val="24"/>
        </w:rPr>
      </w:pPr>
    </w:p>
    <w:p>
      <w:pPr>
        <w:tabs>
          <w:tab w:val="left" w:pos="7665"/>
        </w:tabs>
        <w:spacing w:line="400" w:lineRule="exact"/>
        <w:ind w:firstLine="480"/>
        <w:rPr>
          <w:rFonts w:ascii="仿宋" w:hAnsi="仿宋" w:eastAsia="仿宋" w:cs="仿宋"/>
          <w:color w:val="auto"/>
          <w:sz w:val="24"/>
        </w:rPr>
      </w:pPr>
    </w:p>
    <w:p>
      <w:pPr>
        <w:tabs>
          <w:tab w:val="left" w:pos="7665"/>
        </w:tabs>
        <w:spacing w:line="400" w:lineRule="exact"/>
        <w:ind w:firstLine="480"/>
        <w:rPr>
          <w:rFonts w:ascii="仿宋" w:hAnsi="仿宋" w:eastAsia="仿宋" w:cs="仿宋"/>
          <w:color w:val="auto"/>
          <w:sz w:val="24"/>
        </w:rPr>
      </w:pPr>
    </w:p>
    <w:p>
      <w:pPr>
        <w:tabs>
          <w:tab w:val="left" w:pos="7665"/>
        </w:tabs>
        <w:spacing w:line="400" w:lineRule="exact"/>
        <w:ind w:firstLine="480"/>
        <w:jc w:val="center"/>
        <w:rPr>
          <w:rFonts w:ascii="仿宋" w:hAnsi="仿宋" w:eastAsia="仿宋" w:cs="仿宋"/>
          <w:color w:val="auto"/>
          <w:sz w:val="24"/>
        </w:rPr>
      </w:pPr>
    </w:p>
    <w:p>
      <w:pPr>
        <w:tabs>
          <w:tab w:val="left" w:pos="7665"/>
        </w:tabs>
        <w:spacing w:line="400" w:lineRule="exact"/>
        <w:ind w:firstLine="480"/>
        <w:jc w:val="center"/>
        <w:rPr>
          <w:rFonts w:ascii="仿宋" w:hAnsi="仿宋" w:eastAsia="仿宋" w:cs="仿宋"/>
          <w:color w:val="auto"/>
          <w:sz w:val="24"/>
        </w:rPr>
      </w:pPr>
    </w:p>
    <w:p>
      <w:pPr>
        <w:tabs>
          <w:tab w:val="left" w:pos="7665"/>
        </w:tabs>
        <w:spacing w:line="400" w:lineRule="exact"/>
        <w:ind w:firstLine="480"/>
        <w:jc w:val="center"/>
        <w:rPr>
          <w:rFonts w:ascii="仿宋" w:hAnsi="仿宋" w:eastAsia="仿宋" w:cs="仿宋"/>
          <w:color w:val="auto"/>
          <w:sz w:val="24"/>
        </w:rPr>
      </w:pPr>
    </w:p>
    <w:p>
      <w:pPr>
        <w:tabs>
          <w:tab w:val="left" w:pos="7665"/>
        </w:tabs>
        <w:spacing w:line="400" w:lineRule="exact"/>
        <w:ind w:firstLine="480"/>
        <w:jc w:val="center"/>
        <w:rPr>
          <w:rFonts w:ascii="仿宋" w:hAnsi="仿宋" w:eastAsia="仿宋" w:cs="仿宋"/>
          <w:color w:val="auto"/>
          <w:sz w:val="24"/>
        </w:rPr>
      </w:pPr>
    </w:p>
    <w:p>
      <w:pPr>
        <w:tabs>
          <w:tab w:val="left" w:pos="7665"/>
        </w:tabs>
        <w:spacing w:line="400" w:lineRule="exact"/>
        <w:ind w:firstLine="480"/>
        <w:jc w:val="center"/>
        <w:rPr>
          <w:rFonts w:ascii="仿宋" w:hAnsi="仿宋" w:eastAsia="仿宋" w:cs="仿宋"/>
          <w:color w:val="auto"/>
          <w:sz w:val="24"/>
        </w:rPr>
      </w:pPr>
    </w:p>
    <w:p>
      <w:pPr>
        <w:tabs>
          <w:tab w:val="left" w:pos="7665"/>
        </w:tabs>
        <w:spacing w:line="400" w:lineRule="exact"/>
        <w:ind w:firstLine="480"/>
        <w:jc w:val="center"/>
        <w:rPr>
          <w:rFonts w:ascii="仿宋" w:hAnsi="仿宋" w:eastAsia="仿宋" w:cs="仿宋"/>
          <w:color w:val="auto"/>
          <w:sz w:val="24"/>
        </w:rPr>
      </w:pPr>
    </w:p>
    <w:p>
      <w:pPr>
        <w:tabs>
          <w:tab w:val="left" w:pos="7665"/>
        </w:tabs>
        <w:spacing w:line="400" w:lineRule="exact"/>
        <w:ind w:firstLine="480"/>
        <w:jc w:val="center"/>
        <w:rPr>
          <w:rFonts w:ascii="仿宋" w:hAnsi="仿宋" w:eastAsia="仿宋" w:cs="仿宋"/>
          <w:color w:val="auto"/>
          <w:sz w:val="24"/>
        </w:rPr>
      </w:pPr>
    </w:p>
    <w:p>
      <w:pPr>
        <w:tabs>
          <w:tab w:val="left" w:pos="7665"/>
        </w:tabs>
        <w:spacing w:line="400" w:lineRule="exact"/>
        <w:ind w:firstLine="480"/>
        <w:jc w:val="center"/>
        <w:rPr>
          <w:rFonts w:ascii="仿宋" w:hAnsi="仿宋" w:eastAsia="仿宋" w:cs="仿宋"/>
          <w:color w:val="auto"/>
          <w:sz w:val="24"/>
        </w:rPr>
      </w:pPr>
    </w:p>
    <w:p>
      <w:pPr>
        <w:tabs>
          <w:tab w:val="left" w:pos="7665"/>
        </w:tabs>
        <w:spacing w:line="400" w:lineRule="exact"/>
        <w:ind w:firstLine="480"/>
        <w:jc w:val="center"/>
        <w:rPr>
          <w:rFonts w:ascii="仿宋" w:hAnsi="仿宋" w:eastAsia="仿宋" w:cs="仿宋"/>
          <w:color w:val="auto"/>
          <w:sz w:val="24"/>
        </w:rPr>
      </w:pPr>
    </w:p>
    <w:p>
      <w:pPr>
        <w:tabs>
          <w:tab w:val="left" w:pos="7665"/>
        </w:tabs>
        <w:spacing w:line="400" w:lineRule="exact"/>
        <w:ind w:firstLine="480"/>
        <w:jc w:val="center"/>
        <w:rPr>
          <w:rFonts w:ascii="仿宋" w:hAnsi="仿宋" w:eastAsia="仿宋" w:cs="仿宋"/>
          <w:color w:val="auto"/>
          <w:sz w:val="24"/>
        </w:rPr>
      </w:pPr>
    </w:p>
    <w:p>
      <w:pPr>
        <w:tabs>
          <w:tab w:val="left" w:pos="7665"/>
        </w:tabs>
        <w:spacing w:line="400" w:lineRule="exact"/>
        <w:ind w:firstLine="480"/>
        <w:jc w:val="center"/>
        <w:rPr>
          <w:rFonts w:ascii="仿宋" w:hAnsi="仿宋" w:eastAsia="仿宋" w:cs="仿宋"/>
          <w:color w:val="auto"/>
          <w:sz w:val="24"/>
        </w:rPr>
      </w:pPr>
    </w:p>
    <w:p>
      <w:pPr>
        <w:tabs>
          <w:tab w:val="left" w:pos="7665"/>
        </w:tabs>
        <w:spacing w:line="400" w:lineRule="exact"/>
        <w:ind w:firstLine="480"/>
        <w:rPr>
          <w:rFonts w:ascii="仿宋" w:hAnsi="仿宋" w:eastAsia="仿宋" w:cs="仿宋"/>
          <w:color w:val="auto"/>
          <w:sz w:val="24"/>
        </w:rPr>
      </w:pPr>
      <w:r>
        <w:rPr>
          <w:rFonts w:hint="eastAsia" w:ascii="仿宋" w:hAnsi="仿宋" w:eastAsia="仿宋" w:cs="仿宋"/>
          <w:color w:val="auto"/>
          <w:sz w:val="24"/>
        </w:rPr>
        <w:t>注意：采购人不同意磋商文件在磋商过程中有任何变动的，可以不规定此章内容。</w:t>
      </w:r>
    </w:p>
    <w:p>
      <w:pPr>
        <w:tabs>
          <w:tab w:val="left" w:pos="7665"/>
        </w:tabs>
        <w:spacing w:line="400" w:lineRule="exact"/>
        <w:ind w:firstLine="480"/>
        <w:rPr>
          <w:rFonts w:ascii="仿宋" w:hAnsi="仿宋" w:eastAsia="仿宋" w:cs="仿宋"/>
          <w:color w:val="auto"/>
          <w:sz w:val="24"/>
        </w:rPr>
      </w:pPr>
    </w:p>
    <w:p>
      <w:pPr>
        <w:tabs>
          <w:tab w:val="left" w:pos="7665"/>
        </w:tabs>
        <w:spacing w:line="400" w:lineRule="exact"/>
        <w:ind w:firstLine="480"/>
        <w:rPr>
          <w:rFonts w:ascii="仿宋" w:hAnsi="仿宋" w:eastAsia="仿宋" w:cs="仿宋"/>
          <w:b/>
          <w:bCs/>
          <w:color w:val="auto"/>
          <w:sz w:val="32"/>
          <w:szCs w:val="32"/>
        </w:rPr>
      </w:pPr>
    </w:p>
    <w:p>
      <w:pPr>
        <w:tabs>
          <w:tab w:val="left" w:pos="7665"/>
        </w:tabs>
        <w:spacing w:line="400" w:lineRule="exact"/>
        <w:ind w:firstLine="480"/>
        <w:jc w:val="center"/>
        <w:rPr>
          <w:rFonts w:ascii="仿宋" w:hAnsi="仿宋" w:eastAsia="仿宋" w:cs="仿宋"/>
          <w:b/>
          <w:bCs/>
          <w:color w:val="auto"/>
          <w:sz w:val="32"/>
          <w:szCs w:val="32"/>
        </w:rPr>
      </w:pPr>
    </w:p>
    <w:p>
      <w:pPr>
        <w:tabs>
          <w:tab w:val="left" w:pos="7665"/>
        </w:tabs>
        <w:spacing w:line="400" w:lineRule="exact"/>
        <w:ind w:firstLine="480"/>
        <w:jc w:val="center"/>
        <w:rPr>
          <w:rFonts w:ascii="仿宋" w:hAnsi="仿宋" w:eastAsia="仿宋" w:cs="仿宋"/>
          <w:b/>
          <w:bCs/>
          <w:color w:val="auto"/>
          <w:sz w:val="32"/>
          <w:szCs w:val="32"/>
        </w:rPr>
      </w:pPr>
    </w:p>
    <w:p>
      <w:pPr>
        <w:tabs>
          <w:tab w:val="left" w:pos="7665"/>
        </w:tabs>
        <w:spacing w:line="400" w:lineRule="exact"/>
        <w:ind w:firstLine="480"/>
        <w:jc w:val="center"/>
        <w:rPr>
          <w:rFonts w:ascii="仿宋" w:hAnsi="仿宋" w:eastAsia="仿宋" w:cs="仿宋"/>
          <w:b/>
          <w:bCs/>
          <w:color w:val="auto"/>
          <w:sz w:val="32"/>
          <w:szCs w:val="32"/>
        </w:rPr>
      </w:pPr>
    </w:p>
    <w:p>
      <w:pPr>
        <w:tabs>
          <w:tab w:val="left" w:pos="7665"/>
        </w:tabs>
        <w:spacing w:line="400" w:lineRule="exact"/>
        <w:ind w:firstLine="480"/>
        <w:jc w:val="center"/>
        <w:rPr>
          <w:rFonts w:ascii="仿宋" w:hAnsi="仿宋" w:eastAsia="仿宋" w:cs="仿宋"/>
          <w:b/>
          <w:bCs/>
          <w:color w:val="auto"/>
          <w:sz w:val="32"/>
          <w:szCs w:val="32"/>
        </w:rPr>
      </w:pPr>
    </w:p>
    <w:p>
      <w:pPr>
        <w:tabs>
          <w:tab w:val="left" w:pos="7665"/>
        </w:tabs>
        <w:spacing w:line="400" w:lineRule="exact"/>
        <w:ind w:firstLine="480"/>
        <w:jc w:val="center"/>
        <w:rPr>
          <w:rFonts w:ascii="仿宋" w:hAnsi="仿宋" w:eastAsia="仿宋" w:cs="仿宋"/>
          <w:b/>
          <w:bCs/>
          <w:color w:val="auto"/>
          <w:sz w:val="32"/>
          <w:szCs w:val="32"/>
        </w:rPr>
        <w:sectPr>
          <w:footerReference r:id="rId14" w:type="first"/>
          <w:pgSz w:w="11906" w:h="16840"/>
          <w:pgMar w:top="1440" w:right="1797" w:bottom="1440" w:left="1797" w:header="851" w:footer="992" w:gutter="0"/>
          <w:cols w:space="720" w:num="1"/>
          <w:titlePg/>
          <w:docGrid w:type="linesAndChars" w:linePitch="312" w:charSpace="0"/>
        </w:sectPr>
      </w:pPr>
    </w:p>
    <w:p>
      <w:pPr>
        <w:pStyle w:val="3"/>
        <w:widowControl/>
        <w:spacing w:line="240" w:lineRule="auto"/>
        <w:jc w:val="center"/>
        <w:rPr>
          <w:rFonts w:ascii="仿宋" w:hAnsi="仿宋" w:eastAsia="仿宋" w:cs="仿宋"/>
          <w:color w:val="auto"/>
          <w:kern w:val="2"/>
          <w:sz w:val="24"/>
          <w:szCs w:val="24"/>
        </w:rPr>
      </w:pPr>
      <w:bookmarkStart w:id="98" w:name="_Toc508714408"/>
      <w:r>
        <w:rPr>
          <w:rFonts w:hint="eastAsia" w:ascii="仿宋" w:hAnsi="仿宋" w:eastAsia="仿宋" w:cs="仿宋"/>
          <w:color w:val="auto"/>
          <w:kern w:val="2"/>
          <w:sz w:val="24"/>
          <w:szCs w:val="24"/>
        </w:rPr>
        <w:t>第八章  响应文件格式</w:t>
      </w:r>
      <w:bookmarkEnd w:id="98"/>
    </w:p>
    <w:p>
      <w:pPr>
        <w:tabs>
          <w:tab w:val="left" w:pos="7665"/>
        </w:tabs>
        <w:spacing w:line="400" w:lineRule="exact"/>
        <w:ind w:firstLine="480"/>
        <w:rPr>
          <w:rFonts w:ascii="仿宋" w:hAnsi="仿宋" w:eastAsia="仿宋" w:cs="仿宋"/>
          <w:color w:val="auto"/>
          <w:sz w:val="24"/>
        </w:rPr>
      </w:pPr>
    </w:p>
    <w:p>
      <w:pPr>
        <w:jc w:val="left"/>
        <w:rPr>
          <w:rFonts w:ascii="仿宋" w:hAnsi="仿宋" w:eastAsia="仿宋" w:cs="仿宋"/>
          <w:color w:val="auto"/>
          <w:sz w:val="24"/>
        </w:rPr>
      </w:pPr>
    </w:p>
    <w:p>
      <w:pPr>
        <w:ind w:firstLine="480" w:firstLineChars="200"/>
        <w:jc w:val="left"/>
        <w:rPr>
          <w:rFonts w:ascii="仿宋" w:hAnsi="仿宋" w:eastAsia="仿宋" w:cs="仿宋"/>
          <w:color w:val="auto"/>
          <w:sz w:val="24"/>
        </w:rPr>
      </w:pPr>
      <w:r>
        <w:rPr>
          <w:rFonts w:hint="eastAsia" w:ascii="仿宋" w:hAnsi="仿宋" w:eastAsia="仿宋" w:cs="仿宋"/>
          <w:color w:val="auto"/>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ind w:firstLine="480" w:firstLineChars="200"/>
        <w:jc w:val="left"/>
        <w:rPr>
          <w:rFonts w:ascii="仿宋" w:hAnsi="仿宋" w:eastAsia="仿宋" w:cs="仿宋"/>
          <w:color w:val="auto"/>
          <w:sz w:val="24"/>
        </w:rPr>
      </w:pPr>
      <w:r>
        <w:rPr>
          <w:rFonts w:hint="eastAsia" w:ascii="仿宋" w:hAnsi="仿宋" w:eastAsia="仿宋" w:cs="仿宋"/>
          <w:color w:val="auto"/>
          <w:sz w:val="24"/>
        </w:rPr>
        <w:t>二、本章所制响应文件格式有关表格中的备注栏，由供应商根据自身响应情况作解释性说明，不作为必填项。</w:t>
      </w:r>
    </w:p>
    <w:p>
      <w:pPr>
        <w:ind w:firstLine="480" w:firstLineChars="200"/>
        <w:jc w:val="left"/>
        <w:rPr>
          <w:rFonts w:ascii="仿宋" w:hAnsi="仿宋" w:eastAsia="仿宋" w:cs="仿宋"/>
          <w:color w:val="auto"/>
          <w:sz w:val="24"/>
        </w:rPr>
      </w:pPr>
      <w:r>
        <w:rPr>
          <w:rFonts w:hint="eastAsia" w:ascii="仿宋" w:hAnsi="仿宋" w:eastAsia="仿宋" w:cs="仿宋"/>
          <w:color w:val="auto"/>
          <w:sz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仿宋" w:hAnsi="仿宋" w:eastAsia="仿宋" w:cs="仿宋"/>
          <w:color w:val="auto"/>
          <w:sz w:val="24"/>
        </w:rPr>
      </w:pP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p>
    <w:p>
      <w:pPr>
        <w:pStyle w:val="2"/>
        <w:rPr>
          <w:rFonts w:ascii="仿宋" w:hAnsi="仿宋" w:eastAsia="仿宋" w:cs="仿宋"/>
          <w:b/>
          <w:color w:val="auto"/>
          <w:sz w:val="32"/>
          <w:szCs w:val="32"/>
        </w:rPr>
      </w:pPr>
    </w:p>
    <w:p>
      <w:pPr>
        <w:pStyle w:val="46"/>
        <w:rPr>
          <w:rFonts w:ascii="仿宋" w:hAnsi="仿宋" w:eastAsia="仿宋" w:cs="仿宋"/>
          <w:color w:val="auto"/>
        </w:rPr>
      </w:pP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bookmarkStart w:id="99" w:name="_Toc494198927"/>
      <w:bookmarkStart w:id="100" w:name="_Toc496605634"/>
      <w:bookmarkStart w:id="101" w:name="_Toc500492730"/>
      <w:bookmarkStart w:id="102" w:name="_Toc494198601"/>
      <w:bookmarkStart w:id="103" w:name="_Toc466895947"/>
      <w:r>
        <w:rPr>
          <w:rFonts w:hint="eastAsia" w:ascii="仿宋" w:hAnsi="仿宋" w:eastAsia="仿宋" w:cs="仿宋"/>
          <w:b/>
          <w:color w:val="auto"/>
          <w:sz w:val="32"/>
          <w:szCs w:val="32"/>
        </w:rPr>
        <w:t>一、响应文件封面格式</w:t>
      </w:r>
      <w:bookmarkEnd w:id="99"/>
      <w:bookmarkEnd w:id="100"/>
      <w:bookmarkEnd w:id="101"/>
      <w:bookmarkEnd w:id="102"/>
      <w:bookmarkEnd w:id="103"/>
    </w:p>
    <w:p>
      <w:pPr>
        <w:snapToGrid w:val="0"/>
        <w:spacing w:line="360" w:lineRule="auto"/>
        <w:ind w:firstLine="640" w:firstLineChars="200"/>
        <w:rPr>
          <w:rFonts w:ascii="仿宋" w:hAnsi="仿宋" w:eastAsia="仿宋" w:cs="仿宋"/>
          <w:b/>
          <w:color w:val="auto"/>
          <w:kern w:val="0"/>
          <w:sz w:val="32"/>
          <w:szCs w:val="32"/>
          <w:lang w:val="zh-CN"/>
        </w:rPr>
      </w:pPr>
      <w:r>
        <w:rPr>
          <w:rFonts w:ascii="仿宋" w:hAnsi="仿宋" w:eastAsia="仿宋" w:cs="仿宋"/>
          <w:b/>
          <w:color w:val="auto"/>
          <w:kern w:val="0"/>
          <w:sz w:val="32"/>
          <w:szCs w:val="32"/>
        </w:rPr>
        <w:pict>
          <v:shape id="Text Box 2" o:spid="_x0000_s1026" o:spt="202" type="#_x0000_t202" style="position:absolute;left:0pt;margin-left:355.35pt;margin-top:16.6pt;height:20.4pt;width:76.05pt;z-index:251659264;mso-width-relative:page;mso-height-relative:page;" coordsize="21600,21600" o:gfxdata="UEsDBAoAAAAAAIdO4kAAAAAAAAAAAAAAAAAEAAAAZHJzL1BLAwQUAAAACACHTuJALuHJ79gAAAAJ&#10;AQAADwAAAGRycy9kb3ducmV2LnhtbE2Py07DMBBF90j8gzVIbBC1k1RJCHG6QALBDgqCrRtPkwg/&#10;gu2m5e8ZVrAc3aM757abkzVswRAn7yRkKwEMXe/15AYJb6/31zWwmJTTyniHEr4xwqY7P2tVo/3R&#10;veCyTQOjEhcbJWFMaW44j/2IVsWVn9FRtvfBqkRnGLgO6kjl1vBciJJbNTn6MKoZ70bsP7cHK6Fe&#10;Py4f8al4fu/LvblJV9Xy8BWkvLzIxC2whKf0B8OvPqlDR047f3A6MiOhykRFqISiyIERUJc5bdlR&#10;shbAu5b/X9D9AFBLAwQUAAAACACHTuJAAOf4GTACAACFBAAADgAAAGRycy9lMm9Eb2MueG1srVTb&#10;btswDH0fsH8Q9L44yZIuMeIUXYsMA7oL0O4DFFmOhUmiRimxu68fJadZkG1AH+YHQRSpw8NDyqvr&#10;3hp2UBg0uIpPRmPOlJNQa7er+LfHzZsFZyEKVwsDTlX8SQV+vX79atX5Uk2hBVMrZATiQtn5ircx&#10;+rIogmyVFWEEXjlyNoBWRDJxV9QoOkK3ppiOx1dFB1h7BKlCoNO7wcmPiPgSQGgaLdUdyL1VLg6o&#10;qIyIVFJotQ98ndk2jZLxS9MEFZmpOFUa80pJaL9Na7FeiXKHwrdaHimIl1C4qMkK7SjpCepORMH2&#10;qP+AsloiBGjiSIIthkKyIlTFZHyhzUMrvMq1kNTBn0QP/w9Wfj58Rabril9x5oSlhj+qPrL30LNp&#10;UqfzoaSgB09hsadjmplcafD3IL8H5uC2FW6nbhCha5Woid0k3SzOrg44IYFsu09QUxqxj5CB+gZt&#10;ko7EYIROnXk6dSZRkXS4vJov3s45k+SazpfjRe5cIcrnyx5D/KDAsrSpOFLjM7g43IeYyIjyOSTl&#10;CmB0vdHGZAN321uD7CBoSDb5y/wvwoxjHTGZT+dD/f+EGOfvbxBWR3o7RtuKL86DjDvKlRQatIr9&#10;tj/Kv4X6iYRDGKaX3i5tWsCfnHU0uRUPP/YCFWfmoyPxl5PZLI16Nmbzd1My8NyzPfcIJwmq4pGz&#10;YXsbh+ex96h3LWUa2u3ghhrW6Cxm6uzA6sibpjNrfHxJafzP7Rz1+++x/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4cnv2AAAAAkBAAAPAAAAAAAAAAEAIAAAACIAAABkcnMvZG93bnJldi54bWxQ&#10;SwECFAAUAAAACACHTuJAAOf4GTACAACFBAAADgAAAAAAAAABACAAAAAnAQAAZHJzL2Uyb0RvYy54&#10;bWxQSwUGAAAAAAYABgBZAQAAyQUAAAAA&#10;">
            <v:path/>
            <v:fill focussize="0,0"/>
            <v:stroke joinstyle="miter"/>
            <v:imagedata o:title=""/>
            <o:lock v:ext="edit"/>
            <v:textbox>
              <w:txbxContent>
                <w:p>
                  <w:r>
                    <w:rPr>
                      <w:rFonts w:hint="eastAsia"/>
                    </w:rPr>
                    <w:t>正本或副本</w:t>
                  </w:r>
                </w:p>
              </w:txbxContent>
            </v:textbox>
          </v:shape>
        </w:pict>
      </w:r>
    </w:p>
    <w:p>
      <w:pPr>
        <w:snapToGrid w:val="0"/>
        <w:spacing w:line="360" w:lineRule="auto"/>
        <w:ind w:firstLine="640" w:firstLineChars="200"/>
        <w:rPr>
          <w:rFonts w:ascii="仿宋" w:hAnsi="仿宋" w:eastAsia="仿宋" w:cs="仿宋"/>
          <w:b/>
          <w:color w:val="auto"/>
          <w:kern w:val="0"/>
          <w:sz w:val="32"/>
          <w:szCs w:val="32"/>
          <w:lang w:val="zh-CN"/>
        </w:rPr>
      </w:pPr>
    </w:p>
    <w:p>
      <w:pPr>
        <w:snapToGrid w:val="0"/>
        <w:spacing w:line="360" w:lineRule="auto"/>
        <w:ind w:firstLine="640" w:firstLineChars="200"/>
        <w:rPr>
          <w:rFonts w:ascii="仿宋" w:hAnsi="仿宋" w:eastAsia="仿宋" w:cs="仿宋"/>
          <w:b/>
          <w:color w:val="auto"/>
          <w:kern w:val="0"/>
          <w:sz w:val="32"/>
          <w:szCs w:val="32"/>
          <w:lang w:val="zh-CN"/>
        </w:rPr>
      </w:pPr>
    </w:p>
    <w:p>
      <w:pPr>
        <w:spacing w:line="360" w:lineRule="auto"/>
        <w:jc w:val="center"/>
        <w:rPr>
          <w:rFonts w:ascii="仿宋" w:hAnsi="仿宋" w:eastAsia="仿宋" w:cs="仿宋"/>
          <w:color w:val="auto"/>
          <w:spacing w:val="78"/>
          <w:sz w:val="96"/>
          <w:szCs w:val="120"/>
        </w:rPr>
      </w:pPr>
      <w:r>
        <w:rPr>
          <w:rFonts w:hint="eastAsia" w:ascii="仿宋" w:hAnsi="仿宋" w:eastAsia="仿宋" w:cs="仿宋"/>
          <w:color w:val="auto"/>
          <w:spacing w:val="78"/>
          <w:sz w:val="96"/>
          <w:szCs w:val="120"/>
        </w:rPr>
        <w:t>资格性响应文件/</w:t>
      </w:r>
    </w:p>
    <w:p>
      <w:pPr>
        <w:spacing w:line="360" w:lineRule="auto"/>
        <w:jc w:val="center"/>
        <w:rPr>
          <w:rFonts w:ascii="仿宋" w:hAnsi="仿宋" w:eastAsia="仿宋" w:cs="仿宋"/>
          <w:color w:val="auto"/>
          <w:spacing w:val="78"/>
          <w:sz w:val="96"/>
          <w:szCs w:val="120"/>
        </w:rPr>
      </w:pPr>
      <w:r>
        <w:rPr>
          <w:rFonts w:hint="eastAsia" w:ascii="仿宋" w:hAnsi="仿宋" w:eastAsia="仿宋" w:cs="仿宋"/>
          <w:color w:val="auto"/>
          <w:spacing w:val="78"/>
          <w:sz w:val="96"/>
          <w:szCs w:val="120"/>
        </w:rPr>
        <w:t>其他响应文件/</w:t>
      </w:r>
    </w:p>
    <w:p>
      <w:pPr>
        <w:spacing w:line="360" w:lineRule="auto"/>
        <w:jc w:val="center"/>
        <w:rPr>
          <w:rFonts w:ascii="仿宋" w:hAnsi="仿宋" w:eastAsia="仿宋" w:cs="仿宋"/>
          <w:color w:val="auto"/>
          <w:spacing w:val="78"/>
          <w:sz w:val="120"/>
          <w:szCs w:val="120"/>
        </w:rPr>
      </w:pPr>
      <w:r>
        <w:rPr>
          <w:rFonts w:hint="eastAsia" w:ascii="仿宋" w:hAnsi="仿宋" w:eastAsia="仿宋" w:cs="仿宋"/>
          <w:color w:val="auto"/>
          <w:spacing w:val="78"/>
          <w:sz w:val="96"/>
          <w:szCs w:val="120"/>
        </w:rPr>
        <w:t>电子文档</w:t>
      </w:r>
    </w:p>
    <w:p>
      <w:pPr>
        <w:snapToGrid w:val="0"/>
        <w:spacing w:line="360" w:lineRule="auto"/>
        <w:ind w:firstLine="640" w:firstLineChars="200"/>
        <w:rPr>
          <w:rFonts w:ascii="仿宋" w:hAnsi="仿宋" w:eastAsia="仿宋" w:cs="仿宋"/>
          <w:b/>
          <w:color w:val="auto"/>
          <w:kern w:val="0"/>
          <w:sz w:val="32"/>
          <w:szCs w:val="32"/>
          <w:lang w:val="zh-CN"/>
        </w:rPr>
      </w:pPr>
    </w:p>
    <w:p>
      <w:pPr>
        <w:ind w:left="2332" w:leftChars="355" w:hanging="1587" w:hangingChars="496"/>
        <w:rPr>
          <w:rFonts w:ascii="仿宋" w:hAnsi="仿宋" w:eastAsia="仿宋" w:cs="仿宋"/>
          <w:b/>
          <w:bCs/>
          <w:color w:val="auto"/>
          <w:sz w:val="32"/>
          <w:szCs w:val="32"/>
        </w:rPr>
      </w:pPr>
      <w:r>
        <w:rPr>
          <w:rFonts w:hint="eastAsia" w:ascii="仿宋" w:hAnsi="仿宋" w:eastAsia="仿宋" w:cs="仿宋"/>
          <w:b/>
          <w:bCs/>
          <w:color w:val="auto"/>
          <w:sz w:val="32"/>
          <w:szCs w:val="32"/>
        </w:rPr>
        <w:t>采购项目名称：</w:t>
      </w:r>
    </w:p>
    <w:p>
      <w:pPr>
        <w:ind w:left="2332" w:leftChars="355" w:hanging="1587" w:hangingChars="496"/>
        <w:rPr>
          <w:rFonts w:ascii="仿宋" w:hAnsi="仿宋" w:eastAsia="仿宋" w:cs="仿宋"/>
          <w:b/>
          <w:bCs/>
          <w:color w:val="auto"/>
          <w:sz w:val="32"/>
          <w:szCs w:val="32"/>
        </w:rPr>
      </w:pPr>
      <w:r>
        <w:rPr>
          <w:rFonts w:hint="eastAsia" w:ascii="仿宋" w:hAnsi="仿宋" w:eastAsia="仿宋" w:cs="仿宋"/>
          <w:b/>
          <w:bCs/>
          <w:color w:val="auto"/>
          <w:sz w:val="32"/>
          <w:szCs w:val="32"/>
        </w:rPr>
        <w:t>项目编号：</w:t>
      </w:r>
    </w:p>
    <w:p>
      <w:pPr>
        <w:ind w:left="2332" w:leftChars="355" w:hanging="1587" w:hangingChars="496"/>
        <w:rPr>
          <w:rFonts w:ascii="仿宋" w:hAnsi="仿宋" w:eastAsia="仿宋" w:cs="仿宋"/>
          <w:b/>
          <w:bCs/>
          <w:color w:val="auto"/>
          <w:sz w:val="32"/>
          <w:szCs w:val="32"/>
        </w:rPr>
      </w:pPr>
      <w:r>
        <w:rPr>
          <w:rFonts w:hint="eastAsia" w:ascii="仿宋" w:hAnsi="仿宋" w:eastAsia="仿宋" w:cs="仿宋"/>
          <w:b/>
          <w:bCs/>
          <w:color w:val="auto"/>
          <w:sz w:val="32"/>
          <w:szCs w:val="32"/>
        </w:rPr>
        <w:t>包件号及名称：（若有）</w:t>
      </w:r>
    </w:p>
    <w:p>
      <w:pPr>
        <w:snapToGrid w:val="0"/>
        <w:spacing w:line="360" w:lineRule="auto"/>
        <w:ind w:firstLine="640" w:firstLineChars="200"/>
        <w:rPr>
          <w:rFonts w:ascii="仿宋" w:hAnsi="仿宋" w:eastAsia="仿宋" w:cs="仿宋"/>
          <w:b/>
          <w:color w:val="auto"/>
          <w:kern w:val="0"/>
          <w:sz w:val="32"/>
          <w:szCs w:val="32"/>
          <w:lang w:val="zh-CN"/>
        </w:rPr>
      </w:pPr>
    </w:p>
    <w:p>
      <w:pPr>
        <w:spacing w:line="360" w:lineRule="auto"/>
        <w:ind w:firstLine="1600" w:firstLineChars="500"/>
        <w:jc w:val="left"/>
        <w:rPr>
          <w:rFonts w:ascii="仿宋" w:hAnsi="仿宋" w:eastAsia="仿宋" w:cs="仿宋"/>
          <w:b/>
          <w:color w:val="auto"/>
          <w:sz w:val="32"/>
          <w:szCs w:val="32"/>
        </w:rPr>
      </w:pPr>
      <w:r>
        <w:rPr>
          <w:rFonts w:hint="eastAsia" w:ascii="仿宋" w:hAnsi="仿宋" w:eastAsia="仿宋" w:cs="仿宋"/>
          <w:b/>
          <w:color w:val="auto"/>
          <w:sz w:val="32"/>
          <w:szCs w:val="32"/>
        </w:rPr>
        <w:t>供应商名称：</w:t>
      </w:r>
    </w:p>
    <w:p>
      <w:pPr>
        <w:spacing w:line="360" w:lineRule="auto"/>
        <w:ind w:firstLine="1600" w:firstLineChars="500"/>
        <w:jc w:val="left"/>
        <w:rPr>
          <w:rFonts w:ascii="仿宋" w:hAnsi="仿宋" w:eastAsia="仿宋" w:cs="仿宋"/>
          <w:b/>
          <w:color w:val="auto"/>
          <w:sz w:val="32"/>
          <w:szCs w:val="32"/>
        </w:rPr>
      </w:pPr>
    </w:p>
    <w:p>
      <w:pPr>
        <w:spacing w:line="360" w:lineRule="auto"/>
        <w:ind w:firstLine="1600" w:firstLineChars="500"/>
        <w:jc w:val="left"/>
        <w:rPr>
          <w:rFonts w:ascii="仿宋" w:hAnsi="仿宋" w:eastAsia="仿宋" w:cs="仿宋"/>
          <w:b/>
          <w:color w:val="auto"/>
          <w:sz w:val="32"/>
          <w:szCs w:val="32"/>
        </w:rPr>
      </w:pPr>
      <w:r>
        <w:rPr>
          <w:rFonts w:hint="eastAsia" w:ascii="仿宋" w:hAnsi="仿宋" w:eastAsia="仿宋" w:cs="仿宋"/>
          <w:b/>
          <w:color w:val="auto"/>
          <w:sz w:val="32"/>
          <w:szCs w:val="32"/>
        </w:rPr>
        <w:t>日   期：年月日</w:t>
      </w: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r>
        <w:rPr>
          <w:rFonts w:hint="eastAsia" w:ascii="仿宋" w:hAnsi="仿宋" w:eastAsia="仿宋" w:cs="仿宋"/>
          <w:b/>
          <w:color w:val="auto"/>
          <w:sz w:val="32"/>
          <w:szCs w:val="32"/>
        </w:rPr>
        <w:t>二、法定代表人授权书</w:t>
      </w:r>
    </w:p>
    <w:p>
      <w:pPr>
        <w:jc w:val="center"/>
        <w:rPr>
          <w:rFonts w:ascii="仿宋" w:hAnsi="仿宋" w:eastAsia="仿宋" w:cs="仿宋"/>
          <w:b/>
          <w:color w:val="auto"/>
          <w:sz w:val="44"/>
        </w:rPr>
      </w:pPr>
    </w:p>
    <w:p>
      <w:pPr>
        <w:spacing w:line="400" w:lineRule="exact"/>
        <w:rPr>
          <w:rFonts w:ascii="仿宋" w:hAnsi="仿宋" w:eastAsia="仿宋" w:cs="仿宋"/>
          <w:color w:val="auto"/>
          <w:sz w:val="24"/>
        </w:rPr>
      </w:pPr>
      <w:r>
        <w:rPr>
          <w:rFonts w:hint="eastAsia" w:ascii="仿宋" w:hAnsi="仿宋" w:eastAsia="仿宋" w:cs="仿宋"/>
          <w:color w:val="auto"/>
          <w:sz w:val="24"/>
        </w:rPr>
        <w:t>四川尚运晟工程项目管理有限公司：</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本授权声明： </w:t>
      </w:r>
      <w:r>
        <w:rPr>
          <w:rFonts w:hint="eastAsia" w:ascii="仿宋" w:hAnsi="仿宋" w:eastAsia="仿宋" w:cs="仿宋"/>
          <w:color w:val="auto"/>
          <w:sz w:val="24"/>
          <w:u w:val="single"/>
        </w:rPr>
        <w:t xml:space="preserve">（单位名称）    </w:t>
      </w:r>
      <w:r>
        <w:rPr>
          <w:rFonts w:hint="eastAsia" w:ascii="仿宋" w:hAnsi="仿宋" w:eastAsia="仿宋" w:cs="仿宋"/>
          <w:color w:val="auto"/>
          <w:sz w:val="24"/>
        </w:rPr>
        <w:t>,</w:t>
      </w:r>
      <w:r>
        <w:rPr>
          <w:rFonts w:hint="eastAsia" w:ascii="仿宋" w:hAnsi="仿宋" w:eastAsia="仿宋" w:cs="仿宋"/>
          <w:color w:val="auto"/>
          <w:sz w:val="24"/>
          <w:u w:val="single"/>
        </w:rPr>
        <w:t xml:space="preserve">（法定代表人姓名、职务）   </w:t>
      </w:r>
      <w:r>
        <w:rPr>
          <w:rFonts w:hint="eastAsia" w:ascii="仿宋" w:hAnsi="仿宋" w:eastAsia="仿宋" w:cs="仿宋"/>
          <w:color w:val="auto"/>
          <w:sz w:val="24"/>
        </w:rPr>
        <w:t>授权</w:t>
      </w:r>
      <w:r>
        <w:rPr>
          <w:rFonts w:hint="eastAsia" w:ascii="仿宋" w:hAnsi="仿宋" w:eastAsia="仿宋" w:cs="仿宋"/>
          <w:color w:val="auto"/>
          <w:sz w:val="24"/>
          <w:u w:val="single"/>
        </w:rPr>
        <w:t xml:space="preserve"> （被授权人姓名、职务）    </w:t>
      </w:r>
      <w:r>
        <w:rPr>
          <w:rFonts w:hint="eastAsia" w:ascii="仿宋" w:hAnsi="仿宋" w:eastAsia="仿宋" w:cs="仿宋"/>
          <w:color w:val="auto"/>
          <w:sz w:val="24"/>
        </w:rPr>
        <w:t>为我方参加项目（项目编号：）磋商采购活动的合法代表，以我方名义全权处理该项目有关磋商、报价、签订合同以及执行合同等一切事宜。</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特此声明。</w:t>
      </w:r>
    </w:p>
    <w:p>
      <w:pPr>
        <w:spacing w:line="400" w:lineRule="exact"/>
        <w:ind w:firstLine="480" w:firstLineChars="200"/>
        <w:rPr>
          <w:rFonts w:ascii="仿宋" w:hAnsi="仿宋" w:eastAsia="仿宋" w:cs="仿宋"/>
          <w:color w:val="auto"/>
          <w:sz w:val="24"/>
        </w:rPr>
      </w:pPr>
    </w:p>
    <w:p>
      <w:pPr>
        <w:spacing w:line="400" w:lineRule="exact"/>
        <w:ind w:firstLine="480" w:firstLineChars="200"/>
        <w:rPr>
          <w:rFonts w:ascii="仿宋" w:hAnsi="仿宋" w:eastAsia="仿宋" w:cs="仿宋"/>
          <w:color w:val="auto"/>
          <w:sz w:val="24"/>
        </w:rPr>
      </w:pPr>
    </w:p>
    <w:p>
      <w:pPr>
        <w:spacing w:line="400" w:lineRule="exac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（盖单位公章）</w:t>
      </w:r>
    </w:p>
    <w:p>
      <w:pPr>
        <w:spacing w:line="400" w:lineRule="exact"/>
        <w:rPr>
          <w:rFonts w:ascii="仿宋" w:hAnsi="仿宋" w:eastAsia="仿宋" w:cs="仿宋"/>
          <w:color w:val="auto"/>
          <w:sz w:val="24"/>
        </w:rPr>
      </w:pPr>
      <w:r>
        <w:rPr>
          <w:rFonts w:hint="eastAsia" w:ascii="仿宋" w:hAnsi="仿宋" w:eastAsia="仿宋" w:cs="仿宋"/>
          <w:color w:val="auto"/>
          <w:sz w:val="24"/>
        </w:rPr>
        <w:t>法定代表人签字或</w:t>
      </w:r>
      <w:r>
        <w:rPr>
          <w:rFonts w:hint="eastAsia" w:ascii="仿宋" w:hAnsi="仿宋" w:eastAsia="仿宋" w:cs="仿宋"/>
          <w:bCs/>
          <w:color w:val="auto"/>
          <w:sz w:val="24"/>
        </w:rPr>
        <w:t>加盖印章</w:t>
      </w:r>
      <w:r>
        <w:rPr>
          <w:rFonts w:hint="eastAsia" w:ascii="仿宋" w:hAnsi="仿宋" w:eastAsia="仿宋" w:cs="仿宋"/>
          <w:color w:val="auto"/>
          <w:sz w:val="24"/>
        </w:rPr>
        <w:t>：</w:t>
      </w:r>
    </w:p>
    <w:p>
      <w:pPr>
        <w:spacing w:line="400" w:lineRule="exact"/>
        <w:rPr>
          <w:rFonts w:ascii="仿宋" w:hAnsi="仿宋" w:eastAsia="仿宋" w:cs="仿宋"/>
          <w:color w:val="auto"/>
          <w:sz w:val="24"/>
        </w:rPr>
      </w:pPr>
      <w:r>
        <w:rPr>
          <w:rFonts w:hint="eastAsia" w:ascii="仿宋" w:hAnsi="仿宋" w:eastAsia="仿宋" w:cs="仿宋"/>
          <w:color w:val="auto"/>
          <w:sz w:val="24"/>
        </w:rPr>
        <w:t>职    务：</w:t>
      </w:r>
    </w:p>
    <w:p>
      <w:pPr>
        <w:spacing w:line="400" w:lineRule="exact"/>
        <w:rPr>
          <w:rFonts w:ascii="仿宋" w:hAnsi="仿宋" w:eastAsia="仿宋" w:cs="仿宋"/>
          <w:color w:val="auto"/>
          <w:sz w:val="24"/>
        </w:rPr>
      </w:pPr>
      <w:r>
        <w:rPr>
          <w:rFonts w:hint="eastAsia" w:ascii="仿宋" w:hAnsi="仿宋" w:eastAsia="仿宋" w:cs="仿宋"/>
          <w:color w:val="auto"/>
          <w:sz w:val="24"/>
        </w:rPr>
        <w:t>被授权人签字或</w:t>
      </w:r>
      <w:r>
        <w:rPr>
          <w:rFonts w:hint="eastAsia" w:ascii="仿宋" w:hAnsi="仿宋" w:eastAsia="仿宋" w:cs="仿宋"/>
          <w:bCs/>
          <w:color w:val="auto"/>
          <w:sz w:val="24"/>
        </w:rPr>
        <w:t>加盖印章</w:t>
      </w:r>
      <w:r>
        <w:rPr>
          <w:rFonts w:hint="eastAsia" w:ascii="仿宋" w:hAnsi="仿宋" w:eastAsia="仿宋" w:cs="仿宋"/>
          <w:color w:val="auto"/>
          <w:sz w:val="24"/>
        </w:rPr>
        <w:t>：</w:t>
      </w:r>
    </w:p>
    <w:p>
      <w:pPr>
        <w:spacing w:line="400" w:lineRule="exact"/>
        <w:rPr>
          <w:rFonts w:ascii="仿宋" w:hAnsi="仿宋" w:eastAsia="仿宋" w:cs="仿宋"/>
          <w:color w:val="auto"/>
          <w:sz w:val="24"/>
        </w:rPr>
      </w:pPr>
      <w:r>
        <w:rPr>
          <w:rFonts w:hint="eastAsia" w:ascii="仿宋" w:hAnsi="仿宋" w:eastAsia="仿宋" w:cs="仿宋"/>
          <w:color w:val="auto"/>
          <w:sz w:val="24"/>
        </w:rPr>
        <w:t>职    务：</w:t>
      </w:r>
    </w:p>
    <w:p>
      <w:pPr>
        <w:spacing w:line="400" w:lineRule="exact"/>
        <w:rPr>
          <w:rFonts w:ascii="仿宋" w:hAnsi="仿宋" w:eastAsia="仿宋" w:cs="仿宋"/>
          <w:color w:val="auto"/>
          <w:sz w:val="24"/>
        </w:rPr>
      </w:pPr>
      <w:r>
        <w:rPr>
          <w:rFonts w:hint="eastAsia" w:ascii="仿宋" w:hAnsi="仿宋" w:eastAsia="仿宋" w:cs="仿宋"/>
          <w:color w:val="auto"/>
          <w:sz w:val="24"/>
        </w:rPr>
        <w:t xml:space="preserve">日    期： </w:t>
      </w:r>
    </w:p>
    <w:p>
      <w:pPr>
        <w:spacing w:line="400" w:lineRule="exact"/>
        <w:rPr>
          <w:rFonts w:ascii="仿宋" w:hAnsi="仿宋" w:eastAsia="仿宋" w:cs="仿宋"/>
          <w:color w:val="auto"/>
          <w:sz w:val="24"/>
        </w:rPr>
      </w:pPr>
    </w:p>
    <w:p>
      <w:pPr>
        <w:spacing w:line="400" w:lineRule="exact"/>
        <w:rPr>
          <w:rFonts w:ascii="仿宋" w:hAnsi="仿宋" w:eastAsia="仿宋" w:cs="仿宋"/>
          <w:color w:val="auto"/>
          <w:sz w:val="24"/>
        </w:rPr>
      </w:pPr>
    </w:p>
    <w:p>
      <w:pPr>
        <w:widowControl/>
        <w:spacing w:line="520" w:lineRule="exact"/>
        <w:jc w:val="left"/>
        <w:rPr>
          <w:rFonts w:ascii="仿宋" w:hAnsi="仿宋" w:eastAsia="仿宋" w:cs="仿宋"/>
          <w:bCs/>
          <w:color w:val="auto"/>
          <w:kern w:val="0"/>
          <w:sz w:val="24"/>
        </w:rPr>
      </w:pPr>
      <w:r>
        <w:rPr>
          <w:rFonts w:hint="eastAsia" w:ascii="仿宋" w:hAnsi="仿宋" w:eastAsia="仿宋" w:cs="仿宋"/>
          <w:b/>
          <w:color w:val="auto"/>
          <w:kern w:val="0"/>
          <w:sz w:val="24"/>
        </w:rPr>
        <w:t>说明：1）</w:t>
      </w:r>
      <w:r>
        <w:rPr>
          <w:rFonts w:hint="eastAsia" w:ascii="仿宋" w:hAnsi="仿宋" w:eastAsia="仿宋" w:cs="仿宋"/>
          <w:b/>
          <w:color w:val="auto"/>
          <w:kern w:val="0"/>
          <w:sz w:val="24"/>
          <w:lang w:val="zh-CN"/>
        </w:rPr>
        <w:t>上述证明文件在资格性响应文件中附有法定代表人身份证复印件和代理人身份证复印件（身份证两面均应复印）时才能生效，不允许粘贴。</w:t>
      </w:r>
      <w:r>
        <w:rPr>
          <w:rFonts w:hint="eastAsia" w:ascii="仿宋" w:hAnsi="仿宋" w:eastAsia="仿宋" w:cs="仿宋"/>
          <w:b/>
          <w:color w:val="auto"/>
          <w:kern w:val="0"/>
          <w:sz w:val="24"/>
        </w:rPr>
        <w:t>2）响应文件均由供应商法定代表人签字的,资格性响应文件中可不提供</w:t>
      </w:r>
      <w:r>
        <w:rPr>
          <w:rFonts w:hint="eastAsia" w:ascii="仿宋" w:hAnsi="仿宋" w:eastAsia="仿宋" w:cs="仿宋"/>
          <w:b/>
          <w:bCs/>
          <w:color w:val="auto"/>
          <w:kern w:val="0"/>
          <w:sz w:val="24"/>
        </w:rPr>
        <w:t>法定代表人授权委托书及代理人身份证复印件，但必须提供</w:t>
      </w:r>
      <w:r>
        <w:rPr>
          <w:rFonts w:hint="eastAsia" w:ascii="仿宋" w:hAnsi="仿宋" w:eastAsia="仿宋" w:cs="仿宋"/>
          <w:b/>
          <w:color w:val="auto"/>
          <w:kern w:val="0"/>
          <w:sz w:val="24"/>
          <w:lang w:val="zh-CN"/>
        </w:rPr>
        <w:t>法定代表人身份证复印件</w:t>
      </w:r>
      <w:r>
        <w:rPr>
          <w:rFonts w:hint="eastAsia" w:ascii="仿宋" w:hAnsi="仿宋" w:eastAsia="仿宋" w:cs="仿宋"/>
          <w:b/>
          <w:color w:val="auto"/>
          <w:kern w:val="0"/>
          <w:sz w:val="24"/>
        </w:rPr>
        <w:t>。</w:t>
      </w:r>
    </w:p>
    <w:p>
      <w:pPr>
        <w:widowControl/>
        <w:tabs>
          <w:tab w:val="left" w:pos="720"/>
          <w:tab w:val="left" w:pos="6300"/>
        </w:tabs>
        <w:spacing w:line="520" w:lineRule="exact"/>
        <w:ind w:firstLine="573"/>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法定代表人身份证和代理人身份证样式(仅供参考)：</w:t>
      </w:r>
    </w:p>
    <w:p>
      <w:pPr>
        <w:widowControl/>
        <w:spacing w:line="520" w:lineRule="exact"/>
        <w:jc w:val="left"/>
        <w:rPr>
          <w:rFonts w:ascii="仿宋" w:hAnsi="仿宋" w:eastAsia="仿宋" w:cs="仿宋"/>
          <w:b/>
          <w:color w:val="auto"/>
          <w:kern w:val="0"/>
          <w:sz w:val="24"/>
        </w:rPr>
      </w:pPr>
    </w:p>
    <w:p>
      <w:pPr>
        <w:widowControl/>
        <w:jc w:val="left"/>
        <w:rPr>
          <w:rFonts w:ascii="仿宋" w:hAnsi="仿宋" w:eastAsia="仿宋" w:cs="仿宋"/>
          <w:b/>
          <w:color w:val="auto"/>
          <w:kern w:val="0"/>
          <w:sz w:val="24"/>
        </w:rPr>
      </w:pPr>
      <w:r>
        <w:rPr>
          <w:rFonts w:ascii="仿宋" w:hAnsi="仿宋" w:eastAsia="仿宋" w:cs="仿宋"/>
          <w:b/>
          <w:color w:val="auto"/>
          <w:kern w:val="0"/>
          <w:sz w:val="24"/>
        </w:rPr>
        <w:pict>
          <v:shape id="Text Box 7" o:spid="_x0000_s1028" o:spt="202" type="#_x0000_t202" style="position:absolute;left:0pt;margin-left:204.5pt;margin-top:0.75pt;height:115.1pt;width:189.4pt;mso-wrap-distance-left:9pt;mso-wrap-distance-right:9pt;z-index:251660288;mso-width-relative:page;mso-height-relative:page;" coordsize="21600,21600" wrapcoords="-86 -141 -86 21459 21686 21459 21686 -141 -86 -141" o:gfxdata="UEsDBAoAAAAAAIdO4kAAAAAAAAAAAAAAAAAEAAAAZHJzL1BLAwQUAAAACACHTuJA6YuHd9cAAAAJ&#10;AQAADwAAAGRycy9kb3ducmV2LnhtbE2Pu07EMBBFeyT+wRokOtZOYHEIcbbg2a1E2IJyEjsPEdtR&#10;7E2Wv2eo2HJ0RveeW+xOdmSLmcPgnYJkI4AZ13g9uE7B4fP1JgMWIjqNo3dGwY8JsCsvLwrMtV/d&#10;h1mq2DEKcSFHBX2MU855aHpjMWz8ZByx1s8WI51zx/WMK4XbkadC3HOLg6OGHifz1JvmuzpaBfv3&#10;kNXyZfl6qw7+eb/KFrdpq9T1VSIegUVziv/P8KdP6lCSU+2PTgc2KrgTD7QlEtgCIy4zSVNqBelt&#10;IoGXBT9fUP4CUEsDBBQAAAAIAIdO4kCNEUF2PQIAAJ8EAAAOAAAAZHJzL2Uyb0RvYy54bWytVMFu&#10;2zAMvQ/YPwi6L06ypEmNOkXXoMOArhvQ7gMUWY6FSaJGKbGzrx8lp1nQbUAP80EgReqRfCR9dd1b&#10;w/YKgwZX8clozJlyEmrtthX/9nT3bslZiMLVwoBTFT+owK9Xb99cdb5UU2jB1AoZgbhQdr7ibYy+&#10;LIogW2VFGIFXjowNoBWRVNwWNYqO0K0ppuPxRdEB1h5BqhDodj0Y+RERXwMITaOlWoPcWeXigIrK&#10;iEglhVb7wFc526ZRMn5pmqAiMxWnSmM+KQjJm3QWqytRblH4VstjCuI1KbyoyQrtKOgJai2iYDvU&#10;f0BZLRECNHEkwRZDIZkRqmIyfsHNYyu8yrUQ1cGfSA//D1Y+7L8i03XF55w5YanhT6qP7AP0bJHY&#10;6XwoyenRk1vs6ZpmJlca/D3I74E5uG2F26obROhaJWrKbpJeFmdPB5yQQDbdZ6gpjNhFyEB9gzZR&#10;R2QwQqfOHE6dSalIupzOxvP3SzJJsk1mF5PFIveuEOXzc48hflRgWRIqjtT6DC/29yGmdET57JKi&#10;BTC6vtPGZAW3m1uDbC9oTO7ylyt44WYc6yp+OZ/OBwb+CTHO398gUgprEdohVE1S8hKl1ZG2ymhb&#10;8eX5Y+OORCbuBhZjv+mPjdlAfSBKEYa5pq0moQX8yVlHM13x8GMnUHFmPjlqy+VkNktLkJXZfDEl&#10;Bc8tm3OLcJKgKh45G8TbOCzOzqPethRpGAQHN9TKRmeSU8+HrI5509xm7o87lhbjXM9ev/8r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pi4d31wAAAAkBAAAPAAAAAAAAAAEAIAAAACIAAABkcnMv&#10;ZG93bnJldi54bWxQSwECFAAUAAAACACHTuJAjRFBdj0CAACfBAAADgAAAAAAAAABACAAAAAmAQAA&#10;ZHJzL2Uyb0RvYy54bWxQSwUGAAAAAAYABgBZAQAA1QUAAAAA&#10;">
            <v:path/>
            <v:fill focussize="0,0"/>
            <v:stroke dashstyle="dash"/>
            <v:imagedata o:title=""/>
            <o:lock v:ext="edit"/>
            <v:textbox>
              <w:txbxContent>
                <w:p>
                  <w:pPr>
                    <w:rPr>
                      <w:rFonts w:ascii="宋体" w:hAnsi="宋体"/>
                      <w:b/>
                      <w:lang w:val="zh-CN"/>
                    </w:rPr>
                  </w:pPr>
                </w:p>
                <w:p>
                  <w:pPr>
                    <w:rPr>
                      <w:rFonts w:ascii="宋体" w:hAnsi="宋体"/>
                      <w:b/>
                      <w:lang w:val="zh-CN"/>
                    </w:rPr>
                  </w:pPr>
                </w:p>
                <w:p>
                  <w:pPr>
                    <w:jc w:val="center"/>
                  </w:pPr>
                  <w:r>
                    <w:rPr>
                      <w:rFonts w:hint="eastAsia" w:ascii="宋体" w:hAnsi="宋体"/>
                      <w:b/>
                      <w:lang w:val="zh-CN"/>
                    </w:rPr>
                    <w:t>身份证复印件背面</w:t>
                  </w:r>
                </w:p>
              </w:txbxContent>
            </v:textbox>
            <w10:wrap type="tight"/>
          </v:shape>
        </w:pict>
      </w:r>
      <w:r>
        <w:rPr>
          <w:rFonts w:ascii="仿宋" w:hAnsi="仿宋" w:eastAsia="仿宋" w:cs="仿宋"/>
          <w:b/>
          <w:color w:val="auto"/>
          <w:kern w:val="0"/>
          <w:sz w:val="24"/>
        </w:rPr>
        <w:pict>
          <v:shape id="Text Box 6" o:spid="_x0000_s1027" o:spt="202" type="#_x0000_t202" style="position:absolute;left:0pt;margin-left:3.25pt;margin-top:0.75pt;height:115.1pt;width:189.4pt;mso-wrap-distance-left:9pt;mso-wrap-distance-right:9pt;z-index:-251656192;mso-width-relative:page;mso-height-relative:page;" coordsize="21600,21600" wrapcoords="-86 -141 -86 21459 21686 21459 21686 -141 -86 -141" o:gfxdata="UEsDBAoAAAAAAIdO4kAAAAAAAAAAAAAAAAAEAAAAZHJzL1BLAwQUAAAACACHTuJAw+DZT9UAAAAH&#10;AQAADwAAAGRycy9kb3ducmV2LnhtbE2OO2+EMBCE+0j5D9ZGSpczD3Eggrkiz+6kcFekXGB5KNhG&#10;2AeXf59NlVSjnRnNfsXhqiex0uJGaxSEuwAEmca2o+kVnE+vDxkI59G0OFlDCr7JwaG8vSkwb+1m&#10;PmitfC94xLgcFQzez7mUrhlIo9vZmQxnnV00ej6XXrYLbjyuJxkFwV5qHA1/GHCmp4Gar+qiFRzf&#10;XVanL+vnW3W2z8ct7TCJOqXu78LgEYSnq/8rwy8+o0PJTLW9mNaJScE+4SLbLJzGWRKDqBVEcZiC&#10;LAv5n7/8AVBLAwQUAAAACACHTuJAvwOcWj4CAACfBAAADgAAAGRycy9lMm9Eb2MueG1srVTBbtsw&#10;DL0P2D8Iui9OsiRtjTpF1yDDgK4b0O4DGFmOhUmiJimxs68fJadZ0G1AD/NBIEXqkXwkfX3TG832&#10;0geFtuKT0ZgzaQXWym4r/u1p/e6SsxDB1qDRyoofZOA3y7dvrjtXyim2qGvpGYHYUHau4m2MriyK&#10;IFppIIzQSUvGBr2BSKrfFrWHjtCNLqbj8aLo0NfOo5Ah0O1qMPIjon8NIDaNEnKFYmekjQOqlxoi&#10;lRRa5QJf5mybRor4pWmCjExXnCqN+aQgJG/SWSyvodx6cK0SxxTgNSm8qMmAshT0BLWCCGzn1R9Q&#10;RgmPAZs4EmiKoZDMCFUxGb/g5rEFJ3MtRHVwJ9LD/4MVD/uvnqm64jPOLBhq+JPsI/uAPVskdjoX&#10;SnJ6dOQWe7qmmcmVBneP4ntgFu9asFt56z12rYSaspukl8XZ0wEnJJBN9xlrCgO7iBmob7xJ1BEZ&#10;jNCpM4dTZ1Iqgi6ns/H8/SWZBNkms8Xk4iL3roDy+bnzIX6UaFgSKu6p9Rke9vchpnSgfHZJ0QJq&#10;Va+V1lnx282d9mwPNCbr/OUKXrhpy7qKX82n84GBf0KM8/c3iJTCCkI7hKpJSl5QGhVpq7QyFb88&#10;f6ztkcjE3cBi7Df9sTEbrA9EqcdhrmmrSWjR/+Sso5muePixAy85058steVqMpulJcjKbH4xJcWf&#10;WzbnFrCCoCoeORvEuzgszs55tW0p0jAIFm+plY3KJKeeD1kd86a5zdwfdywtxrmevX7/V5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Pg2U/VAAAABwEAAA8AAAAAAAAAAQAgAAAAIgAAAGRycy9k&#10;b3ducmV2LnhtbFBLAQIUABQAAAAIAIdO4kC/A5xaPgIAAJ8EAAAOAAAAAAAAAAEAIAAAACQBAABk&#10;cnMvZTJvRG9jLnhtbFBLBQYAAAAABgAGAFkBAADUBQAAAAA=&#10;">
            <v:path/>
            <v:fill focussize="0,0"/>
            <v:stroke dashstyle="dash"/>
            <v:imagedata o:title=""/>
            <o:lock v:ext="edit"/>
            <v:textbox>
              <w:txbxContent>
                <w:p>
                  <w:pPr>
                    <w:rPr>
                      <w:rFonts w:ascii="宋体" w:hAnsi="宋体"/>
                      <w:b/>
                      <w:lang w:val="zh-CN"/>
                    </w:rPr>
                  </w:pPr>
                </w:p>
                <w:p>
                  <w:pPr>
                    <w:rPr>
                      <w:rFonts w:ascii="宋体" w:hAnsi="宋体"/>
                      <w:b/>
                      <w:lang w:val="zh-CN"/>
                    </w:rPr>
                  </w:pPr>
                </w:p>
                <w:p>
                  <w:pPr>
                    <w:jc w:val="center"/>
                  </w:pPr>
                  <w:r>
                    <w:rPr>
                      <w:rFonts w:hint="eastAsia" w:ascii="宋体" w:hAnsi="宋体"/>
                      <w:b/>
                      <w:lang w:val="zh-CN"/>
                    </w:rPr>
                    <w:t>身份证复印件正面</w:t>
                  </w:r>
                </w:p>
              </w:txbxContent>
            </v:textbox>
            <w10:wrap type="tight"/>
          </v:shape>
        </w:pict>
      </w:r>
    </w:p>
    <w:p>
      <w:pPr>
        <w:widowControl/>
        <w:jc w:val="left"/>
        <w:rPr>
          <w:rFonts w:ascii="仿宋" w:hAnsi="仿宋" w:eastAsia="仿宋" w:cs="仿宋"/>
          <w:b/>
          <w:color w:val="auto"/>
          <w:kern w:val="0"/>
          <w:sz w:val="24"/>
        </w:rPr>
      </w:pPr>
    </w:p>
    <w:p>
      <w:pPr>
        <w:widowControl/>
        <w:jc w:val="left"/>
        <w:rPr>
          <w:rFonts w:ascii="仿宋" w:hAnsi="仿宋" w:eastAsia="仿宋" w:cs="仿宋"/>
          <w:b/>
          <w:color w:val="auto"/>
          <w:kern w:val="0"/>
          <w:sz w:val="24"/>
        </w:rPr>
      </w:pPr>
    </w:p>
    <w:p>
      <w:pPr>
        <w:widowControl/>
        <w:jc w:val="left"/>
        <w:rPr>
          <w:rFonts w:ascii="仿宋" w:hAnsi="仿宋" w:eastAsia="仿宋" w:cs="仿宋"/>
          <w:b/>
          <w:color w:val="auto"/>
          <w:kern w:val="0"/>
          <w:sz w:val="24"/>
        </w:rPr>
      </w:pPr>
    </w:p>
    <w:p>
      <w:pPr>
        <w:widowControl/>
        <w:jc w:val="left"/>
        <w:rPr>
          <w:rFonts w:ascii="仿宋" w:hAnsi="仿宋" w:eastAsia="仿宋" w:cs="仿宋"/>
          <w:b/>
          <w:color w:val="auto"/>
          <w:kern w:val="0"/>
          <w:sz w:val="24"/>
        </w:rPr>
      </w:pPr>
    </w:p>
    <w:p>
      <w:pPr>
        <w:widowControl/>
        <w:jc w:val="left"/>
        <w:rPr>
          <w:rFonts w:ascii="仿宋" w:hAnsi="仿宋" w:eastAsia="仿宋" w:cs="仿宋"/>
          <w:b/>
          <w:color w:val="auto"/>
          <w:kern w:val="0"/>
          <w:sz w:val="24"/>
        </w:rPr>
      </w:pPr>
    </w:p>
    <w:p>
      <w:pPr>
        <w:widowControl/>
        <w:jc w:val="left"/>
        <w:rPr>
          <w:rFonts w:ascii="仿宋" w:hAnsi="仿宋" w:eastAsia="仿宋" w:cs="仿宋"/>
          <w:b/>
          <w:color w:val="auto"/>
          <w:kern w:val="0"/>
          <w:sz w:val="24"/>
        </w:rPr>
      </w:pPr>
    </w:p>
    <w:p>
      <w:pPr>
        <w:jc w:val="center"/>
        <w:rPr>
          <w:rFonts w:ascii="仿宋" w:hAnsi="仿宋" w:eastAsia="仿宋" w:cs="仿宋"/>
          <w:b/>
          <w:bCs/>
          <w:color w:val="auto"/>
          <w:sz w:val="32"/>
          <w:szCs w:val="32"/>
        </w:rPr>
      </w:pPr>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三、供应商基本情况表</w:t>
      </w:r>
    </w:p>
    <w:p>
      <w:pPr>
        <w:jc w:val="center"/>
        <w:rPr>
          <w:rFonts w:ascii="仿宋" w:hAnsi="仿宋" w:eastAsia="仿宋" w:cs="仿宋"/>
          <w:b/>
          <w:bCs/>
          <w:color w:val="auto"/>
          <w:sz w:val="32"/>
          <w:szCs w:val="32"/>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供应商名称</w:t>
            </w:r>
          </w:p>
        </w:tc>
        <w:tc>
          <w:tcPr>
            <w:tcW w:w="7560" w:type="dxa"/>
            <w:gridSpan w:val="11"/>
            <w:vAlign w:val="center"/>
          </w:tcPr>
          <w:p>
            <w:pPr>
              <w:jc w:val="center"/>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注册地址</w:t>
            </w:r>
          </w:p>
        </w:tc>
        <w:tc>
          <w:tcPr>
            <w:tcW w:w="4680" w:type="dxa"/>
            <w:gridSpan w:val="6"/>
            <w:vAlign w:val="center"/>
          </w:tcPr>
          <w:p>
            <w:pPr>
              <w:jc w:val="center"/>
              <w:rPr>
                <w:rFonts w:ascii="仿宋" w:hAnsi="仿宋" w:eastAsia="仿宋" w:cs="仿宋"/>
                <w:bCs/>
                <w:color w:val="auto"/>
                <w:szCs w:val="21"/>
              </w:rPr>
            </w:pPr>
          </w:p>
        </w:tc>
        <w:tc>
          <w:tcPr>
            <w:tcW w:w="1260" w:type="dxa"/>
            <w:gridSpan w:val="3"/>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邮政编码</w:t>
            </w:r>
          </w:p>
        </w:tc>
        <w:tc>
          <w:tcPr>
            <w:tcW w:w="1620" w:type="dxa"/>
            <w:gridSpan w:val="2"/>
            <w:vAlign w:val="center"/>
          </w:tcPr>
          <w:p>
            <w:pPr>
              <w:jc w:val="center"/>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联系方式</w:t>
            </w:r>
          </w:p>
        </w:tc>
        <w:tc>
          <w:tcPr>
            <w:tcW w:w="108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联系人</w:t>
            </w:r>
          </w:p>
        </w:tc>
        <w:tc>
          <w:tcPr>
            <w:tcW w:w="3600" w:type="dxa"/>
            <w:gridSpan w:val="5"/>
            <w:vAlign w:val="center"/>
          </w:tcPr>
          <w:p>
            <w:pPr>
              <w:jc w:val="center"/>
              <w:rPr>
                <w:rFonts w:ascii="仿宋" w:hAnsi="仿宋" w:eastAsia="仿宋" w:cs="仿宋"/>
                <w:bCs/>
                <w:color w:val="auto"/>
                <w:szCs w:val="21"/>
              </w:rPr>
            </w:pPr>
          </w:p>
        </w:tc>
        <w:tc>
          <w:tcPr>
            <w:tcW w:w="1260" w:type="dxa"/>
            <w:gridSpan w:val="3"/>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联系电话</w:t>
            </w:r>
          </w:p>
        </w:tc>
        <w:tc>
          <w:tcPr>
            <w:tcW w:w="1620" w:type="dxa"/>
            <w:gridSpan w:val="2"/>
            <w:vAlign w:val="center"/>
          </w:tcPr>
          <w:p>
            <w:pPr>
              <w:jc w:val="center"/>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仿宋" w:hAnsi="仿宋" w:eastAsia="仿宋" w:cs="仿宋"/>
                <w:bCs/>
                <w:color w:val="auto"/>
                <w:szCs w:val="21"/>
              </w:rPr>
            </w:pPr>
          </w:p>
        </w:tc>
        <w:tc>
          <w:tcPr>
            <w:tcW w:w="108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传真</w:t>
            </w:r>
          </w:p>
        </w:tc>
        <w:tc>
          <w:tcPr>
            <w:tcW w:w="3600" w:type="dxa"/>
            <w:gridSpan w:val="5"/>
            <w:vAlign w:val="center"/>
          </w:tcPr>
          <w:p>
            <w:pPr>
              <w:jc w:val="center"/>
              <w:rPr>
                <w:rFonts w:ascii="仿宋" w:hAnsi="仿宋" w:eastAsia="仿宋" w:cs="仿宋"/>
                <w:bCs/>
                <w:color w:val="auto"/>
                <w:szCs w:val="21"/>
              </w:rPr>
            </w:pPr>
          </w:p>
        </w:tc>
        <w:tc>
          <w:tcPr>
            <w:tcW w:w="1260" w:type="dxa"/>
            <w:gridSpan w:val="3"/>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网址</w:t>
            </w:r>
          </w:p>
        </w:tc>
        <w:tc>
          <w:tcPr>
            <w:tcW w:w="1620" w:type="dxa"/>
            <w:gridSpan w:val="2"/>
            <w:vAlign w:val="center"/>
          </w:tcPr>
          <w:p>
            <w:pPr>
              <w:jc w:val="center"/>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组织结构</w:t>
            </w:r>
          </w:p>
        </w:tc>
        <w:tc>
          <w:tcPr>
            <w:tcW w:w="7560" w:type="dxa"/>
            <w:gridSpan w:val="11"/>
            <w:vAlign w:val="center"/>
          </w:tcPr>
          <w:p>
            <w:pPr>
              <w:jc w:val="center"/>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法定代表人</w:t>
            </w:r>
          </w:p>
        </w:tc>
        <w:tc>
          <w:tcPr>
            <w:tcW w:w="1260" w:type="dxa"/>
            <w:gridSpan w:val="2"/>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姓名</w:t>
            </w:r>
          </w:p>
        </w:tc>
        <w:tc>
          <w:tcPr>
            <w:tcW w:w="1260" w:type="dxa"/>
            <w:vAlign w:val="center"/>
          </w:tcPr>
          <w:p>
            <w:pPr>
              <w:jc w:val="center"/>
              <w:rPr>
                <w:rFonts w:ascii="仿宋" w:hAnsi="仿宋" w:eastAsia="仿宋" w:cs="仿宋"/>
                <w:bCs/>
                <w:color w:val="auto"/>
                <w:szCs w:val="21"/>
              </w:rPr>
            </w:pPr>
          </w:p>
        </w:tc>
        <w:tc>
          <w:tcPr>
            <w:tcW w:w="126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技术职称</w:t>
            </w:r>
          </w:p>
        </w:tc>
        <w:tc>
          <w:tcPr>
            <w:tcW w:w="1260" w:type="dxa"/>
            <w:gridSpan w:val="3"/>
            <w:vAlign w:val="center"/>
          </w:tcPr>
          <w:p>
            <w:pPr>
              <w:jc w:val="center"/>
              <w:rPr>
                <w:rFonts w:ascii="仿宋" w:hAnsi="仿宋" w:eastAsia="仿宋" w:cs="仿宋"/>
                <w:bCs/>
                <w:color w:val="auto"/>
                <w:szCs w:val="21"/>
              </w:rPr>
            </w:pPr>
          </w:p>
        </w:tc>
        <w:tc>
          <w:tcPr>
            <w:tcW w:w="1260" w:type="dxa"/>
            <w:gridSpan w:val="3"/>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联系电话</w:t>
            </w:r>
          </w:p>
        </w:tc>
        <w:tc>
          <w:tcPr>
            <w:tcW w:w="1260" w:type="dxa"/>
            <w:vAlign w:val="center"/>
          </w:tcPr>
          <w:p>
            <w:pPr>
              <w:jc w:val="center"/>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技术负责人</w:t>
            </w:r>
          </w:p>
        </w:tc>
        <w:tc>
          <w:tcPr>
            <w:tcW w:w="1260" w:type="dxa"/>
            <w:gridSpan w:val="2"/>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姓名</w:t>
            </w:r>
          </w:p>
        </w:tc>
        <w:tc>
          <w:tcPr>
            <w:tcW w:w="1260" w:type="dxa"/>
            <w:vAlign w:val="center"/>
          </w:tcPr>
          <w:p>
            <w:pPr>
              <w:jc w:val="center"/>
              <w:rPr>
                <w:rFonts w:ascii="仿宋" w:hAnsi="仿宋" w:eastAsia="仿宋" w:cs="仿宋"/>
                <w:bCs/>
                <w:color w:val="auto"/>
                <w:szCs w:val="21"/>
              </w:rPr>
            </w:pPr>
          </w:p>
        </w:tc>
        <w:tc>
          <w:tcPr>
            <w:tcW w:w="126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技术职称</w:t>
            </w:r>
          </w:p>
        </w:tc>
        <w:tc>
          <w:tcPr>
            <w:tcW w:w="1260" w:type="dxa"/>
            <w:gridSpan w:val="3"/>
            <w:vAlign w:val="center"/>
          </w:tcPr>
          <w:p>
            <w:pPr>
              <w:jc w:val="center"/>
              <w:rPr>
                <w:rFonts w:ascii="仿宋" w:hAnsi="仿宋" w:eastAsia="仿宋" w:cs="仿宋"/>
                <w:bCs/>
                <w:color w:val="auto"/>
                <w:szCs w:val="21"/>
              </w:rPr>
            </w:pPr>
          </w:p>
        </w:tc>
        <w:tc>
          <w:tcPr>
            <w:tcW w:w="1260" w:type="dxa"/>
            <w:gridSpan w:val="3"/>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联系电话</w:t>
            </w:r>
          </w:p>
        </w:tc>
        <w:tc>
          <w:tcPr>
            <w:tcW w:w="1260" w:type="dxa"/>
            <w:vAlign w:val="center"/>
          </w:tcPr>
          <w:p>
            <w:pPr>
              <w:jc w:val="center"/>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成立时间</w:t>
            </w:r>
          </w:p>
        </w:tc>
        <w:tc>
          <w:tcPr>
            <w:tcW w:w="2520" w:type="dxa"/>
            <w:gridSpan w:val="3"/>
            <w:vAlign w:val="center"/>
          </w:tcPr>
          <w:p>
            <w:pPr>
              <w:jc w:val="center"/>
              <w:rPr>
                <w:rFonts w:ascii="仿宋" w:hAnsi="仿宋" w:eastAsia="仿宋" w:cs="仿宋"/>
                <w:bCs/>
                <w:color w:val="auto"/>
                <w:szCs w:val="21"/>
              </w:rPr>
            </w:pPr>
          </w:p>
        </w:tc>
        <w:tc>
          <w:tcPr>
            <w:tcW w:w="5040" w:type="dxa"/>
            <w:gridSpan w:val="8"/>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企业资质等级</w:t>
            </w:r>
          </w:p>
        </w:tc>
        <w:tc>
          <w:tcPr>
            <w:tcW w:w="2520" w:type="dxa"/>
            <w:gridSpan w:val="3"/>
            <w:vAlign w:val="center"/>
          </w:tcPr>
          <w:p>
            <w:pPr>
              <w:jc w:val="center"/>
              <w:rPr>
                <w:rFonts w:ascii="仿宋" w:hAnsi="仿宋" w:eastAsia="仿宋" w:cs="仿宋"/>
                <w:bCs/>
                <w:color w:val="auto"/>
                <w:szCs w:val="21"/>
              </w:rPr>
            </w:pPr>
          </w:p>
        </w:tc>
        <w:tc>
          <w:tcPr>
            <w:tcW w:w="1680" w:type="dxa"/>
            <w:gridSpan w:val="2"/>
            <w:vMerge w:val="restart"/>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其中</w:t>
            </w:r>
          </w:p>
        </w:tc>
        <w:tc>
          <w:tcPr>
            <w:tcW w:w="1680" w:type="dxa"/>
            <w:gridSpan w:val="3"/>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项目经理</w:t>
            </w:r>
          </w:p>
        </w:tc>
        <w:tc>
          <w:tcPr>
            <w:tcW w:w="1680" w:type="dxa"/>
            <w:gridSpan w:val="3"/>
            <w:vAlign w:val="center"/>
          </w:tcPr>
          <w:p>
            <w:pPr>
              <w:jc w:val="center"/>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营业执照</w:t>
            </w:r>
            <w:r>
              <w:rPr>
                <w:rFonts w:hint="eastAsia" w:ascii="仿宋" w:hAnsi="仿宋" w:eastAsia="仿宋" w:cs="仿宋"/>
                <w:color w:val="auto"/>
              </w:rPr>
              <w:t>号</w:t>
            </w:r>
          </w:p>
        </w:tc>
        <w:tc>
          <w:tcPr>
            <w:tcW w:w="2520" w:type="dxa"/>
            <w:gridSpan w:val="3"/>
            <w:vAlign w:val="center"/>
          </w:tcPr>
          <w:p>
            <w:pPr>
              <w:jc w:val="center"/>
              <w:rPr>
                <w:rFonts w:ascii="仿宋" w:hAnsi="仿宋" w:eastAsia="仿宋" w:cs="仿宋"/>
                <w:bCs/>
                <w:color w:val="auto"/>
                <w:szCs w:val="21"/>
              </w:rPr>
            </w:pPr>
          </w:p>
        </w:tc>
        <w:tc>
          <w:tcPr>
            <w:tcW w:w="1680" w:type="dxa"/>
            <w:gridSpan w:val="2"/>
            <w:vMerge w:val="continue"/>
            <w:vAlign w:val="center"/>
          </w:tcPr>
          <w:p>
            <w:pPr>
              <w:jc w:val="center"/>
              <w:rPr>
                <w:rFonts w:ascii="仿宋" w:hAnsi="仿宋" w:eastAsia="仿宋" w:cs="仿宋"/>
                <w:bCs/>
                <w:color w:val="auto"/>
                <w:szCs w:val="21"/>
              </w:rPr>
            </w:pPr>
          </w:p>
        </w:tc>
        <w:tc>
          <w:tcPr>
            <w:tcW w:w="1680" w:type="dxa"/>
            <w:gridSpan w:val="3"/>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高级职称人员</w:t>
            </w:r>
          </w:p>
        </w:tc>
        <w:tc>
          <w:tcPr>
            <w:tcW w:w="1680" w:type="dxa"/>
            <w:gridSpan w:val="3"/>
            <w:vAlign w:val="center"/>
          </w:tcPr>
          <w:p>
            <w:pPr>
              <w:jc w:val="center"/>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注册资金</w:t>
            </w:r>
          </w:p>
        </w:tc>
        <w:tc>
          <w:tcPr>
            <w:tcW w:w="2520" w:type="dxa"/>
            <w:gridSpan w:val="3"/>
            <w:vAlign w:val="center"/>
          </w:tcPr>
          <w:p>
            <w:pPr>
              <w:jc w:val="center"/>
              <w:rPr>
                <w:rFonts w:ascii="仿宋" w:hAnsi="仿宋" w:eastAsia="仿宋" w:cs="仿宋"/>
                <w:bCs/>
                <w:color w:val="auto"/>
                <w:szCs w:val="21"/>
              </w:rPr>
            </w:pPr>
          </w:p>
        </w:tc>
        <w:tc>
          <w:tcPr>
            <w:tcW w:w="1680" w:type="dxa"/>
            <w:gridSpan w:val="2"/>
            <w:vMerge w:val="continue"/>
            <w:vAlign w:val="center"/>
          </w:tcPr>
          <w:p>
            <w:pPr>
              <w:jc w:val="center"/>
              <w:rPr>
                <w:rFonts w:ascii="仿宋" w:hAnsi="仿宋" w:eastAsia="仿宋" w:cs="仿宋"/>
                <w:bCs/>
                <w:color w:val="auto"/>
                <w:szCs w:val="21"/>
              </w:rPr>
            </w:pPr>
          </w:p>
        </w:tc>
        <w:tc>
          <w:tcPr>
            <w:tcW w:w="1680" w:type="dxa"/>
            <w:gridSpan w:val="3"/>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中级职称人员</w:t>
            </w:r>
          </w:p>
        </w:tc>
        <w:tc>
          <w:tcPr>
            <w:tcW w:w="1680" w:type="dxa"/>
            <w:gridSpan w:val="3"/>
            <w:vAlign w:val="center"/>
          </w:tcPr>
          <w:p>
            <w:pPr>
              <w:jc w:val="center"/>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开户银行</w:t>
            </w:r>
          </w:p>
        </w:tc>
        <w:tc>
          <w:tcPr>
            <w:tcW w:w="2520" w:type="dxa"/>
            <w:gridSpan w:val="3"/>
            <w:vAlign w:val="center"/>
          </w:tcPr>
          <w:p>
            <w:pPr>
              <w:jc w:val="center"/>
              <w:rPr>
                <w:rFonts w:ascii="仿宋" w:hAnsi="仿宋" w:eastAsia="仿宋" w:cs="仿宋"/>
                <w:bCs/>
                <w:color w:val="auto"/>
                <w:szCs w:val="21"/>
              </w:rPr>
            </w:pPr>
          </w:p>
        </w:tc>
        <w:tc>
          <w:tcPr>
            <w:tcW w:w="1680" w:type="dxa"/>
            <w:gridSpan w:val="2"/>
            <w:vMerge w:val="continue"/>
            <w:vAlign w:val="center"/>
          </w:tcPr>
          <w:p>
            <w:pPr>
              <w:jc w:val="center"/>
              <w:rPr>
                <w:rFonts w:ascii="仿宋" w:hAnsi="仿宋" w:eastAsia="仿宋" w:cs="仿宋"/>
                <w:bCs/>
                <w:color w:val="auto"/>
                <w:szCs w:val="21"/>
              </w:rPr>
            </w:pPr>
          </w:p>
        </w:tc>
        <w:tc>
          <w:tcPr>
            <w:tcW w:w="1680" w:type="dxa"/>
            <w:gridSpan w:val="3"/>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初级职称人员</w:t>
            </w:r>
          </w:p>
        </w:tc>
        <w:tc>
          <w:tcPr>
            <w:tcW w:w="1680" w:type="dxa"/>
            <w:gridSpan w:val="3"/>
            <w:vAlign w:val="center"/>
          </w:tcPr>
          <w:p>
            <w:pPr>
              <w:jc w:val="center"/>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账号</w:t>
            </w:r>
          </w:p>
        </w:tc>
        <w:tc>
          <w:tcPr>
            <w:tcW w:w="2520" w:type="dxa"/>
            <w:gridSpan w:val="3"/>
            <w:vAlign w:val="center"/>
          </w:tcPr>
          <w:p>
            <w:pPr>
              <w:jc w:val="center"/>
              <w:rPr>
                <w:rFonts w:ascii="仿宋" w:hAnsi="仿宋" w:eastAsia="仿宋" w:cs="仿宋"/>
                <w:bCs/>
                <w:color w:val="auto"/>
                <w:szCs w:val="21"/>
              </w:rPr>
            </w:pPr>
          </w:p>
        </w:tc>
        <w:tc>
          <w:tcPr>
            <w:tcW w:w="1680" w:type="dxa"/>
            <w:gridSpan w:val="2"/>
            <w:vMerge w:val="continue"/>
            <w:vAlign w:val="center"/>
          </w:tcPr>
          <w:p>
            <w:pPr>
              <w:jc w:val="center"/>
              <w:rPr>
                <w:rFonts w:ascii="仿宋" w:hAnsi="仿宋" w:eastAsia="仿宋" w:cs="仿宋"/>
                <w:bCs/>
                <w:color w:val="auto"/>
                <w:szCs w:val="21"/>
              </w:rPr>
            </w:pPr>
          </w:p>
        </w:tc>
        <w:tc>
          <w:tcPr>
            <w:tcW w:w="1680" w:type="dxa"/>
            <w:gridSpan w:val="3"/>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技工</w:t>
            </w:r>
          </w:p>
        </w:tc>
        <w:tc>
          <w:tcPr>
            <w:tcW w:w="1680" w:type="dxa"/>
            <w:gridSpan w:val="3"/>
            <w:vAlign w:val="center"/>
          </w:tcPr>
          <w:p>
            <w:pPr>
              <w:jc w:val="center"/>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经营范围</w:t>
            </w:r>
          </w:p>
        </w:tc>
        <w:tc>
          <w:tcPr>
            <w:tcW w:w="7560" w:type="dxa"/>
            <w:gridSpan w:val="11"/>
            <w:vAlign w:val="center"/>
          </w:tcPr>
          <w:p>
            <w:pPr>
              <w:jc w:val="center"/>
              <w:rPr>
                <w:rFonts w:ascii="仿宋" w:hAnsi="仿宋" w:eastAsia="仿宋" w:cs="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备注</w:t>
            </w:r>
          </w:p>
        </w:tc>
        <w:tc>
          <w:tcPr>
            <w:tcW w:w="7560" w:type="dxa"/>
            <w:gridSpan w:val="11"/>
            <w:vAlign w:val="center"/>
          </w:tcPr>
          <w:p>
            <w:pPr>
              <w:jc w:val="center"/>
              <w:rPr>
                <w:rFonts w:ascii="仿宋" w:hAnsi="仿宋" w:eastAsia="仿宋" w:cs="仿宋"/>
                <w:bCs/>
                <w:color w:val="auto"/>
                <w:szCs w:val="21"/>
              </w:rPr>
            </w:pPr>
          </w:p>
        </w:tc>
      </w:tr>
    </w:tbl>
    <w:p>
      <w:pPr>
        <w:adjustRightInd w:val="0"/>
        <w:spacing w:line="400" w:lineRule="exact"/>
        <w:jc w:val="left"/>
        <w:rPr>
          <w:rFonts w:ascii="仿宋" w:hAnsi="仿宋" w:eastAsia="仿宋" w:cs="仿宋"/>
          <w:color w:val="auto"/>
          <w:sz w:val="24"/>
        </w:rPr>
      </w:pP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（盖单位公章）</w:t>
      </w:r>
    </w:p>
    <w:p>
      <w:pPr>
        <w:adjustRightInd w:val="0"/>
        <w:spacing w:line="400" w:lineRule="exact"/>
        <w:jc w:val="left"/>
        <w:rPr>
          <w:rFonts w:ascii="仿宋" w:hAnsi="仿宋" w:eastAsia="仿宋" w:cs="仿宋"/>
          <w:bCs/>
          <w:color w:val="auto"/>
          <w:sz w:val="24"/>
        </w:rPr>
      </w:pPr>
      <w:r>
        <w:rPr>
          <w:rFonts w:hint="eastAsia" w:ascii="仿宋" w:hAnsi="仿宋" w:eastAsia="仿宋" w:cs="仿宋"/>
          <w:bCs/>
          <w:color w:val="auto"/>
          <w:sz w:val="24"/>
        </w:rPr>
        <w:t>法定代表人或授权代表（签字或加盖印章）：</w:t>
      </w:r>
    </w:p>
    <w:p>
      <w:pPr>
        <w:adjustRightInd w:val="0"/>
        <w:spacing w:line="400" w:lineRule="exact"/>
        <w:jc w:val="left"/>
        <w:rPr>
          <w:rFonts w:ascii="仿宋" w:hAnsi="仿宋" w:eastAsia="仿宋" w:cs="仿宋"/>
          <w:bCs/>
          <w:color w:val="auto"/>
          <w:sz w:val="24"/>
        </w:rPr>
      </w:pPr>
      <w:r>
        <w:rPr>
          <w:rFonts w:hint="eastAsia" w:ascii="仿宋" w:hAnsi="仿宋" w:eastAsia="仿宋" w:cs="仿宋"/>
          <w:bCs/>
          <w:color w:val="auto"/>
          <w:sz w:val="24"/>
        </w:rPr>
        <w:t xml:space="preserve">日  期： </w:t>
      </w:r>
    </w:p>
    <w:p>
      <w:pPr>
        <w:rPr>
          <w:rFonts w:ascii="仿宋" w:hAnsi="仿宋" w:eastAsia="仿宋" w:cs="仿宋"/>
          <w:b/>
          <w:bCs/>
          <w:color w:val="auto"/>
          <w:sz w:val="36"/>
        </w:rPr>
      </w:pPr>
    </w:p>
    <w:p>
      <w:pPr>
        <w:spacing w:line="400" w:lineRule="exact"/>
        <w:ind w:firstLine="560" w:firstLineChars="200"/>
        <w:jc w:val="center"/>
        <w:rPr>
          <w:rFonts w:ascii="仿宋" w:hAnsi="仿宋" w:eastAsia="仿宋" w:cs="仿宋"/>
          <w:b/>
          <w:color w:val="auto"/>
          <w:sz w:val="28"/>
          <w:szCs w:val="28"/>
        </w:rPr>
      </w:pPr>
    </w:p>
    <w:p>
      <w:pPr>
        <w:spacing w:line="400" w:lineRule="exact"/>
        <w:ind w:firstLine="640" w:firstLineChars="200"/>
        <w:jc w:val="center"/>
        <w:rPr>
          <w:rFonts w:ascii="仿宋" w:hAnsi="仿宋" w:eastAsia="仿宋" w:cs="仿宋"/>
          <w:b/>
          <w:color w:val="auto"/>
          <w:sz w:val="32"/>
          <w:szCs w:val="32"/>
        </w:rPr>
      </w:pPr>
      <w:r>
        <w:rPr>
          <w:rFonts w:hint="eastAsia" w:ascii="仿宋" w:hAnsi="仿宋" w:eastAsia="仿宋" w:cs="仿宋"/>
          <w:b/>
          <w:color w:val="auto"/>
          <w:sz w:val="32"/>
          <w:szCs w:val="32"/>
        </w:rPr>
        <w:t>四、承诺函</w:t>
      </w:r>
    </w:p>
    <w:p>
      <w:pPr>
        <w:spacing w:line="400" w:lineRule="exact"/>
        <w:rPr>
          <w:rFonts w:ascii="仿宋" w:hAnsi="仿宋" w:eastAsia="仿宋" w:cs="仿宋"/>
          <w:color w:val="auto"/>
          <w:sz w:val="24"/>
        </w:rPr>
      </w:pPr>
      <w:r>
        <w:rPr>
          <w:rFonts w:hint="eastAsia" w:ascii="仿宋" w:hAnsi="仿宋" w:eastAsia="仿宋" w:cs="仿宋"/>
          <w:color w:val="auto"/>
          <w:sz w:val="24"/>
        </w:rPr>
        <w:t>四川尚运晟工程项目管理有限公司：</w:t>
      </w:r>
    </w:p>
    <w:p>
      <w:pPr>
        <w:ind w:firstLine="480" w:firstLineChars="200"/>
        <w:rPr>
          <w:rFonts w:ascii="仿宋" w:hAnsi="仿宋" w:eastAsia="仿宋" w:cs="仿宋"/>
          <w:color w:val="auto"/>
          <w:sz w:val="24"/>
        </w:rPr>
      </w:pPr>
      <w:r>
        <w:rPr>
          <w:rFonts w:hint="eastAsia" w:ascii="仿宋" w:hAnsi="仿宋" w:eastAsia="仿宋" w:cs="仿宋"/>
          <w:color w:val="auto"/>
          <w:sz w:val="24"/>
        </w:rPr>
        <w:t>我方作为本次采购项目的供应商，根据磋商文件要求，现郑重承诺如下：</w:t>
      </w:r>
    </w:p>
    <w:p>
      <w:pPr>
        <w:ind w:firstLine="480" w:firstLineChars="20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一、具备《中华人民共和国政府采购法》第二十二条第一款规定中的下列条件：</w:t>
      </w:r>
    </w:p>
    <w:p>
      <w:pPr>
        <w:ind w:firstLine="480" w:firstLineChars="200"/>
        <w:rPr>
          <w:rFonts w:ascii="仿宋" w:hAnsi="仿宋" w:eastAsia="仿宋" w:cs="仿宋"/>
          <w:color w:val="auto"/>
          <w:sz w:val="24"/>
        </w:rPr>
      </w:pPr>
      <w:r>
        <w:rPr>
          <w:rFonts w:hint="eastAsia" w:ascii="仿宋" w:hAnsi="仿宋" w:eastAsia="仿宋" w:cs="仿宋"/>
          <w:color w:val="auto"/>
          <w:sz w:val="24"/>
        </w:rPr>
        <w:t>（一）具有良好的商业信誉；</w:t>
      </w:r>
    </w:p>
    <w:p>
      <w:pPr>
        <w:ind w:firstLine="480" w:firstLineChars="200"/>
        <w:rPr>
          <w:rFonts w:ascii="仿宋" w:hAnsi="仿宋" w:eastAsia="仿宋" w:cs="仿宋"/>
          <w:color w:val="auto"/>
          <w:sz w:val="24"/>
        </w:rPr>
      </w:pPr>
      <w:r>
        <w:rPr>
          <w:rFonts w:hint="eastAsia" w:ascii="仿宋" w:hAnsi="仿宋" w:eastAsia="仿宋" w:cs="仿宋"/>
          <w:color w:val="auto"/>
          <w:sz w:val="24"/>
        </w:rPr>
        <w:t>（二）具有履行合同所必需的设备和专业技术能力；</w:t>
      </w:r>
    </w:p>
    <w:p>
      <w:pPr>
        <w:ind w:firstLine="480" w:firstLineChars="200"/>
        <w:rPr>
          <w:rFonts w:ascii="仿宋" w:hAnsi="仿宋" w:eastAsia="仿宋" w:cs="仿宋"/>
          <w:color w:val="auto"/>
          <w:sz w:val="24"/>
        </w:rPr>
      </w:pPr>
      <w:r>
        <w:rPr>
          <w:rFonts w:hint="eastAsia" w:ascii="仿宋" w:hAnsi="仿宋" w:eastAsia="仿宋" w:cs="仿宋"/>
          <w:color w:val="auto"/>
          <w:sz w:val="24"/>
        </w:rPr>
        <w:t>（三）参加政府采购活动前三年内，在经营活动中没有重大违法记录；</w:t>
      </w:r>
    </w:p>
    <w:p>
      <w:pPr>
        <w:ind w:firstLine="480" w:firstLineChars="200"/>
        <w:rPr>
          <w:rFonts w:ascii="仿宋" w:hAnsi="仿宋" w:eastAsia="仿宋" w:cs="仿宋"/>
          <w:color w:val="auto"/>
          <w:sz w:val="24"/>
        </w:rPr>
      </w:pPr>
      <w:r>
        <w:rPr>
          <w:rFonts w:hint="eastAsia" w:ascii="仿宋" w:hAnsi="仿宋" w:eastAsia="仿宋" w:cs="仿宋"/>
          <w:color w:val="auto"/>
          <w:sz w:val="24"/>
        </w:rPr>
        <w:t>（四）法律、行政法规规定的其他条件；</w:t>
      </w:r>
    </w:p>
    <w:p>
      <w:pPr>
        <w:ind w:firstLine="480" w:firstLineChars="200"/>
        <w:rPr>
          <w:rFonts w:ascii="仿宋" w:hAnsi="仿宋" w:eastAsia="仿宋" w:cs="仿宋"/>
          <w:color w:val="auto"/>
          <w:sz w:val="24"/>
        </w:rPr>
      </w:pPr>
      <w:r>
        <w:rPr>
          <w:rFonts w:hint="eastAsia" w:ascii="仿宋" w:hAnsi="仿宋" w:eastAsia="仿宋" w:cs="仿宋"/>
          <w:color w:val="auto"/>
          <w:sz w:val="24"/>
        </w:rPr>
        <w:t>二、完全接受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ind w:firstLine="480" w:firstLineChars="200"/>
        <w:rPr>
          <w:rFonts w:ascii="仿宋" w:hAnsi="仿宋" w:eastAsia="仿宋" w:cs="仿宋"/>
          <w:color w:val="auto"/>
          <w:sz w:val="24"/>
        </w:rPr>
      </w:pPr>
      <w:r>
        <w:rPr>
          <w:rFonts w:hint="eastAsia" w:ascii="仿宋" w:hAnsi="仿宋" w:eastAsia="仿宋" w:cs="仿宋"/>
          <w:color w:val="auto"/>
          <w:sz w:val="24"/>
        </w:rPr>
        <w:t>三、在参加本次采购活动中，不存在与单位负责人为同一人或者存在直接控股、管理关系的其他供应商参与同一合同项下的政府采购活动的行为。</w:t>
      </w:r>
    </w:p>
    <w:p>
      <w:pPr>
        <w:ind w:firstLine="480" w:firstLineChars="200"/>
        <w:rPr>
          <w:rFonts w:ascii="仿宋" w:hAnsi="仿宋" w:eastAsia="仿宋" w:cs="仿宋"/>
          <w:color w:val="auto"/>
          <w:sz w:val="24"/>
        </w:rPr>
      </w:pPr>
      <w:r>
        <w:rPr>
          <w:rFonts w:hint="eastAsia" w:ascii="仿宋" w:hAnsi="仿宋" w:eastAsia="仿宋" w:cs="仿宋"/>
          <w:color w:val="auto"/>
          <w:sz w:val="24"/>
        </w:rPr>
        <w:t>四、在参加本次采购活动中，不存在和其他供应商在同一合同项下的采购项目中，同时委托同一个自然人、同一家庭的人员、同一单位的人员作为代理人的行为。</w:t>
      </w:r>
    </w:p>
    <w:p>
      <w:pPr>
        <w:ind w:firstLine="480" w:firstLineChars="200"/>
        <w:rPr>
          <w:rFonts w:ascii="仿宋" w:hAnsi="仿宋" w:eastAsia="仿宋" w:cs="仿宋"/>
          <w:color w:val="auto"/>
          <w:sz w:val="24"/>
        </w:rPr>
      </w:pPr>
      <w:r>
        <w:rPr>
          <w:rFonts w:hint="eastAsia" w:ascii="仿宋" w:hAnsi="仿宋" w:eastAsia="仿宋" w:cs="仿宋"/>
          <w:color w:val="auto"/>
          <w:sz w:val="24"/>
        </w:rPr>
        <w:t>五、在参加本次采购活动前，没有为采购项目提供整体设计、规范编制或者项目管理、监理、检测等服务。</w:t>
      </w:r>
    </w:p>
    <w:p>
      <w:pPr>
        <w:ind w:firstLine="480" w:firstLineChars="200"/>
        <w:rPr>
          <w:rFonts w:ascii="仿宋" w:hAnsi="仿宋" w:eastAsia="仿宋" w:cs="仿宋"/>
          <w:color w:val="auto"/>
          <w:sz w:val="24"/>
        </w:rPr>
      </w:pPr>
      <w:r>
        <w:rPr>
          <w:rFonts w:hint="eastAsia" w:ascii="仿宋" w:hAnsi="仿宋" w:eastAsia="仿宋" w:cs="仿宋"/>
          <w:color w:val="auto"/>
          <w:sz w:val="24"/>
        </w:rPr>
        <w:t>六、我方实际控制人或者中高级管理人员，不存在同时是采购代理机构工作人员的情形。</w:t>
      </w:r>
    </w:p>
    <w:p>
      <w:pPr>
        <w:ind w:firstLine="480" w:firstLineChars="200"/>
        <w:rPr>
          <w:rFonts w:ascii="仿宋" w:hAnsi="仿宋" w:eastAsia="仿宋" w:cs="仿宋"/>
          <w:color w:val="auto"/>
          <w:sz w:val="24"/>
        </w:rPr>
      </w:pPr>
      <w:r>
        <w:rPr>
          <w:rFonts w:hint="eastAsia" w:ascii="仿宋" w:hAnsi="仿宋" w:eastAsia="仿宋" w:cs="仿宋"/>
          <w:color w:val="auto"/>
          <w:sz w:val="24"/>
        </w:rPr>
        <w:t>七、不存在同一母公司的两家以上的子公司，以不同供应商身份同时参加本项目同一合同项下的采购活动的情形。</w:t>
      </w:r>
    </w:p>
    <w:p>
      <w:pPr>
        <w:ind w:firstLine="480" w:firstLineChars="200"/>
        <w:rPr>
          <w:rFonts w:ascii="仿宋" w:hAnsi="仿宋" w:eastAsia="仿宋" w:cs="仿宋"/>
          <w:color w:val="auto"/>
          <w:sz w:val="24"/>
        </w:rPr>
      </w:pPr>
      <w:r>
        <w:rPr>
          <w:rFonts w:hint="eastAsia" w:ascii="仿宋" w:hAnsi="仿宋" w:eastAsia="仿宋" w:cs="仿宋"/>
          <w:color w:val="auto"/>
          <w:sz w:val="24"/>
        </w:rPr>
        <w:t>八、我方与采购代理机构不存在关联关系，或者是采购代理机构的母公司或子公司。</w:t>
      </w:r>
    </w:p>
    <w:p>
      <w:pPr>
        <w:ind w:firstLine="480" w:firstLineChars="200"/>
        <w:rPr>
          <w:rFonts w:ascii="仿宋" w:hAnsi="仿宋" w:eastAsia="仿宋" w:cs="仿宋"/>
          <w:color w:val="auto"/>
          <w:sz w:val="24"/>
        </w:rPr>
      </w:pPr>
      <w:r>
        <w:rPr>
          <w:rFonts w:hint="eastAsia" w:ascii="仿宋" w:hAnsi="仿宋" w:eastAsia="仿宋" w:cs="仿宋"/>
          <w:color w:val="auto"/>
          <w:sz w:val="24"/>
        </w:rPr>
        <w:t>九、响应文件中提供的任何资料和技术、服务、商务等响应承诺情况都是真实的、有效的、合法的。</w:t>
      </w:r>
    </w:p>
    <w:p>
      <w:pPr>
        <w:ind w:firstLine="480" w:firstLineChars="200"/>
        <w:rPr>
          <w:rFonts w:ascii="仿宋" w:hAnsi="仿宋" w:eastAsia="仿宋" w:cs="仿宋"/>
          <w:color w:val="auto"/>
          <w:sz w:val="24"/>
        </w:rPr>
      </w:pPr>
      <w:r>
        <w:rPr>
          <w:rFonts w:hint="eastAsia" w:ascii="仿宋" w:hAnsi="仿宋" w:eastAsia="仿宋" w:cs="仿宋"/>
          <w:color w:val="auto"/>
          <w:sz w:val="24"/>
        </w:rPr>
        <w:t>十、国家或行业主管部门对供应商和采购产品的技术标准、质量标准和资格资质条件等有强制性规定的，我方符合其要求。</w:t>
      </w:r>
    </w:p>
    <w:p>
      <w:pPr>
        <w:ind w:firstLine="480" w:firstLineChars="200"/>
        <w:rPr>
          <w:rFonts w:ascii="仿宋" w:hAnsi="仿宋" w:eastAsia="仿宋" w:cs="仿宋"/>
          <w:color w:val="auto"/>
          <w:sz w:val="24"/>
        </w:rPr>
      </w:pPr>
      <w:r>
        <w:rPr>
          <w:rFonts w:hint="eastAsia" w:ascii="仿宋" w:hAnsi="仿宋" w:eastAsia="仿宋" w:cs="仿宋"/>
          <w:color w:val="auto"/>
          <w:sz w:val="24"/>
        </w:rPr>
        <w:t xml:space="preserve">十一、我方单位及其现任法定代表人、主要负责人不存在行贿犯罪记录。  </w:t>
      </w:r>
    </w:p>
    <w:p>
      <w:pPr>
        <w:ind w:firstLine="480" w:firstLineChars="200"/>
        <w:rPr>
          <w:rFonts w:ascii="仿宋" w:hAnsi="仿宋" w:eastAsia="仿宋" w:cs="仿宋"/>
          <w:color w:val="auto"/>
          <w:sz w:val="24"/>
        </w:rPr>
      </w:pPr>
      <w:r>
        <w:rPr>
          <w:rFonts w:hint="eastAsia" w:ascii="仿宋" w:hAnsi="仿宋" w:eastAsia="仿宋" w:cs="仿宋"/>
          <w:color w:val="auto"/>
          <w:sz w:val="24"/>
        </w:rPr>
        <w:t>十二、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ind w:firstLine="480" w:firstLineChars="200"/>
        <w:rPr>
          <w:rFonts w:ascii="仿宋" w:hAnsi="仿宋" w:eastAsia="仿宋" w:cs="仿宋"/>
          <w:color w:val="auto"/>
          <w:sz w:val="24"/>
        </w:rPr>
      </w:pPr>
      <w:r>
        <w:rPr>
          <w:rFonts w:hint="eastAsia" w:ascii="仿宋" w:hAnsi="仿宋" w:eastAsia="仿宋" w:cs="仿宋"/>
          <w:color w:val="auto"/>
          <w:sz w:val="24"/>
        </w:rPr>
        <w:t>十三、</w:t>
      </w:r>
      <w:r>
        <w:rPr>
          <w:rFonts w:hint="eastAsia" w:ascii="仿宋" w:hAnsi="仿宋" w:eastAsia="仿宋" w:cs="仿宋"/>
          <w:color w:val="auto"/>
          <w:kern w:val="0"/>
          <w:sz w:val="24"/>
        </w:rPr>
        <w:t>若我方成交，我方承诺按照本磋商文件约定支付招标代理服务费，否则视为虚假应标并承担由此带来的一切后果。</w:t>
      </w:r>
    </w:p>
    <w:p>
      <w:pPr>
        <w:ind w:firstLine="480" w:firstLineChars="200"/>
        <w:rPr>
          <w:rFonts w:ascii="仿宋" w:hAnsi="仿宋" w:eastAsia="仿宋" w:cs="仿宋"/>
          <w:color w:val="auto"/>
          <w:sz w:val="24"/>
        </w:rPr>
      </w:pPr>
      <w:r>
        <w:rPr>
          <w:rFonts w:hint="eastAsia" w:ascii="仿宋" w:hAnsi="仿宋" w:eastAsia="仿宋" w:cs="仿宋"/>
          <w:color w:val="auto"/>
          <w:sz w:val="24"/>
        </w:rPr>
        <w:t>本公司对上述承诺的内容事项真实性负责。如经查实上述承诺的内容事项存在虚假，我公司愿意接受以提供虚假材料谋取成交的法律责任。</w:t>
      </w: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（盖单位公章）</w:t>
      </w:r>
    </w:p>
    <w:p>
      <w:pPr>
        <w:adjustRightInd w:val="0"/>
        <w:spacing w:line="400" w:lineRule="exact"/>
        <w:jc w:val="left"/>
        <w:rPr>
          <w:rFonts w:ascii="仿宋" w:hAnsi="仿宋" w:eastAsia="仿宋" w:cs="仿宋"/>
          <w:bCs/>
          <w:color w:val="auto"/>
          <w:sz w:val="24"/>
        </w:rPr>
      </w:pPr>
      <w:r>
        <w:rPr>
          <w:rFonts w:hint="eastAsia" w:ascii="仿宋" w:hAnsi="仿宋" w:eastAsia="仿宋" w:cs="仿宋"/>
          <w:bCs/>
          <w:color w:val="auto"/>
          <w:sz w:val="24"/>
        </w:rPr>
        <w:t>法定代表人或授权代表（签字或加盖印章）：</w:t>
      </w: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日  期：</w:t>
      </w:r>
    </w:p>
    <w:p>
      <w:pPr>
        <w:adjustRightInd w:val="0"/>
        <w:spacing w:line="400" w:lineRule="exact"/>
        <w:jc w:val="left"/>
        <w:rPr>
          <w:rFonts w:ascii="仿宋" w:hAnsi="仿宋" w:eastAsia="仿宋" w:cs="仿宋"/>
          <w:color w:val="auto"/>
          <w:sz w:val="24"/>
          <w:szCs w:val="20"/>
        </w:rPr>
      </w:pPr>
      <w:r>
        <w:rPr>
          <w:rFonts w:hint="eastAsia" w:ascii="仿宋" w:hAnsi="仿宋" w:eastAsia="仿宋" w:cs="仿宋"/>
          <w:color w:val="auto"/>
          <w:sz w:val="24"/>
          <w:szCs w:val="20"/>
        </w:rPr>
        <w:t>注：供应商应根据自身实际情况据实进行承诺。</w:t>
      </w:r>
    </w:p>
    <w:p>
      <w:pPr>
        <w:pStyle w:val="2"/>
        <w:rPr>
          <w:rFonts w:ascii="仿宋" w:hAnsi="仿宋" w:eastAsia="仿宋" w:cs="仿宋"/>
          <w:color w:val="auto"/>
          <w:szCs w:val="20"/>
        </w:rPr>
      </w:pPr>
    </w:p>
    <w:p>
      <w:pPr>
        <w:pStyle w:val="46"/>
        <w:rPr>
          <w:rFonts w:ascii="仿宋" w:hAnsi="仿宋" w:eastAsia="仿宋" w:cs="仿宋"/>
          <w:color w:val="auto"/>
          <w:szCs w:val="20"/>
        </w:rPr>
      </w:pPr>
    </w:p>
    <w:p>
      <w:pPr>
        <w:jc w:val="center"/>
        <w:rPr>
          <w:rFonts w:ascii="仿宋" w:hAnsi="仿宋" w:eastAsia="仿宋" w:cs="仿宋"/>
          <w:b/>
          <w:color w:val="auto"/>
          <w:sz w:val="32"/>
          <w:szCs w:val="32"/>
        </w:rPr>
      </w:pPr>
      <w:r>
        <w:rPr>
          <w:rFonts w:hint="eastAsia" w:ascii="仿宋" w:hAnsi="仿宋" w:eastAsia="仿宋" w:cs="仿宋"/>
          <w:b/>
          <w:color w:val="auto"/>
          <w:sz w:val="32"/>
          <w:szCs w:val="32"/>
        </w:rPr>
        <w:t>五、报价函</w:t>
      </w:r>
    </w:p>
    <w:p>
      <w:pPr>
        <w:spacing w:line="360" w:lineRule="auto"/>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四川尚运晟工程项目管理有限公司：</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1.我方全面研究了项目磋商文件（项目编号：），决定参加贵单位组织的本项目磋商采购。</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2.我方自愿按照磋商文件规定的各项要求向采购人提供所需服务采购，总报价详见报价一览表。</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3.一旦我方成交，我方将严格履行政府采购合同规定的责任和义务。</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4.我方为本项目提交的响应文件为资格性响应文件正本一份副本两份，其他响应文件正本一份副本两份。</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5.我方愿意提供贵单位可能另外要求的，与磋商报价有关的文件资料，并保证我方已提供和将要提供的文件资料是真实、准确的。</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6.本次磋商，我方递交的响应文件有效期为磋商文件规定起算之日起90天。</w:t>
      </w:r>
    </w:p>
    <w:p>
      <w:pPr>
        <w:adjustRightIn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7.我方完全响应磋商文件中关于知识产权的要求。</w:t>
      </w:r>
    </w:p>
    <w:p>
      <w:pPr>
        <w:adjustRightInd w:val="0"/>
        <w:spacing w:line="400" w:lineRule="exact"/>
        <w:ind w:firstLine="480" w:firstLineChars="200"/>
        <w:jc w:val="left"/>
        <w:rPr>
          <w:rFonts w:ascii="仿宋" w:hAnsi="仿宋" w:eastAsia="仿宋" w:cs="仿宋"/>
          <w:color w:val="auto"/>
          <w:sz w:val="24"/>
        </w:rPr>
      </w:pP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（盖单位公章）</w:t>
      </w:r>
    </w:p>
    <w:p>
      <w:pPr>
        <w:spacing w:line="400" w:lineRule="exact"/>
        <w:rPr>
          <w:rFonts w:ascii="仿宋" w:hAnsi="仿宋" w:eastAsia="仿宋" w:cs="仿宋"/>
          <w:color w:val="auto"/>
          <w:sz w:val="24"/>
        </w:rPr>
      </w:pPr>
      <w:r>
        <w:rPr>
          <w:rFonts w:hint="eastAsia" w:ascii="仿宋" w:hAnsi="仿宋" w:eastAsia="仿宋" w:cs="仿宋"/>
          <w:color w:val="auto"/>
          <w:sz w:val="24"/>
        </w:rPr>
        <w:t>法定代表人或授权代表（签字或</w:t>
      </w:r>
      <w:r>
        <w:rPr>
          <w:rFonts w:hint="eastAsia" w:ascii="仿宋" w:hAnsi="仿宋" w:eastAsia="仿宋" w:cs="仿宋"/>
          <w:bCs/>
          <w:color w:val="auto"/>
          <w:sz w:val="24"/>
        </w:rPr>
        <w:t>加盖印章</w:t>
      </w:r>
      <w:r>
        <w:rPr>
          <w:rFonts w:hint="eastAsia" w:ascii="仿宋" w:hAnsi="仿宋" w:eastAsia="仿宋" w:cs="仿宋"/>
          <w:color w:val="auto"/>
          <w:sz w:val="24"/>
        </w:rPr>
        <w:t>）：</w:t>
      </w:r>
    </w:p>
    <w:p>
      <w:pPr>
        <w:spacing w:line="400" w:lineRule="exact"/>
        <w:rPr>
          <w:rFonts w:ascii="仿宋" w:hAnsi="仿宋" w:eastAsia="仿宋" w:cs="仿宋"/>
          <w:color w:val="auto"/>
          <w:sz w:val="24"/>
          <w:u w:val="single"/>
        </w:rPr>
      </w:pPr>
      <w:r>
        <w:rPr>
          <w:rFonts w:hint="eastAsia" w:ascii="仿宋" w:hAnsi="仿宋" w:eastAsia="仿宋" w:cs="仿宋"/>
          <w:color w:val="auto"/>
          <w:sz w:val="24"/>
        </w:rPr>
        <w:t>通讯地址：</w:t>
      </w:r>
    </w:p>
    <w:p>
      <w:pPr>
        <w:spacing w:line="400" w:lineRule="exact"/>
        <w:rPr>
          <w:rFonts w:ascii="仿宋" w:hAnsi="仿宋" w:eastAsia="仿宋" w:cs="仿宋"/>
          <w:color w:val="auto"/>
          <w:sz w:val="24"/>
          <w:u w:val="single"/>
        </w:rPr>
      </w:pPr>
      <w:r>
        <w:rPr>
          <w:rFonts w:hint="eastAsia" w:ascii="仿宋" w:hAnsi="仿宋" w:eastAsia="仿宋" w:cs="仿宋"/>
          <w:color w:val="auto"/>
          <w:sz w:val="24"/>
        </w:rPr>
        <w:t>邮政编码：</w:t>
      </w:r>
    </w:p>
    <w:p>
      <w:pPr>
        <w:spacing w:line="400" w:lineRule="exact"/>
        <w:rPr>
          <w:rFonts w:ascii="仿宋" w:hAnsi="仿宋" w:eastAsia="仿宋" w:cs="仿宋"/>
          <w:color w:val="auto"/>
          <w:sz w:val="24"/>
          <w:u w:val="single"/>
        </w:rPr>
      </w:pPr>
      <w:r>
        <w:rPr>
          <w:rFonts w:hint="eastAsia" w:ascii="仿宋" w:hAnsi="仿宋" w:eastAsia="仿宋" w:cs="仿宋"/>
          <w:color w:val="auto"/>
          <w:sz w:val="24"/>
        </w:rPr>
        <w:t>联系电话：</w:t>
      </w:r>
    </w:p>
    <w:p>
      <w:pPr>
        <w:spacing w:line="400" w:lineRule="exact"/>
        <w:rPr>
          <w:rFonts w:ascii="仿宋" w:hAnsi="仿宋" w:eastAsia="仿宋" w:cs="仿宋"/>
          <w:color w:val="auto"/>
          <w:sz w:val="24"/>
          <w:u w:val="single"/>
        </w:rPr>
      </w:pPr>
      <w:r>
        <w:rPr>
          <w:rFonts w:hint="eastAsia" w:ascii="仿宋" w:hAnsi="仿宋" w:eastAsia="仿宋" w:cs="仿宋"/>
          <w:color w:val="auto"/>
          <w:sz w:val="24"/>
        </w:rPr>
        <w:t>传    真：</w:t>
      </w:r>
    </w:p>
    <w:p>
      <w:pPr>
        <w:spacing w:line="400" w:lineRule="exact"/>
        <w:rPr>
          <w:rFonts w:ascii="仿宋" w:hAnsi="仿宋" w:eastAsia="仿宋" w:cs="仿宋"/>
          <w:color w:val="auto"/>
          <w:sz w:val="24"/>
        </w:rPr>
      </w:pPr>
      <w:r>
        <w:rPr>
          <w:rFonts w:hint="eastAsia" w:ascii="仿宋" w:hAnsi="仿宋" w:eastAsia="仿宋" w:cs="仿宋"/>
          <w:color w:val="auto"/>
          <w:sz w:val="24"/>
        </w:rPr>
        <w:t xml:space="preserve">日    期： </w:t>
      </w:r>
    </w:p>
    <w:p>
      <w:pPr>
        <w:jc w:val="center"/>
        <w:rPr>
          <w:rFonts w:ascii="仿宋" w:hAnsi="仿宋" w:eastAsia="仿宋" w:cs="仿宋"/>
          <w:color w:val="auto"/>
          <w:sz w:val="24"/>
        </w:rPr>
      </w:pPr>
    </w:p>
    <w:p>
      <w:pPr>
        <w:jc w:val="center"/>
        <w:rPr>
          <w:rFonts w:ascii="仿宋" w:hAnsi="仿宋" w:eastAsia="仿宋" w:cs="仿宋"/>
          <w:b/>
          <w:color w:val="auto"/>
          <w:sz w:val="32"/>
          <w:szCs w:val="32"/>
        </w:rPr>
      </w:pPr>
    </w:p>
    <w:p>
      <w:pPr>
        <w:rPr>
          <w:rFonts w:ascii="仿宋" w:hAnsi="仿宋" w:eastAsia="仿宋" w:cs="仿宋"/>
          <w:color w:val="auto"/>
          <w:sz w:val="36"/>
          <w:szCs w:val="36"/>
        </w:rPr>
        <w:sectPr>
          <w:footerReference r:id="rId16" w:type="first"/>
          <w:footerReference r:id="rId15" w:type="default"/>
          <w:pgSz w:w="11906" w:h="16840"/>
          <w:pgMar w:top="1440" w:right="1797" w:bottom="1440" w:left="1797" w:header="851" w:footer="992" w:gutter="0"/>
          <w:cols w:space="720" w:num="1"/>
          <w:titlePg/>
          <w:docGrid w:type="linesAndChars" w:linePitch="312" w:charSpace="0"/>
        </w:sectPr>
      </w:pPr>
    </w:p>
    <w:p>
      <w:pPr>
        <w:jc w:val="center"/>
        <w:rPr>
          <w:rFonts w:ascii="仿宋" w:hAnsi="仿宋" w:eastAsia="仿宋" w:cs="仿宋"/>
          <w:b/>
          <w:color w:val="auto"/>
          <w:sz w:val="32"/>
          <w:szCs w:val="32"/>
        </w:rPr>
      </w:pPr>
      <w:r>
        <w:rPr>
          <w:rFonts w:hint="eastAsia" w:ascii="仿宋" w:hAnsi="仿宋" w:eastAsia="仿宋" w:cs="仿宋"/>
          <w:b/>
          <w:color w:val="auto"/>
          <w:sz w:val="32"/>
          <w:szCs w:val="32"/>
        </w:rPr>
        <w:t>六、报价一览表</w:t>
      </w:r>
    </w:p>
    <w:p>
      <w:pPr>
        <w:widowControl/>
        <w:spacing w:line="400" w:lineRule="exact"/>
        <w:ind w:firstLine="436" w:firstLineChars="182"/>
        <w:jc w:val="left"/>
        <w:rPr>
          <w:rFonts w:ascii="仿宋" w:hAnsi="仿宋" w:eastAsia="仿宋" w:cs="仿宋"/>
          <w:color w:val="auto"/>
          <w:kern w:val="0"/>
          <w:sz w:val="24"/>
        </w:rPr>
      </w:pPr>
      <w:r>
        <w:rPr>
          <w:rFonts w:hint="eastAsia" w:ascii="仿宋" w:hAnsi="仿宋" w:eastAsia="仿宋" w:cs="仿宋"/>
          <w:color w:val="auto"/>
          <w:kern w:val="0"/>
          <w:sz w:val="24"/>
        </w:rPr>
        <w:t>项目名称：</w:t>
      </w:r>
    </w:p>
    <w:p>
      <w:pPr>
        <w:widowControl/>
        <w:spacing w:line="400" w:lineRule="exact"/>
        <w:ind w:firstLine="436" w:firstLineChars="182"/>
        <w:jc w:val="left"/>
        <w:rPr>
          <w:rFonts w:ascii="仿宋" w:hAnsi="仿宋" w:eastAsia="仿宋" w:cs="仿宋"/>
          <w:color w:val="auto"/>
          <w:kern w:val="0"/>
          <w:sz w:val="24"/>
        </w:rPr>
      </w:pPr>
      <w:r>
        <w:rPr>
          <w:rFonts w:hint="eastAsia" w:ascii="仿宋" w:hAnsi="仿宋" w:eastAsia="仿宋" w:cs="仿宋"/>
          <w:color w:val="auto"/>
          <w:kern w:val="0"/>
          <w:sz w:val="24"/>
        </w:rPr>
        <w:t>项目编号：</w:t>
      </w:r>
    </w:p>
    <w:p>
      <w:pPr>
        <w:widowControl/>
        <w:spacing w:line="400" w:lineRule="exact"/>
        <w:ind w:firstLine="436" w:firstLineChars="182"/>
        <w:jc w:val="left"/>
        <w:rPr>
          <w:rFonts w:ascii="仿宋" w:hAnsi="仿宋" w:eastAsia="仿宋" w:cs="仿宋"/>
          <w:color w:val="auto"/>
          <w:kern w:val="0"/>
          <w:sz w:val="24"/>
        </w:rPr>
      </w:pPr>
      <w:r>
        <w:rPr>
          <w:rFonts w:hint="eastAsia" w:ascii="仿宋" w:hAnsi="仿宋" w:eastAsia="仿宋" w:cs="仿宋"/>
          <w:color w:val="auto"/>
          <w:kern w:val="0"/>
          <w:sz w:val="24"/>
        </w:rPr>
        <w:t>包件号及名称：（若有）</w:t>
      </w:r>
    </w:p>
    <w:tbl>
      <w:tblPr>
        <w:tblStyle w:val="2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268"/>
        <w:gridCol w:w="2016"/>
        <w:gridCol w:w="1771"/>
        <w:gridCol w:w="141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color w:val="auto"/>
                <w:kern w:val="0"/>
                <w:sz w:val="24"/>
              </w:rPr>
            </w:pPr>
            <w:r>
              <w:rPr>
                <w:rFonts w:hint="eastAsia" w:ascii="仿宋" w:hAnsi="仿宋" w:eastAsia="仿宋" w:cs="仿宋"/>
                <w:b/>
                <w:color w:val="auto"/>
                <w:kern w:val="0"/>
                <w:sz w:val="24"/>
              </w:rPr>
              <w:t>序号</w:t>
            </w:r>
          </w:p>
        </w:tc>
        <w:tc>
          <w:tcPr>
            <w:tcW w:w="2268"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b/>
                <w:color w:val="auto"/>
                <w:kern w:val="0"/>
                <w:sz w:val="24"/>
              </w:rPr>
            </w:pPr>
            <w:r>
              <w:rPr>
                <w:rFonts w:hint="eastAsia" w:ascii="仿宋" w:hAnsi="仿宋" w:eastAsia="仿宋" w:cs="仿宋"/>
                <w:b/>
                <w:color w:val="auto"/>
                <w:kern w:val="0"/>
                <w:sz w:val="24"/>
              </w:rPr>
              <w:t>服务明细</w:t>
            </w:r>
          </w:p>
        </w:tc>
        <w:tc>
          <w:tcPr>
            <w:tcW w:w="2016"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b/>
                <w:color w:val="auto"/>
                <w:kern w:val="0"/>
                <w:sz w:val="24"/>
              </w:rPr>
            </w:pPr>
            <w:r>
              <w:rPr>
                <w:rFonts w:hint="eastAsia" w:ascii="仿宋" w:hAnsi="仿宋" w:eastAsia="仿宋" w:cs="仿宋"/>
                <w:b/>
                <w:color w:val="auto"/>
                <w:kern w:val="0"/>
                <w:sz w:val="24"/>
              </w:rPr>
              <w:t>数量</w:t>
            </w:r>
          </w:p>
        </w:tc>
        <w:tc>
          <w:tcPr>
            <w:tcW w:w="1771"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b/>
                <w:color w:val="auto"/>
                <w:kern w:val="0"/>
                <w:sz w:val="24"/>
              </w:rPr>
            </w:pPr>
            <w:r>
              <w:rPr>
                <w:rFonts w:hint="eastAsia" w:ascii="仿宋" w:hAnsi="仿宋" w:eastAsia="仿宋" w:cs="仿宋"/>
                <w:b/>
                <w:color w:val="auto"/>
                <w:kern w:val="0"/>
                <w:sz w:val="24"/>
              </w:rPr>
              <w:t>单价</w:t>
            </w:r>
          </w:p>
        </w:tc>
        <w:tc>
          <w:tcPr>
            <w:tcW w:w="1418"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b/>
                <w:color w:val="auto"/>
                <w:kern w:val="0"/>
                <w:sz w:val="24"/>
              </w:rPr>
            </w:pPr>
            <w:r>
              <w:rPr>
                <w:rFonts w:hint="eastAsia" w:ascii="仿宋" w:hAnsi="仿宋" w:eastAsia="仿宋" w:cs="仿宋"/>
                <w:b/>
                <w:color w:val="auto"/>
                <w:kern w:val="0"/>
                <w:sz w:val="24"/>
              </w:rPr>
              <w:t>金额</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color w:val="auto"/>
                <w:kern w:val="0"/>
                <w:sz w:val="24"/>
              </w:rPr>
            </w:pPr>
            <w:r>
              <w:rPr>
                <w:rFonts w:hint="eastAsia" w:ascii="仿宋" w:hAnsi="仿宋" w:eastAsia="仿宋" w:cs="仿宋"/>
                <w:b/>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2268" w:type="dxa"/>
            <w:tcBorders>
              <w:left w:val="single" w:color="auto" w:sz="4" w:space="0"/>
              <w:right w:val="single" w:color="auto" w:sz="4" w:space="0"/>
            </w:tcBorders>
          </w:tcPr>
          <w:p>
            <w:pPr>
              <w:widowControl/>
              <w:jc w:val="center"/>
              <w:rPr>
                <w:rFonts w:ascii="仿宋" w:hAnsi="仿宋" w:eastAsia="仿宋" w:cs="仿宋"/>
                <w:color w:val="auto"/>
                <w:kern w:val="0"/>
                <w:sz w:val="24"/>
              </w:rPr>
            </w:pPr>
          </w:p>
        </w:tc>
        <w:tc>
          <w:tcPr>
            <w:tcW w:w="2016" w:type="dxa"/>
            <w:tcBorders>
              <w:left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1771" w:type="dxa"/>
            <w:tcBorders>
              <w:left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1418" w:type="dxa"/>
            <w:tcBorders>
              <w:left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2268" w:type="dxa"/>
            <w:tcBorders>
              <w:left w:val="single" w:color="auto" w:sz="4" w:space="0"/>
              <w:right w:val="single" w:color="auto" w:sz="4" w:space="0"/>
            </w:tcBorders>
          </w:tcPr>
          <w:p>
            <w:pPr>
              <w:widowControl/>
              <w:jc w:val="center"/>
              <w:rPr>
                <w:rFonts w:ascii="仿宋" w:hAnsi="仿宋" w:eastAsia="仿宋" w:cs="仿宋"/>
                <w:color w:val="auto"/>
                <w:kern w:val="0"/>
                <w:sz w:val="24"/>
              </w:rPr>
            </w:pPr>
          </w:p>
        </w:tc>
        <w:tc>
          <w:tcPr>
            <w:tcW w:w="2016" w:type="dxa"/>
            <w:tcBorders>
              <w:left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1771" w:type="dxa"/>
            <w:tcBorders>
              <w:left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1418" w:type="dxa"/>
            <w:tcBorders>
              <w:left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3</w:t>
            </w:r>
          </w:p>
        </w:tc>
        <w:tc>
          <w:tcPr>
            <w:tcW w:w="2268" w:type="dxa"/>
            <w:tcBorders>
              <w:left w:val="single" w:color="auto" w:sz="4" w:space="0"/>
              <w:right w:val="single" w:color="auto" w:sz="4" w:space="0"/>
            </w:tcBorders>
          </w:tcPr>
          <w:p>
            <w:pPr>
              <w:widowControl/>
              <w:jc w:val="center"/>
              <w:rPr>
                <w:rFonts w:ascii="仿宋" w:hAnsi="仿宋" w:eastAsia="仿宋" w:cs="仿宋"/>
                <w:color w:val="auto"/>
                <w:kern w:val="0"/>
                <w:sz w:val="24"/>
              </w:rPr>
            </w:pPr>
          </w:p>
        </w:tc>
        <w:tc>
          <w:tcPr>
            <w:tcW w:w="2016" w:type="dxa"/>
            <w:tcBorders>
              <w:left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1771" w:type="dxa"/>
            <w:tcBorders>
              <w:left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1418" w:type="dxa"/>
            <w:tcBorders>
              <w:left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2268" w:type="dxa"/>
            <w:tcBorders>
              <w:left w:val="single" w:color="auto" w:sz="4" w:space="0"/>
              <w:bottom w:val="single" w:color="auto" w:sz="4" w:space="0"/>
              <w:right w:val="single" w:color="auto" w:sz="4" w:space="0"/>
            </w:tcBorders>
          </w:tcPr>
          <w:p>
            <w:pPr>
              <w:widowControl/>
              <w:jc w:val="center"/>
              <w:rPr>
                <w:rFonts w:ascii="仿宋" w:hAnsi="仿宋" w:eastAsia="仿宋" w:cs="仿宋"/>
                <w:color w:val="auto"/>
                <w:kern w:val="0"/>
                <w:sz w:val="24"/>
              </w:rPr>
            </w:pPr>
          </w:p>
        </w:tc>
        <w:tc>
          <w:tcPr>
            <w:tcW w:w="2016" w:type="dxa"/>
            <w:tcBorders>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1771" w:type="dxa"/>
            <w:tcBorders>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1418" w:type="dxa"/>
            <w:tcBorders>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9064"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rPr>
            </w:pPr>
            <w:r>
              <w:rPr>
                <w:rFonts w:hint="eastAsia" w:ascii="仿宋" w:hAnsi="仿宋" w:eastAsia="仿宋" w:cs="仿宋"/>
                <w:color w:val="auto"/>
                <w:kern w:val="0"/>
                <w:sz w:val="24"/>
              </w:rPr>
              <w:t>合计金额（大写）：</w:t>
            </w:r>
          </w:p>
        </w:tc>
      </w:tr>
    </w:tbl>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注：</w:t>
      </w:r>
    </w:p>
    <w:p>
      <w:pPr>
        <w:widowControl/>
        <w:spacing w:line="4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1.以上表格格式行可增减。</w:t>
      </w:r>
    </w:p>
    <w:p>
      <w:pPr>
        <w:widowControl/>
        <w:spacing w:line="4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 供应商必须按“报价一览</w:t>
      </w:r>
      <w:r>
        <w:rPr>
          <w:rFonts w:hint="eastAsia" w:ascii="仿宋" w:hAnsi="仿宋" w:eastAsia="仿宋" w:cs="仿宋"/>
          <w:bCs/>
          <w:color w:val="auto"/>
          <w:kern w:val="0"/>
          <w:sz w:val="24"/>
        </w:rPr>
        <w:t>表”的格式及采购所需服务，</w:t>
      </w:r>
      <w:r>
        <w:rPr>
          <w:rFonts w:hint="eastAsia" w:ascii="仿宋" w:hAnsi="仿宋" w:eastAsia="仿宋" w:cs="仿宋"/>
          <w:color w:val="auto"/>
          <w:kern w:val="0"/>
          <w:sz w:val="24"/>
        </w:rPr>
        <w:t>详细报出各类服务的价格，</w:t>
      </w:r>
      <w:r>
        <w:rPr>
          <w:rFonts w:hint="eastAsia" w:ascii="仿宋" w:hAnsi="仿宋" w:eastAsia="仿宋" w:cs="仿宋"/>
          <w:b/>
          <w:color w:val="auto"/>
          <w:kern w:val="0"/>
          <w:sz w:val="24"/>
        </w:rPr>
        <w:t>不得漏报，否则视为已包含在合计金额中不再单独另行报价，不影响有效性</w:t>
      </w:r>
      <w:r>
        <w:rPr>
          <w:rFonts w:hint="eastAsia" w:ascii="仿宋" w:hAnsi="仿宋" w:eastAsia="仿宋" w:cs="仿宋"/>
          <w:color w:val="auto"/>
          <w:kern w:val="0"/>
          <w:sz w:val="24"/>
        </w:rPr>
        <w:t>。</w:t>
      </w:r>
    </w:p>
    <w:p>
      <w:pPr>
        <w:widowControl/>
        <w:spacing w:line="4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3.所有报价均用人民币表示,其总价即为履行合同的固定价格。人工费、检验、培训、税金</w:t>
      </w:r>
      <w:r>
        <w:rPr>
          <w:rFonts w:hint="eastAsia" w:ascii="仿宋" w:hAnsi="仿宋" w:eastAsia="仿宋" w:cs="仿宋"/>
          <w:color w:val="auto"/>
          <w:sz w:val="24"/>
        </w:rPr>
        <w:t>、知识产权费（若有）</w:t>
      </w:r>
      <w:r>
        <w:rPr>
          <w:rFonts w:hint="eastAsia" w:ascii="仿宋" w:hAnsi="仿宋" w:eastAsia="仿宋" w:cs="仿宋"/>
          <w:color w:val="auto"/>
          <w:kern w:val="0"/>
          <w:sz w:val="24"/>
        </w:rPr>
        <w:t>和保险等费用以及采购文件规定的其他费用均应包含在报价中。</w:t>
      </w:r>
    </w:p>
    <w:p>
      <w:pPr>
        <w:adjustRightInd w:val="0"/>
        <w:spacing w:line="4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4.对小型和微型企业，监狱企业、残疾人福利性单位产品的价格（如涉及）给予10%的扣除，用扣除后的价格参与评审。</w:t>
      </w: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（盖单位公章）</w:t>
      </w:r>
    </w:p>
    <w:p>
      <w:pPr>
        <w:adjustRightInd w:val="0"/>
        <w:spacing w:line="400" w:lineRule="exact"/>
        <w:jc w:val="left"/>
        <w:rPr>
          <w:rFonts w:ascii="仿宋" w:hAnsi="仿宋" w:eastAsia="仿宋" w:cs="仿宋"/>
          <w:bCs/>
          <w:color w:val="auto"/>
          <w:sz w:val="24"/>
        </w:rPr>
      </w:pPr>
      <w:r>
        <w:rPr>
          <w:rFonts w:hint="eastAsia" w:ascii="仿宋" w:hAnsi="仿宋" w:eastAsia="仿宋" w:cs="仿宋"/>
          <w:bCs/>
          <w:color w:val="auto"/>
          <w:sz w:val="24"/>
        </w:rPr>
        <w:t>法定代表人或授权代表（签字或加盖印章）：</w:t>
      </w: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 xml:space="preserve">日  期：  </w:t>
      </w:r>
    </w:p>
    <w:p>
      <w:pPr>
        <w:adjustRightInd w:val="0"/>
        <w:spacing w:line="400" w:lineRule="exact"/>
        <w:ind w:firstLine="480" w:firstLineChars="200"/>
        <w:jc w:val="left"/>
        <w:rPr>
          <w:rFonts w:ascii="仿宋" w:hAnsi="仿宋" w:eastAsia="仿宋" w:cs="仿宋"/>
          <w:color w:val="auto"/>
          <w:sz w:val="24"/>
        </w:rPr>
        <w:sectPr>
          <w:footerReference r:id="rId17" w:type="default"/>
          <w:pgSz w:w="11906" w:h="16838"/>
          <w:pgMar w:top="3118" w:right="935" w:bottom="1440" w:left="1797" w:header="720" w:footer="720" w:gutter="0"/>
          <w:cols w:space="720" w:num="1"/>
          <w:docGrid w:linePitch="312" w:charSpace="0"/>
        </w:sectPr>
      </w:pPr>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七、中小企业声明函</w:t>
      </w:r>
    </w:p>
    <w:p>
      <w:pPr>
        <w:ind w:firstLine="560"/>
        <w:rPr>
          <w:rFonts w:ascii="仿宋" w:hAnsi="仿宋" w:eastAsia="仿宋" w:cs="仿宋"/>
          <w:color w:val="auto"/>
          <w:sz w:val="28"/>
          <w:szCs w:val="28"/>
        </w:rPr>
      </w:pPr>
      <w:r>
        <w:rPr>
          <w:rFonts w:hint="eastAsia" w:ascii="仿宋" w:hAnsi="仿宋" w:eastAsia="仿宋" w:cs="仿宋"/>
          <w:color w:val="auto"/>
          <w:sz w:val="28"/>
          <w:szCs w:val="28"/>
        </w:rPr>
        <w:t>本公司（联合体）郑重声明，根据《政府采购促进中小企业发展管理办法》（财库﹝2020﹞46 号）的规定，本公司（联合体）参加</w:t>
      </w:r>
      <w:r>
        <w:rPr>
          <w:rFonts w:hint="eastAsia" w:ascii="仿宋" w:hAnsi="仿宋" w:eastAsia="仿宋" w:cs="仿宋"/>
          <w:color w:val="auto"/>
          <w:sz w:val="28"/>
          <w:szCs w:val="28"/>
          <w:u w:val="single"/>
        </w:rPr>
        <w:t>（单位名称）</w:t>
      </w:r>
      <w:r>
        <w:rPr>
          <w:rFonts w:hint="eastAsia" w:ascii="仿宋" w:hAnsi="仿宋" w:eastAsia="仿宋" w:cs="仿宋"/>
          <w:color w:val="auto"/>
          <w:sz w:val="28"/>
          <w:szCs w:val="28"/>
        </w:rPr>
        <w:t>的</w:t>
      </w:r>
      <w:r>
        <w:rPr>
          <w:rFonts w:hint="eastAsia" w:ascii="仿宋" w:hAnsi="仿宋" w:eastAsia="仿宋" w:cs="仿宋"/>
          <w:color w:val="auto"/>
          <w:sz w:val="28"/>
          <w:szCs w:val="28"/>
          <w:u w:val="single"/>
        </w:rPr>
        <w:t>（项目名称）</w:t>
      </w:r>
      <w:r>
        <w:rPr>
          <w:rFonts w:hint="eastAsia" w:ascii="仿宋" w:hAnsi="仿宋" w:eastAsia="仿宋" w:cs="仿宋"/>
          <w:color w:val="auto"/>
          <w:sz w:val="28"/>
          <w:szCs w:val="28"/>
        </w:rPr>
        <w:t>采购活动，服务全部由符合政策要求的中小企业承接。相关企业（含联合体中的中小企业、签订分包意向协议的中小企业）的具体情况如下：</w:t>
      </w:r>
    </w:p>
    <w:p>
      <w:pPr>
        <w:ind w:firstLine="560"/>
        <w:rPr>
          <w:rFonts w:ascii="仿宋" w:hAnsi="仿宋" w:eastAsia="仿宋" w:cs="仿宋"/>
          <w:color w:val="auto"/>
          <w:sz w:val="28"/>
          <w:szCs w:val="28"/>
        </w:rPr>
      </w:pPr>
      <w:r>
        <w:rPr>
          <w:rFonts w:hint="eastAsia" w:ascii="仿宋" w:hAnsi="仿宋" w:eastAsia="仿宋" w:cs="仿宋"/>
          <w:color w:val="auto"/>
          <w:sz w:val="28"/>
          <w:szCs w:val="28"/>
        </w:rPr>
        <w:t xml:space="preserve">1. </w:t>
      </w:r>
      <w:r>
        <w:rPr>
          <w:rFonts w:hint="eastAsia" w:ascii="仿宋" w:hAnsi="仿宋" w:eastAsia="仿宋" w:cs="仿宋"/>
          <w:color w:val="auto"/>
          <w:sz w:val="28"/>
          <w:szCs w:val="28"/>
          <w:u w:val="single"/>
        </w:rPr>
        <w:t>（标的名称）</w:t>
      </w:r>
      <w:r>
        <w:rPr>
          <w:rFonts w:hint="eastAsia" w:ascii="仿宋" w:hAnsi="仿宋" w:eastAsia="仿宋" w:cs="仿宋"/>
          <w:color w:val="auto"/>
          <w:sz w:val="28"/>
          <w:szCs w:val="28"/>
        </w:rPr>
        <w:t xml:space="preserve"> ，属于</w:t>
      </w:r>
      <w:r>
        <w:rPr>
          <w:rFonts w:hint="eastAsia" w:ascii="仿宋" w:hAnsi="仿宋" w:eastAsia="仿宋" w:cs="仿宋"/>
          <w:color w:val="auto"/>
          <w:sz w:val="28"/>
          <w:szCs w:val="28"/>
          <w:u w:val="single"/>
          <w:lang w:val="en-US" w:eastAsia="zh-CN"/>
        </w:rPr>
        <w:t xml:space="preserve">   （其他未列明行业）</w:t>
      </w:r>
      <w:r>
        <w:rPr>
          <w:rFonts w:hint="eastAsia" w:ascii="仿宋" w:hAnsi="仿宋" w:eastAsia="仿宋" w:cs="仿宋"/>
          <w:color w:val="auto"/>
          <w:sz w:val="28"/>
          <w:szCs w:val="28"/>
        </w:rPr>
        <w:t>；承接企业为</w:t>
      </w:r>
      <w:r>
        <w:rPr>
          <w:rFonts w:hint="eastAsia" w:ascii="仿宋" w:hAnsi="仿宋" w:eastAsia="仿宋" w:cs="仿宋"/>
          <w:color w:val="auto"/>
          <w:sz w:val="28"/>
          <w:szCs w:val="28"/>
          <w:u w:val="single"/>
        </w:rPr>
        <w:t>（企业名称）</w:t>
      </w:r>
      <w:r>
        <w:rPr>
          <w:rFonts w:hint="eastAsia" w:ascii="仿宋" w:hAnsi="仿宋" w:eastAsia="仿宋" w:cs="仿宋"/>
          <w:color w:val="auto"/>
          <w:sz w:val="28"/>
          <w:szCs w:val="28"/>
        </w:rPr>
        <w:t>，从业人员</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人，营业收入为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万元，资产总额为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万元，属于</w:t>
      </w:r>
      <w:r>
        <w:rPr>
          <w:rFonts w:hint="eastAsia" w:ascii="仿宋" w:hAnsi="仿宋" w:eastAsia="仿宋" w:cs="仿宋"/>
          <w:color w:val="auto"/>
          <w:sz w:val="28"/>
          <w:szCs w:val="28"/>
          <w:u w:val="single"/>
        </w:rPr>
        <w:t>（中型企业、小型企业、微型企业）</w:t>
      </w:r>
      <w:r>
        <w:rPr>
          <w:rFonts w:hint="eastAsia" w:ascii="仿宋" w:hAnsi="仿宋" w:eastAsia="仿宋" w:cs="仿宋"/>
          <w:color w:val="auto"/>
          <w:sz w:val="28"/>
          <w:szCs w:val="28"/>
        </w:rPr>
        <w:t>；</w:t>
      </w:r>
    </w:p>
    <w:p>
      <w:pPr>
        <w:ind w:firstLine="560"/>
        <w:rPr>
          <w:rFonts w:ascii="仿宋" w:hAnsi="仿宋" w:eastAsia="仿宋" w:cs="仿宋"/>
          <w:color w:val="auto"/>
          <w:sz w:val="28"/>
          <w:szCs w:val="28"/>
        </w:rPr>
      </w:pPr>
      <w:r>
        <w:rPr>
          <w:rFonts w:hint="eastAsia" w:ascii="仿宋" w:hAnsi="仿宋" w:eastAsia="仿宋" w:cs="仿宋"/>
          <w:color w:val="auto"/>
          <w:sz w:val="28"/>
          <w:szCs w:val="28"/>
        </w:rPr>
        <w:t>……</w:t>
      </w:r>
    </w:p>
    <w:p>
      <w:pPr>
        <w:ind w:firstLine="560"/>
        <w:rPr>
          <w:rFonts w:ascii="仿宋" w:hAnsi="仿宋" w:eastAsia="仿宋" w:cs="仿宋"/>
          <w:color w:val="auto"/>
          <w:sz w:val="28"/>
          <w:szCs w:val="28"/>
        </w:rPr>
      </w:pPr>
      <w:r>
        <w:rPr>
          <w:rFonts w:hint="eastAsia" w:ascii="仿宋" w:hAnsi="仿宋" w:eastAsia="仿宋" w:cs="仿宋"/>
          <w:color w:val="auto"/>
          <w:sz w:val="28"/>
          <w:szCs w:val="28"/>
        </w:rPr>
        <w:t>以上企业，不属于大企业的分支机构，不存在控股股东为大企业的情形，也不存在与大企业的负责人为同一人的情形。</w:t>
      </w:r>
    </w:p>
    <w:p>
      <w:pPr>
        <w:ind w:firstLine="560"/>
        <w:rPr>
          <w:rFonts w:ascii="仿宋" w:hAnsi="仿宋" w:eastAsia="仿宋" w:cs="仿宋"/>
          <w:color w:val="auto"/>
          <w:sz w:val="28"/>
          <w:szCs w:val="28"/>
        </w:rPr>
      </w:pPr>
      <w:r>
        <w:rPr>
          <w:rFonts w:hint="eastAsia" w:ascii="仿宋" w:hAnsi="仿宋" w:eastAsia="仿宋" w:cs="仿宋"/>
          <w:color w:val="auto"/>
          <w:sz w:val="28"/>
          <w:szCs w:val="28"/>
        </w:rPr>
        <w:t>本企业对上述声明内容的真实性负责。如有虚假，将依法承担相应责任。</w:t>
      </w:r>
    </w:p>
    <w:p>
      <w:pPr>
        <w:ind w:firstLine="560"/>
        <w:jc w:val="right"/>
        <w:rPr>
          <w:rFonts w:ascii="仿宋" w:hAnsi="仿宋" w:eastAsia="仿宋" w:cs="仿宋"/>
          <w:color w:val="auto"/>
          <w:sz w:val="28"/>
          <w:szCs w:val="28"/>
        </w:rPr>
      </w:pPr>
      <w:r>
        <w:rPr>
          <w:rFonts w:hint="eastAsia" w:ascii="仿宋" w:hAnsi="仿宋" w:eastAsia="仿宋" w:cs="仿宋"/>
          <w:color w:val="auto"/>
          <w:sz w:val="28"/>
          <w:szCs w:val="28"/>
        </w:rPr>
        <w:t>企业名称（盖章）：</w:t>
      </w:r>
    </w:p>
    <w:p>
      <w:pPr>
        <w:ind w:firstLine="560"/>
        <w:jc w:val="right"/>
        <w:rPr>
          <w:rFonts w:ascii="仿宋" w:hAnsi="仿宋" w:eastAsia="仿宋" w:cs="仿宋"/>
          <w:color w:val="auto"/>
          <w:sz w:val="28"/>
          <w:szCs w:val="28"/>
        </w:rPr>
      </w:pPr>
      <w:r>
        <w:rPr>
          <w:rFonts w:hint="eastAsia" w:ascii="仿宋" w:hAnsi="仿宋" w:eastAsia="仿宋" w:cs="仿宋"/>
          <w:color w:val="auto"/>
          <w:sz w:val="28"/>
          <w:szCs w:val="28"/>
        </w:rPr>
        <w:t>日期：</w:t>
      </w:r>
    </w:p>
    <w:p>
      <w:pPr>
        <w:rPr>
          <w:rFonts w:ascii="仿宋" w:hAnsi="仿宋" w:eastAsia="仿宋" w:cs="仿宋"/>
          <w:color w:val="auto"/>
          <w:sz w:val="28"/>
          <w:szCs w:val="28"/>
        </w:rPr>
      </w:pPr>
      <w:r>
        <w:rPr>
          <w:rFonts w:hint="eastAsia" w:ascii="仿宋" w:hAnsi="仿宋" w:eastAsia="仿宋" w:cs="仿宋"/>
          <w:color w:val="auto"/>
          <w:sz w:val="28"/>
          <w:szCs w:val="28"/>
        </w:rPr>
        <w:t>1 从业人员、营业收入、资产总额填报上一年度数据，无上一年度数据的新成立企业可不填报。</w:t>
      </w: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ab/>
      </w:r>
      <w:bookmarkStart w:id="104" w:name="_Toc462042994"/>
      <w:bookmarkStart w:id="105" w:name="_Toc463956539"/>
      <w:r>
        <w:rPr>
          <w:rFonts w:hint="eastAsia" w:ascii="仿宋" w:hAnsi="仿宋" w:eastAsia="仿宋" w:cs="仿宋"/>
          <w:b/>
          <w:color w:val="auto"/>
          <w:spacing w:val="6"/>
          <w:sz w:val="32"/>
          <w:szCs w:val="32"/>
        </w:rPr>
        <w:t>八、</w:t>
      </w:r>
      <w:r>
        <w:rPr>
          <w:rFonts w:hint="eastAsia" w:ascii="仿宋" w:hAnsi="仿宋" w:eastAsia="仿宋" w:cs="仿宋"/>
          <w:b/>
          <w:bCs/>
          <w:color w:val="auto"/>
          <w:sz w:val="32"/>
          <w:szCs w:val="32"/>
        </w:rPr>
        <w:t>监狱企业证明材料</w:t>
      </w:r>
      <w:bookmarkEnd w:id="104"/>
      <w:bookmarkEnd w:id="105"/>
    </w:p>
    <w:p>
      <w:pPr>
        <w:rPr>
          <w:rFonts w:ascii="仿宋" w:hAnsi="仿宋" w:eastAsia="仿宋" w:cs="仿宋"/>
          <w:color w:val="auto"/>
        </w:rPr>
      </w:pPr>
    </w:p>
    <w:p>
      <w:pPr>
        <w:rPr>
          <w:rFonts w:ascii="仿宋" w:hAnsi="仿宋" w:eastAsia="仿宋" w:cs="仿宋"/>
          <w:color w:val="auto"/>
        </w:rPr>
      </w:pPr>
    </w:p>
    <w:p>
      <w:pPr>
        <w:widowControl/>
        <w:spacing w:line="520" w:lineRule="exact"/>
        <w:ind w:firstLine="480" w:firstLineChars="200"/>
        <w:jc w:val="left"/>
        <w:rPr>
          <w:rFonts w:ascii="仿宋" w:hAnsi="仿宋" w:eastAsia="仿宋" w:cs="仿宋"/>
          <w:bCs/>
          <w:color w:val="auto"/>
          <w:kern w:val="0"/>
          <w:sz w:val="24"/>
        </w:rPr>
      </w:pPr>
      <w:r>
        <w:rPr>
          <w:rFonts w:hint="eastAsia" w:ascii="仿宋" w:hAnsi="仿宋" w:eastAsia="仿宋" w:cs="仿宋"/>
          <w:bCs/>
          <w:color w:val="auto"/>
          <w:kern w:val="0"/>
          <w:sz w:val="24"/>
        </w:rPr>
        <w:t>参加政府采购活动的监狱企业应当提供省级以上监狱管理局、戒毒管理局（含新疆生产建设兵团）出具的属于监狱企业的证明文件复印件加盖供应商公章。</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hint="eastAsia" w:ascii="仿宋" w:hAnsi="仿宋" w:eastAsia="仿宋" w:cs="仿宋"/>
          <w:color w:val="auto"/>
        </w:rPr>
      </w:pPr>
    </w:p>
    <w:p>
      <w:pPr>
        <w:pStyle w:val="2"/>
        <w:rPr>
          <w:rFonts w:hint="eastAsia"/>
          <w:color w:val="auto"/>
        </w:rPr>
      </w:pPr>
    </w:p>
    <w:p>
      <w:pPr>
        <w:rPr>
          <w:rFonts w:hint="eastAsia"/>
          <w:color w:val="auto"/>
        </w:rPr>
      </w:pPr>
    </w:p>
    <w:p>
      <w:pPr>
        <w:pStyle w:val="2"/>
        <w:rPr>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spacing w:line="588" w:lineRule="exact"/>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九、残疾人福利性单位声明函</w:t>
      </w:r>
    </w:p>
    <w:p>
      <w:pPr>
        <w:spacing w:line="588" w:lineRule="exact"/>
        <w:rPr>
          <w:rFonts w:ascii="仿宋" w:hAnsi="仿宋" w:eastAsia="仿宋" w:cs="仿宋"/>
          <w:b/>
          <w:color w:val="auto"/>
          <w:spacing w:val="6"/>
          <w:sz w:val="30"/>
          <w:szCs w:val="30"/>
        </w:rPr>
      </w:pPr>
    </w:p>
    <w:p>
      <w:pPr>
        <w:spacing w:line="400" w:lineRule="exact"/>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本单位郑重声明，根据《财政部 民政部 中国残疾人联合会关于促进残疾人就业政府采购政策的通知》（财库</w:t>
      </w:r>
      <w:r>
        <w:rPr>
          <w:rFonts w:hint="eastAsia" w:ascii="仿宋" w:hAnsi="仿宋" w:eastAsia="仿宋" w:cs="仿宋"/>
          <w:color w:val="auto"/>
          <w:sz w:val="24"/>
        </w:rPr>
        <w:t>〔2017〕 141</w:t>
      </w:r>
      <w:r>
        <w:rPr>
          <w:rFonts w:hint="eastAsia" w:ascii="仿宋" w:hAnsi="仿宋" w:eastAsia="仿宋" w:cs="仿宋"/>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本单位对上述声明的真实性负责。如有虚假，将依法承担相应责任。</w:t>
      </w:r>
    </w:p>
    <w:p>
      <w:pPr>
        <w:widowControl/>
        <w:spacing w:line="400" w:lineRule="exact"/>
        <w:jc w:val="left"/>
        <w:rPr>
          <w:rFonts w:ascii="仿宋" w:hAnsi="仿宋" w:eastAsia="仿宋" w:cs="仿宋"/>
          <w:color w:val="auto"/>
          <w:kern w:val="0"/>
          <w:sz w:val="24"/>
        </w:rPr>
      </w:pPr>
    </w:p>
    <w:p>
      <w:pPr>
        <w:widowControl/>
        <w:spacing w:line="400" w:lineRule="exact"/>
        <w:jc w:val="left"/>
        <w:rPr>
          <w:rFonts w:ascii="仿宋" w:hAnsi="仿宋" w:eastAsia="仿宋" w:cs="仿宋"/>
          <w:color w:val="auto"/>
          <w:kern w:val="0"/>
          <w:sz w:val="24"/>
        </w:rPr>
      </w:pPr>
      <w:r>
        <w:rPr>
          <w:rFonts w:hint="eastAsia" w:ascii="仿宋" w:hAnsi="仿宋" w:eastAsia="仿宋" w:cs="仿宋"/>
          <w:color w:val="auto"/>
          <w:kern w:val="0"/>
          <w:sz w:val="24"/>
        </w:rPr>
        <w:t>　　</w:t>
      </w: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（盖单位公章）</w:t>
      </w:r>
    </w:p>
    <w:p>
      <w:pPr>
        <w:adjustRightInd w:val="0"/>
        <w:spacing w:line="400" w:lineRule="exact"/>
        <w:jc w:val="left"/>
        <w:rPr>
          <w:rFonts w:ascii="仿宋" w:hAnsi="仿宋" w:eastAsia="仿宋" w:cs="仿宋"/>
          <w:bCs/>
          <w:color w:val="auto"/>
          <w:sz w:val="24"/>
        </w:rPr>
      </w:pPr>
      <w:r>
        <w:rPr>
          <w:rFonts w:hint="eastAsia" w:ascii="仿宋" w:hAnsi="仿宋" w:eastAsia="仿宋" w:cs="仿宋"/>
          <w:bCs/>
          <w:color w:val="auto"/>
          <w:sz w:val="24"/>
        </w:rPr>
        <w:t>法定代表人或授权代表（签字或加盖印章）：</w:t>
      </w: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 xml:space="preserve">日  期：  </w:t>
      </w:r>
    </w:p>
    <w:p>
      <w:pPr>
        <w:ind w:firstLine="480" w:firstLineChars="200"/>
        <w:jc w:val="left"/>
        <w:rPr>
          <w:rFonts w:ascii="仿宋" w:hAnsi="仿宋" w:eastAsia="仿宋" w:cs="仿宋"/>
          <w:color w:val="auto"/>
          <w:sz w:val="24"/>
        </w:rPr>
      </w:pPr>
    </w:p>
    <w:p>
      <w:pPr>
        <w:ind w:firstLine="480" w:firstLineChars="200"/>
        <w:jc w:val="left"/>
        <w:rPr>
          <w:rFonts w:ascii="仿宋" w:hAnsi="仿宋" w:eastAsia="仿宋" w:cs="仿宋"/>
          <w:color w:val="auto"/>
          <w:sz w:val="24"/>
        </w:rPr>
      </w:pPr>
    </w:p>
    <w:p>
      <w:pPr>
        <w:pStyle w:val="3"/>
        <w:keepNext w:val="0"/>
        <w:keepLines w:val="0"/>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pStyle w:val="3"/>
        <w:keepNext w:val="0"/>
        <w:keepLines w:val="0"/>
        <w:rPr>
          <w:rFonts w:hint="eastAsia" w:ascii="仿宋" w:hAnsi="仿宋" w:eastAsia="仿宋" w:cs="仿宋"/>
          <w:color w:val="auto"/>
        </w:rPr>
      </w:pPr>
    </w:p>
    <w:p>
      <w:pPr>
        <w:rPr>
          <w:rFonts w:hint="eastAsia"/>
          <w:color w:val="auto"/>
        </w:rPr>
      </w:pPr>
    </w:p>
    <w:p>
      <w:pPr>
        <w:pStyle w:val="2"/>
        <w:rPr>
          <w:rFonts w:hint="eastAsia"/>
          <w:color w:val="auto"/>
        </w:rPr>
      </w:pPr>
    </w:p>
    <w:p>
      <w:pPr>
        <w:rPr>
          <w:color w:val="auto"/>
        </w:rPr>
      </w:pPr>
    </w:p>
    <w:p>
      <w:pPr>
        <w:rPr>
          <w:rFonts w:ascii="仿宋" w:hAnsi="仿宋" w:eastAsia="仿宋" w:cs="仿宋"/>
          <w:color w:val="auto"/>
        </w:rPr>
      </w:pPr>
    </w:p>
    <w:p>
      <w:pPr>
        <w:rPr>
          <w:rFonts w:ascii="仿宋" w:hAnsi="仿宋" w:eastAsia="仿宋" w:cs="仿宋"/>
          <w:color w:val="auto"/>
        </w:rPr>
      </w:pPr>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十、技术、服务要求应答表</w:t>
      </w:r>
    </w:p>
    <w:p>
      <w:pPr>
        <w:spacing w:line="400" w:lineRule="exact"/>
        <w:rPr>
          <w:rFonts w:ascii="仿宋" w:hAnsi="仿宋" w:eastAsia="仿宋" w:cs="仿宋"/>
          <w:color w:val="auto"/>
        </w:rPr>
      </w:pPr>
    </w:p>
    <w:p>
      <w:pPr>
        <w:widowControl/>
        <w:spacing w:line="400" w:lineRule="exact"/>
        <w:jc w:val="left"/>
        <w:rPr>
          <w:rFonts w:ascii="仿宋" w:hAnsi="仿宋" w:eastAsia="仿宋" w:cs="仿宋"/>
          <w:color w:val="auto"/>
          <w:kern w:val="0"/>
          <w:sz w:val="24"/>
        </w:rPr>
      </w:pPr>
      <w:r>
        <w:rPr>
          <w:rFonts w:hint="eastAsia" w:ascii="仿宋" w:hAnsi="仿宋" w:eastAsia="仿宋" w:cs="仿宋"/>
          <w:color w:val="auto"/>
          <w:kern w:val="0"/>
          <w:sz w:val="24"/>
        </w:rPr>
        <w:t>项目名称：</w:t>
      </w:r>
    </w:p>
    <w:p>
      <w:pPr>
        <w:widowControl/>
        <w:spacing w:line="400" w:lineRule="exact"/>
        <w:jc w:val="left"/>
        <w:rPr>
          <w:rFonts w:ascii="仿宋" w:hAnsi="仿宋" w:eastAsia="仿宋" w:cs="仿宋"/>
          <w:color w:val="auto"/>
          <w:kern w:val="0"/>
          <w:sz w:val="24"/>
        </w:rPr>
      </w:pPr>
      <w:r>
        <w:rPr>
          <w:rFonts w:hint="eastAsia" w:ascii="仿宋" w:hAnsi="仿宋" w:eastAsia="仿宋" w:cs="仿宋"/>
          <w:color w:val="auto"/>
          <w:kern w:val="0"/>
          <w:sz w:val="24"/>
        </w:rPr>
        <w:t>项目编号：</w:t>
      </w:r>
    </w:p>
    <w:p>
      <w:pPr>
        <w:pStyle w:val="20"/>
        <w:pBdr>
          <w:bottom w:val="none" w:color="auto" w:sz="0" w:space="0"/>
        </w:pBdr>
        <w:tabs>
          <w:tab w:val="clear" w:pos="4153"/>
          <w:tab w:val="clear" w:pos="8306"/>
        </w:tabs>
        <w:snapToGrid/>
        <w:jc w:val="left"/>
        <w:rPr>
          <w:rFonts w:ascii="仿宋" w:hAnsi="仿宋" w:eastAsia="仿宋" w:cs="仿宋"/>
          <w:color w:val="auto"/>
          <w:sz w:val="24"/>
          <w:szCs w:val="24"/>
        </w:rPr>
      </w:pPr>
      <w:r>
        <w:rPr>
          <w:rFonts w:hint="eastAsia" w:ascii="仿宋" w:hAnsi="仿宋" w:eastAsia="仿宋" w:cs="仿宋"/>
          <w:color w:val="auto"/>
          <w:kern w:val="0"/>
          <w:sz w:val="24"/>
        </w:rPr>
        <w:t>包件号及名称：（若有）</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552"/>
        <w:gridCol w:w="3641"/>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63" w:type="dxa"/>
            <w:vAlign w:val="center"/>
          </w:tcPr>
          <w:p>
            <w:pPr>
              <w:jc w:val="center"/>
              <w:rPr>
                <w:rFonts w:ascii="仿宋" w:hAnsi="仿宋" w:eastAsia="仿宋" w:cs="仿宋"/>
                <w:color w:val="auto"/>
                <w:sz w:val="24"/>
              </w:rPr>
            </w:pPr>
            <w:r>
              <w:rPr>
                <w:rFonts w:hint="eastAsia" w:ascii="仿宋" w:hAnsi="仿宋" w:eastAsia="仿宋" w:cs="仿宋"/>
                <w:color w:val="auto"/>
                <w:sz w:val="24"/>
              </w:rPr>
              <w:t>序号</w:t>
            </w:r>
          </w:p>
        </w:tc>
        <w:tc>
          <w:tcPr>
            <w:tcW w:w="2552" w:type="dxa"/>
            <w:vAlign w:val="center"/>
          </w:tcPr>
          <w:p>
            <w:pPr>
              <w:jc w:val="center"/>
              <w:rPr>
                <w:rFonts w:ascii="仿宋" w:hAnsi="仿宋" w:eastAsia="仿宋" w:cs="仿宋"/>
                <w:color w:val="auto"/>
                <w:sz w:val="24"/>
              </w:rPr>
            </w:pPr>
            <w:r>
              <w:rPr>
                <w:rFonts w:hint="eastAsia" w:ascii="仿宋" w:hAnsi="仿宋" w:eastAsia="仿宋" w:cs="仿宋"/>
                <w:color w:val="auto"/>
                <w:sz w:val="24"/>
              </w:rPr>
              <w:t>采购文件服务要求</w:t>
            </w:r>
          </w:p>
        </w:tc>
        <w:tc>
          <w:tcPr>
            <w:tcW w:w="3641" w:type="dxa"/>
            <w:vAlign w:val="center"/>
          </w:tcPr>
          <w:p>
            <w:pPr>
              <w:jc w:val="center"/>
              <w:rPr>
                <w:rFonts w:ascii="仿宋" w:hAnsi="仿宋" w:eastAsia="仿宋" w:cs="仿宋"/>
                <w:color w:val="auto"/>
                <w:sz w:val="24"/>
              </w:rPr>
            </w:pPr>
            <w:r>
              <w:rPr>
                <w:rFonts w:hint="eastAsia" w:ascii="仿宋" w:hAnsi="仿宋" w:eastAsia="仿宋" w:cs="仿宋"/>
                <w:color w:val="auto"/>
                <w:sz w:val="24"/>
              </w:rPr>
              <w:t>响应文件响应</w:t>
            </w:r>
          </w:p>
        </w:tc>
        <w:tc>
          <w:tcPr>
            <w:tcW w:w="2111" w:type="dxa"/>
            <w:vAlign w:val="center"/>
          </w:tcPr>
          <w:p>
            <w:pPr>
              <w:jc w:val="center"/>
              <w:rPr>
                <w:rFonts w:ascii="仿宋" w:hAnsi="仿宋" w:eastAsia="仿宋" w:cs="仿宋"/>
                <w:color w:val="auto"/>
                <w:sz w:val="24"/>
              </w:rPr>
            </w:pPr>
            <w:r>
              <w:rPr>
                <w:rFonts w:hint="eastAsia" w:ascii="仿宋" w:hAnsi="仿宋" w:eastAsia="仿宋" w:cs="仿宋"/>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3" w:type="dxa"/>
          </w:tcPr>
          <w:p>
            <w:pPr>
              <w:jc w:val="center"/>
              <w:rPr>
                <w:rFonts w:ascii="仿宋" w:hAnsi="仿宋" w:eastAsia="仿宋" w:cs="仿宋"/>
                <w:color w:val="auto"/>
                <w:sz w:val="24"/>
              </w:rPr>
            </w:pPr>
          </w:p>
        </w:tc>
        <w:tc>
          <w:tcPr>
            <w:tcW w:w="2552" w:type="dxa"/>
          </w:tcPr>
          <w:p>
            <w:pPr>
              <w:jc w:val="center"/>
              <w:rPr>
                <w:rFonts w:ascii="仿宋" w:hAnsi="仿宋" w:eastAsia="仿宋" w:cs="仿宋"/>
                <w:color w:val="auto"/>
                <w:sz w:val="24"/>
              </w:rPr>
            </w:pPr>
          </w:p>
        </w:tc>
        <w:tc>
          <w:tcPr>
            <w:tcW w:w="3641" w:type="dxa"/>
          </w:tcPr>
          <w:p>
            <w:pPr>
              <w:jc w:val="center"/>
              <w:rPr>
                <w:rFonts w:ascii="仿宋" w:hAnsi="仿宋" w:eastAsia="仿宋" w:cs="仿宋"/>
                <w:color w:val="auto"/>
                <w:sz w:val="24"/>
              </w:rPr>
            </w:pPr>
          </w:p>
        </w:tc>
        <w:tc>
          <w:tcPr>
            <w:tcW w:w="2111" w:type="dxa"/>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3" w:type="dxa"/>
          </w:tcPr>
          <w:p>
            <w:pPr>
              <w:jc w:val="center"/>
              <w:rPr>
                <w:rFonts w:ascii="仿宋" w:hAnsi="仿宋" w:eastAsia="仿宋" w:cs="仿宋"/>
                <w:color w:val="auto"/>
                <w:sz w:val="24"/>
              </w:rPr>
            </w:pPr>
          </w:p>
        </w:tc>
        <w:tc>
          <w:tcPr>
            <w:tcW w:w="2552" w:type="dxa"/>
          </w:tcPr>
          <w:p>
            <w:pPr>
              <w:jc w:val="center"/>
              <w:rPr>
                <w:rFonts w:ascii="仿宋" w:hAnsi="仿宋" w:eastAsia="仿宋" w:cs="仿宋"/>
                <w:color w:val="auto"/>
                <w:sz w:val="24"/>
              </w:rPr>
            </w:pPr>
          </w:p>
        </w:tc>
        <w:tc>
          <w:tcPr>
            <w:tcW w:w="3641" w:type="dxa"/>
          </w:tcPr>
          <w:p>
            <w:pPr>
              <w:jc w:val="center"/>
              <w:rPr>
                <w:rFonts w:ascii="仿宋" w:hAnsi="仿宋" w:eastAsia="仿宋" w:cs="仿宋"/>
                <w:color w:val="auto"/>
                <w:sz w:val="24"/>
              </w:rPr>
            </w:pPr>
          </w:p>
        </w:tc>
        <w:tc>
          <w:tcPr>
            <w:tcW w:w="2111" w:type="dxa"/>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3" w:type="dxa"/>
          </w:tcPr>
          <w:p>
            <w:pPr>
              <w:jc w:val="center"/>
              <w:rPr>
                <w:rFonts w:ascii="仿宋" w:hAnsi="仿宋" w:eastAsia="仿宋" w:cs="仿宋"/>
                <w:color w:val="auto"/>
                <w:sz w:val="24"/>
              </w:rPr>
            </w:pPr>
          </w:p>
        </w:tc>
        <w:tc>
          <w:tcPr>
            <w:tcW w:w="2552" w:type="dxa"/>
          </w:tcPr>
          <w:p>
            <w:pPr>
              <w:jc w:val="center"/>
              <w:rPr>
                <w:rFonts w:ascii="仿宋" w:hAnsi="仿宋" w:eastAsia="仿宋" w:cs="仿宋"/>
                <w:color w:val="auto"/>
                <w:sz w:val="24"/>
              </w:rPr>
            </w:pPr>
          </w:p>
        </w:tc>
        <w:tc>
          <w:tcPr>
            <w:tcW w:w="3641" w:type="dxa"/>
          </w:tcPr>
          <w:p>
            <w:pPr>
              <w:jc w:val="center"/>
              <w:rPr>
                <w:rFonts w:ascii="仿宋" w:hAnsi="仿宋" w:eastAsia="仿宋" w:cs="仿宋"/>
                <w:color w:val="auto"/>
                <w:sz w:val="24"/>
              </w:rPr>
            </w:pPr>
          </w:p>
        </w:tc>
        <w:tc>
          <w:tcPr>
            <w:tcW w:w="2111" w:type="dxa"/>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3" w:type="dxa"/>
          </w:tcPr>
          <w:p>
            <w:pPr>
              <w:jc w:val="center"/>
              <w:rPr>
                <w:rFonts w:ascii="仿宋" w:hAnsi="仿宋" w:eastAsia="仿宋" w:cs="仿宋"/>
                <w:color w:val="auto"/>
                <w:sz w:val="24"/>
              </w:rPr>
            </w:pPr>
          </w:p>
        </w:tc>
        <w:tc>
          <w:tcPr>
            <w:tcW w:w="2552" w:type="dxa"/>
          </w:tcPr>
          <w:p>
            <w:pPr>
              <w:jc w:val="center"/>
              <w:rPr>
                <w:rFonts w:ascii="仿宋" w:hAnsi="仿宋" w:eastAsia="仿宋" w:cs="仿宋"/>
                <w:color w:val="auto"/>
                <w:sz w:val="24"/>
              </w:rPr>
            </w:pPr>
          </w:p>
        </w:tc>
        <w:tc>
          <w:tcPr>
            <w:tcW w:w="3641" w:type="dxa"/>
          </w:tcPr>
          <w:p>
            <w:pPr>
              <w:jc w:val="center"/>
              <w:rPr>
                <w:rFonts w:ascii="仿宋" w:hAnsi="仿宋" w:eastAsia="仿宋" w:cs="仿宋"/>
                <w:color w:val="auto"/>
                <w:sz w:val="24"/>
              </w:rPr>
            </w:pPr>
          </w:p>
        </w:tc>
        <w:tc>
          <w:tcPr>
            <w:tcW w:w="2111" w:type="dxa"/>
          </w:tcPr>
          <w:p>
            <w:pPr>
              <w:jc w:val="center"/>
              <w:rPr>
                <w:rFonts w:ascii="仿宋" w:hAnsi="仿宋" w:eastAsia="仿宋" w:cs="仿宋"/>
                <w:color w:val="auto"/>
                <w:sz w:val="24"/>
              </w:rPr>
            </w:pPr>
          </w:p>
        </w:tc>
      </w:tr>
    </w:tbl>
    <w:p>
      <w:pPr>
        <w:spacing w:line="520" w:lineRule="exact"/>
        <w:jc w:val="left"/>
        <w:rPr>
          <w:rFonts w:ascii="仿宋" w:hAnsi="仿宋" w:eastAsia="仿宋" w:cs="仿宋"/>
          <w:color w:val="auto"/>
          <w:sz w:val="24"/>
        </w:rPr>
      </w:pPr>
      <w:r>
        <w:rPr>
          <w:rFonts w:hint="eastAsia" w:ascii="仿宋" w:hAnsi="仿宋" w:eastAsia="仿宋" w:cs="仿宋"/>
          <w:color w:val="auto"/>
          <w:sz w:val="24"/>
        </w:rPr>
        <w:t>注：</w:t>
      </w:r>
    </w:p>
    <w:p>
      <w:pPr>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1.以上表格格式行可增减。</w:t>
      </w:r>
    </w:p>
    <w:p>
      <w:pPr>
        <w:spacing w:line="400" w:lineRule="exact"/>
        <w:ind w:firstLine="480" w:firstLineChars="200"/>
        <w:jc w:val="left"/>
        <w:rPr>
          <w:rFonts w:ascii="仿宋" w:hAnsi="仿宋" w:eastAsia="仿宋" w:cs="仿宋"/>
          <w:b/>
          <w:color w:val="auto"/>
          <w:sz w:val="24"/>
        </w:rPr>
      </w:pPr>
      <w:r>
        <w:rPr>
          <w:rFonts w:hint="eastAsia" w:ascii="仿宋" w:hAnsi="仿宋" w:eastAsia="仿宋" w:cs="仿宋"/>
          <w:color w:val="auto"/>
          <w:sz w:val="24"/>
        </w:rPr>
        <w:t>2.供应商必须据实填写，不得虚假响应；否则，其响应文件无效并按规定追究其相关责任。</w:t>
      </w:r>
    </w:p>
    <w:p>
      <w:pPr>
        <w:adjustRightInd w:val="0"/>
        <w:spacing w:line="400" w:lineRule="exact"/>
        <w:ind w:firstLine="480" w:firstLineChars="200"/>
        <w:jc w:val="left"/>
        <w:rPr>
          <w:rFonts w:ascii="仿宋" w:hAnsi="仿宋" w:eastAsia="仿宋" w:cs="仿宋"/>
          <w:color w:val="auto"/>
          <w:sz w:val="24"/>
        </w:rPr>
      </w:pPr>
    </w:p>
    <w:p>
      <w:pPr>
        <w:adjustRightInd w:val="0"/>
        <w:spacing w:line="400" w:lineRule="exact"/>
        <w:ind w:firstLine="480" w:firstLineChars="200"/>
        <w:jc w:val="left"/>
        <w:rPr>
          <w:rFonts w:ascii="仿宋" w:hAnsi="仿宋" w:eastAsia="仿宋" w:cs="仿宋"/>
          <w:color w:val="auto"/>
          <w:sz w:val="24"/>
        </w:rPr>
      </w:pPr>
    </w:p>
    <w:p>
      <w:pPr>
        <w:adjustRightInd w:val="0"/>
        <w:spacing w:line="400" w:lineRule="exact"/>
        <w:ind w:firstLine="480" w:firstLineChars="200"/>
        <w:jc w:val="left"/>
        <w:rPr>
          <w:rFonts w:ascii="仿宋" w:hAnsi="仿宋" w:eastAsia="仿宋" w:cs="仿宋"/>
          <w:color w:val="auto"/>
          <w:sz w:val="24"/>
        </w:rPr>
      </w:pPr>
    </w:p>
    <w:p>
      <w:pPr>
        <w:adjustRightInd w:val="0"/>
        <w:spacing w:line="400" w:lineRule="exact"/>
        <w:ind w:firstLine="480" w:firstLineChars="200"/>
        <w:jc w:val="left"/>
        <w:rPr>
          <w:rFonts w:ascii="仿宋" w:hAnsi="仿宋" w:eastAsia="仿宋" w:cs="仿宋"/>
          <w:color w:val="auto"/>
          <w:sz w:val="24"/>
        </w:rPr>
      </w:pP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（盖单位公章）</w:t>
      </w:r>
    </w:p>
    <w:p>
      <w:pPr>
        <w:adjustRightInd w:val="0"/>
        <w:spacing w:line="400" w:lineRule="exact"/>
        <w:jc w:val="left"/>
        <w:rPr>
          <w:rFonts w:ascii="仿宋" w:hAnsi="仿宋" w:eastAsia="仿宋" w:cs="仿宋"/>
          <w:bCs/>
          <w:color w:val="auto"/>
          <w:sz w:val="24"/>
        </w:rPr>
      </w:pPr>
      <w:r>
        <w:rPr>
          <w:rFonts w:hint="eastAsia" w:ascii="仿宋" w:hAnsi="仿宋" w:eastAsia="仿宋" w:cs="仿宋"/>
          <w:bCs/>
          <w:color w:val="auto"/>
          <w:sz w:val="24"/>
        </w:rPr>
        <w:t>法定代表人或授权代表（签字或加盖印章）：</w:t>
      </w: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 xml:space="preserve">日  期：  </w:t>
      </w:r>
    </w:p>
    <w:p>
      <w:pPr>
        <w:pStyle w:val="17"/>
        <w:tabs>
          <w:tab w:val="left" w:pos="0"/>
        </w:tabs>
        <w:spacing w:after="0" w:line="400" w:lineRule="exact"/>
        <w:rPr>
          <w:rFonts w:ascii="仿宋" w:hAnsi="仿宋" w:eastAsia="仿宋" w:cs="仿宋"/>
          <w:color w:val="auto"/>
        </w:rPr>
      </w:pPr>
    </w:p>
    <w:p>
      <w:pPr>
        <w:pStyle w:val="17"/>
        <w:tabs>
          <w:tab w:val="left" w:pos="0"/>
        </w:tabs>
        <w:rPr>
          <w:rFonts w:ascii="仿宋" w:hAnsi="仿宋" w:eastAsia="仿宋" w:cs="仿宋"/>
          <w:color w:val="auto"/>
        </w:rPr>
      </w:pPr>
    </w:p>
    <w:p>
      <w:pPr>
        <w:pStyle w:val="17"/>
        <w:tabs>
          <w:tab w:val="left" w:pos="0"/>
        </w:tabs>
        <w:rPr>
          <w:rFonts w:ascii="仿宋" w:hAnsi="仿宋" w:eastAsia="仿宋" w:cs="仿宋"/>
          <w:color w:val="auto"/>
        </w:rPr>
      </w:pPr>
    </w:p>
    <w:p>
      <w:pPr>
        <w:pStyle w:val="17"/>
        <w:tabs>
          <w:tab w:val="left" w:pos="0"/>
        </w:tabs>
        <w:jc w:val="center"/>
        <w:rPr>
          <w:rFonts w:ascii="仿宋" w:hAnsi="仿宋" w:eastAsia="仿宋" w:cs="仿宋"/>
          <w:b/>
          <w:color w:val="auto"/>
          <w:sz w:val="32"/>
          <w:szCs w:val="32"/>
        </w:rPr>
      </w:pPr>
      <w:r>
        <w:rPr>
          <w:rFonts w:hint="eastAsia" w:ascii="仿宋" w:hAnsi="仿宋" w:eastAsia="仿宋" w:cs="仿宋"/>
          <w:b/>
          <w:color w:val="auto"/>
          <w:sz w:val="32"/>
          <w:szCs w:val="32"/>
        </w:rPr>
        <w:t>十一、商务应答表</w:t>
      </w:r>
    </w:p>
    <w:p>
      <w:pPr>
        <w:widowControl/>
        <w:spacing w:line="400" w:lineRule="exact"/>
        <w:jc w:val="left"/>
        <w:rPr>
          <w:rFonts w:ascii="仿宋" w:hAnsi="仿宋" w:eastAsia="仿宋" w:cs="仿宋"/>
          <w:color w:val="auto"/>
          <w:kern w:val="0"/>
          <w:sz w:val="24"/>
        </w:rPr>
      </w:pPr>
      <w:r>
        <w:rPr>
          <w:rFonts w:hint="eastAsia" w:ascii="仿宋" w:hAnsi="仿宋" w:eastAsia="仿宋" w:cs="仿宋"/>
          <w:color w:val="auto"/>
          <w:kern w:val="0"/>
          <w:sz w:val="24"/>
        </w:rPr>
        <w:t>项目名称：</w:t>
      </w:r>
    </w:p>
    <w:p>
      <w:pPr>
        <w:widowControl/>
        <w:spacing w:line="400" w:lineRule="exact"/>
        <w:jc w:val="left"/>
        <w:rPr>
          <w:rFonts w:ascii="仿宋" w:hAnsi="仿宋" w:eastAsia="仿宋" w:cs="仿宋"/>
          <w:color w:val="auto"/>
          <w:kern w:val="0"/>
          <w:sz w:val="24"/>
        </w:rPr>
      </w:pPr>
      <w:r>
        <w:rPr>
          <w:rFonts w:hint="eastAsia" w:ascii="仿宋" w:hAnsi="仿宋" w:eastAsia="仿宋" w:cs="仿宋"/>
          <w:color w:val="auto"/>
          <w:kern w:val="0"/>
          <w:sz w:val="24"/>
        </w:rPr>
        <w:t>项目编号：</w:t>
      </w:r>
    </w:p>
    <w:p>
      <w:pPr>
        <w:pStyle w:val="20"/>
        <w:pBdr>
          <w:bottom w:val="none" w:color="auto" w:sz="0" w:space="0"/>
        </w:pBdr>
        <w:tabs>
          <w:tab w:val="clear" w:pos="4153"/>
          <w:tab w:val="clear" w:pos="8306"/>
        </w:tabs>
        <w:snapToGrid/>
        <w:spacing w:line="400" w:lineRule="exact"/>
        <w:jc w:val="both"/>
        <w:rPr>
          <w:rFonts w:ascii="仿宋" w:hAnsi="仿宋" w:eastAsia="仿宋" w:cs="仿宋"/>
          <w:color w:val="auto"/>
          <w:sz w:val="24"/>
          <w:szCs w:val="24"/>
        </w:rPr>
      </w:pPr>
      <w:r>
        <w:rPr>
          <w:rFonts w:hint="eastAsia" w:ascii="仿宋" w:hAnsi="仿宋" w:eastAsia="仿宋" w:cs="仿宋"/>
          <w:color w:val="auto"/>
          <w:kern w:val="0"/>
          <w:sz w:val="24"/>
        </w:rPr>
        <w:t>包件号及名称：（若有）</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799"/>
        <w:gridCol w:w="2799"/>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58" w:type="dxa"/>
            <w:vAlign w:val="center"/>
          </w:tcPr>
          <w:p>
            <w:pPr>
              <w:jc w:val="center"/>
              <w:rPr>
                <w:rFonts w:ascii="仿宋" w:hAnsi="仿宋" w:eastAsia="仿宋" w:cs="仿宋"/>
                <w:color w:val="auto"/>
                <w:sz w:val="24"/>
              </w:rPr>
            </w:pPr>
            <w:r>
              <w:rPr>
                <w:rFonts w:hint="eastAsia" w:ascii="仿宋" w:hAnsi="仿宋" w:eastAsia="仿宋" w:cs="仿宋"/>
                <w:color w:val="auto"/>
                <w:sz w:val="24"/>
              </w:rPr>
              <w:t>序号</w:t>
            </w:r>
          </w:p>
        </w:tc>
        <w:tc>
          <w:tcPr>
            <w:tcW w:w="2799" w:type="dxa"/>
            <w:vAlign w:val="center"/>
          </w:tcPr>
          <w:p>
            <w:pPr>
              <w:jc w:val="center"/>
              <w:rPr>
                <w:rFonts w:ascii="仿宋" w:hAnsi="仿宋" w:eastAsia="仿宋" w:cs="仿宋"/>
                <w:color w:val="auto"/>
                <w:sz w:val="24"/>
              </w:rPr>
            </w:pPr>
            <w:r>
              <w:rPr>
                <w:rFonts w:hint="eastAsia" w:ascii="仿宋" w:hAnsi="仿宋" w:eastAsia="仿宋" w:cs="仿宋"/>
                <w:color w:val="auto"/>
                <w:sz w:val="24"/>
              </w:rPr>
              <w:t>商务要求</w:t>
            </w:r>
          </w:p>
        </w:tc>
        <w:tc>
          <w:tcPr>
            <w:tcW w:w="2799" w:type="dxa"/>
            <w:vAlign w:val="center"/>
          </w:tcPr>
          <w:p>
            <w:pPr>
              <w:jc w:val="center"/>
              <w:rPr>
                <w:rFonts w:ascii="仿宋" w:hAnsi="仿宋" w:eastAsia="仿宋" w:cs="仿宋"/>
                <w:color w:val="auto"/>
                <w:sz w:val="24"/>
              </w:rPr>
            </w:pPr>
            <w:r>
              <w:rPr>
                <w:rFonts w:hint="eastAsia" w:ascii="仿宋" w:hAnsi="仿宋" w:eastAsia="仿宋" w:cs="仿宋"/>
                <w:color w:val="auto"/>
                <w:sz w:val="24"/>
              </w:rPr>
              <w:t>响应文件响应</w:t>
            </w:r>
          </w:p>
        </w:tc>
        <w:tc>
          <w:tcPr>
            <w:tcW w:w="2799" w:type="dxa"/>
            <w:vAlign w:val="center"/>
          </w:tcPr>
          <w:p>
            <w:pPr>
              <w:jc w:val="center"/>
              <w:rPr>
                <w:rFonts w:ascii="仿宋" w:hAnsi="仿宋" w:eastAsia="仿宋" w:cs="仿宋"/>
                <w:color w:val="auto"/>
                <w:sz w:val="24"/>
              </w:rPr>
            </w:pPr>
            <w:r>
              <w:rPr>
                <w:rFonts w:hint="eastAsia" w:ascii="仿宋" w:hAnsi="仿宋" w:eastAsia="仿宋" w:cs="仿宋"/>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58" w:type="dxa"/>
          </w:tcPr>
          <w:p>
            <w:pPr>
              <w:jc w:val="center"/>
              <w:rPr>
                <w:rFonts w:ascii="仿宋" w:hAnsi="仿宋" w:eastAsia="仿宋" w:cs="仿宋"/>
                <w:color w:val="auto"/>
                <w:sz w:val="24"/>
              </w:rPr>
            </w:pPr>
          </w:p>
        </w:tc>
        <w:tc>
          <w:tcPr>
            <w:tcW w:w="2799" w:type="dxa"/>
          </w:tcPr>
          <w:p>
            <w:pPr>
              <w:jc w:val="center"/>
              <w:rPr>
                <w:rFonts w:ascii="仿宋" w:hAnsi="仿宋" w:eastAsia="仿宋" w:cs="仿宋"/>
                <w:color w:val="auto"/>
                <w:sz w:val="24"/>
              </w:rPr>
            </w:pPr>
          </w:p>
        </w:tc>
        <w:tc>
          <w:tcPr>
            <w:tcW w:w="2799" w:type="dxa"/>
          </w:tcPr>
          <w:p>
            <w:pPr>
              <w:jc w:val="center"/>
              <w:rPr>
                <w:rFonts w:ascii="仿宋" w:hAnsi="仿宋" w:eastAsia="仿宋" w:cs="仿宋"/>
                <w:color w:val="auto"/>
                <w:sz w:val="24"/>
              </w:rPr>
            </w:pPr>
          </w:p>
        </w:tc>
        <w:tc>
          <w:tcPr>
            <w:tcW w:w="2799" w:type="dxa"/>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58" w:type="dxa"/>
          </w:tcPr>
          <w:p>
            <w:pPr>
              <w:jc w:val="center"/>
              <w:rPr>
                <w:rFonts w:ascii="仿宋" w:hAnsi="仿宋" w:eastAsia="仿宋" w:cs="仿宋"/>
                <w:color w:val="auto"/>
                <w:sz w:val="24"/>
              </w:rPr>
            </w:pPr>
          </w:p>
        </w:tc>
        <w:tc>
          <w:tcPr>
            <w:tcW w:w="2799" w:type="dxa"/>
          </w:tcPr>
          <w:p>
            <w:pPr>
              <w:jc w:val="center"/>
              <w:rPr>
                <w:rFonts w:ascii="仿宋" w:hAnsi="仿宋" w:eastAsia="仿宋" w:cs="仿宋"/>
                <w:color w:val="auto"/>
                <w:sz w:val="24"/>
              </w:rPr>
            </w:pPr>
          </w:p>
        </w:tc>
        <w:tc>
          <w:tcPr>
            <w:tcW w:w="2799" w:type="dxa"/>
          </w:tcPr>
          <w:p>
            <w:pPr>
              <w:jc w:val="center"/>
              <w:rPr>
                <w:rFonts w:ascii="仿宋" w:hAnsi="仿宋" w:eastAsia="仿宋" w:cs="仿宋"/>
                <w:color w:val="auto"/>
                <w:sz w:val="24"/>
              </w:rPr>
            </w:pPr>
          </w:p>
        </w:tc>
        <w:tc>
          <w:tcPr>
            <w:tcW w:w="2799" w:type="dxa"/>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58" w:type="dxa"/>
          </w:tcPr>
          <w:p>
            <w:pPr>
              <w:jc w:val="center"/>
              <w:rPr>
                <w:rFonts w:ascii="仿宋" w:hAnsi="仿宋" w:eastAsia="仿宋" w:cs="仿宋"/>
                <w:color w:val="auto"/>
                <w:sz w:val="24"/>
              </w:rPr>
            </w:pPr>
          </w:p>
        </w:tc>
        <w:tc>
          <w:tcPr>
            <w:tcW w:w="2799" w:type="dxa"/>
          </w:tcPr>
          <w:p>
            <w:pPr>
              <w:jc w:val="center"/>
              <w:rPr>
                <w:rFonts w:ascii="仿宋" w:hAnsi="仿宋" w:eastAsia="仿宋" w:cs="仿宋"/>
                <w:color w:val="auto"/>
                <w:sz w:val="24"/>
              </w:rPr>
            </w:pPr>
          </w:p>
        </w:tc>
        <w:tc>
          <w:tcPr>
            <w:tcW w:w="2799" w:type="dxa"/>
          </w:tcPr>
          <w:p>
            <w:pPr>
              <w:jc w:val="center"/>
              <w:rPr>
                <w:rFonts w:ascii="仿宋" w:hAnsi="仿宋" w:eastAsia="仿宋" w:cs="仿宋"/>
                <w:color w:val="auto"/>
                <w:sz w:val="24"/>
              </w:rPr>
            </w:pPr>
          </w:p>
        </w:tc>
        <w:tc>
          <w:tcPr>
            <w:tcW w:w="2799" w:type="dxa"/>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58" w:type="dxa"/>
          </w:tcPr>
          <w:p>
            <w:pPr>
              <w:jc w:val="center"/>
              <w:rPr>
                <w:rFonts w:ascii="仿宋" w:hAnsi="仿宋" w:eastAsia="仿宋" w:cs="仿宋"/>
                <w:color w:val="auto"/>
                <w:sz w:val="24"/>
              </w:rPr>
            </w:pPr>
          </w:p>
        </w:tc>
        <w:tc>
          <w:tcPr>
            <w:tcW w:w="2799" w:type="dxa"/>
          </w:tcPr>
          <w:p>
            <w:pPr>
              <w:jc w:val="center"/>
              <w:rPr>
                <w:rFonts w:ascii="仿宋" w:hAnsi="仿宋" w:eastAsia="仿宋" w:cs="仿宋"/>
                <w:color w:val="auto"/>
                <w:sz w:val="24"/>
              </w:rPr>
            </w:pPr>
          </w:p>
        </w:tc>
        <w:tc>
          <w:tcPr>
            <w:tcW w:w="2799" w:type="dxa"/>
          </w:tcPr>
          <w:p>
            <w:pPr>
              <w:jc w:val="center"/>
              <w:rPr>
                <w:rFonts w:ascii="仿宋" w:hAnsi="仿宋" w:eastAsia="仿宋" w:cs="仿宋"/>
                <w:color w:val="auto"/>
                <w:sz w:val="24"/>
              </w:rPr>
            </w:pPr>
          </w:p>
        </w:tc>
        <w:tc>
          <w:tcPr>
            <w:tcW w:w="2799" w:type="dxa"/>
          </w:tcPr>
          <w:p>
            <w:pPr>
              <w:jc w:val="center"/>
              <w:rPr>
                <w:rFonts w:ascii="仿宋" w:hAnsi="仿宋" w:eastAsia="仿宋" w:cs="仿宋"/>
                <w:color w:val="auto"/>
                <w:sz w:val="24"/>
              </w:rPr>
            </w:pPr>
          </w:p>
        </w:tc>
      </w:tr>
    </w:tbl>
    <w:p>
      <w:pPr>
        <w:rPr>
          <w:rFonts w:ascii="仿宋" w:hAnsi="仿宋" w:eastAsia="仿宋" w:cs="仿宋"/>
          <w:color w:val="auto"/>
          <w:sz w:val="24"/>
        </w:rPr>
      </w:pPr>
      <w:r>
        <w:rPr>
          <w:rFonts w:hint="eastAsia" w:ascii="仿宋" w:hAnsi="仿宋" w:eastAsia="仿宋" w:cs="仿宋"/>
          <w:color w:val="auto"/>
          <w:sz w:val="24"/>
        </w:rPr>
        <w:t>注:</w:t>
      </w:r>
    </w:p>
    <w:p>
      <w:pPr>
        <w:ind w:firstLine="480" w:firstLineChars="200"/>
        <w:rPr>
          <w:rFonts w:ascii="仿宋" w:hAnsi="仿宋" w:eastAsia="仿宋" w:cs="仿宋"/>
          <w:color w:val="auto"/>
          <w:sz w:val="24"/>
        </w:rPr>
      </w:pPr>
      <w:r>
        <w:rPr>
          <w:rFonts w:hint="eastAsia" w:ascii="仿宋" w:hAnsi="仿宋" w:eastAsia="仿宋" w:cs="仿宋"/>
          <w:color w:val="auto"/>
          <w:sz w:val="24"/>
        </w:rPr>
        <w:t>供应商必须据实填写，不得虚假响应；否则，其响应文件无效并按规定追究其相关责任。</w:t>
      </w:r>
    </w:p>
    <w:p>
      <w:pPr>
        <w:ind w:firstLine="480" w:firstLineChars="200"/>
        <w:rPr>
          <w:rFonts w:ascii="仿宋" w:hAnsi="仿宋" w:eastAsia="仿宋" w:cs="仿宋"/>
          <w:color w:val="auto"/>
          <w:sz w:val="24"/>
        </w:rPr>
      </w:pPr>
    </w:p>
    <w:p>
      <w:pPr>
        <w:ind w:firstLine="482" w:firstLineChars="200"/>
        <w:rPr>
          <w:rFonts w:ascii="仿宋" w:hAnsi="仿宋" w:eastAsia="仿宋" w:cs="仿宋"/>
          <w:b/>
          <w:color w:val="auto"/>
          <w:sz w:val="24"/>
        </w:rPr>
      </w:pPr>
    </w:p>
    <w:p>
      <w:pPr>
        <w:adjustRightInd w:val="0"/>
        <w:spacing w:line="400" w:lineRule="exact"/>
        <w:ind w:firstLine="480" w:firstLineChars="200"/>
        <w:jc w:val="left"/>
        <w:rPr>
          <w:rFonts w:ascii="仿宋" w:hAnsi="仿宋" w:eastAsia="仿宋" w:cs="仿宋"/>
          <w:color w:val="auto"/>
          <w:sz w:val="24"/>
        </w:rPr>
      </w:pP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（盖单位公章）</w:t>
      </w:r>
    </w:p>
    <w:p>
      <w:pPr>
        <w:adjustRightInd w:val="0"/>
        <w:spacing w:line="400" w:lineRule="exact"/>
        <w:jc w:val="left"/>
        <w:rPr>
          <w:rFonts w:ascii="仿宋" w:hAnsi="仿宋" w:eastAsia="仿宋" w:cs="仿宋"/>
          <w:bCs/>
          <w:color w:val="auto"/>
          <w:sz w:val="24"/>
        </w:rPr>
      </w:pPr>
      <w:r>
        <w:rPr>
          <w:rFonts w:hint="eastAsia" w:ascii="仿宋" w:hAnsi="仿宋" w:eastAsia="仿宋" w:cs="仿宋"/>
          <w:bCs/>
          <w:color w:val="auto"/>
          <w:sz w:val="24"/>
        </w:rPr>
        <w:t>法定代表人或授权代表（签字或加盖印章）：</w:t>
      </w: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 xml:space="preserve">日  期：  </w:t>
      </w:r>
    </w:p>
    <w:p>
      <w:pPr>
        <w:pStyle w:val="17"/>
        <w:tabs>
          <w:tab w:val="left" w:pos="0"/>
        </w:tabs>
        <w:jc w:val="center"/>
        <w:rPr>
          <w:rFonts w:ascii="仿宋" w:hAnsi="仿宋" w:eastAsia="仿宋" w:cs="仿宋"/>
          <w:color w:val="auto"/>
        </w:rPr>
      </w:pPr>
    </w:p>
    <w:p>
      <w:pPr>
        <w:pStyle w:val="17"/>
        <w:tabs>
          <w:tab w:val="left" w:pos="0"/>
        </w:tabs>
        <w:jc w:val="center"/>
        <w:rPr>
          <w:rFonts w:ascii="仿宋" w:hAnsi="仿宋" w:eastAsia="仿宋" w:cs="仿宋"/>
          <w:color w:val="auto"/>
        </w:rPr>
      </w:pPr>
    </w:p>
    <w:p>
      <w:pPr>
        <w:pStyle w:val="17"/>
        <w:tabs>
          <w:tab w:val="left" w:pos="0"/>
        </w:tabs>
        <w:jc w:val="center"/>
        <w:rPr>
          <w:rFonts w:ascii="仿宋" w:hAnsi="仿宋" w:eastAsia="仿宋" w:cs="仿宋"/>
          <w:color w:val="auto"/>
        </w:rPr>
      </w:pPr>
    </w:p>
    <w:p>
      <w:pPr>
        <w:pStyle w:val="17"/>
        <w:tabs>
          <w:tab w:val="left" w:pos="0"/>
        </w:tabs>
        <w:jc w:val="center"/>
        <w:rPr>
          <w:rFonts w:ascii="仿宋" w:hAnsi="仿宋" w:eastAsia="仿宋" w:cs="仿宋"/>
          <w:color w:val="auto"/>
        </w:rPr>
      </w:pPr>
    </w:p>
    <w:p>
      <w:pPr>
        <w:pStyle w:val="17"/>
        <w:tabs>
          <w:tab w:val="left" w:pos="0"/>
        </w:tabs>
        <w:jc w:val="center"/>
        <w:rPr>
          <w:rFonts w:ascii="仿宋" w:hAnsi="仿宋" w:eastAsia="仿宋" w:cs="仿宋"/>
          <w:color w:val="auto"/>
        </w:rPr>
      </w:pPr>
    </w:p>
    <w:p>
      <w:pPr>
        <w:pStyle w:val="17"/>
        <w:tabs>
          <w:tab w:val="left" w:pos="0"/>
        </w:tabs>
        <w:jc w:val="center"/>
        <w:rPr>
          <w:rFonts w:ascii="仿宋" w:hAnsi="仿宋" w:eastAsia="仿宋" w:cs="仿宋"/>
          <w:color w:val="auto"/>
        </w:rPr>
      </w:pPr>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十二、供应商类似项目业绩一览表</w:t>
      </w:r>
    </w:p>
    <w:p>
      <w:pPr>
        <w:widowControl/>
        <w:spacing w:line="400" w:lineRule="exact"/>
        <w:jc w:val="left"/>
        <w:rPr>
          <w:rFonts w:ascii="仿宋" w:hAnsi="仿宋" w:eastAsia="仿宋" w:cs="仿宋"/>
          <w:color w:val="auto"/>
          <w:kern w:val="0"/>
          <w:sz w:val="24"/>
        </w:rPr>
      </w:pPr>
      <w:r>
        <w:rPr>
          <w:rFonts w:hint="eastAsia" w:ascii="仿宋" w:hAnsi="仿宋" w:eastAsia="仿宋" w:cs="仿宋"/>
          <w:color w:val="auto"/>
          <w:kern w:val="0"/>
          <w:sz w:val="24"/>
        </w:rPr>
        <w:t>项目名称：</w:t>
      </w:r>
    </w:p>
    <w:p>
      <w:pPr>
        <w:widowControl/>
        <w:spacing w:line="400" w:lineRule="exact"/>
        <w:jc w:val="left"/>
        <w:rPr>
          <w:rFonts w:ascii="仿宋" w:hAnsi="仿宋" w:eastAsia="仿宋" w:cs="仿宋"/>
          <w:color w:val="auto"/>
          <w:kern w:val="0"/>
          <w:sz w:val="24"/>
        </w:rPr>
      </w:pPr>
      <w:r>
        <w:rPr>
          <w:rFonts w:hint="eastAsia" w:ascii="仿宋" w:hAnsi="仿宋" w:eastAsia="仿宋" w:cs="仿宋"/>
          <w:color w:val="auto"/>
          <w:kern w:val="0"/>
          <w:sz w:val="24"/>
        </w:rPr>
        <w:t>项目编号：</w:t>
      </w:r>
    </w:p>
    <w:p>
      <w:pPr>
        <w:pStyle w:val="20"/>
        <w:pBdr>
          <w:bottom w:val="none" w:color="auto" w:sz="0" w:space="0"/>
        </w:pBdr>
        <w:tabs>
          <w:tab w:val="clear" w:pos="4153"/>
          <w:tab w:val="clear" w:pos="8306"/>
        </w:tabs>
        <w:snapToGrid/>
        <w:spacing w:line="400" w:lineRule="exact"/>
        <w:jc w:val="both"/>
        <w:rPr>
          <w:rFonts w:ascii="仿宋" w:hAnsi="仿宋" w:eastAsia="仿宋" w:cs="仿宋"/>
          <w:color w:val="auto"/>
          <w:sz w:val="24"/>
        </w:rPr>
      </w:pPr>
      <w:r>
        <w:rPr>
          <w:rFonts w:hint="eastAsia" w:ascii="仿宋" w:hAnsi="仿宋" w:eastAsia="仿宋" w:cs="仿宋"/>
          <w:color w:val="auto"/>
          <w:kern w:val="0"/>
          <w:sz w:val="24"/>
        </w:rPr>
        <w:t>包件号及名称：（若有）</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hAnsi="仿宋" w:eastAsia="仿宋" w:cs="仿宋"/>
                <w:b/>
                <w:color w:val="auto"/>
              </w:rPr>
            </w:pPr>
            <w:r>
              <w:rPr>
                <w:rFonts w:hint="eastAsia" w:ascii="仿宋" w:hAnsi="仿宋" w:eastAsia="仿宋" w:cs="仿宋"/>
                <w:b/>
                <w:color w:val="auto"/>
              </w:rPr>
              <w:t>年份</w:t>
            </w:r>
          </w:p>
        </w:tc>
        <w:tc>
          <w:tcPr>
            <w:tcW w:w="1439" w:type="dxa"/>
            <w:vAlign w:val="center"/>
          </w:tcPr>
          <w:p>
            <w:pPr>
              <w:spacing w:line="400" w:lineRule="exact"/>
              <w:jc w:val="center"/>
              <w:rPr>
                <w:rFonts w:ascii="仿宋" w:hAnsi="仿宋" w:eastAsia="仿宋" w:cs="仿宋"/>
                <w:b/>
                <w:color w:val="auto"/>
              </w:rPr>
            </w:pPr>
            <w:r>
              <w:rPr>
                <w:rFonts w:hint="eastAsia" w:ascii="仿宋" w:hAnsi="仿宋" w:eastAsia="仿宋" w:cs="仿宋"/>
                <w:b/>
                <w:color w:val="auto"/>
              </w:rPr>
              <w:t>用户名称</w:t>
            </w:r>
          </w:p>
        </w:tc>
        <w:tc>
          <w:tcPr>
            <w:tcW w:w="1319" w:type="dxa"/>
            <w:vAlign w:val="center"/>
          </w:tcPr>
          <w:p>
            <w:pPr>
              <w:spacing w:line="400" w:lineRule="exact"/>
              <w:jc w:val="center"/>
              <w:rPr>
                <w:rFonts w:ascii="仿宋" w:hAnsi="仿宋" w:eastAsia="仿宋" w:cs="仿宋"/>
                <w:b/>
                <w:color w:val="auto"/>
              </w:rPr>
            </w:pPr>
            <w:r>
              <w:rPr>
                <w:rFonts w:hint="eastAsia" w:ascii="仿宋" w:hAnsi="仿宋" w:eastAsia="仿宋" w:cs="仿宋"/>
                <w:b/>
                <w:color w:val="auto"/>
              </w:rPr>
              <w:t>项目名称</w:t>
            </w:r>
          </w:p>
        </w:tc>
        <w:tc>
          <w:tcPr>
            <w:tcW w:w="1160" w:type="dxa"/>
            <w:vAlign w:val="center"/>
          </w:tcPr>
          <w:p>
            <w:pPr>
              <w:spacing w:line="400" w:lineRule="exact"/>
              <w:jc w:val="center"/>
              <w:rPr>
                <w:rFonts w:ascii="仿宋" w:hAnsi="仿宋" w:eastAsia="仿宋" w:cs="仿宋"/>
                <w:b/>
                <w:color w:val="auto"/>
              </w:rPr>
            </w:pPr>
            <w:r>
              <w:rPr>
                <w:rFonts w:hint="eastAsia" w:ascii="仿宋" w:hAnsi="仿宋" w:eastAsia="仿宋" w:cs="仿宋"/>
                <w:b/>
                <w:color w:val="auto"/>
              </w:rPr>
              <w:t>完成时间</w:t>
            </w:r>
          </w:p>
        </w:tc>
        <w:tc>
          <w:tcPr>
            <w:tcW w:w="1421" w:type="dxa"/>
            <w:gridSpan w:val="2"/>
            <w:vAlign w:val="center"/>
          </w:tcPr>
          <w:p>
            <w:pPr>
              <w:spacing w:line="400" w:lineRule="exact"/>
              <w:ind w:firstLine="105" w:firstLineChars="50"/>
              <w:jc w:val="center"/>
              <w:rPr>
                <w:rFonts w:ascii="仿宋" w:hAnsi="仿宋" w:eastAsia="仿宋" w:cs="仿宋"/>
                <w:b/>
                <w:color w:val="auto"/>
              </w:rPr>
            </w:pPr>
            <w:r>
              <w:rPr>
                <w:rFonts w:hint="eastAsia" w:ascii="仿宋" w:hAnsi="仿宋" w:eastAsia="仿宋" w:cs="仿宋"/>
                <w:b/>
                <w:color w:val="auto"/>
              </w:rPr>
              <w:t>合同金额</w:t>
            </w:r>
          </w:p>
        </w:tc>
        <w:tc>
          <w:tcPr>
            <w:tcW w:w="1614" w:type="dxa"/>
            <w:gridSpan w:val="2"/>
            <w:tcBorders>
              <w:right w:val="single" w:color="auto" w:sz="4" w:space="0"/>
            </w:tcBorders>
            <w:vAlign w:val="center"/>
          </w:tcPr>
          <w:p>
            <w:pPr>
              <w:spacing w:line="400" w:lineRule="exact"/>
              <w:jc w:val="center"/>
              <w:rPr>
                <w:rFonts w:ascii="仿宋" w:hAnsi="仿宋" w:eastAsia="仿宋" w:cs="仿宋"/>
                <w:b/>
                <w:color w:val="auto"/>
              </w:rPr>
            </w:pPr>
            <w:r>
              <w:rPr>
                <w:rFonts w:hint="eastAsia" w:ascii="仿宋" w:hAnsi="仿宋" w:eastAsia="仿宋" w:cs="仿宋"/>
                <w:b/>
                <w:color w:val="auto"/>
              </w:rPr>
              <w:t>是否通过验收</w:t>
            </w:r>
          </w:p>
        </w:tc>
        <w:tc>
          <w:tcPr>
            <w:tcW w:w="1387" w:type="dxa"/>
            <w:gridSpan w:val="2"/>
            <w:tcBorders>
              <w:left w:val="single" w:color="auto" w:sz="4" w:space="0"/>
            </w:tcBorders>
            <w:vAlign w:val="center"/>
          </w:tcPr>
          <w:p>
            <w:pPr>
              <w:spacing w:line="400" w:lineRule="exact"/>
              <w:jc w:val="center"/>
              <w:rPr>
                <w:rFonts w:ascii="仿宋" w:hAnsi="仿宋" w:eastAsia="仿宋" w:cs="仿宋"/>
                <w:b/>
                <w:color w:val="auto"/>
              </w:rPr>
            </w:pPr>
            <w:r>
              <w:rPr>
                <w:rFonts w:hint="eastAsia" w:ascii="仿宋" w:hAnsi="仿宋" w:eastAsia="仿宋" w:cs="仿宋"/>
                <w:b/>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仿宋"/>
                <w:color w:val="auto"/>
              </w:rPr>
            </w:pPr>
          </w:p>
        </w:tc>
        <w:tc>
          <w:tcPr>
            <w:tcW w:w="1439" w:type="dxa"/>
            <w:vAlign w:val="center"/>
          </w:tcPr>
          <w:p>
            <w:pPr>
              <w:spacing w:line="400" w:lineRule="exact"/>
              <w:jc w:val="center"/>
              <w:rPr>
                <w:rFonts w:ascii="仿宋" w:hAnsi="仿宋" w:eastAsia="仿宋" w:cs="仿宋"/>
                <w:color w:val="auto"/>
              </w:rPr>
            </w:pPr>
          </w:p>
        </w:tc>
        <w:tc>
          <w:tcPr>
            <w:tcW w:w="1319" w:type="dxa"/>
            <w:vAlign w:val="center"/>
          </w:tcPr>
          <w:p>
            <w:pPr>
              <w:spacing w:line="400" w:lineRule="exact"/>
              <w:jc w:val="center"/>
              <w:rPr>
                <w:rFonts w:ascii="仿宋" w:hAnsi="仿宋" w:eastAsia="仿宋" w:cs="仿宋"/>
                <w:color w:val="auto"/>
              </w:rPr>
            </w:pPr>
          </w:p>
        </w:tc>
        <w:tc>
          <w:tcPr>
            <w:tcW w:w="1160" w:type="dxa"/>
            <w:vAlign w:val="center"/>
          </w:tcPr>
          <w:p>
            <w:pPr>
              <w:spacing w:line="400" w:lineRule="exact"/>
              <w:jc w:val="center"/>
              <w:rPr>
                <w:rFonts w:ascii="仿宋" w:hAnsi="仿宋" w:eastAsia="仿宋" w:cs="仿宋"/>
                <w:color w:val="auto"/>
              </w:rPr>
            </w:pPr>
          </w:p>
        </w:tc>
        <w:tc>
          <w:tcPr>
            <w:tcW w:w="1421" w:type="dxa"/>
            <w:gridSpan w:val="2"/>
            <w:vAlign w:val="center"/>
          </w:tcPr>
          <w:p>
            <w:pPr>
              <w:spacing w:line="400" w:lineRule="exact"/>
              <w:jc w:val="center"/>
              <w:rPr>
                <w:rFonts w:ascii="仿宋" w:hAnsi="仿宋" w:eastAsia="仿宋" w:cs="仿宋"/>
                <w:color w:val="auto"/>
              </w:rPr>
            </w:pPr>
          </w:p>
        </w:tc>
        <w:tc>
          <w:tcPr>
            <w:tcW w:w="1614" w:type="dxa"/>
            <w:gridSpan w:val="2"/>
            <w:tcBorders>
              <w:right w:val="single" w:color="auto" w:sz="4" w:space="0"/>
            </w:tcBorders>
            <w:vAlign w:val="center"/>
          </w:tcPr>
          <w:p>
            <w:pPr>
              <w:spacing w:line="400" w:lineRule="exact"/>
              <w:jc w:val="center"/>
              <w:rPr>
                <w:rFonts w:ascii="仿宋" w:hAnsi="仿宋" w:eastAsia="仿宋" w:cs="仿宋"/>
                <w:color w:val="auto"/>
              </w:rPr>
            </w:pPr>
          </w:p>
        </w:tc>
        <w:tc>
          <w:tcPr>
            <w:tcW w:w="1387" w:type="dxa"/>
            <w:gridSpan w:val="2"/>
            <w:tcBorders>
              <w:left w:val="single" w:color="auto" w:sz="4" w:space="0"/>
            </w:tcBorders>
            <w:vAlign w:val="center"/>
          </w:tcPr>
          <w:p>
            <w:pPr>
              <w:spacing w:line="400" w:lineRule="exa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仿宋"/>
                <w:color w:val="auto"/>
              </w:rPr>
            </w:pPr>
          </w:p>
        </w:tc>
        <w:tc>
          <w:tcPr>
            <w:tcW w:w="1439" w:type="dxa"/>
            <w:vAlign w:val="center"/>
          </w:tcPr>
          <w:p>
            <w:pPr>
              <w:spacing w:line="400" w:lineRule="exact"/>
              <w:jc w:val="center"/>
              <w:rPr>
                <w:rFonts w:ascii="仿宋" w:hAnsi="仿宋" w:eastAsia="仿宋" w:cs="仿宋"/>
                <w:color w:val="auto"/>
              </w:rPr>
            </w:pPr>
          </w:p>
        </w:tc>
        <w:tc>
          <w:tcPr>
            <w:tcW w:w="1319" w:type="dxa"/>
            <w:vAlign w:val="center"/>
          </w:tcPr>
          <w:p>
            <w:pPr>
              <w:spacing w:line="400" w:lineRule="exact"/>
              <w:jc w:val="center"/>
              <w:rPr>
                <w:rFonts w:ascii="仿宋" w:hAnsi="仿宋" w:eastAsia="仿宋" w:cs="仿宋"/>
                <w:color w:val="auto"/>
              </w:rPr>
            </w:pPr>
          </w:p>
        </w:tc>
        <w:tc>
          <w:tcPr>
            <w:tcW w:w="1160" w:type="dxa"/>
            <w:vAlign w:val="center"/>
          </w:tcPr>
          <w:p>
            <w:pPr>
              <w:spacing w:line="400" w:lineRule="exact"/>
              <w:jc w:val="center"/>
              <w:rPr>
                <w:rFonts w:ascii="仿宋" w:hAnsi="仿宋" w:eastAsia="仿宋" w:cs="仿宋"/>
                <w:color w:val="auto"/>
              </w:rPr>
            </w:pPr>
          </w:p>
        </w:tc>
        <w:tc>
          <w:tcPr>
            <w:tcW w:w="1421" w:type="dxa"/>
            <w:gridSpan w:val="2"/>
            <w:vAlign w:val="center"/>
          </w:tcPr>
          <w:p>
            <w:pPr>
              <w:spacing w:line="400" w:lineRule="exact"/>
              <w:jc w:val="center"/>
              <w:rPr>
                <w:rFonts w:ascii="仿宋" w:hAnsi="仿宋" w:eastAsia="仿宋" w:cs="仿宋"/>
                <w:color w:val="auto"/>
              </w:rPr>
            </w:pPr>
          </w:p>
        </w:tc>
        <w:tc>
          <w:tcPr>
            <w:tcW w:w="1614" w:type="dxa"/>
            <w:gridSpan w:val="2"/>
            <w:tcBorders>
              <w:right w:val="single" w:color="auto" w:sz="4" w:space="0"/>
            </w:tcBorders>
            <w:vAlign w:val="center"/>
          </w:tcPr>
          <w:p>
            <w:pPr>
              <w:spacing w:line="400" w:lineRule="exact"/>
              <w:jc w:val="center"/>
              <w:rPr>
                <w:rFonts w:ascii="仿宋" w:hAnsi="仿宋" w:eastAsia="仿宋" w:cs="仿宋"/>
                <w:color w:val="auto"/>
              </w:rPr>
            </w:pPr>
          </w:p>
        </w:tc>
        <w:tc>
          <w:tcPr>
            <w:tcW w:w="1387" w:type="dxa"/>
            <w:gridSpan w:val="2"/>
            <w:tcBorders>
              <w:left w:val="single" w:color="auto" w:sz="4" w:space="0"/>
            </w:tcBorders>
            <w:vAlign w:val="center"/>
          </w:tcPr>
          <w:p>
            <w:pPr>
              <w:spacing w:line="400" w:lineRule="exa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仿宋"/>
                <w:color w:val="auto"/>
              </w:rPr>
            </w:pPr>
          </w:p>
        </w:tc>
        <w:tc>
          <w:tcPr>
            <w:tcW w:w="1439" w:type="dxa"/>
            <w:vAlign w:val="center"/>
          </w:tcPr>
          <w:p>
            <w:pPr>
              <w:spacing w:line="400" w:lineRule="exact"/>
              <w:jc w:val="center"/>
              <w:rPr>
                <w:rFonts w:ascii="仿宋" w:hAnsi="仿宋" w:eastAsia="仿宋" w:cs="仿宋"/>
                <w:color w:val="auto"/>
              </w:rPr>
            </w:pPr>
          </w:p>
        </w:tc>
        <w:tc>
          <w:tcPr>
            <w:tcW w:w="1319" w:type="dxa"/>
            <w:vAlign w:val="center"/>
          </w:tcPr>
          <w:p>
            <w:pPr>
              <w:spacing w:line="400" w:lineRule="exact"/>
              <w:jc w:val="center"/>
              <w:rPr>
                <w:rFonts w:ascii="仿宋" w:hAnsi="仿宋" w:eastAsia="仿宋" w:cs="仿宋"/>
                <w:color w:val="auto"/>
              </w:rPr>
            </w:pPr>
          </w:p>
        </w:tc>
        <w:tc>
          <w:tcPr>
            <w:tcW w:w="1160" w:type="dxa"/>
            <w:vAlign w:val="center"/>
          </w:tcPr>
          <w:p>
            <w:pPr>
              <w:spacing w:line="400" w:lineRule="exact"/>
              <w:jc w:val="center"/>
              <w:rPr>
                <w:rFonts w:ascii="仿宋" w:hAnsi="仿宋" w:eastAsia="仿宋" w:cs="仿宋"/>
                <w:color w:val="auto"/>
              </w:rPr>
            </w:pPr>
          </w:p>
        </w:tc>
        <w:tc>
          <w:tcPr>
            <w:tcW w:w="1421" w:type="dxa"/>
            <w:gridSpan w:val="2"/>
            <w:vAlign w:val="center"/>
          </w:tcPr>
          <w:p>
            <w:pPr>
              <w:spacing w:line="400" w:lineRule="exact"/>
              <w:jc w:val="center"/>
              <w:rPr>
                <w:rFonts w:ascii="仿宋" w:hAnsi="仿宋" w:eastAsia="仿宋" w:cs="仿宋"/>
                <w:color w:val="auto"/>
              </w:rPr>
            </w:pPr>
          </w:p>
        </w:tc>
        <w:tc>
          <w:tcPr>
            <w:tcW w:w="1614" w:type="dxa"/>
            <w:gridSpan w:val="2"/>
            <w:tcBorders>
              <w:right w:val="single" w:color="auto" w:sz="4" w:space="0"/>
            </w:tcBorders>
            <w:vAlign w:val="center"/>
          </w:tcPr>
          <w:p>
            <w:pPr>
              <w:spacing w:line="400" w:lineRule="exact"/>
              <w:jc w:val="center"/>
              <w:rPr>
                <w:rFonts w:ascii="仿宋" w:hAnsi="仿宋" w:eastAsia="仿宋" w:cs="仿宋"/>
                <w:color w:val="auto"/>
              </w:rPr>
            </w:pPr>
          </w:p>
        </w:tc>
        <w:tc>
          <w:tcPr>
            <w:tcW w:w="1387" w:type="dxa"/>
            <w:gridSpan w:val="2"/>
            <w:tcBorders>
              <w:left w:val="single" w:color="auto" w:sz="4" w:space="0"/>
            </w:tcBorders>
            <w:vAlign w:val="center"/>
          </w:tcPr>
          <w:p>
            <w:pPr>
              <w:spacing w:line="400" w:lineRule="exa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仿宋"/>
                <w:color w:val="auto"/>
              </w:rPr>
            </w:pPr>
          </w:p>
        </w:tc>
        <w:tc>
          <w:tcPr>
            <w:tcW w:w="1439" w:type="dxa"/>
            <w:tcBorders>
              <w:right w:val="single" w:color="auto" w:sz="4" w:space="0"/>
            </w:tcBorders>
            <w:vAlign w:val="center"/>
          </w:tcPr>
          <w:p>
            <w:pPr>
              <w:spacing w:line="400" w:lineRule="exact"/>
              <w:jc w:val="center"/>
              <w:rPr>
                <w:rFonts w:ascii="仿宋" w:hAnsi="仿宋" w:eastAsia="仿宋" w:cs="仿宋"/>
                <w:color w:val="auto"/>
              </w:rPr>
            </w:pPr>
          </w:p>
        </w:tc>
        <w:tc>
          <w:tcPr>
            <w:tcW w:w="1319" w:type="dxa"/>
            <w:tcBorders>
              <w:left w:val="single" w:color="auto" w:sz="4" w:space="0"/>
            </w:tcBorders>
            <w:vAlign w:val="center"/>
          </w:tcPr>
          <w:p>
            <w:pPr>
              <w:spacing w:line="400" w:lineRule="exact"/>
              <w:jc w:val="center"/>
              <w:rPr>
                <w:rFonts w:ascii="仿宋" w:hAnsi="仿宋" w:eastAsia="仿宋" w:cs="仿宋"/>
                <w:color w:val="auto"/>
              </w:rPr>
            </w:pPr>
          </w:p>
        </w:tc>
        <w:tc>
          <w:tcPr>
            <w:tcW w:w="1160" w:type="dxa"/>
            <w:vAlign w:val="center"/>
          </w:tcPr>
          <w:p>
            <w:pPr>
              <w:spacing w:line="400" w:lineRule="exact"/>
              <w:jc w:val="center"/>
              <w:rPr>
                <w:rFonts w:ascii="仿宋" w:hAnsi="仿宋" w:eastAsia="仿宋" w:cs="仿宋"/>
                <w:color w:val="auto"/>
              </w:rPr>
            </w:pPr>
          </w:p>
        </w:tc>
        <w:tc>
          <w:tcPr>
            <w:tcW w:w="1421" w:type="dxa"/>
            <w:gridSpan w:val="2"/>
            <w:vAlign w:val="center"/>
          </w:tcPr>
          <w:p>
            <w:pPr>
              <w:spacing w:line="400" w:lineRule="exact"/>
              <w:jc w:val="center"/>
              <w:rPr>
                <w:rFonts w:ascii="仿宋" w:hAnsi="仿宋" w:eastAsia="仿宋" w:cs="仿宋"/>
                <w:color w:val="auto"/>
              </w:rPr>
            </w:pPr>
          </w:p>
        </w:tc>
        <w:tc>
          <w:tcPr>
            <w:tcW w:w="1614" w:type="dxa"/>
            <w:gridSpan w:val="2"/>
            <w:tcBorders>
              <w:right w:val="single" w:color="auto" w:sz="4" w:space="0"/>
            </w:tcBorders>
            <w:vAlign w:val="center"/>
          </w:tcPr>
          <w:p>
            <w:pPr>
              <w:spacing w:line="400" w:lineRule="exact"/>
              <w:jc w:val="center"/>
              <w:rPr>
                <w:rFonts w:ascii="仿宋" w:hAnsi="仿宋" w:eastAsia="仿宋" w:cs="仿宋"/>
                <w:color w:val="auto"/>
              </w:rPr>
            </w:pPr>
          </w:p>
        </w:tc>
        <w:tc>
          <w:tcPr>
            <w:tcW w:w="1387" w:type="dxa"/>
            <w:gridSpan w:val="2"/>
            <w:tcBorders>
              <w:left w:val="single" w:color="auto" w:sz="4" w:space="0"/>
            </w:tcBorders>
            <w:vAlign w:val="center"/>
          </w:tcPr>
          <w:p>
            <w:pPr>
              <w:spacing w:line="400" w:lineRule="exa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hAnsi="仿宋" w:eastAsia="仿宋" w:cs="仿宋"/>
                <w:color w:val="auto"/>
              </w:rPr>
            </w:pPr>
          </w:p>
        </w:tc>
        <w:tc>
          <w:tcPr>
            <w:tcW w:w="1439" w:type="dxa"/>
            <w:tcBorders>
              <w:left w:val="single" w:color="auto" w:sz="4" w:space="0"/>
              <w:right w:val="single" w:color="auto" w:sz="4" w:space="0"/>
            </w:tcBorders>
            <w:vAlign w:val="center"/>
          </w:tcPr>
          <w:p>
            <w:pPr>
              <w:spacing w:line="400" w:lineRule="exact"/>
              <w:rPr>
                <w:rFonts w:ascii="仿宋" w:hAnsi="仿宋" w:eastAsia="仿宋" w:cs="仿宋"/>
                <w:color w:val="auto"/>
              </w:rPr>
            </w:pPr>
          </w:p>
        </w:tc>
        <w:tc>
          <w:tcPr>
            <w:tcW w:w="1319" w:type="dxa"/>
            <w:tcBorders>
              <w:left w:val="single" w:color="auto" w:sz="4" w:space="0"/>
              <w:right w:val="single" w:color="auto" w:sz="4" w:space="0"/>
            </w:tcBorders>
            <w:vAlign w:val="center"/>
          </w:tcPr>
          <w:p>
            <w:pPr>
              <w:spacing w:line="400" w:lineRule="exact"/>
              <w:rPr>
                <w:rFonts w:ascii="仿宋" w:hAnsi="仿宋" w:eastAsia="仿宋" w:cs="仿宋"/>
                <w:color w:val="auto"/>
              </w:rPr>
            </w:pPr>
          </w:p>
        </w:tc>
        <w:tc>
          <w:tcPr>
            <w:tcW w:w="1160" w:type="dxa"/>
            <w:tcBorders>
              <w:left w:val="single" w:color="auto" w:sz="4" w:space="0"/>
              <w:right w:val="single" w:color="auto" w:sz="4" w:space="0"/>
            </w:tcBorders>
            <w:vAlign w:val="center"/>
          </w:tcPr>
          <w:p>
            <w:pPr>
              <w:spacing w:line="400" w:lineRule="exact"/>
              <w:rPr>
                <w:rFonts w:ascii="仿宋" w:hAnsi="仿宋" w:eastAsia="仿宋" w:cs="仿宋"/>
                <w:color w:val="auto"/>
              </w:rPr>
            </w:pPr>
          </w:p>
        </w:tc>
        <w:tc>
          <w:tcPr>
            <w:tcW w:w="1415" w:type="dxa"/>
            <w:tcBorders>
              <w:left w:val="single" w:color="auto" w:sz="4" w:space="0"/>
              <w:right w:val="single" w:color="auto" w:sz="4" w:space="0"/>
            </w:tcBorders>
            <w:vAlign w:val="center"/>
          </w:tcPr>
          <w:p>
            <w:pPr>
              <w:spacing w:line="400" w:lineRule="exact"/>
              <w:rPr>
                <w:rFonts w:ascii="仿宋" w:hAnsi="仿宋" w:eastAsia="仿宋" w:cs="仿宋"/>
                <w:color w:val="auto"/>
              </w:rPr>
            </w:pPr>
          </w:p>
        </w:tc>
        <w:tc>
          <w:tcPr>
            <w:tcW w:w="1605" w:type="dxa"/>
            <w:gridSpan w:val="2"/>
            <w:tcBorders>
              <w:left w:val="single" w:color="auto" w:sz="4" w:space="0"/>
              <w:right w:val="single" w:color="auto" w:sz="4" w:space="0"/>
            </w:tcBorders>
            <w:vAlign w:val="center"/>
          </w:tcPr>
          <w:p>
            <w:pPr>
              <w:spacing w:line="400" w:lineRule="exact"/>
              <w:rPr>
                <w:rFonts w:ascii="仿宋" w:hAnsi="仿宋" w:eastAsia="仿宋" w:cs="仿宋"/>
                <w:color w:val="auto"/>
              </w:rPr>
            </w:pPr>
          </w:p>
        </w:tc>
        <w:tc>
          <w:tcPr>
            <w:tcW w:w="1392" w:type="dxa"/>
            <w:gridSpan w:val="2"/>
            <w:tcBorders>
              <w:left w:val="single" w:color="auto" w:sz="4" w:space="0"/>
            </w:tcBorders>
            <w:vAlign w:val="center"/>
          </w:tcPr>
          <w:p>
            <w:pPr>
              <w:spacing w:line="400" w:lineRule="exact"/>
              <w:rPr>
                <w:rFonts w:ascii="仿宋" w:hAnsi="仿宋" w:eastAsia="仿宋" w:cs="仿宋"/>
                <w:color w:val="auto"/>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仿宋" w:hAnsi="仿宋" w:eastAsia="仿宋" w:cs="仿宋"/>
          <w:color w:val="auto"/>
          <w:sz w:val="24"/>
        </w:rPr>
      </w:pPr>
      <w:r>
        <w:rPr>
          <w:rFonts w:hint="eastAsia" w:ascii="仿宋" w:hAnsi="仿宋" w:eastAsia="仿宋" w:cs="仿宋"/>
          <w:color w:val="auto"/>
          <w:sz w:val="24"/>
        </w:rPr>
        <w:t>注：</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仿宋"/>
          <w:color w:val="auto"/>
          <w:sz w:val="24"/>
        </w:rPr>
      </w:pPr>
      <w:r>
        <w:rPr>
          <w:rFonts w:hint="eastAsia" w:ascii="仿宋" w:hAnsi="仿宋" w:eastAsia="仿宋" w:cs="仿宋"/>
          <w:bCs/>
          <w:color w:val="auto"/>
          <w:sz w:val="24"/>
        </w:rPr>
        <w:t>1.</w:t>
      </w:r>
      <w:r>
        <w:rPr>
          <w:rFonts w:hint="eastAsia" w:ascii="仿宋" w:hAnsi="仿宋" w:eastAsia="仿宋" w:cs="仿宋"/>
          <w:color w:val="auto"/>
          <w:sz w:val="24"/>
        </w:rPr>
        <w:t>以上表格格式行可增减。</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2.供应商（仅限于供应商自己的）以上业绩证明材料要求详见综合评分明细表。</w:t>
      </w:r>
    </w:p>
    <w:p>
      <w:pPr>
        <w:spacing w:line="400" w:lineRule="exact"/>
        <w:ind w:left="360"/>
        <w:jc w:val="center"/>
        <w:rPr>
          <w:rFonts w:ascii="仿宋" w:hAnsi="仿宋" w:eastAsia="仿宋" w:cs="仿宋"/>
          <w:color w:val="auto"/>
          <w:sz w:val="24"/>
        </w:rPr>
      </w:pPr>
    </w:p>
    <w:p>
      <w:pPr>
        <w:jc w:val="left"/>
        <w:rPr>
          <w:rFonts w:ascii="仿宋" w:hAnsi="仿宋" w:eastAsia="仿宋" w:cs="仿宋"/>
          <w:color w:val="auto"/>
        </w:rPr>
      </w:pP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（盖单位公章）</w:t>
      </w:r>
    </w:p>
    <w:p>
      <w:pPr>
        <w:adjustRightInd w:val="0"/>
        <w:spacing w:line="400" w:lineRule="exact"/>
        <w:jc w:val="left"/>
        <w:rPr>
          <w:rFonts w:ascii="仿宋" w:hAnsi="仿宋" w:eastAsia="仿宋" w:cs="仿宋"/>
          <w:bCs/>
          <w:color w:val="auto"/>
          <w:sz w:val="24"/>
        </w:rPr>
      </w:pPr>
      <w:r>
        <w:rPr>
          <w:rFonts w:hint="eastAsia" w:ascii="仿宋" w:hAnsi="仿宋" w:eastAsia="仿宋" w:cs="仿宋"/>
          <w:bCs/>
          <w:color w:val="auto"/>
          <w:sz w:val="24"/>
        </w:rPr>
        <w:t>法定代表人或授权代表（签字或加盖印章）：</w:t>
      </w: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日  期：</w:t>
      </w:r>
    </w:p>
    <w:p>
      <w:pPr>
        <w:jc w:val="left"/>
        <w:rPr>
          <w:rFonts w:ascii="仿宋" w:hAnsi="仿宋" w:eastAsia="仿宋" w:cs="仿宋"/>
          <w:color w:val="auto"/>
          <w:sz w:val="24"/>
        </w:rPr>
      </w:pPr>
    </w:p>
    <w:p>
      <w:pPr>
        <w:pStyle w:val="4"/>
        <w:keepNext w:val="0"/>
        <w:keepLines w:val="0"/>
        <w:spacing w:line="400" w:lineRule="exact"/>
        <w:jc w:val="center"/>
        <w:rPr>
          <w:rFonts w:ascii="仿宋" w:hAnsi="仿宋" w:eastAsia="仿宋" w:cs="仿宋"/>
          <w:color w:val="auto"/>
          <w:szCs w:val="28"/>
        </w:rPr>
      </w:pPr>
      <w:bookmarkStart w:id="106" w:name="_Toc436410129"/>
      <w:bookmarkStart w:id="107" w:name="_Toc436385992"/>
      <w:bookmarkStart w:id="108" w:name="_Toc436404120"/>
      <w:bookmarkStart w:id="109" w:name="_Toc436820890"/>
      <w:bookmarkStart w:id="110" w:name="_Toc307564880"/>
    </w:p>
    <w:bookmarkEnd w:id="106"/>
    <w:bookmarkEnd w:id="107"/>
    <w:bookmarkEnd w:id="108"/>
    <w:bookmarkEnd w:id="109"/>
    <w:bookmarkEnd w:id="110"/>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jc w:val="center"/>
        <w:rPr>
          <w:rFonts w:ascii="仿宋" w:hAnsi="仿宋" w:eastAsia="仿宋" w:cs="仿宋"/>
          <w:b/>
          <w:color w:val="auto"/>
          <w:sz w:val="32"/>
          <w:szCs w:val="32"/>
        </w:rPr>
      </w:pPr>
      <w:r>
        <w:rPr>
          <w:rFonts w:hint="eastAsia" w:ascii="仿宋" w:hAnsi="仿宋" w:eastAsia="仿宋" w:cs="仿宋"/>
          <w:b/>
          <w:color w:val="auto"/>
          <w:sz w:val="32"/>
          <w:szCs w:val="32"/>
        </w:rPr>
        <w:t>十三、供应商本项目管理、技术、服务人员情况表</w:t>
      </w:r>
    </w:p>
    <w:p>
      <w:pPr>
        <w:widowControl/>
        <w:spacing w:line="400" w:lineRule="exact"/>
        <w:jc w:val="left"/>
        <w:rPr>
          <w:rFonts w:ascii="仿宋" w:hAnsi="仿宋" w:eastAsia="仿宋" w:cs="仿宋"/>
          <w:color w:val="auto"/>
          <w:kern w:val="0"/>
          <w:sz w:val="24"/>
        </w:rPr>
      </w:pPr>
      <w:r>
        <w:rPr>
          <w:rFonts w:hint="eastAsia" w:ascii="仿宋" w:hAnsi="仿宋" w:eastAsia="仿宋" w:cs="仿宋"/>
          <w:color w:val="auto"/>
          <w:kern w:val="0"/>
          <w:sz w:val="24"/>
        </w:rPr>
        <w:t>项目名称：</w:t>
      </w:r>
    </w:p>
    <w:p>
      <w:pPr>
        <w:widowControl/>
        <w:spacing w:line="400" w:lineRule="exact"/>
        <w:jc w:val="left"/>
        <w:rPr>
          <w:rFonts w:ascii="仿宋" w:hAnsi="仿宋" w:eastAsia="仿宋" w:cs="仿宋"/>
          <w:color w:val="auto"/>
          <w:kern w:val="0"/>
          <w:sz w:val="24"/>
        </w:rPr>
      </w:pPr>
      <w:r>
        <w:rPr>
          <w:rFonts w:hint="eastAsia" w:ascii="仿宋" w:hAnsi="仿宋" w:eastAsia="仿宋" w:cs="仿宋"/>
          <w:color w:val="auto"/>
          <w:kern w:val="0"/>
          <w:sz w:val="24"/>
        </w:rPr>
        <w:t>项目编号：</w:t>
      </w:r>
    </w:p>
    <w:p>
      <w:pPr>
        <w:pStyle w:val="20"/>
        <w:pBdr>
          <w:bottom w:val="none" w:color="auto" w:sz="0" w:space="0"/>
        </w:pBdr>
        <w:tabs>
          <w:tab w:val="clear" w:pos="4153"/>
          <w:tab w:val="clear" w:pos="8306"/>
        </w:tabs>
        <w:snapToGrid/>
        <w:spacing w:line="400" w:lineRule="exact"/>
        <w:jc w:val="both"/>
        <w:rPr>
          <w:rFonts w:ascii="仿宋" w:hAnsi="仿宋" w:eastAsia="仿宋" w:cs="仿宋"/>
          <w:color w:val="auto"/>
          <w:sz w:val="24"/>
        </w:rPr>
      </w:pPr>
      <w:r>
        <w:rPr>
          <w:rFonts w:hint="eastAsia" w:ascii="仿宋" w:hAnsi="仿宋" w:eastAsia="仿宋" w:cs="仿宋"/>
          <w:color w:val="auto"/>
          <w:kern w:val="0"/>
          <w:sz w:val="24"/>
        </w:rPr>
        <w:t>包件号及名称：（若有）</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类别</w:t>
            </w:r>
          </w:p>
        </w:tc>
        <w:tc>
          <w:tcPr>
            <w:tcW w:w="947" w:type="dxa"/>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职务</w:t>
            </w:r>
          </w:p>
        </w:tc>
        <w:tc>
          <w:tcPr>
            <w:tcW w:w="947" w:type="dxa"/>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姓名</w:t>
            </w:r>
          </w:p>
        </w:tc>
        <w:tc>
          <w:tcPr>
            <w:tcW w:w="947" w:type="dxa"/>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职称</w:t>
            </w:r>
          </w:p>
        </w:tc>
        <w:tc>
          <w:tcPr>
            <w:tcW w:w="947" w:type="dxa"/>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常住地</w:t>
            </w:r>
          </w:p>
        </w:tc>
        <w:tc>
          <w:tcPr>
            <w:tcW w:w="3788" w:type="dxa"/>
            <w:gridSpan w:val="4"/>
            <w:vAlign w:val="center"/>
          </w:tcPr>
          <w:p>
            <w:pPr>
              <w:jc w:val="center"/>
              <w:rPr>
                <w:rFonts w:ascii="仿宋" w:hAnsi="仿宋" w:eastAsia="仿宋" w:cs="仿宋"/>
                <w:color w:val="auto"/>
                <w:sz w:val="24"/>
              </w:rPr>
            </w:pPr>
            <w:r>
              <w:rPr>
                <w:rFonts w:hint="eastAsia" w:ascii="仿宋" w:hAnsi="仿宋" w:eastAsia="仿宋" w:cs="仿宋"/>
                <w:color w:val="auto"/>
                <w:sz w:val="24"/>
              </w:rPr>
              <w:t>相关资料（无可不提供）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ascii="仿宋" w:hAnsi="仿宋" w:eastAsia="仿宋" w:cs="仿宋"/>
                <w:color w:val="auto"/>
                <w:sz w:val="24"/>
              </w:rPr>
            </w:pPr>
          </w:p>
        </w:tc>
        <w:tc>
          <w:tcPr>
            <w:tcW w:w="947" w:type="dxa"/>
            <w:vMerge w:val="continue"/>
            <w:vAlign w:val="center"/>
          </w:tcPr>
          <w:p>
            <w:pPr>
              <w:jc w:val="center"/>
              <w:rPr>
                <w:rFonts w:ascii="仿宋" w:hAnsi="仿宋" w:eastAsia="仿宋" w:cs="仿宋"/>
                <w:color w:val="auto"/>
                <w:sz w:val="24"/>
              </w:rPr>
            </w:pPr>
          </w:p>
        </w:tc>
        <w:tc>
          <w:tcPr>
            <w:tcW w:w="947" w:type="dxa"/>
            <w:vMerge w:val="continue"/>
            <w:vAlign w:val="center"/>
          </w:tcPr>
          <w:p>
            <w:pPr>
              <w:jc w:val="center"/>
              <w:rPr>
                <w:rFonts w:ascii="仿宋" w:hAnsi="仿宋" w:eastAsia="仿宋" w:cs="仿宋"/>
                <w:color w:val="auto"/>
                <w:sz w:val="24"/>
              </w:rPr>
            </w:pPr>
          </w:p>
        </w:tc>
        <w:tc>
          <w:tcPr>
            <w:tcW w:w="947" w:type="dxa"/>
            <w:vMerge w:val="continue"/>
            <w:vAlign w:val="center"/>
          </w:tcPr>
          <w:p>
            <w:pPr>
              <w:jc w:val="center"/>
              <w:rPr>
                <w:rFonts w:ascii="仿宋" w:hAnsi="仿宋" w:eastAsia="仿宋" w:cs="仿宋"/>
                <w:color w:val="auto"/>
                <w:sz w:val="24"/>
              </w:rPr>
            </w:pPr>
          </w:p>
        </w:tc>
        <w:tc>
          <w:tcPr>
            <w:tcW w:w="947" w:type="dxa"/>
            <w:vMerge w:val="continue"/>
            <w:vAlign w:val="center"/>
          </w:tcPr>
          <w:p>
            <w:pPr>
              <w:jc w:val="center"/>
              <w:rPr>
                <w:rFonts w:ascii="仿宋" w:hAnsi="仿宋" w:eastAsia="仿宋" w:cs="仿宋"/>
                <w:color w:val="auto"/>
                <w:sz w:val="24"/>
              </w:rPr>
            </w:pPr>
          </w:p>
        </w:tc>
        <w:tc>
          <w:tcPr>
            <w:tcW w:w="947" w:type="dxa"/>
            <w:vAlign w:val="center"/>
          </w:tcPr>
          <w:p>
            <w:pPr>
              <w:jc w:val="center"/>
              <w:rPr>
                <w:rFonts w:ascii="仿宋" w:hAnsi="仿宋" w:eastAsia="仿宋" w:cs="仿宋"/>
                <w:color w:val="auto"/>
                <w:sz w:val="24"/>
              </w:rPr>
            </w:pPr>
            <w:r>
              <w:rPr>
                <w:rFonts w:hint="eastAsia" w:ascii="仿宋" w:hAnsi="仿宋" w:eastAsia="仿宋" w:cs="仿宋"/>
                <w:color w:val="auto"/>
                <w:sz w:val="24"/>
              </w:rPr>
              <w:t>证书</w:t>
            </w:r>
          </w:p>
          <w:p>
            <w:pPr>
              <w:jc w:val="center"/>
              <w:rPr>
                <w:rFonts w:ascii="仿宋" w:hAnsi="仿宋" w:eastAsia="仿宋" w:cs="仿宋"/>
                <w:color w:val="auto"/>
                <w:sz w:val="24"/>
              </w:rPr>
            </w:pPr>
            <w:r>
              <w:rPr>
                <w:rFonts w:hint="eastAsia" w:ascii="仿宋" w:hAnsi="仿宋" w:eastAsia="仿宋" w:cs="仿宋"/>
                <w:color w:val="auto"/>
                <w:sz w:val="24"/>
              </w:rPr>
              <w:t>名称</w:t>
            </w:r>
          </w:p>
        </w:tc>
        <w:tc>
          <w:tcPr>
            <w:tcW w:w="947" w:type="dxa"/>
            <w:vAlign w:val="center"/>
          </w:tcPr>
          <w:p>
            <w:pPr>
              <w:jc w:val="center"/>
              <w:rPr>
                <w:rFonts w:ascii="仿宋" w:hAnsi="仿宋" w:eastAsia="仿宋" w:cs="仿宋"/>
                <w:color w:val="auto"/>
                <w:sz w:val="24"/>
              </w:rPr>
            </w:pPr>
            <w:r>
              <w:rPr>
                <w:rFonts w:hint="eastAsia" w:ascii="仿宋" w:hAnsi="仿宋" w:eastAsia="仿宋" w:cs="仿宋"/>
                <w:color w:val="auto"/>
                <w:sz w:val="24"/>
              </w:rPr>
              <w:t>级别</w:t>
            </w:r>
          </w:p>
        </w:tc>
        <w:tc>
          <w:tcPr>
            <w:tcW w:w="947" w:type="dxa"/>
            <w:vAlign w:val="center"/>
          </w:tcPr>
          <w:p>
            <w:pPr>
              <w:jc w:val="center"/>
              <w:rPr>
                <w:rFonts w:ascii="仿宋" w:hAnsi="仿宋" w:eastAsia="仿宋" w:cs="仿宋"/>
                <w:color w:val="auto"/>
                <w:sz w:val="24"/>
              </w:rPr>
            </w:pPr>
            <w:r>
              <w:rPr>
                <w:rFonts w:hint="eastAsia" w:ascii="仿宋" w:hAnsi="仿宋" w:eastAsia="仿宋" w:cs="仿宋"/>
                <w:color w:val="auto"/>
                <w:sz w:val="24"/>
              </w:rPr>
              <w:t>证号</w:t>
            </w:r>
          </w:p>
        </w:tc>
        <w:tc>
          <w:tcPr>
            <w:tcW w:w="947" w:type="dxa"/>
            <w:vAlign w:val="center"/>
          </w:tcPr>
          <w:p>
            <w:pPr>
              <w:jc w:val="center"/>
              <w:rPr>
                <w:rFonts w:ascii="仿宋" w:hAnsi="仿宋" w:eastAsia="仿宋" w:cs="仿宋"/>
                <w:color w:val="auto"/>
                <w:sz w:val="24"/>
              </w:rPr>
            </w:pPr>
            <w:r>
              <w:rPr>
                <w:rFonts w:hint="eastAsia" w:ascii="仿宋" w:hAnsi="仿宋" w:eastAsia="仿宋" w:cs="仿宋"/>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vAlign w:val="center"/>
          </w:tcPr>
          <w:p>
            <w:pPr>
              <w:jc w:val="cente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c>
          <w:tcPr>
            <w:tcW w:w="947" w:type="dxa"/>
          </w:tcPr>
          <w:p>
            <w:pPr>
              <w:rPr>
                <w:rFonts w:ascii="仿宋" w:hAnsi="仿宋" w:eastAsia="仿宋" w:cs="仿宋"/>
                <w:color w:val="auto"/>
                <w:sz w:val="24"/>
              </w:rPr>
            </w:pPr>
          </w:p>
        </w:tc>
      </w:tr>
    </w:tbl>
    <w:p>
      <w:pPr>
        <w:rPr>
          <w:rFonts w:ascii="仿宋" w:hAnsi="仿宋" w:eastAsia="仿宋" w:cs="仿宋"/>
          <w:color w:val="auto"/>
          <w:sz w:val="24"/>
        </w:rPr>
      </w:pPr>
      <w:r>
        <w:rPr>
          <w:rFonts w:hint="eastAsia" w:ascii="仿宋" w:hAnsi="仿宋" w:eastAsia="仿宋" w:cs="仿宋"/>
          <w:color w:val="auto"/>
          <w:sz w:val="24"/>
        </w:rPr>
        <w:t>注：</w:t>
      </w:r>
    </w:p>
    <w:p>
      <w:pPr>
        <w:spacing w:line="40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w:t>
      </w:r>
      <w:r>
        <w:rPr>
          <w:rFonts w:hint="eastAsia" w:ascii="仿宋" w:hAnsi="仿宋" w:eastAsia="仿宋" w:cs="仿宋"/>
          <w:color w:val="auto"/>
          <w:sz w:val="24"/>
        </w:rPr>
        <w:t>以上表格格式行可增减。</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2.证明材料详见综合评分明细表。</w:t>
      </w:r>
    </w:p>
    <w:p>
      <w:pPr>
        <w:rPr>
          <w:rFonts w:ascii="仿宋" w:hAnsi="仿宋" w:eastAsia="仿宋" w:cs="仿宋"/>
          <w:color w:val="auto"/>
          <w:sz w:val="24"/>
        </w:rPr>
      </w:pP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（盖单位公章）</w:t>
      </w:r>
    </w:p>
    <w:p>
      <w:pPr>
        <w:adjustRightInd w:val="0"/>
        <w:spacing w:line="400" w:lineRule="exact"/>
        <w:jc w:val="left"/>
        <w:rPr>
          <w:rFonts w:ascii="仿宋" w:hAnsi="仿宋" w:eastAsia="仿宋" w:cs="仿宋"/>
          <w:bCs/>
          <w:color w:val="auto"/>
          <w:sz w:val="24"/>
        </w:rPr>
      </w:pPr>
      <w:r>
        <w:rPr>
          <w:rFonts w:hint="eastAsia" w:ascii="仿宋" w:hAnsi="仿宋" w:eastAsia="仿宋" w:cs="仿宋"/>
          <w:bCs/>
          <w:color w:val="auto"/>
          <w:sz w:val="24"/>
        </w:rPr>
        <w:t>法定代表人或授权代表（签字或加盖印章）：</w:t>
      </w: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日  期：</w:t>
      </w:r>
    </w:p>
    <w:p>
      <w:pPr>
        <w:adjustRightInd w:val="0"/>
        <w:spacing w:line="400" w:lineRule="exact"/>
        <w:ind w:firstLine="480" w:firstLineChars="200"/>
        <w:jc w:val="left"/>
        <w:rPr>
          <w:rFonts w:ascii="仿宋" w:hAnsi="仿宋" w:eastAsia="仿宋" w:cs="仿宋"/>
          <w:color w:val="auto"/>
          <w:sz w:val="24"/>
        </w:rPr>
      </w:pPr>
    </w:p>
    <w:p>
      <w:pPr>
        <w:jc w:val="center"/>
        <w:rPr>
          <w:rFonts w:ascii="仿宋" w:hAnsi="仿宋" w:eastAsia="仿宋" w:cs="仿宋"/>
          <w:color w:val="auto"/>
          <w:sz w:val="32"/>
          <w:szCs w:val="32"/>
        </w:rPr>
      </w:pPr>
    </w:p>
    <w:p>
      <w:pPr>
        <w:jc w:val="center"/>
        <w:rPr>
          <w:rFonts w:ascii="仿宋" w:hAnsi="仿宋" w:eastAsia="仿宋" w:cs="仿宋"/>
          <w:color w:val="auto"/>
          <w:sz w:val="32"/>
          <w:szCs w:val="32"/>
        </w:rPr>
      </w:pPr>
    </w:p>
    <w:p>
      <w:pPr>
        <w:jc w:val="center"/>
        <w:rPr>
          <w:rFonts w:ascii="仿宋" w:hAnsi="仿宋" w:eastAsia="仿宋" w:cs="仿宋"/>
          <w:color w:val="auto"/>
          <w:sz w:val="32"/>
          <w:szCs w:val="32"/>
        </w:rPr>
      </w:pPr>
    </w:p>
    <w:p>
      <w:pPr>
        <w:jc w:val="center"/>
        <w:rPr>
          <w:rFonts w:ascii="仿宋" w:hAnsi="仿宋" w:eastAsia="仿宋" w:cs="仿宋"/>
          <w:color w:val="auto"/>
          <w:sz w:val="32"/>
          <w:szCs w:val="32"/>
        </w:rPr>
      </w:pPr>
    </w:p>
    <w:p>
      <w:pPr>
        <w:jc w:val="center"/>
        <w:rPr>
          <w:rFonts w:ascii="仿宋" w:hAnsi="仿宋" w:eastAsia="仿宋" w:cs="仿宋"/>
          <w:color w:val="auto"/>
          <w:sz w:val="32"/>
          <w:szCs w:val="32"/>
        </w:rPr>
      </w:pPr>
    </w:p>
    <w:p>
      <w:pPr>
        <w:jc w:val="center"/>
        <w:rPr>
          <w:rFonts w:ascii="仿宋" w:hAnsi="仿宋" w:eastAsia="仿宋" w:cs="仿宋"/>
          <w:color w:val="auto"/>
          <w:sz w:val="32"/>
          <w:szCs w:val="32"/>
        </w:rPr>
      </w:pPr>
    </w:p>
    <w:p>
      <w:pPr>
        <w:jc w:val="center"/>
        <w:rPr>
          <w:rFonts w:ascii="仿宋" w:hAnsi="仿宋" w:eastAsia="仿宋" w:cs="仿宋"/>
          <w:color w:val="auto"/>
          <w:sz w:val="32"/>
          <w:szCs w:val="32"/>
        </w:rPr>
      </w:pPr>
    </w:p>
    <w:p>
      <w:pPr>
        <w:jc w:val="center"/>
        <w:rPr>
          <w:rFonts w:ascii="仿宋" w:hAnsi="仿宋" w:eastAsia="仿宋" w:cs="仿宋"/>
          <w:color w:val="auto"/>
          <w:sz w:val="32"/>
          <w:szCs w:val="32"/>
        </w:rPr>
      </w:pPr>
    </w:p>
    <w:p>
      <w:pPr>
        <w:jc w:val="center"/>
        <w:rPr>
          <w:rFonts w:ascii="仿宋" w:hAnsi="仿宋" w:eastAsia="仿宋" w:cs="仿宋"/>
          <w:b/>
          <w:color w:val="auto"/>
          <w:sz w:val="32"/>
          <w:szCs w:val="32"/>
        </w:rPr>
      </w:pPr>
      <w:r>
        <w:rPr>
          <w:rFonts w:hint="eastAsia" w:ascii="仿宋" w:hAnsi="仿宋" w:eastAsia="仿宋" w:cs="仿宋"/>
          <w:b/>
          <w:color w:val="auto"/>
          <w:sz w:val="32"/>
          <w:szCs w:val="32"/>
        </w:rPr>
        <w:t>十四、本项目的实施方案</w:t>
      </w:r>
    </w:p>
    <w:p>
      <w:pPr>
        <w:jc w:val="center"/>
        <w:rPr>
          <w:rFonts w:ascii="仿宋" w:hAnsi="仿宋" w:eastAsia="仿宋" w:cs="仿宋"/>
          <w:b/>
          <w:color w:val="auto"/>
          <w:sz w:val="32"/>
          <w:szCs w:val="32"/>
        </w:rPr>
      </w:pPr>
    </w:p>
    <w:p>
      <w:pPr>
        <w:widowControl/>
        <w:spacing w:line="400" w:lineRule="exact"/>
        <w:jc w:val="left"/>
        <w:rPr>
          <w:rFonts w:ascii="仿宋" w:hAnsi="仿宋" w:eastAsia="仿宋" w:cs="仿宋"/>
          <w:color w:val="auto"/>
          <w:kern w:val="0"/>
          <w:sz w:val="24"/>
        </w:rPr>
      </w:pPr>
      <w:r>
        <w:rPr>
          <w:rFonts w:hint="eastAsia" w:ascii="仿宋" w:hAnsi="仿宋" w:eastAsia="仿宋" w:cs="仿宋"/>
          <w:color w:val="auto"/>
          <w:kern w:val="0"/>
          <w:sz w:val="24"/>
        </w:rPr>
        <w:t>项目名称：</w:t>
      </w:r>
    </w:p>
    <w:p>
      <w:pPr>
        <w:widowControl/>
        <w:spacing w:line="400" w:lineRule="exact"/>
        <w:jc w:val="left"/>
        <w:rPr>
          <w:rFonts w:ascii="仿宋" w:hAnsi="仿宋" w:eastAsia="仿宋" w:cs="仿宋"/>
          <w:color w:val="auto"/>
          <w:kern w:val="0"/>
          <w:sz w:val="24"/>
        </w:rPr>
      </w:pPr>
      <w:r>
        <w:rPr>
          <w:rFonts w:hint="eastAsia" w:ascii="仿宋" w:hAnsi="仿宋" w:eastAsia="仿宋" w:cs="仿宋"/>
          <w:color w:val="auto"/>
          <w:kern w:val="0"/>
          <w:sz w:val="24"/>
        </w:rPr>
        <w:t>项目编号：</w:t>
      </w:r>
    </w:p>
    <w:p>
      <w:pPr>
        <w:pStyle w:val="20"/>
        <w:pBdr>
          <w:bottom w:val="none" w:color="auto" w:sz="0" w:space="0"/>
        </w:pBdr>
        <w:tabs>
          <w:tab w:val="clear" w:pos="4153"/>
          <w:tab w:val="clear" w:pos="8306"/>
        </w:tabs>
        <w:snapToGrid/>
        <w:spacing w:line="400" w:lineRule="exact"/>
        <w:jc w:val="both"/>
        <w:rPr>
          <w:rFonts w:ascii="仿宋" w:hAnsi="仿宋" w:eastAsia="仿宋" w:cs="仿宋"/>
          <w:color w:val="auto"/>
          <w:sz w:val="24"/>
        </w:rPr>
      </w:pPr>
      <w:r>
        <w:rPr>
          <w:rFonts w:hint="eastAsia" w:ascii="仿宋" w:hAnsi="仿宋" w:eastAsia="仿宋" w:cs="仿宋"/>
          <w:color w:val="auto"/>
          <w:kern w:val="0"/>
          <w:sz w:val="24"/>
        </w:rPr>
        <w:t>包件号及名称：（若有）</w:t>
      </w:r>
    </w:p>
    <w:p>
      <w:pPr>
        <w:widowControl/>
        <w:spacing w:line="520" w:lineRule="exact"/>
        <w:ind w:firstLine="480" w:firstLineChars="200"/>
        <w:jc w:val="left"/>
        <w:rPr>
          <w:rFonts w:ascii="仿宋" w:hAnsi="仿宋" w:eastAsia="仿宋" w:cs="仿宋"/>
          <w:bCs/>
          <w:color w:val="auto"/>
          <w:kern w:val="0"/>
          <w:sz w:val="24"/>
        </w:rPr>
      </w:pPr>
    </w:p>
    <w:p>
      <w:pPr>
        <w:widowControl/>
        <w:spacing w:line="520" w:lineRule="exact"/>
        <w:ind w:firstLine="480" w:firstLineChars="200"/>
        <w:jc w:val="left"/>
        <w:rPr>
          <w:rFonts w:ascii="仿宋" w:hAnsi="仿宋" w:eastAsia="仿宋" w:cs="仿宋"/>
          <w:bCs/>
          <w:color w:val="auto"/>
          <w:kern w:val="0"/>
          <w:sz w:val="24"/>
        </w:rPr>
      </w:pPr>
      <w:r>
        <w:rPr>
          <w:rFonts w:hint="eastAsia" w:ascii="仿宋" w:hAnsi="仿宋" w:eastAsia="仿宋" w:cs="仿宋"/>
          <w:bCs/>
          <w:color w:val="auto"/>
          <w:kern w:val="0"/>
          <w:sz w:val="24"/>
        </w:rPr>
        <w:t>由供应商自行编写，格式不限，但应包含不限于：综合评分明细表涉及内容。</w:t>
      </w:r>
    </w:p>
    <w:p>
      <w:pPr>
        <w:adjustRightInd w:val="0"/>
        <w:spacing w:line="400" w:lineRule="exact"/>
        <w:ind w:firstLine="480" w:firstLineChars="200"/>
        <w:jc w:val="left"/>
        <w:rPr>
          <w:rFonts w:ascii="仿宋" w:hAnsi="仿宋" w:eastAsia="仿宋" w:cs="仿宋"/>
          <w:color w:val="auto"/>
          <w:sz w:val="24"/>
        </w:rPr>
      </w:pP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（盖单位公章）</w:t>
      </w:r>
    </w:p>
    <w:p>
      <w:pPr>
        <w:adjustRightInd w:val="0"/>
        <w:spacing w:line="400" w:lineRule="exact"/>
        <w:jc w:val="left"/>
        <w:rPr>
          <w:rFonts w:ascii="仿宋" w:hAnsi="仿宋" w:eastAsia="仿宋" w:cs="仿宋"/>
          <w:bCs/>
          <w:color w:val="auto"/>
          <w:sz w:val="24"/>
        </w:rPr>
      </w:pPr>
      <w:r>
        <w:rPr>
          <w:rFonts w:hint="eastAsia" w:ascii="仿宋" w:hAnsi="仿宋" w:eastAsia="仿宋" w:cs="仿宋"/>
          <w:bCs/>
          <w:color w:val="auto"/>
          <w:sz w:val="24"/>
        </w:rPr>
        <w:t>法定代表人或授权代表（签字或加盖印章）：</w:t>
      </w: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日  期：</w:t>
      </w:r>
    </w:p>
    <w:p>
      <w:pPr>
        <w:widowControl/>
        <w:spacing w:line="520" w:lineRule="exact"/>
        <w:jc w:val="left"/>
        <w:rPr>
          <w:rFonts w:ascii="仿宋" w:hAnsi="仿宋" w:eastAsia="仿宋" w:cs="仿宋"/>
          <w:bCs/>
          <w:color w:val="auto"/>
          <w:kern w:val="0"/>
          <w:sz w:val="24"/>
        </w:rPr>
      </w:pPr>
    </w:p>
    <w:p>
      <w:pPr>
        <w:widowControl/>
        <w:spacing w:line="520" w:lineRule="exact"/>
        <w:jc w:val="left"/>
        <w:rPr>
          <w:rFonts w:ascii="仿宋" w:hAnsi="仿宋" w:eastAsia="仿宋" w:cs="仿宋"/>
          <w:bCs/>
          <w:color w:val="auto"/>
          <w:kern w:val="0"/>
          <w:sz w:val="24"/>
        </w:rPr>
      </w:pPr>
    </w:p>
    <w:p>
      <w:pPr>
        <w:widowControl/>
        <w:spacing w:line="520" w:lineRule="exact"/>
        <w:jc w:val="left"/>
        <w:rPr>
          <w:rFonts w:ascii="仿宋" w:hAnsi="仿宋" w:eastAsia="仿宋" w:cs="仿宋"/>
          <w:bCs/>
          <w:color w:val="auto"/>
          <w:kern w:val="0"/>
          <w:sz w:val="24"/>
        </w:rPr>
      </w:pPr>
    </w:p>
    <w:p>
      <w:pPr>
        <w:widowControl/>
        <w:spacing w:line="520" w:lineRule="exact"/>
        <w:jc w:val="left"/>
        <w:rPr>
          <w:rFonts w:ascii="仿宋" w:hAnsi="仿宋" w:eastAsia="仿宋" w:cs="仿宋"/>
          <w:bCs/>
          <w:color w:val="auto"/>
          <w:kern w:val="0"/>
          <w:sz w:val="24"/>
        </w:rPr>
      </w:pPr>
    </w:p>
    <w:p>
      <w:pPr>
        <w:widowControl/>
        <w:spacing w:line="520" w:lineRule="exact"/>
        <w:jc w:val="left"/>
        <w:rPr>
          <w:rFonts w:ascii="仿宋" w:hAnsi="仿宋" w:eastAsia="仿宋" w:cs="仿宋"/>
          <w:bCs/>
          <w:color w:val="auto"/>
          <w:kern w:val="0"/>
          <w:sz w:val="24"/>
        </w:rPr>
      </w:pPr>
    </w:p>
    <w:p>
      <w:pPr>
        <w:widowControl/>
        <w:spacing w:line="520" w:lineRule="exact"/>
        <w:jc w:val="left"/>
        <w:rPr>
          <w:rFonts w:ascii="仿宋" w:hAnsi="仿宋" w:eastAsia="仿宋" w:cs="仿宋"/>
          <w:bCs/>
          <w:color w:val="auto"/>
          <w:kern w:val="0"/>
          <w:sz w:val="24"/>
        </w:rPr>
      </w:pPr>
    </w:p>
    <w:p>
      <w:pPr>
        <w:widowControl/>
        <w:spacing w:line="520" w:lineRule="exact"/>
        <w:jc w:val="left"/>
        <w:rPr>
          <w:rFonts w:ascii="仿宋" w:hAnsi="仿宋" w:eastAsia="仿宋" w:cs="仿宋"/>
          <w:bCs/>
          <w:color w:val="auto"/>
          <w:kern w:val="0"/>
          <w:sz w:val="24"/>
        </w:rPr>
      </w:pPr>
    </w:p>
    <w:p>
      <w:pPr>
        <w:widowControl/>
        <w:spacing w:line="520" w:lineRule="exact"/>
        <w:jc w:val="left"/>
        <w:rPr>
          <w:rFonts w:ascii="仿宋" w:hAnsi="仿宋" w:eastAsia="仿宋" w:cs="仿宋"/>
          <w:bCs/>
          <w:color w:val="auto"/>
          <w:kern w:val="0"/>
          <w:sz w:val="24"/>
        </w:rPr>
      </w:pPr>
    </w:p>
    <w:p>
      <w:pPr>
        <w:widowControl/>
        <w:spacing w:line="520" w:lineRule="exact"/>
        <w:jc w:val="left"/>
        <w:rPr>
          <w:rFonts w:ascii="仿宋" w:hAnsi="仿宋" w:eastAsia="仿宋" w:cs="仿宋"/>
          <w:bCs/>
          <w:color w:val="auto"/>
          <w:kern w:val="0"/>
          <w:sz w:val="24"/>
        </w:rPr>
      </w:pPr>
    </w:p>
    <w:p>
      <w:pPr>
        <w:snapToGrid w:val="0"/>
        <w:spacing w:line="560" w:lineRule="exact"/>
        <w:rPr>
          <w:rFonts w:ascii="仿宋" w:hAnsi="仿宋" w:eastAsia="仿宋" w:cs="仿宋"/>
          <w:color w:val="auto"/>
          <w:kern w:val="0"/>
          <w:sz w:val="24"/>
          <w:szCs w:val="32"/>
          <w:lang w:val="zh-CN"/>
        </w:rPr>
      </w:pPr>
    </w:p>
    <w:p>
      <w:pPr>
        <w:snapToGrid w:val="0"/>
        <w:spacing w:line="560" w:lineRule="exact"/>
        <w:rPr>
          <w:rFonts w:ascii="仿宋" w:hAnsi="仿宋" w:eastAsia="仿宋" w:cs="仿宋"/>
          <w:color w:val="auto"/>
          <w:kern w:val="0"/>
          <w:sz w:val="24"/>
          <w:szCs w:val="32"/>
          <w:lang w:val="zh-CN"/>
        </w:rPr>
      </w:pPr>
    </w:p>
    <w:p>
      <w:pPr>
        <w:snapToGrid w:val="0"/>
        <w:spacing w:line="560" w:lineRule="exact"/>
        <w:ind w:firstLine="480" w:firstLineChars="200"/>
        <w:rPr>
          <w:rFonts w:ascii="仿宋" w:hAnsi="仿宋" w:eastAsia="仿宋" w:cs="仿宋"/>
          <w:color w:val="auto"/>
          <w:kern w:val="0"/>
          <w:sz w:val="24"/>
          <w:szCs w:val="32"/>
          <w:lang w:val="zh-CN"/>
        </w:rPr>
      </w:pPr>
    </w:p>
    <w:p>
      <w:pPr>
        <w:snapToGrid w:val="0"/>
        <w:spacing w:line="560" w:lineRule="exact"/>
        <w:ind w:firstLine="480" w:firstLineChars="200"/>
        <w:rPr>
          <w:rFonts w:ascii="仿宋" w:hAnsi="仿宋" w:eastAsia="仿宋" w:cs="仿宋"/>
          <w:color w:val="auto"/>
          <w:kern w:val="0"/>
          <w:sz w:val="24"/>
          <w:szCs w:val="32"/>
          <w:lang w:val="zh-CN"/>
        </w:rPr>
      </w:pPr>
    </w:p>
    <w:p>
      <w:pPr>
        <w:snapToGrid w:val="0"/>
        <w:spacing w:line="560" w:lineRule="exact"/>
        <w:ind w:firstLine="480" w:firstLineChars="200"/>
        <w:rPr>
          <w:rFonts w:ascii="仿宋" w:hAnsi="仿宋" w:eastAsia="仿宋" w:cs="仿宋"/>
          <w:color w:val="auto"/>
          <w:kern w:val="0"/>
          <w:sz w:val="24"/>
          <w:szCs w:val="32"/>
          <w:lang w:val="zh-CN"/>
        </w:rPr>
      </w:pPr>
    </w:p>
    <w:p>
      <w:pPr>
        <w:snapToGrid w:val="0"/>
        <w:spacing w:line="560" w:lineRule="exact"/>
        <w:ind w:firstLine="480" w:firstLineChars="200"/>
        <w:rPr>
          <w:rFonts w:ascii="仿宋" w:hAnsi="仿宋" w:eastAsia="仿宋" w:cs="仿宋"/>
          <w:color w:val="auto"/>
          <w:kern w:val="0"/>
          <w:sz w:val="24"/>
          <w:szCs w:val="32"/>
          <w:lang w:val="zh-CN"/>
        </w:rPr>
      </w:pPr>
    </w:p>
    <w:p>
      <w:pPr>
        <w:rPr>
          <w:color w:val="auto"/>
          <w:lang w:val="zh-CN"/>
        </w:rPr>
      </w:pPr>
    </w:p>
    <w:p>
      <w:pPr>
        <w:ind w:firstLine="643" w:firstLineChars="200"/>
        <w:jc w:val="center"/>
        <w:rPr>
          <w:rFonts w:ascii="仿宋" w:hAnsi="仿宋" w:eastAsia="仿宋" w:cs="仿宋"/>
          <w:b/>
          <w:color w:val="auto"/>
          <w:sz w:val="32"/>
          <w:szCs w:val="32"/>
        </w:rPr>
      </w:pPr>
      <w:r>
        <w:rPr>
          <w:rFonts w:hint="eastAsia" w:ascii="仿宋" w:hAnsi="仿宋" w:eastAsia="仿宋" w:cs="仿宋"/>
          <w:b/>
          <w:color w:val="auto"/>
          <w:sz w:val="32"/>
          <w:szCs w:val="32"/>
        </w:rPr>
        <w:t>十五、诚信情况承诺</w:t>
      </w:r>
    </w:p>
    <w:p>
      <w:pPr>
        <w:snapToGrid w:val="0"/>
        <w:spacing w:line="360" w:lineRule="auto"/>
        <w:ind w:firstLine="480" w:firstLineChars="200"/>
        <w:rPr>
          <w:rFonts w:ascii="仿宋" w:hAnsi="仿宋" w:eastAsia="仿宋" w:cs="仿宋"/>
          <w:color w:val="auto"/>
          <w:sz w:val="24"/>
        </w:rPr>
      </w:pPr>
    </w:p>
    <w:p>
      <w:pPr>
        <w:widowControl/>
        <w:spacing w:line="400" w:lineRule="exact"/>
        <w:jc w:val="left"/>
        <w:rPr>
          <w:rFonts w:ascii="仿宋" w:hAnsi="仿宋" w:eastAsia="仿宋" w:cs="仿宋"/>
          <w:color w:val="auto"/>
          <w:kern w:val="0"/>
          <w:sz w:val="24"/>
        </w:rPr>
      </w:pPr>
      <w:r>
        <w:rPr>
          <w:rFonts w:hint="eastAsia" w:ascii="仿宋" w:hAnsi="仿宋" w:eastAsia="仿宋" w:cs="仿宋"/>
          <w:color w:val="auto"/>
          <w:kern w:val="0"/>
          <w:sz w:val="24"/>
        </w:rPr>
        <w:t>项目名称：</w:t>
      </w:r>
    </w:p>
    <w:p>
      <w:pPr>
        <w:widowControl/>
        <w:spacing w:line="400" w:lineRule="exact"/>
        <w:jc w:val="left"/>
        <w:rPr>
          <w:rFonts w:ascii="仿宋" w:hAnsi="仿宋" w:eastAsia="仿宋" w:cs="仿宋"/>
          <w:color w:val="auto"/>
          <w:kern w:val="0"/>
          <w:sz w:val="24"/>
        </w:rPr>
      </w:pPr>
      <w:r>
        <w:rPr>
          <w:rFonts w:hint="eastAsia" w:ascii="仿宋" w:hAnsi="仿宋" w:eastAsia="仿宋" w:cs="仿宋"/>
          <w:color w:val="auto"/>
          <w:kern w:val="0"/>
          <w:sz w:val="24"/>
        </w:rPr>
        <w:t>项目编号：</w:t>
      </w:r>
    </w:p>
    <w:p>
      <w:pPr>
        <w:widowControl/>
        <w:spacing w:line="400" w:lineRule="exact"/>
        <w:jc w:val="left"/>
        <w:rPr>
          <w:rFonts w:ascii="仿宋" w:hAnsi="仿宋" w:eastAsia="仿宋" w:cs="仿宋"/>
          <w:color w:val="auto"/>
          <w:kern w:val="0"/>
          <w:sz w:val="24"/>
        </w:rPr>
      </w:pPr>
      <w:r>
        <w:rPr>
          <w:rFonts w:hint="eastAsia" w:ascii="仿宋" w:hAnsi="仿宋" w:eastAsia="仿宋" w:cs="仿宋"/>
          <w:color w:val="auto"/>
          <w:kern w:val="0"/>
          <w:sz w:val="24"/>
        </w:rPr>
        <w:t>包件号及名称：（若有）</w:t>
      </w: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四川尚运晟工程项目管理有限公司：</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按照《四川省政府采购当事人诚信管理办法》(川财采[2015]33号)的要求，在递交响应文件截止日前被财政部门记入诚信档案的且在有效期内的失信行为的有</w:t>
      </w:r>
      <w:r>
        <w:rPr>
          <w:rFonts w:hint="eastAsia" w:ascii="仿宋" w:hAnsi="仿宋" w:eastAsia="仿宋" w:cs="仿宋"/>
          <w:color w:val="auto"/>
          <w:sz w:val="24"/>
          <w:u w:val="single"/>
        </w:rPr>
        <w:t xml:space="preserve">   </w:t>
      </w:r>
      <w:r>
        <w:rPr>
          <w:rFonts w:hint="eastAsia" w:ascii="仿宋" w:hAnsi="仿宋" w:eastAsia="仿宋" w:cs="仿宋"/>
          <w:color w:val="auto"/>
          <w:sz w:val="24"/>
        </w:rPr>
        <w:t>次。</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我单位在递交响应文件截止日前被工商部门、税务部门、审判机关及其他有关部门单位认定且处于有效期内的失信行为的有</w:t>
      </w:r>
      <w:r>
        <w:rPr>
          <w:rFonts w:hint="eastAsia" w:ascii="仿宋" w:hAnsi="仿宋" w:eastAsia="仿宋" w:cs="仿宋"/>
          <w:color w:val="auto"/>
          <w:sz w:val="24"/>
          <w:u w:val="single"/>
        </w:rPr>
        <w:t xml:space="preserve">   </w:t>
      </w:r>
      <w:r>
        <w:rPr>
          <w:rFonts w:hint="eastAsia" w:ascii="仿宋" w:hAnsi="仿宋" w:eastAsia="仿宋" w:cs="仿宋"/>
          <w:color w:val="auto"/>
          <w:sz w:val="24"/>
        </w:rPr>
        <w:t>次。</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本公司对上述承诺的真实性负责。如有虚假，将依法承担相应责任。</w:t>
      </w:r>
    </w:p>
    <w:p>
      <w:pPr>
        <w:snapToGrid w:val="0"/>
        <w:spacing w:line="360" w:lineRule="auto"/>
        <w:ind w:firstLine="643" w:firstLineChars="200"/>
        <w:rPr>
          <w:rFonts w:ascii="仿宋" w:hAnsi="仿宋" w:eastAsia="仿宋" w:cs="仿宋"/>
          <w:b/>
          <w:color w:val="auto"/>
          <w:kern w:val="0"/>
          <w:sz w:val="32"/>
          <w:szCs w:val="32"/>
          <w:lang w:val="zh-CN"/>
        </w:rPr>
      </w:pPr>
    </w:p>
    <w:p>
      <w:pPr>
        <w:adjustRightInd w:val="0"/>
        <w:spacing w:line="400" w:lineRule="exact"/>
        <w:jc w:val="left"/>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（盖单位公章）</w:t>
      </w:r>
    </w:p>
    <w:p>
      <w:pPr>
        <w:adjustRightInd w:val="0"/>
        <w:spacing w:line="400" w:lineRule="exact"/>
        <w:jc w:val="left"/>
        <w:rPr>
          <w:rFonts w:ascii="仿宋" w:hAnsi="仿宋" w:eastAsia="仿宋" w:cs="仿宋"/>
          <w:bCs/>
          <w:color w:val="auto"/>
          <w:sz w:val="24"/>
        </w:rPr>
      </w:pPr>
      <w:r>
        <w:rPr>
          <w:rFonts w:hint="eastAsia" w:ascii="仿宋" w:hAnsi="仿宋" w:eastAsia="仿宋" w:cs="仿宋"/>
          <w:bCs/>
          <w:color w:val="auto"/>
          <w:sz w:val="24"/>
        </w:rPr>
        <w:t>法定代表人或授权代表（签字或加盖印章）：</w:t>
      </w:r>
    </w:p>
    <w:p>
      <w:pPr>
        <w:snapToGrid w:val="0"/>
        <w:spacing w:line="560" w:lineRule="atLeast"/>
        <w:ind w:firstLine="480" w:firstLineChars="200"/>
        <w:rPr>
          <w:rFonts w:ascii="仿宋" w:hAnsi="仿宋" w:eastAsia="仿宋" w:cs="仿宋"/>
          <w:color w:val="auto"/>
          <w:kern w:val="0"/>
          <w:sz w:val="24"/>
          <w:szCs w:val="32"/>
          <w:lang w:val="zh-CN"/>
        </w:rPr>
      </w:pPr>
      <w:r>
        <w:rPr>
          <w:rFonts w:hint="eastAsia" w:ascii="仿宋" w:hAnsi="仿宋" w:eastAsia="仿宋" w:cs="仿宋"/>
          <w:color w:val="auto"/>
          <w:sz w:val="24"/>
        </w:rPr>
        <w:t>日  期：</w:t>
      </w:r>
    </w:p>
    <w:p>
      <w:pPr>
        <w:snapToGrid w:val="0"/>
        <w:spacing w:line="560" w:lineRule="atLeast"/>
        <w:ind w:firstLine="482" w:firstLineChars="200"/>
        <w:rPr>
          <w:rFonts w:ascii="仿宋" w:hAnsi="仿宋" w:eastAsia="仿宋" w:cs="仿宋"/>
          <w:b/>
          <w:color w:val="auto"/>
          <w:kern w:val="0"/>
          <w:sz w:val="24"/>
          <w:szCs w:val="32"/>
          <w:lang w:val="zh-CN"/>
        </w:rPr>
      </w:pPr>
      <w:r>
        <w:rPr>
          <w:rFonts w:hint="eastAsia" w:ascii="仿宋" w:hAnsi="仿宋" w:eastAsia="仿宋" w:cs="仿宋"/>
          <w:b/>
          <w:color w:val="auto"/>
          <w:kern w:val="0"/>
          <w:sz w:val="24"/>
          <w:szCs w:val="32"/>
          <w:lang w:val="zh-CN"/>
        </w:rPr>
        <w:t>注：</w:t>
      </w:r>
    </w:p>
    <w:p>
      <w:pPr>
        <w:snapToGrid w:val="0"/>
        <w:spacing w:line="560" w:lineRule="atLeast"/>
        <w:ind w:firstLine="480" w:firstLineChars="200"/>
        <w:rPr>
          <w:rFonts w:ascii="仿宋" w:hAnsi="仿宋" w:eastAsia="仿宋" w:cs="仿宋"/>
          <w:color w:val="auto"/>
          <w:kern w:val="0"/>
          <w:sz w:val="24"/>
          <w:szCs w:val="20"/>
          <w:lang w:val="zh-CN"/>
        </w:rPr>
      </w:pPr>
      <w:r>
        <w:rPr>
          <w:rFonts w:hint="eastAsia" w:ascii="仿宋" w:hAnsi="仿宋" w:eastAsia="仿宋" w:cs="仿宋"/>
          <w:color w:val="auto"/>
          <w:kern w:val="0"/>
          <w:sz w:val="24"/>
          <w:szCs w:val="20"/>
        </w:rPr>
        <w:t>供应商应根据自身实际情况据实进行承诺，“无”请填写“0次”或“零次”或“/”。</w:t>
      </w:r>
    </w:p>
    <w:p>
      <w:pPr>
        <w:snapToGrid w:val="0"/>
        <w:spacing w:line="560" w:lineRule="exact"/>
        <w:ind w:firstLine="480" w:firstLineChars="200"/>
        <w:rPr>
          <w:rFonts w:ascii="仿宋" w:hAnsi="仿宋" w:eastAsia="仿宋" w:cs="仿宋"/>
          <w:color w:val="auto"/>
          <w:kern w:val="0"/>
          <w:sz w:val="24"/>
          <w:szCs w:val="32"/>
          <w:lang w:val="zh-CN"/>
        </w:rPr>
      </w:pPr>
    </w:p>
    <w:p>
      <w:pPr>
        <w:snapToGrid w:val="0"/>
        <w:spacing w:line="560" w:lineRule="exact"/>
        <w:ind w:firstLine="643" w:firstLineChars="200"/>
        <w:rPr>
          <w:rFonts w:ascii="仿宋" w:hAnsi="仿宋" w:eastAsia="仿宋" w:cs="仿宋"/>
          <w:b/>
          <w:color w:val="auto"/>
          <w:kern w:val="0"/>
          <w:sz w:val="32"/>
          <w:szCs w:val="32"/>
          <w:lang w:val="zh-CN"/>
        </w:rPr>
      </w:pPr>
    </w:p>
    <w:p>
      <w:pPr>
        <w:pStyle w:val="2"/>
        <w:rPr>
          <w:rFonts w:ascii="仿宋" w:hAnsi="仿宋" w:eastAsia="仿宋" w:cs="仿宋"/>
          <w:b/>
          <w:color w:val="auto"/>
          <w:kern w:val="0"/>
          <w:sz w:val="32"/>
          <w:szCs w:val="32"/>
          <w:lang w:val="zh-CN"/>
        </w:rPr>
      </w:pPr>
    </w:p>
    <w:p>
      <w:pPr>
        <w:rPr>
          <w:rFonts w:ascii="仿宋" w:hAnsi="仿宋" w:eastAsia="仿宋" w:cs="仿宋"/>
          <w:b/>
          <w:color w:val="auto"/>
          <w:kern w:val="0"/>
          <w:sz w:val="32"/>
          <w:szCs w:val="32"/>
          <w:lang w:val="zh-CN"/>
        </w:rPr>
      </w:pPr>
    </w:p>
    <w:p>
      <w:pPr>
        <w:pStyle w:val="2"/>
        <w:rPr>
          <w:rFonts w:ascii="仿宋" w:hAnsi="仿宋" w:eastAsia="仿宋" w:cs="仿宋"/>
          <w:b/>
          <w:color w:val="auto"/>
          <w:kern w:val="0"/>
          <w:sz w:val="32"/>
          <w:szCs w:val="32"/>
          <w:lang w:val="zh-CN"/>
        </w:rPr>
      </w:pPr>
    </w:p>
    <w:p>
      <w:pPr>
        <w:rPr>
          <w:rFonts w:ascii="仿宋" w:hAnsi="仿宋" w:eastAsia="仿宋" w:cs="仿宋"/>
          <w:b/>
          <w:color w:val="auto"/>
          <w:kern w:val="0"/>
          <w:sz w:val="32"/>
          <w:szCs w:val="32"/>
          <w:lang w:val="zh-CN"/>
        </w:rPr>
      </w:pPr>
    </w:p>
    <w:p>
      <w:pPr>
        <w:pStyle w:val="2"/>
        <w:rPr>
          <w:color w:val="auto"/>
          <w:lang w:val="zh-CN"/>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十六</w:t>
      </w:r>
      <w:r>
        <w:rPr>
          <w:rFonts w:hint="eastAsia" w:ascii="宋体" w:hAnsi="宋体" w:eastAsia="宋体" w:cs="宋体"/>
          <w:b/>
          <w:color w:val="auto"/>
          <w:sz w:val="32"/>
          <w:szCs w:val="32"/>
          <w:highlight w:val="none"/>
        </w:rPr>
        <w:t>、最终报价表（磋商后适用）</w:t>
      </w:r>
    </w:p>
    <w:p>
      <w:pPr>
        <w:jc w:val="center"/>
        <w:rPr>
          <w:rFonts w:hint="eastAsia" w:ascii="宋体" w:hAnsi="宋体" w:eastAsia="宋体" w:cs="宋体"/>
          <w:color w:val="auto"/>
          <w:sz w:val="28"/>
          <w:szCs w:val="28"/>
          <w:highlight w:val="none"/>
        </w:rPr>
      </w:pPr>
    </w:p>
    <w:p>
      <w:pPr>
        <w:rPr>
          <w:rFonts w:hint="eastAsia" w:ascii="宋体" w:hAnsi="宋体" w:eastAsia="宋体" w:cs="宋体"/>
          <w:color w:val="auto"/>
          <w:sz w:val="24"/>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154" w:type="dxa"/>
            <w:noWrap w:val="0"/>
            <w:vAlign w:val="center"/>
          </w:tcPr>
          <w:p>
            <w:pPr>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采购项目名称</w:t>
            </w:r>
          </w:p>
        </w:tc>
        <w:tc>
          <w:tcPr>
            <w:tcW w:w="6066" w:type="dxa"/>
            <w:noWrap w:val="0"/>
            <w:vAlign w:val="center"/>
          </w:tcPr>
          <w:p>
            <w:pPr>
              <w:adjustRightInd w:val="0"/>
              <w:snapToGrid w:val="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4154" w:type="dxa"/>
            <w:noWrap w:val="0"/>
            <w:vAlign w:val="center"/>
          </w:tcPr>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lang w:eastAsia="zh-CN"/>
              </w:rPr>
              <w:t>最终</w:t>
            </w:r>
            <w:r>
              <w:rPr>
                <w:rFonts w:hint="eastAsia" w:ascii="宋体" w:hAnsi="宋体" w:eastAsia="宋体" w:cs="宋体"/>
                <w:color w:val="auto"/>
                <w:highlight w:val="none"/>
              </w:rPr>
              <w:t>报价（元）</w:t>
            </w:r>
          </w:p>
        </w:tc>
        <w:tc>
          <w:tcPr>
            <w:tcW w:w="6066" w:type="dxa"/>
            <w:noWrap w:val="0"/>
            <w:vAlign w:val="center"/>
          </w:tcPr>
          <w:p>
            <w:pPr>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人民币：</w:t>
            </w:r>
            <w:r>
              <w:rPr>
                <w:rFonts w:hint="eastAsia" w:ascii="宋体" w:hAnsi="宋体" w:eastAsia="宋体" w:cs="宋体"/>
                <w:color w:val="auto"/>
                <w:highlight w:val="none"/>
                <w:u w:val="single"/>
              </w:rPr>
              <w:t xml:space="preserve">                            （小写） </w:t>
            </w:r>
            <w:r>
              <w:rPr>
                <w:rFonts w:hint="eastAsia" w:ascii="宋体" w:hAnsi="宋体" w:eastAsia="宋体" w:cs="宋体"/>
                <w:color w:val="auto"/>
                <w:highlight w:val="none"/>
              </w:rPr>
              <w:t>元；</w:t>
            </w:r>
          </w:p>
          <w:p>
            <w:pPr>
              <w:adjustRightInd w:val="0"/>
              <w:snapToGrid w:val="0"/>
              <w:rPr>
                <w:rFonts w:hint="eastAsia" w:ascii="宋体" w:hAnsi="宋体" w:eastAsia="宋体" w:cs="宋体"/>
                <w:color w:val="auto"/>
                <w:highlight w:val="none"/>
              </w:rPr>
            </w:pPr>
          </w:p>
          <w:p>
            <w:pPr>
              <w:adjustRightInd w:val="0"/>
              <w:snapToGrid w:val="0"/>
              <w:rPr>
                <w:rFonts w:hint="eastAsia" w:ascii="宋体" w:hAnsi="宋体" w:eastAsia="宋体" w:cs="宋体"/>
                <w:color w:val="auto"/>
                <w:highlight w:val="none"/>
              </w:rPr>
            </w:pPr>
          </w:p>
          <w:p>
            <w:pPr>
              <w:adjustRightInd w:val="0"/>
              <w:snapToGrid w:val="0"/>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highlight w:val="none"/>
              </w:rPr>
              <w:t>人民币：</w:t>
            </w:r>
            <w:r>
              <w:rPr>
                <w:rFonts w:hint="eastAsia" w:ascii="宋体" w:hAnsi="宋体" w:eastAsia="宋体" w:cs="宋体"/>
                <w:color w:val="auto"/>
                <w:highlight w:val="none"/>
                <w:u w:val="single"/>
              </w:rPr>
              <w:t xml:space="preserve">                             （大写）</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4154" w:type="dxa"/>
            <w:noWrap w:val="0"/>
            <w:vAlign w:val="center"/>
          </w:tcPr>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t>备注</w:t>
            </w:r>
          </w:p>
        </w:tc>
        <w:tc>
          <w:tcPr>
            <w:tcW w:w="6066" w:type="dxa"/>
            <w:noWrap w:val="0"/>
            <w:vAlign w:val="center"/>
          </w:tcPr>
          <w:p>
            <w:pPr>
              <w:adjustRightInd w:val="0"/>
              <w:snapToGrid w:val="0"/>
              <w:jc w:val="left"/>
              <w:rPr>
                <w:rFonts w:hint="eastAsia" w:ascii="宋体" w:hAnsi="宋体" w:eastAsia="宋体" w:cs="宋体"/>
                <w:color w:val="auto"/>
                <w:sz w:val="28"/>
                <w:szCs w:val="28"/>
                <w:highlight w:val="none"/>
              </w:rPr>
            </w:pPr>
            <w:r>
              <w:rPr>
                <w:rFonts w:hint="eastAsia" w:ascii="宋体" w:hAnsi="宋体" w:eastAsia="宋体" w:cs="宋体"/>
                <w:color w:val="auto"/>
                <w:highlight w:val="none"/>
              </w:rPr>
              <w:t>此报价为本项目最终报价。考虑的评审现场的实际操作性， 我公司承诺，若我公司有幸成交，将依照上述报价，履行采购合同。</w:t>
            </w:r>
          </w:p>
        </w:tc>
      </w:tr>
    </w:tbl>
    <w:p>
      <w:pPr>
        <w:pStyle w:val="2"/>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注： 1. 报价应为包括磋商文件规定的全部采购内容的报价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2.“最终报价一览表”为多页的，每页均需由法定代表人或授权代表签字。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以上表格如不能完全表达清楚供应商认为必要的费用明细，供应商可自行补充。</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（全称）                          </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法定代表人或授权代表（签字） ： </w:t>
      </w:r>
      <w:r>
        <w:rPr>
          <w:rFonts w:hint="eastAsia" w:ascii="宋体" w:hAnsi="宋体" w:eastAsia="宋体" w:cs="宋体"/>
          <w:color w:val="auto"/>
          <w:highlight w:val="none"/>
          <w:u w:val="single"/>
        </w:rPr>
        <w:t xml:space="preserve">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spacing w:line="360" w:lineRule="auto"/>
        <w:ind w:firstLine="420" w:firstLineChars="200"/>
        <w:rPr>
          <w:rFonts w:hint="eastAsia" w:ascii="宋体" w:hAnsi="宋体" w:eastAsia="宋体" w:cs="宋体"/>
          <w:color w:val="auto"/>
          <w:highlight w:val="none"/>
        </w:rPr>
      </w:pPr>
    </w:p>
    <w:p>
      <w:pPr>
        <w:snapToGrid w:val="0"/>
        <w:spacing w:line="360" w:lineRule="auto"/>
        <w:ind w:firstLine="422" w:firstLineChars="200"/>
        <w:rPr>
          <w:rFonts w:ascii="仿宋" w:hAnsi="仿宋" w:eastAsia="仿宋" w:cs="仿宋"/>
          <w:b/>
          <w:color w:val="auto"/>
          <w:kern w:val="0"/>
          <w:sz w:val="32"/>
          <w:szCs w:val="32"/>
          <w:lang w:val="zh-CN"/>
        </w:rPr>
        <w:sectPr>
          <w:footerReference r:id="rId18" w:type="default"/>
          <w:pgSz w:w="11906" w:h="16838"/>
          <w:pgMar w:top="1440" w:right="1841" w:bottom="1440" w:left="1800" w:header="851" w:footer="992" w:gutter="0"/>
          <w:cols w:space="720" w:num="1"/>
          <w:docGrid w:type="lines" w:linePitch="312" w:charSpace="0"/>
        </w:sectPr>
      </w:pPr>
      <w:r>
        <w:rPr>
          <w:rFonts w:hint="eastAsia" w:ascii="宋体" w:hAnsi="宋体" w:eastAsia="宋体" w:cs="宋体"/>
          <w:b/>
          <w:bCs/>
          <w:color w:val="auto"/>
          <w:highlight w:val="none"/>
        </w:rPr>
        <w:t>特别提示： 最终报价一览表是在供应商与磋商小组进行磋商后，密封装在信封内单独递交的。</w:t>
      </w:r>
    </w:p>
    <w:p>
      <w:pPr>
        <w:pStyle w:val="3"/>
        <w:widowControl/>
        <w:spacing w:line="240" w:lineRule="auto"/>
        <w:jc w:val="center"/>
        <w:rPr>
          <w:rFonts w:ascii="仿宋" w:hAnsi="仿宋" w:eastAsia="仿宋" w:cs="仿宋"/>
          <w:color w:val="auto"/>
          <w:sz w:val="28"/>
          <w:szCs w:val="28"/>
        </w:rPr>
      </w:pPr>
      <w:bookmarkStart w:id="111" w:name="_Toc508714409"/>
      <w:r>
        <w:rPr>
          <w:rFonts w:hint="eastAsia" w:ascii="仿宋" w:hAnsi="仿宋" w:eastAsia="仿宋" w:cs="仿宋"/>
          <w:color w:val="auto"/>
          <w:sz w:val="28"/>
          <w:szCs w:val="28"/>
        </w:rPr>
        <w:t>第九章  评审方法</w:t>
      </w:r>
      <w:bookmarkEnd w:id="111"/>
    </w:p>
    <w:p>
      <w:pPr>
        <w:pStyle w:val="4"/>
        <w:keepNext w:val="0"/>
        <w:keepLines w:val="0"/>
        <w:spacing w:before="0" w:after="0" w:line="400" w:lineRule="exact"/>
        <w:ind w:firstLine="472" w:firstLineChars="196"/>
        <w:rPr>
          <w:rFonts w:ascii="仿宋" w:hAnsi="仿宋" w:eastAsia="仿宋" w:cs="仿宋"/>
          <w:color w:val="auto"/>
          <w:sz w:val="24"/>
          <w:szCs w:val="24"/>
        </w:rPr>
      </w:pPr>
      <w:bookmarkStart w:id="112" w:name="_Toc101174146"/>
      <w:bookmarkStart w:id="113" w:name="_Toc101338358"/>
      <w:bookmarkStart w:id="114" w:name="_Toc209847065"/>
      <w:bookmarkStart w:id="115" w:name="_Toc101250640"/>
      <w:bookmarkStart w:id="116" w:name="_Toc430773924"/>
    </w:p>
    <w:p>
      <w:pPr>
        <w:pStyle w:val="4"/>
        <w:keepNext w:val="0"/>
        <w:keepLines w:val="0"/>
        <w:spacing w:before="0" w:after="0" w:line="400" w:lineRule="exact"/>
        <w:ind w:firstLine="472" w:firstLineChars="196"/>
        <w:rPr>
          <w:rFonts w:ascii="仿宋" w:hAnsi="仿宋" w:eastAsia="仿宋" w:cs="仿宋"/>
          <w:color w:val="auto"/>
          <w:sz w:val="24"/>
          <w:szCs w:val="24"/>
        </w:rPr>
      </w:pPr>
      <w:r>
        <w:rPr>
          <w:rFonts w:hint="eastAsia" w:ascii="仿宋" w:hAnsi="仿宋" w:eastAsia="仿宋" w:cs="仿宋"/>
          <w:color w:val="auto"/>
          <w:sz w:val="24"/>
          <w:szCs w:val="24"/>
        </w:rPr>
        <w:t>1.总则</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1.1 根据《中华人民共和国政府采购法》、《中华人民共和国政府采购法实施条例》、《政府采购竞争性磋商采购方式管理暂行办法》等法律制度，结合本采购项目特点制定本磋商方法。</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1.2 磋商工作由采购代理机构负责组织，具体磋商由采购代理机构依法组建的磋商小组负责。</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1.3 磋商工作应遵循公平、公正、科学及择优的原则，并以相同的磋商程序和标准对待所有的供应商。</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1.4 磋商小组按照磋商文件规定的磋商程序、评分方法和标准进行评审，并独立履行下列职责：</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（1）熟悉和理解磋商文件，确定磋商文件内容是否违反国家有关强制性规定或者磋商文件存在歧义、重大缺陷，根据需要书面要求采购人、采购代理机构对磋商文件作出解释；</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（2）审查供应商响应文件是否满足磋商文件要求，并作出公正评价；</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（3）根据需要要求供应商对响应文件中含义不明确、同类问题表述不一致或者有明显文字和计算错误的内容等作出必要的澄清、说明或者更正；</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（4）推荐成交供应商；</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（5）起草评审报告并进行签署；</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（6）向采购人、采购代理机构、财政部门或者其他监督部门报告非法干预评审工作的行为；</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（7）法律、法规和规章规定的其他职责。</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 xml:space="preserve">1.5 </w:t>
      </w:r>
      <w:r>
        <w:rPr>
          <w:rFonts w:hint="eastAsia" w:ascii="仿宋" w:hAnsi="仿宋" w:eastAsia="仿宋" w:cs="仿宋"/>
          <w:color w:val="auto"/>
          <w:sz w:val="24"/>
          <w:szCs w:val="24"/>
        </w:rPr>
        <w:t>（实质性要求）</w:t>
      </w:r>
      <w:r>
        <w:rPr>
          <w:rFonts w:hint="eastAsia" w:ascii="仿宋" w:hAnsi="仿宋" w:eastAsia="仿宋" w:cs="仿宋"/>
          <w:b w:val="0"/>
          <w:color w:val="auto"/>
          <w:sz w:val="24"/>
          <w:szCs w:val="24"/>
        </w:rPr>
        <w:t>磋商过程独立、保密。供应商非法干预磋商过程的，其响应文件作无效处理。</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1.6 磋商小组评价响应文件，除磋商小组要求其澄清、说明或者纠正而提供的资料外，仅依据响应文件本身的内容，不寻求供应商提供其他外部证据。</w:t>
      </w:r>
    </w:p>
    <w:p>
      <w:pPr>
        <w:ind w:firstLine="413"/>
        <w:rPr>
          <w:rFonts w:ascii="仿宋" w:hAnsi="仿宋" w:eastAsia="仿宋" w:cs="仿宋"/>
          <w:color w:val="auto"/>
        </w:rPr>
      </w:pPr>
    </w:p>
    <w:p>
      <w:pPr>
        <w:pStyle w:val="4"/>
        <w:keepNext w:val="0"/>
        <w:keepLines w:val="0"/>
        <w:spacing w:before="0" w:after="0" w:line="400" w:lineRule="exact"/>
        <w:ind w:firstLine="472" w:firstLineChars="196"/>
        <w:rPr>
          <w:rFonts w:ascii="仿宋" w:hAnsi="仿宋" w:eastAsia="仿宋" w:cs="仿宋"/>
          <w:color w:val="auto"/>
          <w:sz w:val="24"/>
          <w:szCs w:val="24"/>
        </w:rPr>
      </w:pPr>
      <w:r>
        <w:rPr>
          <w:rFonts w:hint="eastAsia" w:ascii="仿宋" w:hAnsi="仿宋" w:eastAsia="仿宋" w:cs="仿宋"/>
          <w:color w:val="auto"/>
          <w:sz w:val="24"/>
          <w:szCs w:val="24"/>
        </w:rPr>
        <w:t>2.磋商程序</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2.1审查磋商文件和停止评审。</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2.1.2 本磋商文件有下列情形之一的，磋商小组应当停止评审：</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（1）磋商文件的规定存在歧义，采购人或采购代理机构未进行书面澄清影响评审的；</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（2）磋商文件的规定存在重大缺陷影响评审的；</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（3）磋商文件明显以不合理条件对供应商实行差别待遇或者歧视待遇的；</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（4）采购项目属于国家规定的优先、强制采购范围，但是磋商文件未依法体现优先、强制采购相关规定的；</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（5）采购项目属于政府采购促进中小企业发展的范围，但是磋商文件未依法体现促进中小企业发展相关规定的；</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（6）磋商文件将供应商的资格条件列为评分因素的；</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（7）磋商文件载明的成交原则不合法的；</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（8）磋商文件有违反国家其他有关强制性规定的情形。</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2.1.3 出现本条2.1.2规定应当停止评审情形的，磋商小组应当向采购人书面说明情况。除本条规定的情形外，磋商小组不得以任何方式和理由停止评审。</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2.1.4 磋商小组熟悉和理解磋商文件完成后，应书面签字确认本磋商文件是否有属于应当停止评审的情形。</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2.2资格审查。</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2.2.1本项目需要磋商小组对供应商递交的资格性响应文件进行资格性检查。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400" w:lineRule="exact"/>
        <w:ind w:firstLine="470" w:firstLineChars="196"/>
        <w:rPr>
          <w:rFonts w:ascii="仿宋" w:hAnsi="仿宋" w:eastAsia="仿宋" w:cs="仿宋"/>
          <w:color w:val="auto"/>
          <w:kern w:val="0"/>
          <w:sz w:val="24"/>
        </w:rPr>
      </w:pPr>
      <w:r>
        <w:rPr>
          <w:rFonts w:hint="eastAsia" w:ascii="仿宋" w:hAnsi="仿宋" w:eastAsia="仿宋" w:cs="仿宋"/>
          <w:b w:val="0"/>
          <w:color w:val="auto"/>
          <w:sz w:val="24"/>
          <w:szCs w:val="24"/>
        </w:rPr>
        <w:t>资格审查标准如下：</w:t>
      </w:r>
    </w:p>
    <w:tbl>
      <w:tblPr>
        <w:tblStyle w:val="29"/>
        <w:tblW w:w="84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934"/>
        <w:gridCol w:w="2977"/>
        <w:gridCol w:w="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widowControl/>
              <w:snapToGrid w:val="0"/>
              <w:jc w:val="center"/>
              <w:rPr>
                <w:rFonts w:ascii="仿宋" w:hAnsi="仿宋" w:eastAsia="仿宋" w:cs="仿宋"/>
                <w:b/>
                <w:color w:val="auto"/>
                <w:kern w:val="0"/>
                <w:sz w:val="24"/>
              </w:rPr>
            </w:pPr>
            <w:r>
              <w:rPr>
                <w:rFonts w:hint="eastAsia" w:ascii="仿宋" w:hAnsi="仿宋" w:eastAsia="仿宋" w:cs="仿宋"/>
                <w:b/>
                <w:color w:val="auto"/>
                <w:kern w:val="0"/>
                <w:sz w:val="24"/>
              </w:rPr>
              <w:t>序号</w:t>
            </w:r>
          </w:p>
        </w:tc>
        <w:tc>
          <w:tcPr>
            <w:tcW w:w="3934" w:type="dxa"/>
            <w:vAlign w:val="center"/>
          </w:tcPr>
          <w:p>
            <w:pPr>
              <w:widowControl/>
              <w:snapToGrid w:val="0"/>
              <w:jc w:val="center"/>
              <w:rPr>
                <w:rFonts w:ascii="仿宋" w:hAnsi="仿宋" w:eastAsia="仿宋" w:cs="仿宋"/>
                <w:b/>
                <w:color w:val="auto"/>
                <w:kern w:val="0"/>
                <w:sz w:val="24"/>
              </w:rPr>
            </w:pPr>
            <w:r>
              <w:rPr>
                <w:rFonts w:hint="eastAsia" w:ascii="仿宋" w:hAnsi="仿宋" w:eastAsia="仿宋" w:cs="仿宋"/>
                <w:b/>
                <w:color w:val="auto"/>
                <w:kern w:val="0"/>
                <w:sz w:val="24"/>
              </w:rPr>
              <w:t>项     目</w:t>
            </w:r>
          </w:p>
        </w:tc>
        <w:tc>
          <w:tcPr>
            <w:tcW w:w="2977" w:type="dxa"/>
            <w:vAlign w:val="center"/>
          </w:tcPr>
          <w:p>
            <w:pPr>
              <w:widowControl/>
              <w:snapToGrid w:val="0"/>
              <w:jc w:val="center"/>
              <w:rPr>
                <w:rFonts w:ascii="仿宋" w:hAnsi="仿宋" w:eastAsia="仿宋" w:cs="仿宋"/>
                <w:color w:val="auto"/>
                <w:kern w:val="0"/>
                <w:sz w:val="24"/>
              </w:rPr>
            </w:pPr>
            <w:r>
              <w:rPr>
                <w:rFonts w:hint="eastAsia" w:ascii="仿宋" w:hAnsi="仿宋" w:eastAsia="仿宋" w:cs="仿宋"/>
                <w:b/>
                <w:color w:val="auto"/>
                <w:kern w:val="0"/>
                <w:sz w:val="24"/>
              </w:rPr>
              <w:t>合格条件</w:t>
            </w:r>
          </w:p>
        </w:tc>
        <w:tc>
          <w:tcPr>
            <w:tcW w:w="851" w:type="dxa"/>
            <w:vAlign w:val="center"/>
          </w:tcPr>
          <w:p>
            <w:pPr>
              <w:widowControl/>
              <w:snapToGrid w:val="0"/>
              <w:jc w:val="center"/>
              <w:rPr>
                <w:rFonts w:ascii="仿宋" w:hAnsi="仿宋" w:eastAsia="仿宋" w:cs="仿宋"/>
                <w:b/>
                <w:color w:val="auto"/>
                <w:kern w:val="0"/>
                <w:sz w:val="24"/>
              </w:rPr>
            </w:pPr>
            <w:r>
              <w:rPr>
                <w:rFonts w:hint="eastAsia" w:ascii="仿宋" w:hAnsi="仿宋" w:eastAsia="仿宋" w:cs="仿宋"/>
                <w:b/>
                <w:color w:val="auto"/>
                <w:kern w:val="0"/>
                <w:sz w:val="24"/>
              </w:rPr>
              <w:t>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vAlign w:val="center"/>
          </w:tcPr>
          <w:p>
            <w:pPr>
              <w:widowControl/>
              <w:snapToGrid w:val="0"/>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3934" w:type="dxa"/>
            <w:vAlign w:val="center"/>
          </w:tcPr>
          <w:p>
            <w:pPr>
              <w:widowControl/>
              <w:snapToGrid w:val="0"/>
              <w:jc w:val="left"/>
              <w:rPr>
                <w:rFonts w:ascii="仿宋" w:hAnsi="仿宋" w:eastAsia="仿宋" w:cs="仿宋"/>
                <w:color w:val="auto"/>
                <w:kern w:val="0"/>
                <w:sz w:val="24"/>
              </w:rPr>
            </w:pPr>
            <w:r>
              <w:rPr>
                <w:rFonts w:hint="eastAsia" w:ascii="仿宋" w:hAnsi="仿宋" w:eastAsia="仿宋" w:cs="仿宋"/>
                <w:color w:val="auto"/>
                <w:kern w:val="0"/>
                <w:sz w:val="24"/>
              </w:rPr>
              <w:t>具有独立承担民事责任能力的证明材料</w:t>
            </w:r>
          </w:p>
        </w:tc>
        <w:tc>
          <w:tcPr>
            <w:tcW w:w="2977" w:type="dxa"/>
            <w:vAlign w:val="center"/>
          </w:tcPr>
          <w:p>
            <w:pPr>
              <w:widowControl/>
              <w:snapToGrid w:val="0"/>
              <w:jc w:val="left"/>
              <w:rPr>
                <w:rFonts w:ascii="仿宋" w:hAnsi="仿宋" w:eastAsia="仿宋" w:cs="仿宋"/>
                <w:color w:val="auto"/>
                <w:kern w:val="0"/>
                <w:sz w:val="24"/>
              </w:rPr>
            </w:pPr>
            <w:r>
              <w:rPr>
                <w:rFonts w:hint="eastAsia" w:ascii="仿宋" w:hAnsi="仿宋" w:eastAsia="仿宋" w:cs="仿宋"/>
                <w:color w:val="auto"/>
                <w:kern w:val="0"/>
                <w:sz w:val="24"/>
              </w:rPr>
              <w:t>符合磋商文件要求。</w:t>
            </w:r>
          </w:p>
        </w:tc>
        <w:tc>
          <w:tcPr>
            <w:tcW w:w="851" w:type="dxa"/>
            <w:vAlign w:val="center"/>
          </w:tcPr>
          <w:p>
            <w:pPr>
              <w:widowControl/>
              <w:snapToGrid w:val="0"/>
              <w:jc w:val="left"/>
              <w:rPr>
                <w:rFonts w:ascii="仿宋" w:hAnsi="仿宋" w:eastAsia="仿宋" w:cs="仿宋"/>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vAlign w:val="center"/>
          </w:tcPr>
          <w:p>
            <w:pPr>
              <w:widowControl/>
              <w:snapToGrid w:val="0"/>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3934" w:type="dxa"/>
            <w:vAlign w:val="center"/>
          </w:tcPr>
          <w:p>
            <w:pPr>
              <w:widowControl/>
              <w:snapToGrid w:val="0"/>
              <w:spacing w:line="240" w:lineRule="atLeast"/>
              <w:jc w:val="left"/>
              <w:rPr>
                <w:rFonts w:ascii="仿宋" w:hAnsi="仿宋" w:eastAsia="仿宋" w:cs="仿宋"/>
                <w:color w:val="auto"/>
                <w:kern w:val="0"/>
                <w:sz w:val="24"/>
              </w:rPr>
            </w:pPr>
            <w:r>
              <w:rPr>
                <w:rFonts w:hint="eastAsia" w:ascii="仿宋" w:hAnsi="仿宋" w:eastAsia="仿宋" w:cs="仿宋"/>
                <w:color w:val="auto"/>
                <w:kern w:val="0"/>
                <w:sz w:val="24"/>
              </w:rPr>
              <w:t>良好的商业信誉承诺函</w:t>
            </w:r>
          </w:p>
        </w:tc>
        <w:tc>
          <w:tcPr>
            <w:tcW w:w="2977" w:type="dxa"/>
            <w:vAlign w:val="center"/>
          </w:tcPr>
          <w:p>
            <w:pPr>
              <w:widowControl/>
              <w:snapToGrid w:val="0"/>
              <w:spacing w:line="240" w:lineRule="atLeast"/>
              <w:jc w:val="left"/>
              <w:rPr>
                <w:rFonts w:ascii="仿宋" w:hAnsi="仿宋" w:eastAsia="仿宋" w:cs="仿宋"/>
                <w:color w:val="auto"/>
                <w:kern w:val="0"/>
                <w:sz w:val="24"/>
              </w:rPr>
            </w:pPr>
            <w:r>
              <w:rPr>
                <w:rFonts w:hint="eastAsia" w:ascii="仿宋" w:hAnsi="仿宋" w:eastAsia="仿宋" w:cs="仿宋"/>
                <w:color w:val="auto"/>
                <w:kern w:val="0"/>
                <w:sz w:val="24"/>
              </w:rPr>
              <w:t>符合磋商文件要求。</w:t>
            </w:r>
          </w:p>
        </w:tc>
        <w:tc>
          <w:tcPr>
            <w:tcW w:w="851" w:type="dxa"/>
            <w:vAlign w:val="center"/>
          </w:tcPr>
          <w:p>
            <w:pPr>
              <w:widowControl/>
              <w:snapToGrid w:val="0"/>
              <w:jc w:val="left"/>
              <w:rPr>
                <w:rFonts w:ascii="仿宋" w:hAnsi="仿宋" w:eastAsia="仿宋" w:cs="仿宋"/>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10" w:type="dxa"/>
            <w:vAlign w:val="center"/>
          </w:tcPr>
          <w:p>
            <w:pPr>
              <w:widowControl/>
              <w:snapToGrid w:val="0"/>
              <w:jc w:val="center"/>
              <w:rPr>
                <w:rFonts w:ascii="仿宋" w:hAnsi="仿宋" w:eastAsia="仿宋" w:cs="仿宋"/>
                <w:color w:val="auto"/>
                <w:kern w:val="0"/>
                <w:sz w:val="24"/>
              </w:rPr>
            </w:pPr>
            <w:r>
              <w:rPr>
                <w:rFonts w:hint="eastAsia" w:ascii="仿宋" w:hAnsi="仿宋" w:eastAsia="仿宋" w:cs="仿宋"/>
                <w:color w:val="auto"/>
                <w:kern w:val="0"/>
                <w:sz w:val="24"/>
              </w:rPr>
              <w:t>3</w:t>
            </w:r>
          </w:p>
        </w:tc>
        <w:tc>
          <w:tcPr>
            <w:tcW w:w="3934" w:type="dxa"/>
            <w:vAlign w:val="center"/>
          </w:tcPr>
          <w:p>
            <w:pPr>
              <w:widowControl/>
              <w:snapToGrid w:val="0"/>
              <w:jc w:val="left"/>
              <w:rPr>
                <w:rFonts w:ascii="仿宋" w:hAnsi="仿宋" w:eastAsia="仿宋" w:cs="仿宋"/>
                <w:color w:val="auto"/>
                <w:kern w:val="0"/>
                <w:sz w:val="24"/>
              </w:rPr>
            </w:pPr>
            <w:r>
              <w:rPr>
                <w:rFonts w:hint="eastAsia" w:ascii="仿宋" w:hAnsi="仿宋" w:eastAsia="仿宋" w:cs="仿宋"/>
                <w:color w:val="auto"/>
                <w:kern w:val="0"/>
                <w:sz w:val="24"/>
              </w:rPr>
              <w:t>具备履行合同所必需的设备和专业技术能力的证明材料</w:t>
            </w:r>
          </w:p>
        </w:tc>
        <w:tc>
          <w:tcPr>
            <w:tcW w:w="2977" w:type="dxa"/>
            <w:vAlign w:val="center"/>
          </w:tcPr>
          <w:p>
            <w:pPr>
              <w:widowControl/>
              <w:snapToGrid w:val="0"/>
              <w:jc w:val="left"/>
              <w:rPr>
                <w:rFonts w:ascii="仿宋" w:hAnsi="仿宋" w:eastAsia="仿宋" w:cs="仿宋"/>
                <w:color w:val="auto"/>
                <w:kern w:val="0"/>
                <w:sz w:val="24"/>
              </w:rPr>
            </w:pPr>
            <w:r>
              <w:rPr>
                <w:rFonts w:hint="eastAsia" w:ascii="仿宋" w:hAnsi="仿宋" w:eastAsia="仿宋" w:cs="仿宋"/>
                <w:color w:val="auto"/>
                <w:kern w:val="0"/>
                <w:sz w:val="24"/>
              </w:rPr>
              <w:t>符合磋商文件要求。</w:t>
            </w:r>
          </w:p>
        </w:tc>
        <w:tc>
          <w:tcPr>
            <w:tcW w:w="851" w:type="dxa"/>
            <w:vAlign w:val="center"/>
          </w:tcPr>
          <w:p>
            <w:pPr>
              <w:widowControl/>
              <w:snapToGrid w:val="0"/>
              <w:jc w:val="left"/>
              <w:rPr>
                <w:rFonts w:ascii="仿宋" w:hAnsi="仿宋" w:eastAsia="仿宋" w:cs="仿宋"/>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10" w:type="dxa"/>
            <w:vAlign w:val="center"/>
          </w:tcPr>
          <w:p>
            <w:pPr>
              <w:widowControl/>
              <w:snapToGrid w:val="0"/>
              <w:jc w:val="center"/>
              <w:rPr>
                <w:rFonts w:ascii="仿宋" w:hAnsi="仿宋" w:eastAsia="仿宋" w:cs="仿宋"/>
                <w:color w:val="auto"/>
                <w:kern w:val="0"/>
                <w:sz w:val="24"/>
              </w:rPr>
            </w:pPr>
            <w:r>
              <w:rPr>
                <w:rFonts w:hint="eastAsia" w:ascii="仿宋" w:hAnsi="仿宋" w:eastAsia="仿宋" w:cs="仿宋"/>
                <w:color w:val="auto"/>
                <w:kern w:val="0"/>
                <w:sz w:val="24"/>
              </w:rPr>
              <w:t>4</w:t>
            </w:r>
          </w:p>
        </w:tc>
        <w:tc>
          <w:tcPr>
            <w:tcW w:w="3934" w:type="dxa"/>
            <w:vAlign w:val="center"/>
          </w:tcPr>
          <w:p>
            <w:pPr>
              <w:widowControl/>
              <w:snapToGrid w:val="0"/>
              <w:jc w:val="left"/>
              <w:rPr>
                <w:rFonts w:ascii="仿宋" w:hAnsi="仿宋" w:eastAsia="仿宋" w:cs="仿宋"/>
                <w:color w:val="auto"/>
                <w:kern w:val="0"/>
                <w:sz w:val="24"/>
              </w:rPr>
            </w:pPr>
            <w:r>
              <w:rPr>
                <w:rFonts w:hint="eastAsia" w:ascii="仿宋" w:hAnsi="仿宋" w:eastAsia="仿宋" w:cs="仿宋"/>
                <w:color w:val="auto"/>
                <w:kern w:val="0"/>
                <w:sz w:val="24"/>
              </w:rPr>
              <w:t>财务状况报告，依法缴纳税收和社会保障资金的相关材料</w:t>
            </w:r>
          </w:p>
        </w:tc>
        <w:tc>
          <w:tcPr>
            <w:tcW w:w="2977" w:type="dxa"/>
            <w:vAlign w:val="center"/>
          </w:tcPr>
          <w:p>
            <w:pPr>
              <w:widowControl/>
              <w:snapToGrid w:val="0"/>
              <w:jc w:val="left"/>
              <w:rPr>
                <w:rFonts w:ascii="仿宋" w:hAnsi="仿宋" w:eastAsia="仿宋" w:cs="仿宋"/>
                <w:color w:val="auto"/>
                <w:kern w:val="0"/>
                <w:sz w:val="24"/>
              </w:rPr>
            </w:pPr>
            <w:r>
              <w:rPr>
                <w:rFonts w:hint="eastAsia" w:ascii="仿宋" w:hAnsi="仿宋" w:eastAsia="仿宋" w:cs="仿宋"/>
                <w:color w:val="auto"/>
                <w:kern w:val="0"/>
                <w:sz w:val="24"/>
              </w:rPr>
              <w:t>符合磋商文件要求。</w:t>
            </w:r>
          </w:p>
        </w:tc>
        <w:tc>
          <w:tcPr>
            <w:tcW w:w="851" w:type="dxa"/>
            <w:vAlign w:val="center"/>
          </w:tcPr>
          <w:p>
            <w:pPr>
              <w:widowControl/>
              <w:snapToGrid w:val="0"/>
              <w:jc w:val="left"/>
              <w:rPr>
                <w:rFonts w:ascii="仿宋" w:hAnsi="仿宋" w:eastAsia="仿宋" w:cs="仿宋"/>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10" w:type="dxa"/>
            <w:vAlign w:val="center"/>
          </w:tcPr>
          <w:p>
            <w:pPr>
              <w:widowControl/>
              <w:snapToGrid w:val="0"/>
              <w:jc w:val="center"/>
              <w:rPr>
                <w:rFonts w:ascii="仿宋" w:hAnsi="仿宋" w:eastAsia="仿宋" w:cs="仿宋"/>
                <w:color w:val="auto"/>
                <w:kern w:val="0"/>
                <w:sz w:val="24"/>
              </w:rPr>
            </w:pPr>
            <w:r>
              <w:rPr>
                <w:rFonts w:hint="eastAsia" w:ascii="仿宋" w:hAnsi="仿宋" w:eastAsia="仿宋" w:cs="仿宋"/>
                <w:color w:val="auto"/>
                <w:kern w:val="0"/>
                <w:sz w:val="24"/>
              </w:rPr>
              <w:t>5</w:t>
            </w:r>
          </w:p>
        </w:tc>
        <w:tc>
          <w:tcPr>
            <w:tcW w:w="3934" w:type="dxa"/>
            <w:vAlign w:val="center"/>
          </w:tcPr>
          <w:p>
            <w:pPr>
              <w:widowControl/>
              <w:snapToGrid w:val="0"/>
              <w:jc w:val="left"/>
              <w:rPr>
                <w:rFonts w:ascii="仿宋" w:hAnsi="仿宋" w:eastAsia="仿宋" w:cs="仿宋"/>
                <w:color w:val="auto"/>
                <w:kern w:val="0"/>
                <w:sz w:val="24"/>
              </w:rPr>
            </w:pPr>
            <w:r>
              <w:rPr>
                <w:rFonts w:hint="eastAsia" w:ascii="仿宋" w:hAnsi="仿宋" w:eastAsia="仿宋" w:cs="仿宋"/>
                <w:color w:val="auto"/>
                <w:kern w:val="0"/>
                <w:sz w:val="24"/>
              </w:rPr>
              <w:t>参加政府采购活动前3年内在经营活动中没有重大违法记录的证明材料</w:t>
            </w:r>
          </w:p>
        </w:tc>
        <w:tc>
          <w:tcPr>
            <w:tcW w:w="2977" w:type="dxa"/>
            <w:vAlign w:val="center"/>
          </w:tcPr>
          <w:p>
            <w:pPr>
              <w:widowControl/>
              <w:snapToGrid w:val="0"/>
              <w:jc w:val="left"/>
              <w:rPr>
                <w:rFonts w:ascii="仿宋" w:hAnsi="仿宋" w:eastAsia="仿宋" w:cs="仿宋"/>
                <w:color w:val="auto"/>
                <w:kern w:val="0"/>
                <w:sz w:val="24"/>
              </w:rPr>
            </w:pPr>
            <w:r>
              <w:rPr>
                <w:rFonts w:hint="eastAsia" w:ascii="仿宋" w:hAnsi="仿宋" w:eastAsia="仿宋" w:cs="仿宋"/>
                <w:color w:val="auto"/>
                <w:kern w:val="0"/>
                <w:sz w:val="24"/>
              </w:rPr>
              <w:t>符合磋商文件要求。</w:t>
            </w:r>
          </w:p>
        </w:tc>
        <w:tc>
          <w:tcPr>
            <w:tcW w:w="851" w:type="dxa"/>
            <w:vAlign w:val="center"/>
          </w:tcPr>
          <w:p>
            <w:pPr>
              <w:widowControl/>
              <w:snapToGrid w:val="0"/>
              <w:jc w:val="left"/>
              <w:rPr>
                <w:rFonts w:ascii="仿宋" w:hAnsi="仿宋" w:eastAsia="仿宋" w:cs="仿宋"/>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10" w:type="dxa"/>
            <w:vAlign w:val="center"/>
          </w:tcPr>
          <w:p>
            <w:pPr>
              <w:widowControl/>
              <w:snapToGrid w:val="0"/>
              <w:jc w:val="center"/>
              <w:rPr>
                <w:rFonts w:ascii="仿宋" w:hAnsi="仿宋" w:eastAsia="仿宋" w:cs="仿宋"/>
                <w:color w:val="auto"/>
                <w:kern w:val="0"/>
                <w:sz w:val="24"/>
              </w:rPr>
            </w:pPr>
            <w:r>
              <w:rPr>
                <w:rFonts w:hint="eastAsia" w:ascii="仿宋" w:hAnsi="仿宋" w:eastAsia="仿宋" w:cs="仿宋"/>
                <w:color w:val="auto"/>
                <w:kern w:val="0"/>
                <w:sz w:val="24"/>
              </w:rPr>
              <w:t>6</w:t>
            </w:r>
          </w:p>
        </w:tc>
        <w:tc>
          <w:tcPr>
            <w:tcW w:w="3934" w:type="dxa"/>
            <w:vAlign w:val="center"/>
          </w:tcPr>
          <w:p>
            <w:pPr>
              <w:widowControl/>
              <w:snapToGrid w:val="0"/>
              <w:jc w:val="left"/>
              <w:rPr>
                <w:rFonts w:ascii="仿宋" w:hAnsi="仿宋" w:eastAsia="仿宋" w:cs="仿宋"/>
                <w:color w:val="auto"/>
                <w:kern w:val="0"/>
                <w:sz w:val="24"/>
              </w:rPr>
            </w:pPr>
            <w:r>
              <w:rPr>
                <w:rFonts w:hint="eastAsia" w:ascii="仿宋" w:hAnsi="仿宋" w:eastAsia="仿宋" w:cs="仿宋"/>
                <w:color w:val="auto"/>
                <w:kern w:val="0"/>
                <w:sz w:val="24"/>
              </w:rPr>
              <w:t>具备法律、行政法规规定的其他条件的证明材料复印件或承诺函原件</w:t>
            </w:r>
          </w:p>
        </w:tc>
        <w:tc>
          <w:tcPr>
            <w:tcW w:w="2977" w:type="dxa"/>
            <w:vAlign w:val="center"/>
          </w:tcPr>
          <w:p>
            <w:pPr>
              <w:widowControl/>
              <w:snapToGrid w:val="0"/>
              <w:jc w:val="left"/>
              <w:rPr>
                <w:rFonts w:ascii="仿宋" w:hAnsi="仿宋" w:eastAsia="仿宋" w:cs="仿宋"/>
                <w:color w:val="auto"/>
                <w:kern w:val="0"/>
                <w:sz w:val="24"/>
              </w:rPr>
            </w:pPr>
            <w:r>
              <w:rPr>
                <w:rFonts w:hint="eastAsia" w:ascii="仿宋" w:hAnsi="仿宋" w:eastAsia="仿宋" w:cs="仿宋"/>
                <w:color w:val="auto"/>
                <w:kern w:val="0"/>
                <w:sz w:val="24"/>
              </w:rPr>
              <w:t>符合磋商文件要求。</w:t>
            </w:r>
          </w:p>
        </w:tc>
        <w:tc>
          <w:tcPr>
            <w:tcW w:w="851" w:type="dxa"/>
            <w:vAlign w:val="center"/>
          </w:tcPr>
          <w:p>
            <w:pPr>
              <w:widowControl/>
              <w:snapToGrid w:val="0"/>
              <w:jc w:val="left"/>
              <w:rPr>
                <w:rFonts w:ascii="仿宋" w:hAnsi="仿宋" w:eastAsia="仿宋" w:cs="仿宋"/>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7" w:hRule="atLeast"/>
        </w:trPr>
        <w:tc>
          <w:tcPr>
            <w:tcW w:w="710" w:type="dxa"/>
            <w:vAlign w:val="center"/>
          </w:tcPr>
          <w:p>
            <w:pPr>
              <w:widowControl/>
              <w:snapToGrid w:val="0"/>
              <w:jc w:val="center"/>
              <w:rPr>
                <w:rFonts w:ascii="仿宋" w:hAnsi="仿宋" w:eastAsia="仿宋" w:cs="仿宋"/>
                <w:color w:val="auto"/>
                <w:kern w:val="0"/>
                <w:sz w:val="24"/>
              </w:rPr>
            </w:pPr>
            <w:r>
              <w:rPr>
                <w:rFonts w:hint="eastAsia" w:ascii="仿宋" w:hAnsi="仿宋" w:eastAsia="仿宋" w:cs="仿宋"/>
                <w:color w:val="auto"/>
                <w:kern w:val="0"/>
                <w:sz w:val="24"/>
              </w:rPr>
              <w:t>7</w:t>
            </w:r>
          </w:p>
        </w:tc>
        <w:tc>
          <w:tcPr>
            <w:tcW w:w="3934" w:type="dxa"/>
            <w:vAlign w:val="center"/>
          </w:tcPr>
          <w:p>
            <w:pPr>
              <w:widowControl/>
              <w:snapToGrid w:val="0"/>
              <w:spacing w:line="240" w:lineRule="atLeast"/>
              <w:jc w:val="left"/>
              <w:rPr>
                <w:rFonts w:ascii="仿宋" w:hAnsi="仿宋" w:eastAsia="仿宋" w:cs="仿宋"/>
                <w:color w:val="auto"/>
                <w:kern w:val="0"/>
                <w:sz w:val="24"/>
              </w:rPr>
            </w:pPr>
            <w:r>
              <w:rPr>
                <w:rFonts w:hint="eastAsia" w:ascii="仿宋" w:hAnsi="仿宋" w:eastAsia="仿宋" w:cs="仿宋"/>
                <w:color w:val="auto"/>
                <w:kern w:val="0"/>
                <w:sz w:val="24"/>
              </w:rPr>
              <w:t>本项目规定的特定资格条件：</w:t>
            </w:r>
          </w:p>
        </w:tc>
        <w:tc>
          <w:tcPr>
            <w:tcW w:w="2977" w:type="dxa"/>
            <w:vAlign w:val="center"/>
          </w:tcPr>
          <w:p>
            <w:pPr>
              <w:widowControl/>
              <w:snapToGrid w:val="0"/>
              <w:jc w:val="left"/>
              <w:rPr>
                <w:rFonts w:ascii="仿宋" w:hAnsi="仿宋" w:eastAsia="仿宋" w:cs="仿宋"/>
                <w:color w:val="auto"/>
                <w:kern w:val="0"/>
                <w:sz w:val="24"/>
              </w:rPr>
            </w:pPr>
            <w:r>
              <w:rPr>
                <w:rFonts w:hint="eastAsia" w:ascii="仿宋" w:hAnsi="仿宋" w:eastAsia="仿宋" w:cs="仿宋"/>
                <w:color w:val="auto"/>
                <w:kern w:val="0"/>
                <w:sz w:val="24"/>
              </w:rPr>
              <w:t>符合磋商文件要求。</w:t>
            </w:r>
          </w:p>
        </w:tc>
        <w:tc>
          <w:tcPr>
            <w:tcW w:w="851" w:type="dxa"/>
            <w:vAlign w:val="center"/>
          </w:tcPr>
          <w:p>
            <w:pPr>
              <w:widowControl/>
              <w:snapToGrid w:val="0"/>
              <w:jc w:val="left"/>
              <w:rPr>
                <w:rFonts w:ascii="仿宋" w:hAnsi="仿宋" w:eastAsia="仿宋" w:cs="仿宋"/>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10" w:type="dxa"/>
            <w:vAlign w:val="center"/>
          </w:tcPr>
          <w:p>
            <w:pPr>
              <w:widowControl/>
              <w:snapToGrid w:val="0"/>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8</w:t>
            </w:r>
          </w:p>
        </w:tc>
        <w:tc>
          <w:tcPr>
            <w:tcW w:w="3934" w:type="dxa"/>
            <w:vAlign w:val="center"/>
          </w:tcPr>
          <w:p>
            <w:pPr>
              <w:widowControl/>
              <w:snapToGrid w:val="0"/>
              <w:jc w:val="left"/>
              <w:rPr>
                <w:rFonts w:ascii="仿宋" w:hAnsi="仿宋" w:eastAsia="仿宋" w:cs="仿宋"/>
                <w:color w:val="auto"/>
                <w:kern w:val="0"/>
                <w:sz w:val="24"/>
              </w:rPr>
            </w:pPr>
            <w:r>
              <w:rPr>
                <w:rFonts w:hint="eastAsia" w:ascii="仿宋" w:hAnsi="仿宋" w:eastAsia="仿宋" w:cs="仿宋"/>
                <w:color w:val="auto"/>
                <w:kern w:val="0"/>
                <w:sz w:val="24"/>
              </w:rPr>
              <w:t>法定代表人授权委托书原件及法定代表人身份证、代理人身份证复印件</w:t>
            </w:r>
          </w:p>
        </w:tc>
        <w:tc>
          <w:tcPr>
            <w:tcW w:w="2977" w:type="dxa"/>
            <w:vAlign w:val="center"/>
          </w:tcPr>
          <w:p>
            <w:pPr>
              <w:widowControl/>
              <w:snapToGrid w:val="0"/>
              <w:jc w:val="left"/>
              <w:rPr>
                <w:rFonts w:ascii="仿宋" w:hAnsi="仿宋" w:eastAsia="仿宋" w:cs="仿宋"/>
                <w:color w:val="auto"/>
                <w:kern w:val="0"/>
                <w:sz w:val="24"/>
              </w:rPr>
            </w:pPr>
            <w:r>
              <w:rPr>
                <w:rFonts w:hint="eastAsia" w:ascii="仿宋" w:hAnsi="仿宋" w:eastAsia="仿宋" w:cs="仿宋"/>
                <w:color w:val="auto"/>
                <w:kern w:val="0"/>
                <w:sz w:val="24"/>
              </w:rPr>
              <w:t>符合磋商文件要求。</w:t>
            </w:r>
          </w:p>
        </w:tc>
        <w:tc>
          <w:tcPr>
            <w:tcW w:w="851" w:type="dxa"/>
            <w:vAlign w:val="center"/>
          </w:tcPr>
          <w:p>
            <w:pPr>
              <w:widowControl/>
              <w:snapToGrid w:val="0"/>
              <w:jc w:val="left"/>
              <w:rPr>
                <w:rFonts w:ascii="仿宋" w:hAnsi="仿宋" w:eastAsia="仿宋" w:cs="仿宋"/>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7" w:hRule="atLeast"/>
        </w:trPr>
        <w:tc>
          <w:tcPr>
            <w:tcW w:w="710" w:type="dxa"/>
            <w:vAlign w:val="center"/>
          </w:tcPr>
          <w:p>
            <w:pPr>
              <w:widowControl/>
              <w:snapToGrid w:val="0"/>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9</w:t>
            </w:r>
          </w:p>
        </w:tc>
        <w:tc>
          <w:tcPr>
            <w:tcW w:w="3934" w:type="dxa"/>
            <w:vAlign w:val="center"/>
          </w:tcPr>
          <w:p>
            <w:pPr>
              <w:widowControl/>
              <w:snapToGrid w:val="0"/>
              <w:jc w:val="left"/>
              <w:rPr>
                <w:rFonts w:ascii="仿宋" w:hAnsi="仿宋" w:eastAsia="仿宋" w:cs="仿宋"/>
                <w:color w:val="auto"/>
                <w:kern w:val="0"/>
                <w:sz w:val="24"/>
              </w:rPr>
            </w:pPr>
            <w:r>
              <w:rPr>
                <w:rFonts w:hint="eastAsia" w:ascii="仿宋" w:hAnsi="仿宋" w:eastAsia="仿宋" w:cs="仿宋"/>
                <w:color w:val="auto"/>
                <w:sz w:val="24"/>
              </w:rPr>
              <w:t>第八章四、承诺函</w:t>
            </w:r>
          </w:p>
        </w:tc>
        <w:tc>
          <w:tcPr>
            <w:tcW w:w="2977" w:type="dxa"/>
            <w:vAlign w:val="center"/>
          </w:tcPr>
          <w:p>
            <w:pPr>
              <w:widowControl/>
              <w:snapToGrid w:val="0"/>
              <w:jc w:val="left"/>
              <w:rPr>
                <w:rFonts w:ascii="仿宋" w:hAnsi="仿宋" w:eastAsia="仿宋" w:cs="仿宋"/>
                <w:color w:val="auto"/>
                <w:kern w:val="0"/>
                <w:sz w:val="24"/>
              </w:rPr>
            </w:pPr>
            <w:r>
              <w:rPr>
                <w:rFonts w:hint="eastAsia" w:ascii="仿宋" w:hAnsi="仿宋" w:eastAsia="仿宋" w:cs="仿宋"/>
                <w:color w:val="auto"/>
                <w:kern w:val="0"/>
                <w:sz w:val="24"/>
              </w:rPr>
              <w:t>符合磋商文件要求。</w:t>
            </w:r>
          </w:p>
        </w:tc>
        <w:tc>
          <w:tcPr>
            <w:tcW w:w="851" w:type="dxa"/>
            <w:vAlign w:val="center"/>
          </w:tcPr>
          <w:p>
            <w:pPr>
              <w:widowControl/>
              <w:snapToGrid w:val="0"/>
              <w:jc w:val="left"/>
              <w:rPr>
                <w:rFonts w:ascii="仿宋" w:hAnsi="仿宋" w:eastAsia="仿宋" w:cs="仿宋"/>
                <w:color w:val="auto"/>
                <w:kern w:val="0"/>
                <w:sz w:val="24"/>
              </w:rPr>
            </w:pPr>
          </w:p>
        </w:tc>
      </w:tr>
    </w:tbl>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2.2.2资格审查结束后，磋商小组应当出具资格审查报告，没有通过资格审查的供应商，磋商小组应当在资格审查报告中说明原因。</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2.2.3采购代理机构应当将通过资格审查和未通过资格审查的供应商名单向所有供应商当场宣布。采购代理机构宣布未通过资格审查的供应商名单位时，应当告知供应商未通过资格审查的原因。</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2.3 通过资格审查的供应商不足3家的，终止本次采购活动，并发布终止采购活动公告。</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2.4磋商。</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2.4.2每轮磋商开始前，磋商小组应根据磋商文件的规定，并结合各供应商的响应文件拟定磋商内容。</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2.4.4对磋商文件作出的实质性变动是磋商文件的有效组成部分，磋商小组应当及时以书面形式同时通知所有参加磋商的供应商。</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2.4.5磋商过程中，磋商文件变动的，供应商应当按照磋商文件的变动情况和磋商小组的要求重新提交响应文件，并签字确认或者加盖公章，否则无效。供应商为法人的，由其法定代表人或者代理人签字；供应商为其他组织的，由其负责人或者代理人签字；供应商为自然人的，由其本人或者代理人签字。由代理人签字的，应当附授权书（代理人为同一人的可不再提供）。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2.4.6磋商过程中，磋商的任何一方不得透露与磋商有关的其他供应商的技术资料、价格和其他信息。</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2.4.7磋商过程中，磋商小组发现或者知晓供应商存在违法、违纪行为的，磋商小组应当将该供应商响应文件作无效处理，不允许其提交最后报价。</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2.4.8磋商完成后，磋商小组应出具磋商情况记录表，磋商情况记录表需包含磋商内容、磋商意见、实质性变动内容等。</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2.4.9磋商小组与供应商磋商和对供应商的响应文件审查后，供应商响应文件未实质性响应磋商文件的，磋商小组应当对其响应文件按无效处理，并书面告知供应商，说明理由。</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2.5最后报价。</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2.5.1磋商结束后，磋商小组应当要求所有实质性响应的供应商在规定时间内提交最后报价。两轮（若有，响应文件中的报价算一轮）以上报价的，供应商在未提高响应文件中承诺的产品及其服务质量的情况下，其最后报价不得高于对该项目之前的报价，否则，磋商小组应当对其响应文件按无效处理，并书面告知供应商，说明理由。</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供应商可在磋商室外填写最后报价表，密封递交采购代理机构工作人员，由工作人员收齐后集中递交磋商小组。工作人员不能拆封供应商最后报价表。</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2.5.2磋商文件能够详细列明采购标的的技术、服务要求的，磋商结束后，磋商小组应当要求所有实质性响应的供应商在规定时间内提交最后报价，提交最后报价的供应商不得少于3家。</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2.5.3供应商最后报价应当签字确认或者加盖公章，否则无效。供应商为法人的，由其法定代表人或者代理人签字；供应商为其他组织的，由其负责人或者代理人签字；供应商为自然人的，由其本人或者代理人签字。由代理人签字的，应当附授权书（代理人为同一人的可不再提供）。</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2.6比较与评价。由磋商小组采用综合评分法对提交最后报价的供应商的响应文件和最后报价进行综合评分，具体要求详见本章综合评分部分。</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2.7磋商小组复核。磋商小组评分汇总结束后，磋商小组应当进行评审复核，对畸高、畸低的重大差异评分，对拟推荐为成交候选供应商的、报价最低的、供应商资格审查未通过的、供应商响应文件作无效处理的重点复核。</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2.8采购组织单位现场复核评审结果。</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2.8.1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（1）资格审查认定错误的；</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（2）分值汇总计算错误的；</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（3）分项评分超出评分标准范围的；</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（4）客观评分不一致的。</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采购代理机构复核过程中，磋商小组成员不得离开评审现场。</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2.8.2有下列情形之一的，不得现场修改评审结果：</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（1）磋商小组已经出具磋商报告并且离开评审现场的；</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（2）采购代理机构现场复核时，复核工作人员数量不足的；</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（3）采购代理机构现场复核时，没有采购监督人员现场监督的；</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（4）采购代理机构现场复核内容超出规定范围的；</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（5）采购代理机构未提供书面建议的。</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2.9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r>
        <w:rPr>
          <w:rFonts w:hint="eastAsia" w:ascii="仿宋" w:hAnsi="仿宋" w:eastAsia="仿宋" w:cs="仿宋"/>
          <w:color w:val="auto"/>
          <w:kern w:val="0"/>
          <w:sz w:val="24"/>
          <w:lang w:val="zh-CN"/>
        </w:rPr>
        <w:t>（注：为扶持不发达地区和少数民族地区，评审得分且最后报价且技术指标分项得分均相同的，磋商小组优先推荐企业注册地在不发达地区和少数民族地区的供应商）</w:t>
      </w:r>
      <w:r>
        <w:rPr>
          <w:rFonts w:hint="eastAsia" w:ascii="仿宋" w:hAnsi="仿宋" w:eastAsia="仿宋" w:cs="仿宋"/>
          <w:color w:val="auto"/>
          <w:sz w:val="24"/>
        </w:rPr>
        <w:t>。</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2.10编写磋商报告。磋商小组推荐成交候选供应商后，应向采购代理机构出具磋商报告。磋商报告应当包括以下主要内容：</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（1）邀请供应商参加采购活动的具体方式和相关情况；</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（2）响应文件开启日期和地点；</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（3）获取磋商文件的供应商名单和磋商小组成员名单；</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（4）评审情况记录和说明，包括对供应商的资格审查情况、供应商响应文件审查情况、磋商情况、报价情况等；</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（5）提出的成交候选供应商的排序名单及理由。</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2.12供应商澄清、说明</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2.12.2磋商小组要求供应商澄清、说明或者更正响应文件应当以书面形式作出。供应商的澄清、说明或者更正应当签字或者加盖公章，供应商为法人的，由其法定代表人或者代理人签字；供应商为其他组织的，由其负责人或者代理人签字；供应商为自然人的，由其本人或者代理人签字。由代理人签字的，应当附授权书（代理人为同一人的可不再提供）。</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2.13终止磋商采购活动。</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出现下列情形之一的，采购人或者采购代理机构应当终止竞争性磋商采购活动，发布项目终止公告并说明原因，重新开展采购活动：</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（1）因情况变化，不再符合规定的竞争性磋商采购方式适用情形的；</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（2）出现影响采购公正的违法、违规行为的；</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（3）在采购过程中符合要求的供应商或者报价未超过采购预算的供应商不足3家的。</w:t>
      </w:r>
    </w:p>
    <w:p>
      <w:pPr>
        <w:spacing w:line="400" w:lineRule="exact"/>
        <w:ind w:firstLine="480" w:firstLineChars="200"/>
        <w:rPr>
          <w:rFonts w:ascii="仿宋" w:hAnsi="仿宋" w:eastAsia="仿宋" w:cs="仿宋"/>
          <w:color w:val="auto"/>
          <w:sz w:val="24"/>
        </w:rPr>
      </w:pPr>
    </w:p>
    <w:p>
      <w:pPr>
        <w:spacing w:line="400" w:lineRule="exact"/>
        <w:ind w:firstLine="482" w:firstLineChars="200"/>
        <w:rPr>
          <w:rFonts w:hint="eastAsia" w:ascii="仿宋" w:hAnsi="仿宋" w:eastAsia="仿宋" w:cs="仿宋"/>
          <w:b/>
          <w:color w:val="auto"/>
          <w:sz w:val="24"/>
        </w:rPr>
      </w:pPr>
    </w:p>
    <w:p>
      <w:pPr>
        <w:spacing w:line="400" w:lineRule="exact"/>
        <w:ind w:firstLine="482" w:firstLineChars="200"/>
        <w:rPr>
          <w:rFonts w:ascii="仿宋" w:hAnsi="仿宋" w:eastAsia="仿宋" w:cs="仿宋"/>
          <w:b/>
          <w:color w:val="auto"/>
          <w:sz w:val="24"/>
        </w:rPr>
      </w:pPr>
      <w:r>
        <w:rPr>
          <w:rFonts w:hint="eastAsia" w:ascii="仿宋" w:hAnsi="仿宋" w:eastAsia="仿宋" w:cs="仿宋"/>
          <w:b/>
          <w:color w:val="auto"/>
          <w:sz w:val="24"/>
        </w:rPr>
        <w:t>3.综合评分</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3.1本次综合评分的因素：</w:t>
      </w:r>
      <w:r>
        <w:rPr>
          <w:rFonts w:hint="eastAsia" w:ascii="仿宋" w:hAnsi="仿宋" w:eastAsia="仿宋" w:cs="仿宋"/>
          <w:color w:val="auto"/>
          <w:szCs w:val="21"/>
        </w:rPr>
        <w:t>详见综合评分明细表</w:t>
      </w:r>
      <w:r>
        <w:rPr>
          <w:rFonts w:hint="eastAsia" w:ascii="仿宋" w:hAnsi="仿宋" w:eastAsia="仿宋" w:cs="仿宋"/>
          <w:color w:val="auto"/>
          <w:sz w:val="24"/>
        </w:rPr>
        <w:t>。</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3.2 除价格因素外，磋商小组成员应当根据自身专业情况独立对每个有效供应商的响应文件进行评价、打分。技术、与技术有关的服务及其他技术类评分因素由技术方面磋商小组成员独立评分。财务状况及其他经济类评分因素由经济方面磋商小组成员独立评分。政府采购政策功能、政府采购合同主要条款及其他政策合同类的评分因素由法律方面磋商小组成员独立评分。采购人代表原则上对技术、与技术有关的服务及其他技术类评分因素独立评分。价格及其他不能明确区分的评分因素由磋商小组成员共同评分。</w:t>
      </w:r>
    </w:p>
    <w:p>
      <w:pPr>
        <w:pStyle w:val="11"/>
        <w:tabs>
          <w:tab w:val="left" w:pos="600"/>
        </w:tabs>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3.3综合评分明细表</w:t>
      </w:r>
    </w:p>
    <w:p>
      <w:pPr>
        <w:pStyle w:val="11"/>
        <w:tabs>
          <w:tab w:val="left" w:pos="600"/>
        </w:tabs>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3.3.1综合评分明细表的制定以科学合理、降低评委会自由裁量权为原则。</w:t>
      </w:r>
    </w:p>
    <w:p>
      <w:pPr>
        <w:pStyle w:val="4"/>
        <w:keepNext w:val="0"/>
        <w:keepLines w:val="0"/>
        <w:spacing w:before="0" w:after="0" w:line="400" w:lineRule="exact"/>
        <w:ind w:firstLine="470" w:firstLineChars="196"/>
        <w:rPr>
          <w:rFonts w:ascii="仿宋" w:hAnsi="仿宋" w:eastAsia="仿宋" w:cs="仿宋"/>
          <w:b w:val="0"/>
          <w:color w:val="auto"/>
          <w:sz w:val="24"/>
          <w:szCs w:val="24"/>
        </w:rPr>
      </w:pPr>
      <w:r>
        <w:rPr>
          <w:rFonts w:hint="eastAsia" w:ascii="仿宋" w:hAnsi="仿宋" w:eastAsia="仿宋" w:cs="仿宋"/>
          <w:b w:val="0"/>
          <w:color w:val="auto"/>
          <w:sz w:val="24"/>
          <w:szCs w:val="24"/>
        </w:rPr>
        <w:t>3.3.2综合评分明细表</w:t>
      </w:r>
    </w:p>
    <w:tbl>
      <w:tblPr>
        <w:tblStyle w:val="29"/>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530"/>
        <w:gridCol w:w="1040"/>
        <w:gridCol w:w="932"/>
        <w:gridCol w:w="5905"/>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gridSpan w:val="2"/>
            <w:noWrap/>
            <w:vAlign w:val="center"/>
          </w:tcPr>
          <w:p>
            <w:pPr>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b/>
                <w:bCs/>
                <w:snapToGrid w:val="0"/>
                <w:color w:val="auto"/>
                <w:sz w:val="22"/>
                <w:szCs w:val="22"/>
              </w:rPr>
              <w:t>序号</w:t>
            </w:r>
          </w:p>
        </w:tc>
        <w:tc>
          <w:tcPr>
            <w:tcW w:w="1040" w:type="dxa"/>
            <w:noWrap/>
            <w:vAlign w:val="center"/>
          </w:tcPr>
          <w:p>
            <w:pPr>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b/>
                <w:bCs/>
                <w:snapToGrid w:val="0"/>
                <w:color w:val="auto"/>
                <w:sz w:val="22"/>
                <w:szCs w:val="22"/>
              </w:rPr>
              <w:t>评分因素及权值</w:t>
            </w:r>
          </w:p>
        </w:tc>
        <w:tc>
          <w:tcPr>
            <w:tcW w:w="932" w:type="dxa"/>
            <w:noWrap/>
            <w:vAlign w:val="center"/>
          </w:tcPr>
          <w:p>
            <w:pPr>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b/>
                <w:bCs/>
                <w:snapToGrid w:val="0"/>
                <w:color w:val="auto"/>
                <w:sz w:val="22"/>
                <w:szCs w:val="22"/>
              </w:rPr>
              <w:t>分值</w:t>
            </w:r>
          </w:p>
        </w:tc>
        <w:tc>
          <w:tcPr>
            <w:tcW w:w="5905" w:type="dxa"/>
            <w:noWrap/>
            <w:vAlign w:val="center"/>
          </w:tcPr>
          <w:p>
            <w:pPr>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b/>
                <w:bCs/>
                <w:snapToGrid w:val="0"/>
                <w:color w:val="auto"/>
                <w:sz w:val="22"/>
                <w:szCs w:val="22"/>
              </w:rPr>
              <w:t>评分依据</w:t>
            </w:r>
          </w:p>
        </w:tc>
        <w:tc>
          <w:tcPr>
            <w:tcW w:w="1241" w:type="dxa"/>
            <w:noWrap/>
            <w:vAlign w:val="center"/>
          </w:tcPr>
          <w:p>
            <w:pPr>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b/>
                <w:bCs/>
                <w:snapToGrid w:val="0"/>
                <w:color w:val="auto"/>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dxa"/>
            <w:noWrap/>
            <w:vAlign w:val="center"/>
          </w:tcPr>
          <w:p>
            <w:pPr>
              <w:widowControl/>
              <w:adjustRightInd w:val="0"/>
              <w:snapToGrid w:val="0"/>
              <w:spacing w:line="288" w:lineRule="auto"/>
              <w:rPr>
                <w:rFonts w:ascii="仿宋" w:hAnsi="仿宋" w:eastAsia="仿宋" w:cs="仿宋"/>
                <w:color w:val="auto"/>
                <w:sz w:val="22"/>
                <w:szCs w:val="22"/>
              </w:rPr>
            </w:pPr>
            <w:r>
              <w:rPr>
                <w:rFonts w:hint="eastAsia" w:ascii="仿宋" w:hAnsi="仿宋" w:eastAsia="仿宋" w:cs="仿宋"/>
                <w:color w:val="auto"/>
                <w:sz w:val="22"/>
                <w:szCs w:val="22"/>
              </w:rPr>
              <w:t>1</w:t>
            </w:r>
          </w:p>
        </w:tc>
        <w:tc>
          <w:tcPr>
            <w:tcW w:w="530" w:type="dxa"/>
            <w:noWrap/>
            <w:vAlign w:val="center"/>
          </w:tcPr>
          <w:p>
            <w:pPr>
              <w:widowControl/>
              <w:adjustRightInd w:val="0"/>
              <w:snapToGrid w:val="0"/>
              <w:spacing w:line="288" w:lineRule="auto"/>
              <w:rPr>
                <w:rFonts w:ascii="仿宋" w:hAnsi="仿宋" w:eastAsia="仿宋" w:cs="仿宋"/>
                <w:color w:val="auto"/>
                <w:sz w:val="22"/>
                <w:szCs w:val="22"/>
              </w:rPr>
            </w:pPr>
            <w:r>
              <w:rPr>
                <w:rFonts w:hint="eastAsia" w:ascii="仿宋" w:hAnsi="仿宋" w:eastAsia="仿宋" w:cs="仿宋"/>
                <w:color w:val="auto"/>
                <w:sz w:val="22"/>
                <w:szCs w:val="22"/>
              </w:rPr>
              <w:t>报价类</w:t>
            </w:r>
          </w:p>
        </w:tc>
        <w:tc>
          <w:tcPr>
            <w:tcW w:w="1040" w:type="dxa"/>
            <w:noWrap/>
            <w:vAlign w:val="center"/>
          </w:tcPr>
          <w:p>
            <w:pPr>
              <w:widowControl/>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color w:val="auto"/>
                <w:sz w:val="22"/>
                <w:szCs w:val="22"/>
              </w:rPr>
              <w:t>报价10%</w:t>
            </w:r>
          </w:p>
        </w:tc>
        <w:tc>
          <w:tcPr>
            <w:tcW w:w="932" w:type="dxa"/>
            <w:noWrap/>
            <w:vAlign w:val="center"/>
          </w:tcPr>
          <w:p>
            <w:pPr>
              <w:widowControl/>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color w:val="auto"/>
                <w:sz w:val="22"/>
                <w:szCs w:val="22"/>
              </w:rPr>
              <w:t>10</w:t>
            </w:r>
          </w:p>
        </w:tc>
        <w:tc>
          <w:tcPr>
            <w:tcW w:w="5905" w:type="dxa"/>
            <w:noWrap/>
            <w:vAlign w:val="center"/>
          </w:tcPr>
          <w:p>
            <w:pPr>
              <w:widowControl/>
              <w:adjustRightInd w:val="0"/>
              <w:snapToGrid w:val="0"/>
              <w:spacing w:line="288" w:lineRule="auto"/>
              <w:rPr>
                <w:rFonts w:ascii="仿宋" w:hAnsi="仿宋" w:eastAsia="仿宋" w:cs="仿宋"/>
                <w:color w:val="auto"/>
                <w:sz w:val="22"/>
                <w:szCs w:val="22"/>
              </w:rPr>
            </w:pPr>
            <w:r>
              <w:rPr>
                <w:rFonts w:hint="eastAsia" w:ascii="仿宋" w:hAnsi="仿宋" w:eastAsia="仿宋" w:cs="仿宋"/>
                <w:color w:val="auto"/>
                <w:sz w:val="22"/>
                <w:szCs w:val="22"/>
              </w:rPr>
              <w:t>综合评分法中的价格分统一采用低价优先法计算，即满足招标文件要求且投标价格最低的投标报价为评标基准价，其价格分为满分。其他投标人的价格分统一按照下列公式计算：</w:t>
            </w:r>
          </w:p>
          <w:p>
            <w:pPr>
              <w:widowControl/>
              <w:adjustRightInd w:val="0"/>
              <w:snapToGrid w:val="0"/>
              <w:spacing w:line="288" w:lineRule="auto"/>
              <w:rPr>
                <w:rFonts w:ascii="仿宋" w:hAnsi="仿宋" w:eastAsia="仿宋" w:cs="仿宋"/>
                <w:color w:val="auto"/>
                <w:szCs w:val="21"/>
              </w:rPr>
            </w:pPr>
            <w:r>
              <w:rPr>
                <w:rFonts w:hint="eastAsia" w:ascii="仿宋" w:hAnsi="仿宋" w:eastAsia="仿宋" w:cs="仿宋"/>
                <w:color w:val="auto"/>
                <w:sz w:val="22"/>
                <w:szCs w:val="22"/>
              </w:rPr>
              <w:t>投标报价得分=(评标基准价／投标报价)×权重×100</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小微企业（监狱企业、残疾人福利性单位视同小微企业）价格扣除等政策评分按照本招标文件投标人须知前附表规定执行</w:t>
            </w:r>
          </w:p>
        </w:tc>
        <w:tc>
          <w:tcPr>
            <w:tcW w:w="1241" w:type="dxa"/>
            <w:noWrap/>
            <w:vAlign w:val="center"/>
          </w:tcPr>
          <w:p>
            <w:pPr>
              <w:widowControl/>
              <w:adjustRightInd w:val="0"/>
              <w:snapToGrid w:val="0"/>
              <w:spacing w:line="288" w:lineRule="auto"/>
              <w:rPr>
                <w:rFonts w:ascii="仿宋" w:hAnsi="仿宋" w:eastAsia="仿宋" w:cs="仿宋"/>
                <w:color w:val="auto"/>
                <w:sz w:val="22"/>
                <w:szCs w:val="22"/>
              </w:rPr>
            </w:pPr>
            <w:r>
              <w:rPr>
                <w:rFonts w:hint="eastAsia" w:ascii="仿宋" w:hAnsi="仿宋" w:eastAsia="仿宋" w:cs="仿宋"/>
                <w:b/>
                <w:color w:val="auto"/>
                <w:kern w:val="2"/>
                <w:sz w:val="24"/>
                <w:szCs w:val="24"/>
                <w:highlight w:val="none"/>
                <w:lang w:eastAsia="zh-CN"/>
              </w:rPr>
              <w:t>共同评审</w:t>
            </w:r>
            <w:r>
              <w:rPr>
                <w:rFonts w:hint="eastAsia" w:ascii="仿宋" w:hAnsi="仿宋" w:eastAsia="仿宋" w:cs="仿宋"/>
                <w:b/>
                <w:color w:val="auto"/>
                <w:kern w:val="2"/>
                <w:sz w:val="24"/>
                <w:szCs w:val="24"/>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379" w:type="dxa"/>
            <w:vMerge w:val="restart"/>
            <w:noWrap/>
            <w:vAlign w:val="center"/>
          </w:tcPr>
          <w:p>
            <w:pPr>
              <w:widowControl/>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color w:val="auto"/>
                <w:sz w:val="22"/>
                <w:szCs w:val="22"/>
              </w:rPr>
              <w:t>2</w:t>
            </w:r>
          </w:p>
        </w:tc>
        <w:tc>
          <w:tcPr>
            <w:tcW w:w="530" w:type="dxa"/>
            <w:vMerge w:val="restart"/>
            <w:noWrap/>
            <w:vAlign w:val="center"/>
          </w:tcPr>
          <w:p>
            <w:pPr>
              <w:widowControl/>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color w:val="auto"/>
                <w:sz w:val="22"/>
                <w:szCs w:val="22"/>
              </w:rPr>
              <w:t>技术类</w:t>
            </w:r>
          </w:p>
        </w:tc>
        <w:tc>
          <w:tcPr>
            <w:tcW w:w="1040" w:type="dxa"/>
            <w:vMerge w:val="restart"/>
            <w:noWrap/>
            <w:vAlign w:val="center"/>
          </w:tcPr>
          <w:p>
            <w:pPr>
              <w:widowControl/>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color w:val="auto"/>
                <w:sz w:val="22"/>
                <w:szCs w:val="22"/>
              </w:rPr>
              <w:t>方案</w:t>
            </w:r>
          </w:p>
          <w:p>
            <w:pPr>
              <w:widowControl/>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color w:val="auto"/>
                <w:sz w:val="22"/>
                <w:szCs w:val="22"/>
              </w:rPr>
              <w:t>部分</w:t>
            </w:r>
          </w:p>
          <w:p>
            <w:pPr>
              <w:widowControl/>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52%</w:t>
            </w:r>
            <w:r>
              <w:rPr>
                <w:rFonts w:hint="eastAsia" w:ascii="仿宋" w:hAnsi="仿宋" w:eastAsia="仿宋" w:cs="仿宋"/>
                <w:color w:val="auto"/>
                <w:sz w:val="22"/>
                <w:szCs w:val="22"/>
              </w:rPr>
              <w:t>)</w:t>
            </w:r>
          </w:p>
        </w:tc>
        <w:tc>
          <w:tcPr>
            <w:tcW w:w="932" w:type="dxa"/>
            <w:noWrap/>
            <w:vAlign w:val="center"/>
          </w:tcPr>
          <w:p>
            <w:pPr>
              <w:adjustRightInd w:val="0"/>
              <w:snapToGrid w:val="0"/>
              <w:spacing w:line="288"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18</w:t>
            </w:r>
          </w:p>
        </w:tc>
        <w:tc>
          <w:tcPr>
            <w:tcW w:w="5905" w:type="dxa"/>
            <w:noWrap/>
            <w:vAlign w:val="center"/>
          </w:tcPr>
          <w:p>
            <w:pPr>
              <w:widowControl/>
              <w:adjustRightInd w:val="0"/>
              <w:snapToGrid w:val="0"/>
              <w:spacing w:line="288" w:lineRule="auto"/>
              <w:rPr>
                <w:rFonts w:ascii="仿宋" w:hAnsi="仿宋" w:eastAsia="仿宋" w:cs="仿宋"/>
                <w:color w:val="auto"/>
                <w:sz w:val="22"/>
                <w:szCs w:val="22"/>
              </w:rPr>
            </w:pPr>
            <w:r>
              <w:rPr>
                <w:rFonts w:hint="eastAsia" w:ascii="仿宋" w:hAnsi="仿宋" w:eastAsia="仿宋" w:cs="仿宋"/>
                <w:color w:val="auto"/>
                <w:sz w:val="22"/>
                <w:szCs w:val="22"/>
                <w:lang w:eastAsia="zh-CN"/>
              </w:rPr>
              <w:t>培训目标符合政策指南要求：</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表述明确、具体；</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培训形式丰富、多样，能够将线上线下有效结合；</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lang w:eastAsia="zh-CN"/>
              </w:rPr>
              <w:t>培训思路框架清晰，能够体现前沿理念和本地化特色。以上要素完整、科学合理的得</w:t>
            </w:r>
            <w:r>
              <w:rPr>
                <w:rFonts w:hint="eastAsia" w:ascii="仿宋" w:hAnsi="仿宋" w:eastAsia="仿宋" w:cs="仿宋"/>
                <w:color w:val="auto"/>
                <w:sz w:val="22"/>
                <w:szCs w:val="22"/>
                <w:lang w:val="en-US" w:eastAsia="zh-CN"/>
              </w:rPr>
              <w:t>18</w:t>
            </w:r>
            <w:r>
              <w:rPr>
                <w:rFonts w:hint="eastAsia" w:ascii="仿宋" w:hAnsi="仿宋" w:eastAsia="仿宋" w:cs="仿宋"/>
                <w:color w:val="auto"/>
                <w:sz w:val="22"/>
                <w:szCs w:val="22"/>
                <w:lang w:eastAsia="zh-CN"/>
              </w:rPr>
              <w:t>分；每有一项要素缺失、无正文内容的扣</w:t>
            </w:r>
            <w:r>
              <w:rPr>
                <w:rFonts w:hint="eastAsia" w:ascii="仿宋" w:hAnsi="仿宋" w:eastAsia="仿宋" w:cs="仿宋"/>
                <w:color w:val="auto"/>
                <w:sz w:val="22"/>
                <w:szCs w:val="22"/>
                <w:lang w:val="en-US" w:eastAsia="zh-CN"/>
              </w:rPr>
              <w:t>6</w:t>
            </w:r>
            <w:r>
              <w:rPr>
                <w:rFonts w:hint="eastAsia" w:ascii="仿宋" w:hAnsi="仿宋" w:eastAsia="仿宋" w:cs="仿宋"/>
                <w:color w:val="auto"/>
                <w:sz w:val="22"/>
                <w:szCs w:val="22"/>
                <w:lang w:eastAsia="zh-CN"/>
              </w:rPr>
              <w:t>分，表述不清的扣</w:t>
            </w:r>
            <w:r>
              <w:rPr>
                <w:rFonts w:hint="eastAsia" w:ascii="仿宋" w:hAnsi="仿宋" w:eastAsia="仿宋" w:cs="仿宋"/>
                <w:color w:val="auto"/>
                <w:sz w:val="22"/>
                <w:szCs w:val="22"/>
                <w:lang w:val="en-US" w:eastAsia="zh-CN"/>
              </w:rPr>
              <w:t>1分</w:t>
            </w:r>
            <w:r>
              <w:rPr>
                <w:rFonts w:hint="eastAsia" w:ascii="仿宋" w:hAnsi="仿宋" w:eastAsia="仿宋" w:cs="仿宋"/>
                <w:color w:val="auto"/>
                <w:sz w:val="22"/>
                <w:szCs w:val="22"/>
                <w:lang w:eastAsia="zh-CN"/>
              </w:rPr>
              <w:t>。</w:t>
            </w:r>
          </w:p>
        </w:tc>
        <w:tc>
          <w:tcPr>
            <w:tcW w:w="1241" w:type="dxa"/>
            <w:vMerge w:val="restart"/>
            <w:noWrap/>
            <w:vAlign w:val="center"/>
          </w:tcPr>
          <w:p>
            <w:pPr>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b/>
                <w:color w:val="auto"/>
                <w:kern w:val="2"/>
                <w:sz w:val="24"/>
                <w:szCs w:val="24"/>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79" w:type="dxa"/>
            <w:vMerge w:val="continue"/>
            <w:noWrap/>
            <w:vAlign w:val="center"/>
          </w:tcPr>
          <w:p>
            <w:pPr>
              <w:widowControl/>
              <w:adjustRightInd w:val="0"/>
              <w:snapToGrid w:val="0"/>
              <w:spacing w:line="288" w:lineRule="auto"/>
              <w:jc w:val="center"/>
              <w:rPr>
                <w:rFonts w:ascii="仿宋" w:hAnsi="仿宋" w:eastAsia="仿宋" w:cs="仿宋"/>
                <w:color w:val="auto"/>
                <w:sz w:val="22"/>
                <w:szCs w:val="22"/>
              </w:rPr>
            </w:pPr>
          </w:p>
        </w:tc>
        <w:tc>
          <w:tcPr>
            <w:tcW w:w="530" w:type="dxa"/>
            <w:vMerge w:val="continue"/>
            <w:noWrap/>
            <w:vAlign w:val="center"/>
          </w:tcPr>
          <w:p>
            <w:pPr>
              <w:widowControl/>
              <w:adjustRightInd w:val="0"/>
              <w:snapToGrid w:val="0"/>
              <w:spacing w:line="288" w:lineRule="auto"/>
              <w:jc w:val="center"/>
              <w:rPr>
                <w:rFonts w:ascii="仿宋" w:hAnsi="仿宋" w:eastAsia="仿宋" w:cs="仿宋"/>
                <w:color w:val="auto"/>
                <w:sz w:val="22"/>
                <w:szCs w:val="22"/>
              </w:rPr>
            </w:pPr>
          </w:p>
        </w:tc>
        <w:tc>
          <w:tcPr>
            <w:tcW w:w="1040" w:type="dxa"/>
            <w:vMerge w:val="continue"/>
            <w:noWrap/>
            <w:vAlign w:val="center"/>
          </w:tcPr>
          <w:p>
            <w:pPr>
              <w:widowControl/>
              <w:adjustRightInd w:val="0"/>
              <w:snapToGrid w:val="0"/>
              <w:spacing w:line="288" w:lineRule="auto"/>
              <w:jc w:val="center"/>
              <w:rPr>
                <w:rFonts w:ascii="仿宋" w:hAnsi="仿宋" w:eastAsia="仿宋" w:cs="仿宋"/>
                <w:color w:val="auto"/>
                <w:sz w:val="22"/>
                <w:szCs w:val="22"/>
              </w:rPr>
            </w:pPr>
          </w:p>
        </w:tc>
        <w:tc>
          <w:tcPr>
            <w:tcW w:w="932" w:type="dxa"/>
            <w:noWrap/>
            <w:vAlign w:val="center"/>
          </w:tcPr>
          <w:p>
            <w:pPr>
              <w:adjustRightInd w:val="0"/>
              <w:snapToGrid w:val="0"/>
              <w:spacing w:line="288" w:lineRule="auto"/>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18</w:t>
            </w:r>
          </w:p>
        </w:tc>
        <w:tc>
          <w:tcPr>
            <w:tcW w:w="5905" w:type="dxa"/>
            <w:noWrap/>
            <w:vAlign w:val="center"/>
          </w:tcPr>
          <w:p>
            <w:pPr>
              <w:widowControl/>
              <w:adjustRightInd w:val="0"/>
              <w:snapToGrid w:val="0"/>
              <w:spacing w:line="288" w:lineRule="auto"/>
              <w:rPr>
                <w:rFonts w:ascii="仿宋" w:hAnsi="仿宋" w:eastAsia="仿宋" w:cs="仿宋"/>
                <w:color w:val="auto"/>
                <w:sz w:val="22"/>
                <w:szCs w:val="22"/>
                <w:lang w:eastAsia="zh-CN"/>
              </w:rPr>
            </w:pPr>
            <w:r>
              <w:rPr>
                <w:rFonts w:hint="eastAsia" w:ascii="仿宋" w:hAnsi="仿宋" w:eastAsia="仿宋" w:cs="仿宋"/>
                <w:color w:val="auto"/>
                <w:sz w:val="22"/>
                <w:szCs w:val="22"/>
                <w:lang w:eastAsia="zh-CN"/>
              </w:rPr>
              <w:t>培训内容能够紧紧围绕培训需求设计主题课程和实践任务：</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学分分配合理，要求具体明确；</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有具体、可行的培训实施步骤。以上要素完整、科学合理的得</w:t>
            </w:r>
            <w:r>
              <w:rPr>
                <w:rFonts w:hint="eastAsia" w:ascii="仿宋" w:hAnsi="仿宋" w:eastAsia="仿宋" w:cs="仿宋"/>
                <w:color w:val="auto"/>
                <w:sz w:val="22"/>
                <w:szCs w:val="22"/>
                <w:lang w:val="en-US" w:eastAsia="zh-CN"/>
              </w:rPr>
              <w:t>18</w:t>
            </w:r>
            <w:r>
              <w:rPr>
                <w:rFonts w:hint="eastAsia" w:ascii="仿宋" w:hAnsi="仿宋" w:eastAsia="仿宋" w:cs="仿宋"/>
                <w:color w:val="auto"/>
                <w:sz w:val="22"/>
                <w:szCs w:val="22"/>
                <w:lang w:eastAsia="zh-CN"/>
              </w:rPr>
              <w:t>分，每有一项要素缺失、无正文内容的扣</w:t>
            </w:r>
            <w:r>
              <w:rPr>
                <w:rFonts w:hint="eastAsia" w:ascii="仿宋" w:hAnsi="仿宋" w:eastAsia="仿宋" w:cs="仿宋"/>
                <w:color w:val="auto"/>
                <w:sz w:val="22"/>
                <w:szCs w:val="22"/>
                <w:lang w:val="en-US" w:eastAsia="zh-CN"/>
              </w:rPr>
              <w:t>9</w:t>
            </w:r>
            <w:r>
              <w:rPr>
                <w:rFonts w:hint="eastAsia" w:ascii="仿宋" w:hAnsi="仿宋" w:eastAsia="仿宋" w:cs="仿宋"/>
                <w:color w:val="auto"/>
                <w:sz w:val="22"/>
                <w:szCs w:val="22"/>
                <w:lang w:eastAsia="zh-CN"/>
              </w:rPr>
              <w:t>分，表述不清的扣</w:t>
            </w:r>
            <w:r>
              <w:rPr>
                <w:rFonts w:hint="eastAsia" w:ascii="仿宋" w:hAnsi="仿宋" w:eastAsia="仿宋" w:cs="仿宋"/>
                <w:color w:val="auto"/>
                <w:sz w:val="22"/>
                <w:szCs w:val="22"/>
                <w:lang w:val="en-US" w:eastAsia="zh-CN"/>
              </w:rPr>
              <w:t>1分</w:t>
            </w:r>
            <w:r>
              <w:rPr>
                <w:rFonts w:hint="eastAsia" w:ascii="仿宋" w:hAnsi="仿宋" w:eastAsia="仿宋" w:cs="仿宋"/>
                <w:color w:val="auto"/>
                <w:sz w:val="22"/>
                <w:szCs w:val="22"/>
                <w:lang w:eastAsia="zh-CN"/>
              </w:rPr>
              <w:t>。</w:t>
            </w:r>
          </w:p>
          <w:p>
            <w:pPr>
              <w:widowControl/>
              <w:adjustRightInd w:val="0"/>
              <w:snapToGrid w:val="0"/>
              <w:spacing w:line="288" w:lineRule="auto"/>
              <w:rPr>
                <w:rFonts w:ascii="仿宋" w:hAnsi="仿宋" w:eastAsia="仿宋" w:cs="仿宋"/>
                <w:color w:val="auto"/>
                <w:sz w:val="22"/>
                <w:szCs w:val="22"/>
              </w:rPr>
            </w:pPr>
          </w:p>
        </w:tc>
        <w:tc>
          <w:tcPr>
            <w:tcW w:w="1241" w:type="dxa"/>
            <w:vMerge w:val="continue"/>
            <w:noWrap/>
            <w:vAlign w:val="center"/>
          </w:tcPr>
          <w:p>
            <w:pPr>
              <w:adjustRightInd w:val="0"/>
              <w:snapToGrid w:val="0"/>
              <w:spacing w:line="288" w:lineRule="auto"/>
              <w:jc w:val="center"/>
              <w:rPr>
                <w:rFonts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379" w:type="dxa"/>
            <w:vMerge w:val="continue"/>
            <w:noWrap/>
            <w:vAlign w:val="center"/>
          </w:tcPr>
          <w:p>
            <w:pPr>
              <w:widowControl/>
              <w:adjustRightInd w:val="0"/>
              <w:snapToGrid w:val="0"/>
              <w:spacing w:line="288" w:lineRule="auto"/>
              <w:jc w:val="center"/>
              <w:rPr>
                <w:rFonts w:ascii="仿宋" w:hAnsi="仿宋" w:eastAsia="仿宋" w:cs="仿宋"/>
                <w:color w:val="auto"/>
                <w:sz w:val="22"/>
                <w:szCs w:val="22"/>
              </w:rPr>
            </w:pPr>
          </w:p>
        </w:tc>
        <w:tc>
          <w:tcPr>
            <w:tcW w:w="530" w:type="dxa"/>
            <w:vMerge w:val="continue"/>
            <w:noWrap/>
            <w:vAlign w:val="center"/>
          </w:tcPr>
          <w:p>
            <w:pPr>
              <w:widowControl/>
              <w:adjustRightInd w:val="0"/>
              <w:snapToGrid w:val="0"/>
              <w:spacing w:line="288" w:lineRule="auto"/>
              <w:jc w:val="center"/>
              <w:rPr>
                <w:rFonts w:ascii="仿宋" w:hAnsi="仿宋" w:eastAsia="仿宋" w:cs="仿宋"/>
                <w:color w:val="auto"/>
                <w:sz w:val="22"/>
                <w:szCs w:val="22"/>
              </w:rPr>
            </w:pPr>
          </w:p>
        </w:tc>
        <w:tc>
          <w:tcPr>
            <w:tcW w:w="1040" w:type="dxa"/>
            <w:vMerge w:val="continue"/>
            <w:noWrap/>
            <w:vAlign w:val="center"/>
          </w:tcPr>
          <w:p>
            <w:pPr>
              <w:widowControl/>
              <w:adjustRightInd w:val="0"/>
              <w:snapToGrid w:val="0"/>
              <w:spacing w:line="288" w:lineRule="auto"/>
              <w:jc w:val="center"/>
              <w:rPr>
                <w:rFonts w:ascii="仿宋" w:hAnsi="仿宋" w:eastAsia="仿宋" w:cs="仿宋"/>
                <w:color w:val="auto"/>
                <w:sz w:val="22"/>
                <w:szCs w:val="22"/>
              </w:rPr>
            </w:pPr>
          </w:p>
        </w:tc>
        <w:tc>
          <w:tcPr>
            <w:tcW w:w="932" w:type="dxa"/>
            <w:noWrap/>
            <w:vAlign w:val="center"/>
          </w:tcPr>
          <w:p>
            <w:pPr>
              <w:adjustRightInd w:val="0"/>
              <w:snapToGrid w:val="0"/>
              <w:spacing w:line="288" w:lineRule="auto"/>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16</w:t>
            </w:r>
          </w:p>
        </w:tc>
        <w:tc>
          <w:tcPr>
            <w:tcW w:w="5905" w:type="dxa"/>
            <w:noWrap/>
            <w:vAlign w:val="center"/>
          </w:tcPr>
          <w:p>
            <w:pPr>
              <w:widowControl/>
              <w:adjustRightInd w:val="0"/>
              <w:snapToGrid w:val="0"/>
              <w:spacing w:line="288" w:lineRule="auto"/>
              <w:rPr>
                <w:rFonts w:ascii="仿宋" w:hAnsi="仿宋" w:eastAsia="仿宋" w:cs="仿宋"/>
                <w:color w:val="auto"/>
                <w:sz w:val="22"/>
                <w:szCs w:val="22"/>
              </w:rPr>
            </w:pPr>
            <w:r>
              <w:rPr>
                <w:rFonts w:hint="eastAsia" w:ascii="仿宋" w:hAnsi="仿宋" w:eastAsia="仿宋" w:cs="仿宋"/>
                <w:color w:val="auto"/>
                <w:sz w:val="22"/>
                <w:szCs w:val="22"/>
                <w:lang w:eastAsia="zh-CN"/>
              </w:rPr>
              <w:t>培训成果包含：</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资源库建设成果；</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课例/案例资源生成与评优成果；</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lang w:eastAsia="zh-CN"/>
              </w:rPr>
              <w:t>培训数据分析与解读成果；</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lang w:eastAsia="zh-CN"/>
              </w:rPr>
              <w:t>所有成果可物化、可实现。以上要素完整、科学合理的得</w:t>
            </w:r>
            <w:r>
              <w:rPr>
                <w:rFonts w:hint="eastAsia" w:ascii="仿宋" w:hAnsi="仿宋" w:eastAsia="仿宋" w:cs="仿宋"/>
                <w:color w:val="auto"/>
                <w:sz w:val="22"/>
                <w:szCs w:val="22"/>
                <w:lang w:val="en-US" w:eastAsia="zh-CN"/>
              </w:rPr>
              <w:t>16</w:t>
            </w:r>
            <w:r>
              <w:rPr>
                <w:rFonts w:hint="eastAsia" w:ascii="仿宋" w:hAnsi="仿宋" w:eastAsia="仿宋" w:cs="仿宋"/>
                <w:color w:val="auto"/>
                <w:sz w:val="22"/>
                <w:szCs w:val="22"/>
                <w:lang w:eastAsia="zh-CN"/>
              </w:rPr>
              <w:t>分，每有一项要素缺失、无正文内容的扣</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lang w:eastAsia="zh-CN"/>
              </w:rPr>
              <w:t>分，表述不清的扣</w:t>
            </w:r>
            <w:r>
              <w:rPr>
                <w:rFonts w:hint="eastAsia" w:ascii="仿宋" w:hAnsi="仿宋" w:eastAsia="仿宋" w:cs="仿宋"/>
                <w:color w:val="auto"/>
                <w:sz w:val="22"/>
                <w:szCs w:val="22"/>
                <w:lang w:val="en-US" w:eastAsia="zh-CN"/>
              </w:rPr>
              <w:t>1分</w:t>
            </w:r>
            <w:r>
              <w:rPr>
                <w:rFonts w:hint="eastAsia" w:ascii="仿宋" w:hAnsi="仿宋" w:eastAsia="仿宋" w:cs="仿宋"/>
                <w:color w:val="auto"/>
                <w:sz w:val="22"/>
                <w:szCs w:val="22"/>
                <w:lang w:eastAsia="zh-CN"/>
              </w:rPr>
              <w:t>。</w:t>
            </w:r>
          </w:p>
        </w:tc>
        <w:tc>
          <w:tcPr>
            <w:tcW w:w="1241" w:type="dxa"/>
            <w:vMerge w:val="continue"/>
            <w:noWrap/>
            <w:vAlign w:val="center"/>
          </w:tcPr>
          <w:p>
            <w:pPr>
              <w:adjustRightInd w:val="0"/>
              <w:snapToGrid w:val="0"/>
              <w:spacing w:line="288" w:lineRule="auto"/>
              <w:jc w:val="center"/>
              <w:rPr>
                <w:rFonts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379" w:type="dxa"/>
            <w:noWrap/>
            <w:vAlign w:val="center"/>
          </w:tcPr>
          <w:p>
            <w:pPr>
              <w:widowControl/>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color w:val="auto"/>
                <w:sz w:val="22"/>
                <w:szCs w:val="22"/>
              </w:rPr>
              <w:t>3</w:t>
            </w:r>
          </w:p>
        </w:tc>
        <w:tc>
          <w:tcPr>
            <w:tcW w:w="530" w:type="dxa"/>
            <w:noWrap/>
            <w:vAlign w:val="center"/>
          </w:tcPr>
          <w:p>
            <w:pPr>
              <w:widowControl/>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color w:val="auto"/>
                <w:sz w:val="22"/>
                <w:szCs w:val="22"/>
              </w:rPr>
              <w:t>其他类</w:t>
            </w:r>
          </w:p>
        </w:tc>
        <w:tc>
          <w:tcPr>
            <w:tcW w:w="1040" w:type="dxa"/>
            <w:noWrap/>
            <w:vAlign w:val="center"/>
          </w:tcPr>
          <w:p>
            <w:pPr>
              <w:widowControl/>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color w:val="auto"/>
                <w:sz w:val="22"/>
                <w:szCs w:val="22"/>
              </w:rPr>
              <w:t>拟投入本项目人员</w:t>
            </w:r>
          </w:p>
          <w:p>
            <w:pPr>
              <w:widowControl/>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color w:val="auto"/>
                <w:sz w:val="22"/>
                <w:szCs w:val="22"/>
                <w:lang w:val="en-US" w:eastAsia="zh-CN"/>
              </w:rPr>
              <w:t>15</w:t>
            </w:r>
            <w:r>
              <w:rPr>
                <w:rFonts w:hint="eastAsia" w:ascii="仿宋" w:hAnsi="仿宋" w:eastAsia="仿宋" w:cs="仿宋"/>
                <w:color w:val="auto"/>
                <w:sz w:val="22"/>
                <w:szCs w:val="22"/>
              </w:rPr>
              <w:t>%</w:t>
            </w:r>
          </w:p>
        </w:tc>
        <w:tc>
          <w:tcPr>
            <w:tcW w:w="932" w:type="dxa"/>
            <w:noWrap/>
            <w:vAlign w:val="center"/>
          </w:tcPr>
          <w:p>
            <w:pPr>
              <w:widowControl/>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color w:val="auto"/>
                <w:sz w:val="22"/>
                <w:szCs w:val="22"/>
                <w:lang w:val="en-US" w:eastAsia="zh-CN"/>
              </w:rPr>
              <w:t>15</w:t>
            </w:r>
            <w:r>
              <w:rPr>
                <w:rFonts w:hint="eastAsia" w:ascii="仿宋" w:hAnsi="仿宋" w:eastAsia="仿宋" w:cs="仿宋"/>
                <w:color w:val="auto"/>
                <w:sz w:val="22"/>
                <w:szCs w:val="22"/>
              </w:rPr>
              <w:t>分</w:t>
            </w:r>
          </w:p>
        </w:tc>
        <w:tc>
          <w:tcPr>
            <w:tcW w:w="5905" w:type="dxa"/>
            <w:noWrap/>
            <w:vAlign w:val="center"/>
          </w:tcPr>
          <w:p>
            <w:p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供应商能为本项目组建的专家团队。</w:t>
            </w:r>
          </w:p>
          <w:p>
            <w:pPr>
              <w:numPr>
                <w:ilvl w:val="0"/>
                <w:numId w:val="3"/>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具有高等院校的教育信息化专家、教育大数据专家各至少1人，得</w:t>
            </w:r>
            <w:r>
              <w:rPr>
                <w:rFonts w:hint="eastAsia" w:ascii="仿宋" w:hAnsi="仿宋" w:eastAsia="仿宋" w:cs="仿宋"/>
                <w:color w:val="auto"/>
                <w:sz w:val="22"/>
                <w:szCs w:val="22"/>
                <w:lang w:val="en-US" w:eastAsia="zh-CN"/>
              </w:rPr>
              <w:t>6</w:t>
            </w:r>
            <w:r>
              <w:rPr>
                <w:rFonts w:hint="eastAsia" w:ascii="仿宋" w:hAnsi="仿宋" w:eastAsia="仿宋" w:cs="仿宋"/>
                <w:color w:val="auto"/>
                <w:sz w:val="22"/>
                <w:szCs w:val="22"/>
                <w:lang w:eastAsia="zh-CN"/>
              </w:rPr>
              <w:t>分（需提供相应的专家证书复印件未提供不得分）；</w:t>
            </w:r>
          </w:p>
          <w:p>
            <w:pPr>
              <w:numPr>
                <w:ilvl w:val="0"/>
                <w:numId w:val="3"/>
              </w:numPr>
              <w:adjustRightInd w:val="0"/>
              <w:snapToGrid w:val="0"/>
              <w:spacing w:line="288" w:lineRule="auto"/>
              <w:rPr>
                <w:rFonts w:ascii="仿宋" w:hAnsi="仿宋" w:eastAsia="仿宋" w:cs="仿宋"/>
                <w:color w:val="auto"/>
                <w:sz w:val="22"/>
                <w:szCs w:val="22"/>
              </w:rPr>
            </w:pPr>
            <w:r>
              <w:rPr>
                <w:rFonts w:hint="eastAsia" w:ascii="仿宋" w:hAnsi="仿宋" w:eastAsia="仿宋" w:cs="仿宋"/>
                <w:color w:val="auto"/>
                <w:sz w:val="22"/>
                <w:szCs w:val="22"/>
                <w:lang w:eastAsia="zh-CN"/>
              </w:rPr>
              <w:t>具有教学一线名师、名校长、校本研修实践指导专家各至少1人，得</w:t>
            </w:r>
            <w:r>
              <w:rPr>
                <w:rFonts w:hint="eastAsia" w:ascii="仿宋" w:hAnsi="仿宋" w:eastAsia="仿宋" w:cs="仿宋"/>
                <w:color w:val="auto"/>
                <w:sz w:val="22"/>
                <w:szCs w:val="22"/>
                <w:lang w:val="en-US" w:eastAsia="zh-CN"/>
              </w:rPr>
              <w:t>6</w:t>
            </w:r>
            <w:r>
              <w:rPr>
                <w:rFonts w:hint="eastAsia" w:ascii="仿宋" w:hAnsi="仿宋" w:eastAsia="仿宋" w:cs="仿宋"/>
                <w:color w:val="auto"/>
                <w:sz w:val="22"/>
                <w:szCs w:val="22"/>
                <w:lang w:eastAsia="zh-CN"/>
              </w:rPr>
              <w:t>分（需提供相应的职称或专家证书复印件未提供不得分）；</w:t>
            </w:r>
          </w:p>
          <w:p>
            <w:pPr>
              <w:numPr>
                <w:ilvl w:val="0"/>
                <w:numId w:val="3"/>
              </w:numPr>
              <w:adjustRightInd w:val="0"/>
              <w:snapToGrid w:val="0"/>
              <w:spacing w:line="288" w:lineRule="auto"/>
              <w:rPr>
                <w:rFonts w:ascii="仿宋" w:hAnsi="仿宋" w:eastAsia="仿宋" w:cs="仿宋"/>
                <w:color w:val="auto"/>
                <w:sz w:val="22"/>
                <w:szCs w:val="22"/>
              </w:rPr>
            </w:pPr>
            <w:r>
              <w:rPr>
                <w:rFonts w:hint="eastAsia" w:ascii="仿宋" w:hAnsi="仿宋" w:eastAsia="仿宋" w:cs="仿宋"/>
                <w:color w:val="auto"/>
                <w:sz w:val="22"/>
                <w:szCs w:val="22"/>
                <w:lang w:eastAsia="zh-CN"/>
              </w:rPr>
              <w:t>具有省市级中小学教师信息技术应用能力</w:t>
            </w:r>
            <w:r>
              <w:rPr>
                <w:rFonts w:hint="eastAsia" w:ascii="仿宋" w:hAnsi="仿宋" w:eastAsia="仿宋" w:cs="仿宋"/>
                <w:color w:val="auto"/>
                <w:sz w:val="22"/>
                <w:szCs w:val="22"/>
                <w:lang w:val="en-US" w:eastAsia="zh-CN"/>
              </w:rPr>
              <w:t>2.0</w:t>
            </w:r>
            <w:r>
              <w:rPr>
                <w:rFonts w:hint="eastAsia" w:ascii="仿宋" w:hAnsi="仿宋" w:eastAsia="仿宋" w:cs="仿宋"/>
                <w:color w:val="auto"/>
                <w:sz w:val="22"/>
                <w:szCs w:val="22"/>
                <w:lang w:eastAsia="zh-CN"/>
              </w:rPr>
              <w:t>提升工程专家组成员、试点校成员，每有一人得1分，最多得</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lang w:eastAsia="zh-CN"/>
              </w:rPr>
              <w:t>分（需提供相应的职称或专家证书相关证书复印件）；</w:t>
            </w:r>
          </w:p>
        </w:tc>
        <w:tc>
          <w:tcPr>
            <w:tcW w:w="1241" w:type="dxa"/>
            <w:noWrap/>
            <w:vAlign w:val="center"/>
          </w:tcPr>
          <w:p>
            <w:pPr>
              <w:adjustRightInd w:val="0"/>
              <w:snapToGrid w:val="0"/>
              <w:spacing w:line="288" w:lineRule="auto"/>
              <w:rPr>
                <w:rFonts w:ascii="仿宋" w:hAnsi="仿宋" w:eastAsia="仿宋" w:cs="仿宋"/>
                <w:color w:val="auto"/>
                <w:sz w:val="22"/>
                <w:szCs w:val="22"/>
              </w:rPr>
            </w:pPr>
            <w:r>
              <w:rPr>
                <w:rFonts w:hint="eastAsia" w:ascii="仿宋" w:hAnsi="仿宋" w:eastAsia="仿宋" w:cs="仿宋"/>
                <w:b/>
                <w:color w:val="auto"/>
                <w:kern w:val="2"/>
                <w:sz w:val="24"/>
                <w:szCs w:val="24"/>
                <w:highlight w:val="none"/>
                <w:lang w:eastAsia="zh-CN"/>
              </w:rPr>
              <w:t>共同评审</w:t>
            </w:r>
            <w:r>
              <w:rPr>
                <w:rFonts w:hint="eastAsia" w:ascii="仿宋" w:hAnsi="仿宋" w:eastAsia="仿宋" w:cs="仿宋"/>
                <w:b/>
                <w:color w:val="auto"/>
                <w:kern w:val="2"/>
                <w:sz w:val="24"/>
                <w:szCs w:val="24"/>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379" w:type="dxa"/>
            <w:vMerge w:val="restart"/>
            <w:noWrap/>
            <w:vAlign w:val="center"/>
          </w:tcPr>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530" w:type="dxa"/>
            <w:vMerge w:val="restart"/>
            <w:noWrap/>
            <w:vAlign w:val="center"/>
          </w:tcPr>
          <w:p>
            <w:pPr>
              <w:widowControl/>
              <w:adjustRightInd w:val="0"/>
              <w:snapToGrid w:val="0"/>
              <w:spacing w:line="288"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lang w:eastAsia="zh-CN"/>
              </w:rPr>
              <w:t>其他</w:t>
            </w:r>
            <w:r>
              <w:rPr>
                <w:rFonts w:hint="eastAsia" w:ascii="仿宋" w:hAnsi="仿宋" w:eastAsia="仿宋" w:cs="仿宋"/>
                <w:color w:val="auto"/>
                <w:sz w:val="22"/>
                <w:szCs w:val="22"/>
              </w:rPr>
              <w:t>类</w:t>
            </w:r>
          </w:p>
        </w:tc>
        <w:tc>
          <w:tcPr>
            <w:tcW w:w="1040" w:type="dxa"/>
            <w:vMerge w:val="restart"/>
            <w:noWrap/>
            <w:vAlign w:val="center"/>
          </w:tcPr>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平台</w:t>
            </w:r>
          </w:p>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部分</w:t>
            </w:r>
          </w:p>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(21%)</w:t>
            </w:r>
          </w:p>
        </w:tc>
        <w:tc>
          <w:tcPr>
            <w:tcW w:w="932" w:type="dxa"/>
            <w:noWrap/>
            <w:vAlign w:val="center"/>
          </w:tcPr>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常态化校本研修管理</w:t>
            </w:r>
          </w:p>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5分</w:t>
            </w:r>
          </w:p>
        </w:tc>
        <w:tc>
          <w:tcPr>
            <w:tcW w:w="5905" w:type="dxa"/>
            <w:noWrap/>
            <w:vAlign w:val="center"/>
          </w:tcPr>
          <w:p>
            <w:pPr>
              <w:numPr>
                <w:ilvl w:val="0"/>
                <w:numId w:val="0"/>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平台完全支持教师移动学习，对教师培训数据进行伴随式采集，并对教师参训数据进行可视化呈现，得</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分，未能提供此项内容不得分。</w:t>
            </w:r>
          </w:p>
          <w:p>
            <w:pPr>
              <w:numPr>
                <w:ilvl w:val="0"/>
                <w:numId w:val="0"/>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平台支持学校管理团队通过平台数据看板，对以校为本的研修进行常态化管理，得</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分，未能提供此项内容不得分。</w:t>
            </w:r>
          </w:p>
          <w:p>
            <w:pPr>
              <w:numPr>
                <w:ilvl w:val="0"/>
                <w:numId w:val="0"/>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lang w:eastAsia="zh-CN"/>
              </w:rPr>
              <w:t>平台支持区级管理数据看板，对于项目实施关键数据进行可视化展示，得</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分，未能提供此项内容不得分。</w:t>
            </w:r>
          </w:p>
          <w:p>
            <w:pPr>
              <w:numPr>
                <w:ilvl w:val="0"/>
                <w:numId w:val="0"/>
              </w:numPr>
              <w:adjustRightInd w:val="0"/>
              <w:snapToGrid w:val="0"/>
              <w:spacing w:line="288" w:lineRule="auto"/>
              <w:ind w:left="0" w:leftChars="0" w:firstLine="0" w:firstLineChars="0"/>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（须提供该功能的详细产品截图）</w:t>
            </w:r>
          </w:p>
        </w:tc>
        <w:tc>
          <w:tcPr>
            <w:tcW w:w="1241" w:type="dxa"/>
            <w:noWrap/>
            <w:vAlign w:val="center"/>
          </w:tcPr>
          <w:p>
            <w:pPr>
              <w:adjustRightInd w:val="0"/>
              <w:snapToGrid w:val="0"/>
              <w:spacing w:line="288" w:lineRule="auto"/>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lang w:eastAsia="zh-CN"/>
              </w:rPr>
              <w:t>共同评审</w:t>
            </w:r>
            <w:r>
              <w:rPr>
                <w:rFonts w:hint="eastAsia" w:ascii="仿宋" w:hAnsi="仿宋" w:eastAsia="仿宋" w:cs="仿宋"/>
                <w:b/>
                <w:color w:val="auto"/>
                <w:kern w:val="2"/>
                <w:sz w:val="24"/>
                <w:szCs w:val="24"/>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379" w:type="dxa"/>
            <w:vMerge w:val="continue"/>
            <w:noWrap/>
            <w:vAlign w:val="center"/>
          </w:tcPr>
          <w:p>
            <w:pPr>
              <w:widowControl/>
              <w:adjustRightInd w:val="0"/>
              <w:snapToGrid w:val="0"/>
              <w:spacing w:line="288" w:lineRule="auto"/>
              <w:jc w:val="center"/>
              <w:rPr>
                <w:rFonts w:hint="eastAsia" w:ascii="仿宋" w:hAnsi="仿宋" w:eastAsia="仿宋" w:cs="仿宋"/>
                <w:color w:val="auto"/>
                <w:sz w:val="22"/>
                <w:szCs w:val="22"/>
              </w:rPr>
            </w:pPr>
          </w:p>
        </w:tc>
        <w:tc>
          <w:tcPr>
            <w:tcW w:w="530" w:type="dxa"/>
            <w:vMerge w:val="continue"/>
            <w:noWrap/>
            <w:vAlign w:val="center"/>
          </w:tcPr>
          <w:p>
            <w:pPr>
              <w:widowControl/>
              <w:adjustRightInd w:val="0"/>
              <w:snapToGrid w:val="0"/>
              <w:spacing w:line="288" w:lineRule="auto"/>
              <w:jc w:val="center"/>
              <w:rPr>
                <w:rFonts w:hint="eastAsia" w:ascii="仿宋" w:hAnsi="仿宋" w:eastAsia="仿宋" w:cs="仿宋"/>
                <w:color w:val="auto"/>
                <w:sz w:val="22"/>
                <w:szCs w:val="22"/>
              </w:rPr>
            </w:pPr>
          </w:p>
        </w:tc>
        <w:tc>
          <w:tcPr>
            <w:tcW w:w="1040" w:type="dxa"/>
            <w:vMerge w:val="continue"/>
            <w:noWrap/>
            <w:vAlign w:val="center"/>
          </w:tcPr>
          <w:p>
            <w:pPr>
              <w:widowControl/>
              <w:adjustRightInd w:val="0"/>
              <w:snapToGrid w:val="0"/>
              <w:spacing w:line="288" w:lineRule="auto"/>
              <w:jc w:val="center"/>
              <w:rPr>
                <w:rFonts w:hint="eastAsia" w:ascii="Arial" w:hAnsi="Arial" w:cs="Arial"/>
                <w:color w:val="auto"/>
              </w:rPr>
            </w:pPr>
          </w:p>
        </w:tc>
        <w:tc>
          <w:tcPr>
            <w:tcW w:w="932" w:type="dxa"/>
            <w:noWrap/>
            <w:vAlign w:val="center"/>
          </w:tcPr>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分层分类开展教师研修</w:t>
            </w:r>
          </w:p>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3分</w:t>
            </w:r>
          </w:p>
        </w:tc>
        <w:tc>
          <w:tcPr>
            <w:tcW w:w="5905" w:type="dxa"/>
            <w:noWrap/>
            <w:vAlign w:val="center"/>
          </w:tcPr>
          <w:p>
            <w:pPr>
              <w:numPr>
                <w:ilvl w:val="0"/>
                <w:numId w:val="0"/>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平台完全支持分校、分学科组开展教师培训和研修，包括线上学习、线下校本应用实践、校本应用测评，得</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分，未能提供此项内容不得分。</w:t>
            </w:r>
          </w:p>
          <w:p>
            <w:pPr>
              <w:numPr>
                <w:ilvl w:val="0"/>
                <w:numId w:val="0"/>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平台支持基于信息技术应用微能力点，对教师需求进行测评，得</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分，未能提供此项内容不得分。</w:t>
            </w:r>
          </w:p>
          <w:p>
            <w:pPr>
              <w:numPr>
                <w:ilvl w:val="0"/>
                <w:numId w:val="0"/>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lang w:eastAsia="zh-CN"/>
              </w:rPr>
              <w:t>平台支持分学科对教师微能力点选学需求结果进行呈现，促进针对性的教师研修，得</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分，未能提供此项内容不得分。</w:t>
            </w:r>
          </w:p>
          <w:p>
            <w:pPr>
              <w:numPr>
                <w:ilvl w:val="0"/>
                <w:numId w:val="0"/>
              </w:numPr>
              <w:adjustRightInd w:val="0"/>
              <w:snapToGrid w:val="0"/>
              <w:spacing w:line="288" w:lineRule="auto"/>
              <w:ind w:left="0" w:leftChars="0" w:firstLine="0" w:firstLineChars="0"/>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（须提供该功能的详细产品截图）</w:t>
            </w:r>
          </w:p>
        </w:tc>
        <w:tc>
          <w:tcPr>
            <w:tcW w:w="1241" w:type="dxa"/>
            <w:noWrap/>
            <w:vAlign w:val="center"/>
          </w:tcPr>
          <w:p>
            <w:pPr>
              <w:adjustRightInd w:val="0"/>
              <w:snapToGrid w:val="0"/>
              <w:spacing w:line="288" w:lineRule="auto"/>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lang w:eastAsia="zh-CN"/>
              </w:rPr>
              <w:t>共同评审</w:t>
            </w:r>
            <w:r>
              <w:rPr>
                <w:rFonts w:hint="eastAsia" w:ascii="仿宋" w:hAnsi="仿宋" w:eastAsia="仿宋" w:cs="仿宋"/>
                <w:b/>
                <w:color w:val="auto"/>
                <w:kern w:val="2"/>
                <w:sz w:val="24"/>
                <w:szCs w:val="24"/>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379" w:type="dxa"/>
            <w:vMerge w:val="continue"/>
            <w:noWrap/>
            <w:vAlign w:val="center"/>
          </w:tcPr>
          <w:p>
            <w:pPr>
              <w:widowControl/>
              <w:adjustRightInd w:val="0"/>
              <w:snapToGrid w:val="0"/>
              <w:spacing w:line="288" w:lineRule="auto"/>
              <w:jc w:val="center"/>
              <w:rPr>
                <w:rFonts w:hint="eastAsia" w:ascii="仿宋" w:hAnsi="仿宋" w:eastAsia="仿宋" w:cs="仿宋"/>
                <w:color w:val="auto"/>
                <w:sz w:val="22"/>
                <w:szCs w:val="22"/>
              </w:rPr>
            </w:pPr>
          </w:p>
        </w:tc>
        <w:tc>
          <w:tcPr>
            <w:tcW w:w="530" w:type="dxa"/>
            <w:vMerge w:val="continue"/>
            <w:noWrap/>
            <w:vAlign w:val="center"/>
          </w:tcPr>
          <w:p>
            <w:pPr>
              <w:widowControl/>
              <w:adjustRightInd w:val="0"/>
              <w:snapToGrid w:val="0"/>
              <w:spacing w:line="288" w:lineRule="auto"/>
              <w:jc w:val="center"/>
              <w:rPr>
                <w:rFonts w:hint="eastAsia" w:ascii="仿宋" w:hAnsi="仿宋" w:eastAsia="仿宋" w:cs="仿宋"/>
                <w:color w:val="auto"/>
                <w:sz w:val="22"/>
                <w:szCs w:val="22"/>
              </w:rPr>
            </w:pPr>
          </w:p>
        </w:tc>
        <w:tc>
          <w:tcPr>
            <w:tcW w:w="1040" w:type="dxa"/>
            <w:vMerge w:val="continue"/>
            <w:noWrap/>
            <w:vAlign w:val="center"/>
          </w:tcPr>
          <w:p>
            <w:pPr>
              <w:widowControl/>
              <w:adjustRightInd w:val="0"/>
              <w:snapToGrid w:val="0"/>
              <w:spacing w:line="288" w:lineRule="auto"/>
              <w:jc w:val="center"/>
              <w:rPr>
                <w:rFonts w:hint="eastAsia" w:ascii="Arial" w:hAnsi="Arial" w:cs="Arial"/>
                <w:color w:val="auto"/>
              </w:rPr>
            </w:pPr>
          </w:p>
        </w:tc>
        <w:tc>
          <w:tcPr>
            <w:tcW w:w="932" w:type="dxa"/>
            <w:noWrap/>
            <w:vAlign w:val="center"/>
          </w:tcPr>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支持区域内校际间资源共享</w:t>
            </w:r>
          </w:p>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3分</w:t>
            </w:r>
          </w:p>
        </w:tc>
        <w:tc>
          <w:tcPr>
            <w:tcW w:w="5905" w:type="dxa"/>
            <w:noWrap/>
            <w:vAlign w:val="center"/>
          </w:tcPr>
          <w:p>
            <w:pPr>
              <w:numPr>
                <w:ilvl w:val="0"/>
                <w:numId w:val="0"/>
              </w:numPr>
              <w:adjustRightInd w:val="0"/>
              <w:snapToGrid w:val="0"/>
              <w:spacing w:line="288" w:lineRule="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1.平台完全支持区域自主研制培训资源的自主发布和灵活共享，得1分，未能提供此项内容不得分。</w:t>
            </w:r>
          </w:p>
          <w:p>
            <w:pPr>
              <w:numPr>
                <w:ilvl w:val="0"/>
                <w:numId w:val="0"/>
              </w:numPr>
              <w:adjustRightInd w:val="0"/>
              <w:snapToGrid w:val="0"/>
              <w:spacing w:line="288" w:lineRule="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2.平台支持资源评选，得1分，未能提供此项内容不得分。</w:t>
            </w:r>
          </w:p>
          <w:p>
            <w:pPr>
              <w:numPr>
                <w:ilvl w:val="0"/>
                <w:numId w:val="0"/>
              </w:numPr>
              <w:adjustRightInd w:val="0"/>
              <w:snapToGrid w:val="0"/>
              <w:spacing w:line="288" w:lineRule="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3.平台支持可校间共享的资源库建设和可区域展示的生成性优质实践资源沉淀，得1分，未能提供此项内容不得分。</w:t>
            </w:r>
          </w:p>
          <w:p>
            <w:pPr>
              <w:numPr>
                <w:ilvl w:val="0"/>
                <w:numId w:val="0"/>
              </w:numPr>
              <w:adjustRightInd w:val="0"/>
              <w:snapToGrid w:val="0"/>
              <w:spacing w:line="288" w:lineRule="auto"/>
              <w:ind w:left="0" w:leftChars="0" w:firstLine="0" w:firstLineChars="0"/>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（须提供该功能的详细产品截图）</w:t>
            </w:r>
          </w:p>
        </w:tc>
        <w:tc>
          <w:tcPr>
            <w:tcW w:w="1241" w:type="dxa"/>
            <w:noWrap/>
            <w:vAlign w:val="center"/>
          </w:tcPr>
          <w:p>
            <w:pPr>
              <w:adjustRightInd w:val="0"/>
              <w:snapToGrid w:val="0"/>
              <w:spacing w:line="288" w:lineRule="auto"/>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lang w:eastAsia="zh-CN"/>
              </w:rPr>
              <w:t>共同评审</w:t>
            </w:r>
            <w:r>
              <w:rPr>
                <w:rFonts w:hint="eastAsia" w:ascii="仿宋" w:hAnsi="仿宋" w:eastAsia="仿宋" w:cs="仿宋"/>
                <w:b/>
                <w:color w:val="auto"/>
                <w:kern w:val="2"/>
                <w:sz w:val="24"/>
                <w:szCs w:val="24"/>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379" w:type="dxa"/>
            <w:vMerge w:val="continue"/>
            <w:noWrap/>
            <w:vAlign w:val="center"/>
          </w:tcPr>
          <w:p>
            <w:pPr>
              <w:widowControl/>
              <w:adjustRightInd w:val="0"/>
              <w:snapToGrid w:val="0"/>
              <w:spacing w:line="288" w:lineRule="auto"/>
              <w:jc w:val="center"/>
              <w:rPr>
                <w:rFonts w:hint="eastAsia" w:ascii="仿宋" w:hAnsi="仿宋" w:eastAsia="仿宋" w:cs="仿宋"/>
                <w:color w:val="auto"/>
                <w:sz w:val="22"/>
                <w:szCs w:val="22"/>
              </w:rPr>
            </w:pPr>
          </w:p>
        </w:tc>
        <w:tc>
          <w:tcPr>
            <w:tcW w:w="530" w:type="dxa"/>
            <w:vMerge w:val="continue"/>
            <w:noWrap/>
            <w:vAlign w:val="center"/>
          </w:tcPr>
          <w:p>
            <w:pPr>
              <w:widowControl/>
              <w:adjustRightInd w:val="0"/>
              <w:snapToGrid w:val="0"/>
              <w:spacing w:line="288" w:lineRule="auto"/>
              <w:jc w:val="center"/>
              <w:rPr>
                <w:rFonts w:hint="eastAsia" w:ascii="仿宋" w:hAnsi="仿宋" w:eastAsia="仿宋" w:cs="仿宋"/>
                <w:color w:val="auto"/>
                <w:sz w:val="22"/>
                <w:szCs w:val="22"/>
              </w:rPr>
            </w:pPr>
          </w:p>
        </w:tc>
        <w:tc>
          <w:tcPr>
            <w:tcW w:w="1040" w:type="dxa"/>
            <w:vMerge w:val="continue"/>
            <w:noWrap/>
            <w:vAlign w:val="center"/>
          </w:tcPr>
          <w:p>
            <w:pPr>
              <w:widowControl/>
              <w:adjustRightInd w:val="0"/>
              <w:snapToGrid w:val="0"/>
              <w:spacing w:line="288" w:lineRule="auto"/>
              <w:jc w:val="center"/>
              <w:rPr>
                <w:rFonts w:hint="eastAsia" w:ascii="Arial" w:hAnsi="Arial" w:cs="Arial"/>
                <w:color w:val="auto"/>
              </w:rPr>
            </w:pPr>
          </w:p>
        </w:tc>
        <w:tc>
          <w:tcPr>
            <w:tcW w:w="932" w:type="dxa"/>
            <w:noWrap/>
            <w:vAlign w:val="center"/>
          </w:tcPr>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支持校本实践活动建设</w:t>
            </w:r>
          </w:p>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2分</w:t>
            </w:r>
          </w:p>
        </w:tc>
        <w:tc>
          <w:tcPr>
            <w:tcW w:w="5905" w:type="dxa"/>
            <w:noWrap/>
            <w:vAlign w:val="center"/>
          </w:tcPr>
          <w:p>
            <w:pPr>
              <w:numPr>
                <w:ilvl w:val="0"/>
                <w:numId w:val="0"/>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平台完全支持各校结合实际情况开展专家引领学习、集体备课、观课议课、同课异构、专题研讨、小课题研究、自主学习、信息化教学案例展示与分享等校本实践活动的线上发起和实施，得</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分，未能提供此项内容不得分。</w:t>
            </w:r>
          </w:p>
          <w:p>
            <w:pPr>
              <w:numPr>
                <w:ilvl w:val="0"/>
                <w:numId w:val="0"/>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平台完全支持教师教学设计方案、教学课例/微课、教学实践案例等类型资源成果的自主上传、实时可视化汇总，得</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分，未能提供此项内容不得分。</w:t>
            </w:r>
          </w:p>
          <w:p>
            <w:pPr>
              <w:numPr>
                <w:ilvl w:val="0"/>
                <w:numId w:val="0"/>
              </w:numPr>
              <w:adjustRightInd w:val="0"/>
              <w:snapToGrid w:val="0"/>
              <w:spacing w:line="288" w:lineRule="auto"/>
              <w:ind w:left="0" w:leftChars="0" w:firstLine="0" w:firstLineChars="0"/>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（须提供该功能的详细产品截图）</w:t>
            </w:r>
          </w:p>
        </w:tc>
        <w:tc>
          <w:tcPr>
            <w:tcW w:w="1241" w:type="dxa"/>
            <w:noWrap/>
            <w:vAlign w:val="center"/>
          </w:tcPr>
          <w:p>
            <w:pPr>
              <w:adjustRightInd w:val="0"/>
              <w:snapToGrid w:val="0"/>
              <w:spacing w:line="288" w:lineRule="auto"/>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lang w:eastAsia="zh-CN"/>
              </w:rPr>
              <w:t>共同评审</w:t>
            </w:r>
            <w:r>
              <w:rPr>
                <w:rFonts w:hint="eastAsia" w:ascii="仿宋" w:hAnsi="仿宋" w:eastAsia="仿宋" w:cs="仿宋"/>
                <w:b/>
                <w:color w:val="auto"/>
                <w:kern w:val="2"/>
                <w:sz w:val="24"/>
                <w:szCs w:val="24"/>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379" w:type="dxa"/>
            <w:vMerge w:val="continue"/>
            <w:noWrap/>
            <w:vAlign w:val="center"/>
          </w:tcPr>
          <w:p>
            <w:pPr>
              <w:widowControl/>
              <w:adjustRightInd w:val="0"/>
              <w:snapToGrid w:val="0"/>
              <w:spacing w:line="288" w:lineRule="auto"/>
              <w:jc w:val="center"/>
              <w:rPr>
                <w:rFonts w:hint="eastAsia" w:ascii="仿宋" w:hAnsi="仿宋" w:eastAsia="仿宋" w:cs="仿宋"/>
                <w:color w:val="auto"/>
                <w:sz w:val="22"/>
                <w:szCs w:val="22"/>
              </w:rPr>
            </w:pPr>
          </w:p>
        </w:tc>
        <w:tc>
          <w:tcPr>
            <w:tcW w:w="530" w:type="dxa"/>
            <w:vMerge w:val="continue"/>
            <w:noWrap/>
            <w:vAlign w:val="center"/>
          </w:tcPr>
          <w:p>
            <w:pPr>
              <w:widowControl/>
              <w:adjustRightInd w:val="0"/>
              <w:snapToGrid w:val="0"/>
              <w:spacing w:line="288" w:lineRule="auto"/>
              <w:jc w:val="center"/>
              <w:rPr>
                <w:rFonts w:hint="eastAsia" w:ascii="仿宋" w:hAnsi="仿宋" w:eastAsia="仿宋" w:cs="仿宋"/>
                <w:color w:val="auto"/>
                <w:sz w:val="22"/>
                <w:szCs w:val="22"/>
              </w:rPr>
            </w:pPr>
          </w:p>
        </w:tc>
        <w:tc>
          <w:tcPr>
            <w:tcW w:w="1040" w:type="dxa"/>
            <w:vMerge w:val="continue"/>
            <w:noWrap/>
            <w:vAlign w:val="center"/>
          </w:tcPr>
          <w:p>
            <w:pPr>
              <w:widowControl/>
              <w:adjustRightInd w:val="0"/>
              <w:snapToGrid w:val="0"/>
              <w:spacing w:line="288" w:lineRule="auto"/>
              <w:jc w:val="center"/>
              <w:rPr>
                <w:rFonts w:hint="eastAsia" w:ascii="Arial" w:hAnsi="Arial" w:cs="Arial"/>
                <w:color w:val="auto"/>
              </w:rPr>
            </w:pPr>
          </w:p>
        </w:tc>
        <w:tc>
          <w:tcPr>
            <w:tcW w:w="932" w:type="dxa"/>
            <w:noWrap/>
            <w:vAlign w:val="center"/>
          </w:tcPr>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支持教师研修共同体互助实践</w:t>
            </w:r>
          </w:p>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3分</w:t>
            </w:r>
          </w:p>
        </w:tc>
        <w:tc>
          <w:tcPr>
            <w:tcW w:w="5905" w:type="dxa"/>
            <w:noWrap/>
            <w:vAlign w:val="center"/>
          </w:tcPr>
          <w:p>
            <w:pPr>
              <w:numPr>
                <w:ilvl w:val="0"/>
                <w:numId w:val="0"/>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平台支持各教师分研修小组开展互评活动，研修小组即时性开展一对多、多对一、多对多等不同形式的组内互评、专家评价等，得</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分，未能提供此项内容不得分。</w:t>
            </w:r>
          </w:p>
          <w:p>
            <w:pPr>
              <w:numPr>
                <w:ilvl w:val="0"/>
                <w:numId w:val="0"/>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平台支持一站式生成多人评价任务，自动化完成评价任务和评价人的精准匹配，得</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分，未能提供此项内容不得分。</w:t>
            </w:r>
          </w:p>
          <w:p>
            <w:pPr>
              <w:numPr>
                <w:ilvl w:val="0"/>
                <w:numId w:val="0"/>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lang w:eastAsia="zh-CN"/>
              </w:rPr>
              <w:t>平台支持动态、实时生成评价数据报告，一般包括评价数据汇总和排序、各评价指标比较、评价词云分析图谱等，得</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分，未能提供此项内容不得分。</w:t>
            </w:r>
          </w:p>
          <w:p>
            <w:pPr>
              <w:numPr>
                <w:ilvl w:val="0"/>
                <w:numId w:val="0"/>
              </w:numPr>
              <w:adjustRightInd w:val="0"/>
              <w:snapToGrid w:val="0"/>
              <w:spacing w:line="288" w:lineRule="auto"/>
              <w:ind w:left="0" w:leftChars="0" w:firstLine="0" w:firstLineChars="0"/>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（须提供该功能的详细产品截图）</w:t>
            </w:r>
          </w:p>
        </w:tc>
        <w:tc>
          <w:tcPr>
            <w:tcW w:w="1241" w:type="dxa"/>
            <w:noWrap/>
            <w:vAlign w:val="center"/>
          </w:tcPr>
          <w:p>
            <w:pPr>
              <w:adjustRightInd w:val="0"/>
              <w:snapToGrid w:val="0"/>
              <w:spacing w:line="288" w:lineRule="auto"/>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lang w:eastAsia="zh-CN"/>
              </w:rPr>
              <w:t>共同评审</w:t>
            </w:r>
            <w:r>
              <w:rPr>
                <w:rFonts w:hint="eastAsia" w:ascii="仿宋" w:hAnsi="仿宋" w:eastAsia="仿宋" w:cs="仿宋"/>
                <w:b/>
                <w:color w:val="auto"/>
                <w:kern w:val="2"/>
                <w:sz w:val="24"/>
                <w:szCs w:val="24"/>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379" w:type="dxa"/>
            <w:vMerge w:val="continue"/>
            <w:noWrap/>
            <w:vAlign w:val="center"/>
          </w:tcPr>
          <w:p>
            <w:pPr>
              <w:widowControl/>
              <w:adjustRightInd w:val="0"/>
              <w:snapToGrid w:val="0"/>
              <w:spacing w:line="288" w:lineRule="auto"/>
              <w:jc w:val="center"/>
              <w:rPr>
                <w:rFonts w:hint="eastAsia" w:ascii="仿宋" w:hAnsi="仿宋" w:eastAsia="仿宋" w:cs="仿宋"/>
                <w:color w:val="auto"/>
                <w:sz w:val="22"/>
                <w:szCs w:val="22"/>
              </w:rPr>
            </w:pPr>
          </w:p>
        </w:tc>
        <w:tc>
          <w:tcPr>
            <w:tcW w:w="530" w:type="dxa"/>
            <w:vMerge w:val="continue"/>
            <w:noWrap/>
            <w:vAlign w:val="center"/>
          </w:tcPr>
          <w:p>
            <w:pPr>
              <w:widowControl/>
              <w:adjustRightInd w:val="0"/>
              <w:snapToGrid w:val="0"/>
              <w:spacing w:line="288" w:lineRule="auto"/>
              <w:jc w:val="center"/>
              <w:rPr>
                <w:rFonts w:hint="eastAsia" w:ascii="仿宋" w:hAnsi="仿宋" w:eastAsia="仿宋" w:cs="仿宋"/>
                <w:color w:val="auto"/>
                <w:sz w:val="22"/>
                <w:szCs w:val="22"/>
              </w:rPr>
            </w:pPr>
          </w:p>
        </w:tc>
        <w:tc>
          <w:tcPr>
            <w:tcW w:w="1040" w:type="dxa"/>
            <w:vMerge w:val="continue"/>
            <w:noWrap/>
            <w:vAlign w:val="center"/>
          </w:tcPr>
          <w:p>
            <w:pPr>
              <w:widowControl/>
              <w:adjustRightInd w:val="0"/>
              <w:snapToGrid w:val="0"/>
              <w:spacing w:line="288" w:lineRule="auto"/>
              <w:jc w:val="center"/>
              <w:rPr>
                <w:rFonts w:hint="eastAsia" w:ascii="Arial" w:hAnsi="Arial" w:cs="Arial"/>
                <w:color w:val="auto"/>
              </w:rPr>
            </w:pPr>
          </w:p>
        </w:tc>
        <w:tc>
          <w:tcPr>
            <w:tcW w:w="932" w:type="dxa"/>
            <w:noWrap/>
            <w:vAlign w:val="center"/>
          </w:tcPr>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支持教师培训的动态监测</w:t>
            </w:r>
          </w:p>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2分</w:t>
            </w:r>
          </w:p>
        </w:tc>
        <w:tc>
          <w:tcPr>
            <w:tcW w:w="5905" w:type="dxa"/>
            <w:noWrap/>
            <w:vAlign w:val="center"/>
          </w:tcPr>
          <w:p>
            <w:pPr>
              <w:numPr>
                <w:ilvl w:val="0"/>
                <w:numId w:val="0"/>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平台完全支持实现“一网一张表”管理，从区、到学校、到教研组、到教师可进行伴随式的教师培训数据采集，得</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分，未能提供此项内容不得分。</w:t>
            </w:r>
          </w:p>
          <w:p>
            <w:pPr>
              <w:numPr>
                <w:ilvl w:val="0"/>
                <w:numId w:val="0"/>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平台支持通过对各校各教研组各教师培训进度的一站式查看和督导，得</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分，未能提供此项内容不得分。</w:t>
            </w:r>
          </w:p>
          <w:p>
            <w:pPr>
              <w:numPr>
                <w:ilvl w:val="0"/>
                <w:numId w:val="0"/>
              </w:numPr>
              <w:adjustRightInd w:val="0"/>
              <w:snapToGrid w:val="0"/>
              <w:spacing w:line="288" w:lineRule="auto"/>
              <w:ind w:left="0" w:leftChars="0" w:firstLine="0" w:firstLineChars="0"/>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（须提供该功能的详细产品截图）</w:t>
            </w:r>
          </w:p>
        </w:tc>
        <w:tc>
          <w:tcPr>
            <w:tcW w:w="1241" w:type="dxa"/>
            <w:noWrap/>
            <w:vAlign w:val="center"/>
          </w:tcPr>
          <w:p>
            <w:pPr>
              <w:adjustRightInd w:val="0"/>
              <w:snapToGrid w:val="0"/>
              <w:spacing w:line="288" w:lineRule="auto"/>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lang w:eastAsia="zh-CN"/>
              </w:rPr>
              <w:t>共同评审</w:t>
            </w:r>
            <w:r>
              <w:rPr>
                <w:rFonts w:hint="eastAsia" w:ascii="仿宋" w:hAnsi="仿宋" w:eastAsia="仿宋" w:cs="仿宋"/>
                <w:b/>
                <w:color w:val="auto"/>
                <w:kern w:val="2"/>
                <w:sz w:val="24"/>
                <w:szCs w:val="24"/>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379" w:type="dxa"/>
            <w:vMerge w:val="continue"/>
            <w:noWrap/>
            <w:vAlign w:val="center"/>
          </w:tcPr>
          <w:p>
            <w:pPr>
              <w:widowControl/>
              <w:adjustRightInd w:val="0"/>
              <w:snapToGrid w:val="0"/>
              <w:spacing w:line="288" w:lineRule="auto"/>
              <w:jc w:val="center"/>
              <w:rPr>
                <w:rFonts w:hint="eastAsia" w:ascii="仿宋" w:hAnsi="仿宋" w:eastAsia="仿宋" w:cs="仿宋"/>
                <w:color w:val="auto"/>
                <w:sz w:val="22"/>
                <w:szCs w:val="22"/>
              </w:rPr>
            </w:pPr>
          </w:p>
        </w:tc>
        <w:tc>
          <w:tcPr>
            <w:tcW w:w="530" w:type="dxa"/>
            <w:vMerge w:val="continue"/>
            <w:noWrap/>
            <w:vAlign w:val="center"/>
          </w:tcPr>
          <w:p>
            <w:pPr>
              <w:widowControl/>
              <w:adjustRightInd w:val="0"/>
              <w:snapToGrid w:val="0"/>
              <w:spacing w:line="288" w:lineRule="auto"/>
              <w:jc w:val="center"/>
              <w:rPr>
                <w:rFonts w:hint="eastAsia" w:ascii="仿宋" w:hAnsi="仿宋" w:eastAsia="仿宋" w:cs="仿宋"/>
                <w:color w:val="auto"/>
                <w:sz w:val="22"/>
                <w:szCs w:val="22"/>
              </w:rPr>
            </w:pPr>
          </w:p>
        </w:tc>
        <w:tc>
          <w:tcPr>
            <w:tcW w:w="1040" w:type="dxa"/>
            <w:vMerge w:val="continue"/>
            <w:noWrap/>
            <w:vAlign w:val="center"/>
          </w:tcPr>
          <w:p>
            <w:pPr>
              <w:widowControl/>
              <w:adjustRightInd w:val="0"/>
              <w:snapToGrid w:val="0"/>
              <w:spacing w:line="288" w:lineRule="auto"/>
              <w:jc w:val="center"/>
              <w:rPr>
                <w:rFonts w:hint="eastAsia" w:ascii="Arial" w:hAnsi="Arial" w:cs="Arial"/>
                <w:color w:val="auto"/>
              </w:rPr>
            </w:pPr>
          </w:p>
        </w:tc>
        <w:tc>
          <w:tcPr>
            <w:tcW w:w="932" w:type="dxa"/>
            <w:noWrap/>
            <w:vAlign w:val="center"/>
          </w:tcPr>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围绕学科的微能力点实践学习资源</w:t>
            </w:r>
          </w:p>
          <w:p>
            <w:pPr>
              <w:widowControl/>
              <w:adjustRightInd w:val="0"/>
              <w:snapToGrid w:val="0"/>
              <w:spacing w:line="288"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3分</w:t>
            </w:r>
          </w:p>
        </w:tc>
        <w:tc>
          <w:tcPr>
            <w:tcW w:w="5905" w:type="dxa"/>
            <w:noWrap/>
            <w:vAlign w:val="center"/>
          </w:tcPr>
          <w:p>
            <w:pPr>
              <w:numPr>
                <w:ilvl w:val="0"/>
                <w:numId w:val="0"/>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平台可提供覆盖小学学段的、可供教师开展校本教研和培训学习的一线教师生成性微能力点应用微课资源，总计覆盖的学科数不少于9个，得</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分，未能提供此项内容不得分。</w:t>
            </w:r>
          </w:p>
          <w:p>
            <w:pPr>
              <w:numPr>
                <w:ilvl w:val="0"/>
                <w:numId w:val="0"/>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平台可提供覆盖中学学段的、可供教师开展校本教研和培训学习的一线教师生成性微能力点应用微课资源，总计覆盖的学科数不少于9个，得</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分，未能提供此项内容不得分。</w:t>
            </w:r>
          </w:p>
          <w:p>
            <w:pPr>
              <w:numPr>
                <w:ilvl w:val="0"/>
                <w:numId w:val="0"/>
              </w:numPr>
              <w:adjustRightInd w:val="0"/>
              <w:snapToGrid w:val="0"/>
              <w:spacing w:line="288" w:lineRule="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lang w:eastAsia="zh-CN"/>
              </w:rPr>
              <w:t>平台可提供覆盖高中学段的、可供教师开展校本教研和培训学习的一线教师生成性微能力点应用微课资源，总计覆盖的学科数不少于9个，得</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分，未能提供此项内容不得分。</w:t>
            </w:r>
          </w:p>
          <w:p>
            <w:pPr>
              <w:numPr>
                <w:ilvl w:val="0"/>
                <w:numId w:val="0"/>
              </w:numPr>
              <w:adjustRightInd w:val="0"/>
              <w:snapToGrid w:val="0"/>
              <w:spacing w:line="288" w:lineRule="auto"/>
              <w:ind w:left="0" w:leftChars="0" w:firstLine="0" w:firstLineChars="0"/>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（须提供该功能的详细产品截图）</w:t>
            </w:r>
          </w:p>
        </w:tc>
        <w:tc>
          <w:tcPr>
            <w:tcW w:w="1241" w:type="dxa"/>
            <w:noWrap/>
            <w:vAlign w:val="center"/>
          </w:tcPr>
          <w:p>
            <w:pPr>
              <w:adjustRightInd w:val="0"/>
              <w:snapToGrid w:val="0"/>
              <w:spacing w:line="288" w:lineRule="auto"/>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lang w:eastAsia="zh-CN"/>
              </w:rPr>
              <w:t>共同评审</w:t>
            </w:r>
            <w:r>
              <w:rPr>
                <w:rFonts w:hint="eastAsia" w:ascii="仿宋" w:hAnsi="仿宋" w:eastAsia="仿宋" w:cs="仿宋"/>
                <w:b/>
                <w:color w:val="auto"/>
                <w:kern w:val="2"/>
                <w:sz w:val="24"/>
                <w:szCs w:val="24"/>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379" w:type="dxa"/>
            <w:noWrap/>
            <w:vAlign w:val="center"/>
          </w:tcPr>
          <w:p>
            <w:pPr>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color w:val="auto"/>
                <w:sz w:val="22"/>
                <w:szCs w:val="22"/>
              </w:rPr>
              <w:t>4</w:t>
            </w:r>
          </w:p>
        </w:tc>
        <w:tc>
          <w:tcPr>
            <w:tcW w:w="530" w:type="dxa"/>
            <w:noWrap/>
            <w:vAlign w:val="center"/>
          </w:tcPr>
          <w:p>
            <w:pPr>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color w:val="auto"/>
                <w:sz w:val="22"/>
                <w:szCs w:val="22"/>
              </w:rPr>
              <w:t>其他类</w:t>
            </w:r>
          </w:p>
        </w:tc>
        <w:tc>
          <w:tcPr>
            <w:tcW w:w="1040" w:type="dxa"/>
            <w:noWrap/>
            <w:vAlign w:val="center"/>
          </w:tcPr>
          <w:p>
            <w:pPr>
              <w:widowControl/>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color w:val="auto"/>
                <w:sz w:val="22"/>
                <w:szCs w:val="22"/>
              </w:rPr>
              <w:t>履约能力</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w:t>
            </w:r>
          </w:p>
        </w:tc>
        <w:tc>
          <w:tcPr>
            <w:tcW w:w="932" w:type="dxa"/>
            <w:noWrap/>
            <w:vAlign w:val="center"/>
          </w:tcPr>
          <w:p>
            <w:pPr>
              <w:widowControl/>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分</w:t>
            </w:r>
          </w:p>
        </w:tc>
        <w:tc>
          <w:tcPr>
            <w:tcW w:w="5905" w:type="dxa"/>
            <w:noWrap/>
            <w:vAlign w:val="center"/>
          </w:tcPr>
          <w:p>
            <w:pPr>
              <w:pStyle w:val="53"/>
              <w:numPr>
                <w:ilvl w:val="0"/>
                <w:numId w:val="4"/>
              </w:numPr>
              <w:adjustRightInd w:val="0"/>
              <w:snapToGrid w:val="0"/>
              <w:spacing w:line="288" w:lineRule="auto"/>
              <w:ind w:firstLine="220" w:firstLineChars="100"/>
              <w:rPr>
                <w:rFonts w:ascii="仿宋" w:hAnsi="仿宋" w:eastAsia="仿宋" w:cs="仿宋"/>
                <w:color w:val="auto"/>
                <w:sz w:val="22"/>
                <w:szCs w:val="22"/>
              </w:rPr>
            </w:pPr>
            <w:r>
              <w:rPr>
                <w:rFonts w:hint="eastAsia" w:ascii="仿宋" w:hAnsi="仿宋" w:eastAsia="仿宋" w:cs="仿宋"/>
                <w:color w:val="auto"/>
                <w:sz w:val="22"/>
                <w:szCs w:val="22"/>
                <w:lang w:eastAsia="zh-CN"/>
              </w:rPr>
              <w:t>投标人所投研修平台具有相关著作权证书，得</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分，需提供软件著作权证书复印件，未提供不得分。</w:t>
            </w:r>
          </w:p>
          <w:p>
            <w:pPr>
              <w:pStyle w:val="53"/>
              <w:adjustRightInd w:val="0"/>
              <w:snapToGrid w:val="0"/>
              <w:spacing w:line="288" w:lineRule="auto"/>
              <w:ind w:firstLine="220" w:firstLineChars="100"/>
              <w:rPr>
                <w:rFonts w:ascii="仿宋" w:hAnsi="仿宋" w:eastAsia="仿宋" w:cs="仿宋"/>
                <w:color w:val="auto"/>
                <w:sz w:val="22"/>
                <w:szCs w:val="22"/>
              </w:rPr>
            </w:pPr>
          </w:p>
        </w:tc>
        <w:tc>
          <w:tcPr>
            <w:tcW w:w="1241" w:type="dxa"/>
            <w:noWrap/>
            <w:vAlign w:val="center"/>
          </w:tcPr>
          <w:p>
            <w:pPr>
              <w:adjustRightInd w:val="0"/>
              <w:snapToGrid w:val="0"/>
              <w:spacing w:line="288" w:lineRule="auto"/>
              <w:jc w:val="center"/>
              <w:rPr>
                <w:rFonts w:ascii="仿宋" w:hAnsi="仿宋" w:eastAsia="仿宋" w:cs="仿宋"/>
                <w:color w:val="auto"/>
                <w:sz w:val="22"/>
                <w:szCs w:val="22"/>
              </w:rPr>
            </w:pPr>
            <w:r>
              <w:rPr>
                <w:rFonts w:hint="eastAsia" w:ascii="仿宋" w:hAnsi="仿宋" w:eastAsia="仿宋" w:cs="仿宋"/>
                <w:b/>
                <w:color w:val="auto"/>
                <w:kern w:val="2"/>
                <w:sz w:val="24"/>
                <w:szCs w:val="24"/>
                <w:highlight w:val="none"/>
                <w:lang w:eastAsia="zh-CN"/>
              </w:rPr>
              <w:t>共同评审</w:t>
            </w:r>
            <w:r>
              <w:rPr>
                <w:rFonts w:hint="eastAsia" w:ascii="仿宋" w:hAnsi="仿宋" w:eastAsia="仿宋" w:cs="仿宋"/>
                <w:b/>
                <w:color w:val="auto"/>
                <w:kern w:val="2"/>
                <w:sz w:val="24"/>
                <w:szCs w:val="24"/>
                <w:highlight w:val="none"/>
              </w:rPr>
              <w:t>因素</w:t>
            </w:r>
          </w:p>
        </w:tc>
      </w:tr>
    </w:tbl>
    <w:p>
      <w:pPr>
        <w:rPr>
          <w:rFonts w:ascii="仿宋" w:hAnsi="仿宋" w:eastAsia="仿宋" w:cs="仿宋"/>
          <w:color w:val="auto"/>
        </w:rPr>
      </w:pPr>
    </w:p>
    <w:p>
      <w:pPr>
        <w:pStyle w:val="2"/>
        <w:rPr>
          <w:rFonts w:ascii="仿宋" w:hAnsi="仿宋" w:eastAsia="仿宋" w:cs="仿宋"/>
          <w:color w:val="auto"/>
        </w:rPr>
      </w:pPr>
    </w:p>
    <w:p>
      <w:pPr>
        <w:pStyle w:val="46"/>
        <w:rPr>
          <w:rFonts w:ascii="仿宋" w:hAnsi="仿宋" w:eastAsia="仿宋" w:cs="仿宋"/>
          <w:color w:val="auto"/>
        </w:rPr>
      </w:pP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注：</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1）评分的取值按四舍五入法，保留小数点后两位。</w:t>
      </w:r>
    </w:p>
    <w:bookmarkEnd w:id="112"/>
    <w:bookmarkEnd w:id="113"/>
    <w:bookmarkEnd w:id="114"/>
    <w:bookmarkEnd w:id="115"/>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2）评审专家应对每个供应商每项评分因素给出详细的评审说明（报价评分项除外）。</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3）联合体磋商的，以牵头人为准（联合体中有同类资质的供应商按照联合体分工承担相同工作的，应当按照资质等级较低的供应商确定资质等级）。</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4）对按照《四川省政府采购当事人诚信管理办法》（川财采[2015]33号）记入诚信档案的且在有效期内的失信供应商，在参加政府采购活动中实行直接从总分中扣除3分，且供应商失信行为惩戒实行无限制累加制，直至总分扣完为止。</w:t>
      </w:r>
    </w:p>
    <w:p>
      <w:pPr>
        <w:adjustRightInd w:val="0"/>
        <w:snapToGrid w:val="0"/>
        <w:spacing w:line="288" w:lineRule="auto"/>
        <w:jc w:val="left"/>
        <w:rPr>
          <w:rFonts w:ascii="仿宋" w:hAnsi="仿宋" w:eastAsia="仿宋" w:cs="仿宋"/>
          <w:b/>
          <w:bCs/>
          <w:color w:val="auto"/>
          <w:sz w:val="22"/>
          <w:szCs w:val="22"/>
        </w:rPr>
      </w:pPr>
      <w:r>
        <w:rPr>
          <w:rFonts w:hint="eastAsia" w:ascii="仿宋" w:hAnsi="仿宋" w:eastAsia="仿宋" w:cs="仿宋"/>
          <w:b/>
          <w:bCs/>
          <w:color w:val="auto"/>
          <w:sz w:val="22"/>
          <w:szCs w:val="22"/>
        </w:rPr>
        <w:t>4.磋商纪律及注意事项</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4.1磋商小组内部讨论的情况和意见必须保密，任何人不得以任何形式透露给供应商或与供应商有关的单位或个人。</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4.2在磋商过程中，供应商不得以任何形式对磋商小组成员进行旨在影响磋商结果的私下接触，否则将取消其参与磋商的资格。</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4.3对各供应商的商业秘密，磋商小组成员应予以保密，不得泄露给其他供应商。</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4.4 磋商小组独立评判，推荐成交候选人，并写出书面报告。</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4.5 磋商小组可根据需要对供应商进行实地考察。</w:t>
      </w:r>
    </w:p>
    <w:p>
      <w:pPr>
        <w:adjustRightInd w:val="0"/>
        <w:snapToGrid w:val="0"/>
        <w:spacing w:line="288" w:lineRule="auto"/>
        <w:jc w:val="left"/>
        <w:rPr>
          <w:rFonts w:ascii="仿宋" w:hAnsi="仿宋" w:eastAsia="仿宋" w:cs="仿宋"/>
          <w:color w:val="auto"/>
          <w:sz w:val="22"/>
          <w:szCs w:val="22"/>
        </w:rPr>
      </w:pPr>
    </w:p>
    <w:p>
      <w:pPr>
        <w:adjustRightInd w:val="0"/>
        <w:snapToGrid w:val="0"/>
        <w:spacing w:line="288" w:lineRule="auto"/>
        <w:jc w:val="left"/>
        <w:rPr>
          <w:rFonts w:ascii="仿宋" w:hAnsi="仿宋" w:eastAsia="仿宋" w:cs="仿宋"/>
          <w:b/>
          <w:bCs/>
          <w:color w:val="auto"/>
          <w:sz w:val="22"/>
          <w:szCs w:val="22"/>
        </w:rPr>
      </w:pPr>
      <w:r>
        <w:rPr>
          <w:rFonts w:hint="eastAsia" w:ascii="仿宋" w:hAnsi="仿宋" w:eastAsia="仿宋" w:cs="仿宋"/>
          <w:b/>
          <w:bCs/>
          <w:color w:val="auto"/>
          <w:sz w:val="22"/>
          <w:szCs w:val="22"/>
        </w:rPr>
        <w:t>5.</w:t>
      </w:r>
      <w:bookmarkEnd w:id="116"/>
      <w:r>
        <w:rPr>
          <w:rFonts w:hint="eastAsia" w:ascii="仿宋" w:hAnsi="仿宋" w:eastAsia="仿宋" w:cs="仿宋"/>
          <w:b/>
          <w:bCs/>
          <w:color w:val="auto"/>
          <w:sz w:val="22"/>
          <w:szCs w:val="22"/>
        </w:rPr>
        <w:t>磋商小组在政府采购活动中承担以下义务：</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5.1遵守评审工作纪律；</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5.2按照客观、公正、审慎的原则，根据磋商文件规定的评审程序、评审方法和评审标准进行独立评审；</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5.3不得泄露评审文件、评审情况和在评审过程中获悉的商业秘密；</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5.4及时向财政部门报告评审过程中发现的采购人、采购代理机构向评审专家做倾向性、误导性的解释或者说明，以及供应商行贿、提供虚假材料或者串通等违法行为；</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5.5发现磋商文件内容违反国家有关强制性规定或者磋商文件存在歧义、重大缺陷导致评审工作无法进行时，停止评审并向采购人或者采购代理机构书面说明情况；</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5.6及时向财政、监察等部门举报在评审过程中受到非法干预的情况；</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5.7配合答复处理供应商的询问、质疑和投诉等事项；</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5.8法律、法规和规章规定的其他义务。</w:t>
      </w:r>
    </w:p>
    <w:p>
      <w:pPr>
        <w:adjustRightInd w:val="0"/>
        <w:snapToGrid w:val="0"/>
        <w:spacing w:line="288" w:lineRule="auto"/>
        <w:jc w:val="left"/>
        <w:rPr>
          <w:rFonts w:ascii="仿宋" w:hAnsi="仿宋" w:eastAsia="仿宋" w:cs="仿宋"/>
          <w:color w:val="auto"/>
          <w:sz w:val="22"/>
          <w:szCs w:val="22"/>
        </w:rPr>
      </w:pPr>
    </w:p>
    <w:p>
      <w:pPr>
        <w:adjustRightInd w:val="0"/>
        <w:snapToGrid w:val="0"/>
        <w:spacing w:line="288" w:lineRule="auto"/>
        <w:jc w:val="left"/>
        <w:rPr>
          <w:rFonts w:ascii="仿宋" w:hAnsi="仿宋" w:eastAsia="仿宋" w:cs="仿宋"/>
          <w:b/>
          <w:bCs/>
          <w:color w:val="auto"/>
          <w:sz w:val="22"/>
          <w:szCs w:val="22"/>
        </w:rPr>
      </w:pPr>
      <w:r>
        <w:rPr>
          <w:rFonts w:hint="eastAsia" w:ascii="仿宋" w:hAnsi="仿宋" w:eastAsia="仿宋" w:cs="仿宋"/>
          <w:b/>
          <w:bCs/>
          <w:color w:val="auto"/>
          <w:sz w:val="22"/>
          <w:szCs w:val="22"/>
        </w:rPr>
        <w:t>6.评审专家在政府采购活动中应当遵守以下工作纪律：</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6.1遵行《政府采购法》第十二条和《政府采购法实施条例》第九条及财政部关于回避的规定。</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6.2评审前，应当将通讯工具或者相关电子设备交由采购组织单位统一保管。</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6.3评审过程中，不得与外界联系，因发生不可预见情况，确实需要与外界联系的，应当在监督人员监督之下办理。</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6.4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6.5在评审过程中和评审结束后，不得记录、复制或带走任何评审资料，除因履行《四川省政府采购评审工作规程（修订）》第十三条第（六）项规定的义务，不得向外界透露评审内容。</w:t>
      </w:r>
    </w:p>
    <w:p>
      <w:pPr>
        <w:adjustRightInd w:val="0"/>
        <w:snapToGrid w:val="0"/>
        <w:spacing w:line="288" w:lineRule="auto"/>
        <w:jc w:val="left"/>
        <w:rPr>
          <w:rFonts w:ascii="仿宋" w:hAnsi="仿宋" w:eastAsia="仿宋" w:cs="仿宋"/>
          <w:color w:val="auto"/>
          <w:sz w:val="22"/>
          <w:szCs w:val="22"/>
        </w:rPr>
      </w:pPr>
      <w:r>
        <w:rPr>
          <w:rFonts w:hint="eastAsia" w:ascii="仿宋" w:hAnsi="仿宋" w:eastAsia="仿宋" w:cs="仿宋"/>
          <w:color w:val="auto"/>
          <w:sz w:val="22"/>
          <w:szCs w:val="22"/>
        </w:rPr>
        <w:t>6.6服从评审现场采购组织单位的现场秩序管理，接受评审现场监督人员的合法监督。</w:t>
      </w:r>
    </w:p>
    <w:p>
      <w:pPr>
        <w:adjustRightInd w:val="0"/>
        <w:snapToGrid w:val="0"/>
        <w:spacing w:line="288" w:lineRule="auto"/>
        <w:jc w:val="left"/>
        <w:rPr>
          <w:rFonts w:ascii="仿宋" w:hAnsi="仿宋" w:eastAsia="仿宋" w:cs="仿宋"/>
          <w:color w:val="auto"/>
          <w:sz w:val="22"/>
          <w:szCs w:val="22"/>
        </w:rPr>
        <w:sectPr>
          <w:headerReference r:id="rId19" w:type="default"/>
          <w:footerReference r:id="rId20" w:type="default"/>
          <w:pgSz w:w="11906" w:h="16838"/>
          <w:pgMar w:top="1440" w:right="1983" w:bottom="1440" w:left="1800" w:header="851" w:footer="992" w:gutter="0"/>
          <w:cols w:space="720" w:num="1"/>
          <w:docGrid w:type="lines" w:linePitch="312" w:charSpace="0"/>
        </w:sectPr>
      </w:pPr>
      <w:r>
        <w:rPr>
          <w:rFonts w:hint="eastAsia" w:ascii="仿宋" w:hAnsi="仿宋" w:eastAsia="仿宋" w:cs="仿宋"/>
          <w:color w:val="auto"/>
          <w:sz w:val="22"/>
          <w:szCs w:val="22"/>
        </w:rPr>
        <w:t>6.7遵守有关廉洁自律规定，不得私下接触供应商，不得收受供应商及有关业务单位和个人的财物或好处，不得接受采购组织单位的请托。</w:t>
      </w:r>
    </w:p>
    <w:p>
      <w:pPr>
        <w:pStyle w:val="3"/>
        <w:widowControl/>
        <w:spacing w:line="240" w:lineRule="auto"/>
        <w:jc w:val="center"/>
        <w:rPr>
          <w:rFonts w:ascii="仿宋" w:hAnsi="仿宋" w:eastAsia="仿宋" w:cs="仿宋"/>
          <w:color w:val="auto"/>
          <w:sz w:val="28"/>
          <w:szCs w:val="28"/>
        </w:rPr>
      </w:pPr>
      <w:bookmarkStart w:id="117" w:name="_Toc508714410"/>
      <w:r>
        <w:rPr>
          <w:rFonts w:hint="eastAsia" w:ascii="仿宋" w:hAnsi="仿宋" w:eastAsia="仿宋" w:cs="仿宋"/>
          <w:color w:val="auto"/>
          <w:sz w:val="28"/>
          <w:szCs w:val="28"/>
        </w:rPr>
        <w:t>第十章  政府采购合同（草案）</w:t>
      </w:r>
      <w:bookmarkEnd w:id="117"/>
    </w:p>
    <w:bookmarkEnd w:id="94"/>
    <w:bookmarkEnd w:id="95"/>
    <w:bookmarkEnd w:id="96"/>
    <w:p>
      <w:pPr>
        <w:pStyle w:val="70"/>
        <w:ind w:firstLine="480"/>
        <w:rPr>
          <w:rFonts w:ascii="仿宋" w:hAnsi="仿宋" w:eastAsia="仿宋" w:cs="仿宋"/>
          <w:color w:val="auto"/>
        </w:rPr>
      </w:pPr>
      <w:bookmarkStart w:id="118" w:name="_Hlt101846155"/>
      <w:bookmarkEnd w:id="118"/>
      <w:r>
        <w:rPr>
          <w:rFonts w:hint="eastAsia" w:ascii="仿宋" w:hAnsi="仿宋" w:eastAsia="仿宋" w:cs="仿宋"/>
          <w:color w:val="auto"/>
        </w:rPr>
        <w:t>合同编号：</w:t>
      </w:r>
    </w:p>
    <w:p>
      <w:pPr>
        <w:pStyle w:val="70"/>
        <w:ind w:firstLine="480"/>
        <w:rPr>
          <w:rFonts w:ascii="仿宋" w:hAnsi="仿宋" w:eastAsia="仿宋" w:cs="仿宋"/>
          <w:color w:val="auto"/>
        </w:rPr>
      </w:pPr>
      <w:r>
        <w:rPr>
          <w:rFonts w:hint="eastAsia" w:ascii="仿宋" w:hAnsi="仿宋" w:eastAsia="仿宋" w:cs="仿宋"/>
          <w:color w:val="auto"/>
        </w:rPr>
        <w:t>签订地点：</w:t>
      </w:r>
    </w:p>
    <w:p>
      <w:pPr>
        <w:pStyle w:val="70"/>
        <w:ind w:firstLine="480"/>
        <w:rPr>
          <w:rFonts w:ascii="仿宋" w:hAnsi="仿宋" w:eastAsia="仿宋" w:cs="仿宋"/>
          <w:color w:val="auto"/>
        </w:rPr>
      </w:pPr>
      <w:r>
        <w:rPr>
          <w:rFonts w:hint="eastAsia" w:ascii="仿宋" w:hAnsi="仿宋" w:eastAsia="仿宋" w:cs="仿宋"/>
          <w:color w:val="auto"/>
        </w:rPr>
        <w:t>签订时间：年月日</w:t>
      </w:r>
    </w:p>
    <w:p>
      <w:pPr>
        <w:pStyle w:val="70"/>
        <w:ind w:firstLine="480"/>
        <w:rPr>
          <w:rFonts w:ascii="仿宋" w:hAnsi="仿宋" w:eastAsia="仿宋" w:cs="仿宋"/>
          <w:color w:val="auto"/>
        </w:rPr>
      </w:pPr>
      <w:r>
        <w:rPr>
          <w:rFonts w:hint="eastAsia" w:ascii="仿宋" w:hAnsi="仿宋" w:eastAsia="仿宋" w:cs="仿宋"/>
          <w:color w:val="auto"/>
        </w:rPr>
        <w:t>采购人（甲方）：</w:t>
      </w:r>
      <w:r>
        <w:rPr>
          <w:rFonts w:hint="eastAsia" w:ascii="仿宋" w:hAnsi="仿宋" w:eastAsia="仿宋" w:cs="仿宋"/>
          <w:color w:val="auto"/>
          <w:u w:val="single"/>
        </w:rPr>
        <w:t>采购人名称</w:t>
      </w:r>
    </w:p>
    <w:p>
      <w:pPr>
        <w:pStyle w:val="70"/>
        <w:ind w:firstLine="480"/>
        <w:rPr>
          <w:rFonts w:ascii="仿宋" w:hAnsi="仿宋" w:eastAsia="仿宋" w:cs="仿宋"/>
          <w:color w:val="auto"/>
        </w:rPr>
      </w:pPr>
      <w:r>
        <w:rPr>
          <w:rFonts w:hint="eastAsia" w:ascii="仿宋" w:hAnsi="仿宋" w:eastAsia="仿宋" w:cs="仿宋"/>
          <w:color w:val="auto"/>
        </w:rPr>
        <w:t>供应商（乙方）：</w:t>
      </w:r>
    </w:p>
    <w:p>
      <w:pPr>
        <w:widowControl/>
        <w:spacing w:line="360" w:lineRule="auto"/>
        <w:ind w:firstLine="480"/>
        <w:jc w:val="left"/>
        <w:rPr>
          <w:rFonts w:ascii="仿宋" w:hAnsi="仿宋" w:eastAsia="仿宋" w:cs="仿宋"/>
          <w:color w:val="auto"/>
          <w:kern w:val="0"/>
          <w:sz w:val="24"/>
        </w:rPr>
      </w:pPr>
      <w:r>
        <w:rPr>
          <w:rFonts w:hint="eastAsia" w:ascii="仿宋" w:hAnsi="仿宋" w:eastAsia="仿宋" w:cs="仿宋"/>
          <w:color w:val="auto"/>
          <w:kern w:val="0"/>
          <w:sz w:val="24"/>
        </w:rPr>
        <w:t>根据《中华人民共和国政府采购法》、《中华人民共和国合同法》及</w:t>
      </w:r>
      <w:r>
        <w:rPr>
          <w:rFonts w:hint="eastAsia" w:ascii="仿宋" w:hAnsi="仿宋" w:eastAsia="仿宋" w:cs="仿宋"/>
          <w:color w:val="auto"/>
          <w:kern w:val="0"/>
          <w:sz w:val="24"/>
          <w:u w:val="single"/>
        </w:rPr>
        <w:t>XXX采购</w:t>
      </w:r>
      <w:r>
        <w:rPr>
          <w:rFonts w:hint="eastAsia" w:ascii="仿宋" w:hAnsi="仿宋" w:eastAsia="仿宋" w:cs="仿宋"/>
          <w:color w:val="auto"/>
          <w:kern w:val="0"/>
          <w:sz w:val="24"/>
        </w:rPr>
        <w:t>项目（项目编号：）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pPr>
        <w:autoSpaceDE w:val="0"/>
        <w:autoSpaceDN w:val="0"/>
        <w:adjustRightInd w:val="0"/>
        <w:spacing w:line="360" w:lineRule="auto"/>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第一条   合同文件 </w:t>
      </w:r>
    </w:p>
    <w:p>
      <w:pPr>
        <w:autoSpaceDE w:val="0"/>
        <w:autoSpaceDN w:val="0"/>
        <w:adjustRightInd w:val="0"/>
        <w:spacing w:line="360" w:lineRule="auto"/>
        <w:ind w:firstLine="480" w:firstLineChars="20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下列与本次采购活动有关的文件及附件是本合同不可分割的组成部分，与本合同具有同等法律效力，这些文件包括但不限于： </w:t>
      </w:r>
    </w:p>
    <w:p>
      <w:pPr>
        <w:autoSpaceDE w:val="0"/>
        <w:autoSpaceDN w:val="0"/>
        <w:adjustRightInd w:val="0"/>
        <w:spacing w:line="360" w:lineRule="auto"/>
        <w:ind w:firstLine="480" w:firstLineChars="20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1.采购文件 </w:t>
      </w:r>
    </w:p>
    <w:p>
      <w:pPr>
        <w:autoSpaceDE w:val="0"/>
        <w:autoSpaceDN w:val="0"/>
        <w:adjustRightInd w:val="0"/>
        <w:spacing w:line="360" w:lineRule="auto"/>
        <w:ind w:firstLine="480" w:firstLineChars="20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2.响应文件 </w:t>
      </w:r>
    </w:p>
    <w:p>
      <w:pPr>
        <w:autoSpaceDE w:val="0"/>
        <w:autoSpaceDN w:val="0"/>
        <w:adjustRightInd w:val="0"/>
        <w:spacing w:line="360" w:lineRule="auto"/>
        <w:ind w:firstLine="480" w:firstLineChars="20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3.乙方在响应时的书面承诺 </w:t>
      </w:r>
    </w:p>
    <w:p>
      <w:pPr>
        <w:autoSpaceDE w:val="0"/>
        <w:autoSpaceDN w:val="0"/>
        <w:adjustRightInd w:val="0"/>
        <w:spacing w:line="360" w:lineRule="auto"/>
        <w:ind w:firstLine="480" w:firstLineChars="20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4.成交通知书 </w:t>
      </w:r>
    </w:p>
    <w:p>
      <w:pPr>
        <w:autoSpaceDE w:val="0"/>
        <w:autoSpaceDN w:val="0"/>
        <w:adjustRightInd w:val="0"/>
        <w:spacing w:line="360" w:lineRule="auto"/>
        <w:ind w:firstLine="480" w:firstLineChars="20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5.合同补充条款或说明 </w:t>
      </w:r>
    </w:p>
    <w:p>
      <w:pPr>
        <w:autoSpaceDE w:val="0"/>
        <w:autoSpaceDN w:val="0"/>
        <w:adjustRightInd w:val="0"/>
        <w:spacing w:line="360" w:lineRule="auto"/>
        <w:ind w:firstLine="480" w:firstLineChars="20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6.保密协议或条款 </w:t>
      </w:r>
    </w:p>
    <w:p>
      <w:pPr>
        <w:autoSpaceDE w:val="0"/>
        <w:autoSpaceDN w:val="0"/>
        <w:adjustRightInd w:val="0"/>
        <w:spacing w:line="360" w:lineRule="auto"/>
        <w:ind w:firstLine="480" w:firstLineChars="20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7.相关附件</w:t>
      </w:r>
    </w:p>
    <w:p>
      <w:pPr>
        <w:autoSpaceDE w:val="0"/>
        <w:autoSpaceDN w:val="0"/>
        <w:adjustRightInd w:val="0"/>
        <w:spacing w:line="360" w:lineRule="auto"/>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第二条   合同期限</w:t>
      </w:r>
    </w:p>
    <w:p>
      <w:pPr>
        <w:autoSpaceDE w:val="0"/>
        <w:autoSpaceDN w:val="0"/>
        <w:adjustRightInd w:val="0"/>
        <w:spacing w:line="360" w:lineRule="auto"/>
        <w:ind w:firstLine="480" w:firstLineChars="20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委托服务期间自______年______月至______年______月止。</w:t>
      </w:r>
    </w:p>
    <w:p>
      <w:pPr>
        <w:autoSpaceDE w:val="0"/>
        <w:autoSpaceDN w:val="0"/>
        <w:adjustRightInd w:val="0"/>
        <w:spacing w:line="360" w:lineRule="auto"/>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第三条  服务内容与服务标准</w:t>
      </w:r>
    </w:p>
    <w:p>
      <w:pPr>
        <w:autoSpaceDE w:val="0"/>
        <w:autoSpaceDN w:val="0"/>
        <w:adjustRightInd w:val="0"/>
        <w:spacing w:line="360" w:lineRule="auto"/>
        <w:jc w:val="left"/>
        <w:rPr>
          <w:rFonts w:ascii="仿宋" w:hAnsi="仿宋" w:eastAsia="仿宋" w:cs="仿宋"/>
          <w:color w:val="auto"/>
          <w:kern w:val="0"/>
          <w:szCs w:val="20"/>
        </w:rPr>
      </w:pPr>
    </w:p>
    <w:p>
      <w:pPr>
        <w:autoSpaceDE w:val="0"/>
        <w:autoSpaceDN w:val="0"/>
        <w:adjustRightInd w:val="0"/>
        <w:spacing w:line="360" w:lineRule="auto"/>
        <w:jc w:val="left"/>
        <w:rPr>
          <w:rFonts w:ascii="仿宋" w:hAnsi="仿宋" w:eastAsia="仿宋" w:cs="仿宋"/>
          <w:color w:val="auto"/>
          <w:kern w:val="0"/>
          <w:szCs w:val="20"/>
        </w:rPr>
      </w:pPr>
      <w:r>
        <w:rPr>
          <w:rFonts w:hint="eastAsia" w:ascii="仿宋" w:hAnsi="仿宋" w:eastAsia="仿宋" w:cs="仿宋"/>
          <w:color w:val="auto"/>
          <w:kern w:val="0"/>
          <w:szCs w:val="20"/>
        </w:rPr>
        <w:t>采购文件要求、响应文件响应的服务内容（合同签订时明确）</w:t>
      </w:r>
    </w:p>
    <w:p>
      <w:pPr>
        <w:autoSpaceDE w:val="0"/>
        <w:autoSpaceDN w:val="0"/>
        <w:adjustRightInd w:val="0"/>
        <w:spacing w:line="360" w:lineRule="auto"/>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第四条   合同金额及支付方式</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4.1  合同金额为：人民币 （大写）_________________元（￥_______________元）。本合同执行期间合同金额不变，甲方无须另向乙方支付本合同规定之外的其他任何费用。</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4.2  支付方式</w:t>
      </w:r>
    </w:p>
    <w:p>
      <w:pPr>
        <w:autoSpaceDE w:val="0"/>
        <w:autoSpaceDN w:val="0"/>
        <w:adjustRightInd w:val="0"/>
        <w:spacing w:line="360" w:lineRule="auto"/>
        <w:ind w:firstLine="480"/>
        <w:jc w:val="left"/>
        <w:rPr>
          <w:rFonts w:ascii="仿宋" w:hAnsi="仿宋" w:eastAsia="仿宋" w:cs="仿宋"/>
          <w:color w:val="auto"/>
          <w:kern w:val="0"/>
          <w:sz w:val="24"/>
          <w:szCs w:val="20"/>
        </w:rPr>
      </w:pPr>
    </w:p>
    <w:p>
      <w:pPr>
        <w:autoSpaceDE w:val="0"/>
        <w:autoSpaceDN w:val="0"/>
        <w:adjustRightInd w:val="0"/>
        <w:spacing w:line="360" w:lineRule="auto"/>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第五条   知识产权及承诺</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5.1  乙方保证所提供的服务或其任何一部分均不会侵犯任何第三方的专利权、商标权、著作权或其他合法权益，否则视为乙方违约，由此产生的一切损失由乙方承担。</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5.2  经甲乙双方协商一致，本项目产生的知识产权归拥有。</w:t>
      </w:r>
    </w:p>
    <w:p>
      <w:pPr>
        <w:autoSpaceDE w:val="0"/>
        <w:autoSpaceDN w:val="0"/>
        <w:adjustRightInd w:val="0"/>
        <w:spacing w:line="360" w:lineRule="auto"/>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第六条   甲方的权利与义务</w:t>
      </w:r>
    </w:p>
    <w:p>
      <w:pPr>
        <w:autoSpaceDE w:val="0"/>
        <w:autoSpaceDN w:val="0"/>
        <w:adjustRightInd w:val="0"/>
        <w:spacing w:line="360" w:lineRule="auto"/>
        <w:ind w:firstLine="480" w:firstLineChars="20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6.1  甲方有权对合同规定范围内乙方的服务进行督促，并要求乙方进行符合服务质量标准的修改。</w:t>
      </w:r>
    </w:p>
    <w:p>
      <w:pPr>
        <w:autoSpaceDE w:val="0"/>
        <w:autoSpaceDN w:val="0"/>
        <w:adjustRightInd w:val="0"/>
        <w:spacing w:line="360" w:lineRule="auto"/>
        <w:ind w:firstLine="480" w:firstLineChars="20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6.2  负责监督乙方服务的实施及执行情况。</w:t>
      </w:r>
    </w:p>
    <w:p>
      <w:pPr>
        <w:autoSpaceDE w:val="0"/>
        <w:autoSpaceDN w:val="0"/>
        <w:adjustRightInd w:val="0"/>
        <w:spacing w:line="360" w:lineRule="auto"/>
        <w:ind w:firstLine="480" w:firstLineChars="20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6.3  根据本合同规定，按时向乙方支付应付服务费用。</w:t>
      </w:r>
    </w:p>
    <w:p>
      <w:pPr>
        <w:autoSpaceDE w:val="0"/>
        <w:autoSpaceDN w:val="0"/>
        <w:adjustRightInd w:val="0"/>
        <w:spacing w:line="360" w:lineRule="auto"/>
        <w:ind w:firstLine="480" w:firstLineChars="20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6.4  国家法律、法规所规定由甲方承担的其它责任。</w:t>
      </w:r>
    </w:p>
    <w:p>
      <w:pPr>
        <w:autoSpaceDE w:val="0"/>
        <w:autoSpaceDN w:val="0"/>
        <w:adjustRightInd w:val="0"/>
        <w:spacing w:line="360" w:lineRule="auto"/>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第七条   乙方的权利与义务</w:t>
      </w:r>
    </w:p>
    <w:p>
      <w:pPr>
        <w:autoSpaceDE w:val="0"/>
        <w:autoSpaceDN w:val="0"/>
        <w:adjustRightInd w:val="0"/>
        <w:spacing w:line="360" w:lineRule="auto"/>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    7.1  对委托服务范围内的项目有管理权及服务义务。按照服务内容和质量标准按时保质完成服务。</w:t>
      </w:r>
    </w:p>
    <w:p>
      <w:pPr>
        <w:autoSpaceDE w:val="0"/>
        <w:autoSpaceDN w:val="0"/>
        <w:adjustRightInd w:val="0"/>
        <w:spacing w:line="360" w:lineRule="auto"/>
        <w:ind w:firstLine="480" w:firstLineChars="20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7.2  根据本合同规定向甲方收取服务费用，并有权在项目管理范围内管理及合理使用。</w:t>
      </w:r>
    </w:p>
    <w:p>
      <w:pPr>
        <w:autoSpaceDE w:val="0"/>
        <w:autoSpaceDN w:val="0"/>
        <w:adjustRightInd w:val="0"/>
        <w:spacing w:line="360" w:lineRule="auto"/>
        <w:ind w:firstLine="480" w:firstLineChars="20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7.3  及时向甲方通告项目服务范围内有关服务的重大事项。</w:t>
      </w:r>
    </w:p>
    <w:p>
      <w:pPr>
        <w:autoSpaceDE w:val="0"/>
        <w:autoSpaceDN w:val="0"/>
        <w:adjustRightInd w:val="0"/>
        <w:spacing w:line="360" w:lineRule="auto"/>
        <w:ind w:firstLine="480" w:firstLineChars="20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7.4  国家法律、法规所规定由乙方承担的其它责任。</w:t>
      </w:r>
    </w:p>
    <w:p>
      <w:pPr>
        <w:autoSpaceDE w:val="0"/>
        <w:autoSpaceDN w:val="0"/>
        <w:adjustRightInd w:val="0"/>
        <w:spacing w:line="360" w:lineRule="auto"/>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第九条   违约责任</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10.1  甲乙双方必须遵守本合同并执行合同中的各项规定，保证本合同的合法正常履行。</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10.2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10.3  乙方提供的服务不符合采购文件、报价文件或本合同规定的，每项违约乙方须向甲方支付本合同总价%的违约金。</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10.4  乙方未能按本合同规定时间提供服务，从逾期之日起每日按本合同总价‰的数额向甲方支付违约金；逾期半个月以上的，甲方有权解除合同，由此造成的甲方经济损失由乙方承担。</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10.5  甲方无正当理由拒收接受服务，到期拒付服务款项的，甲方向乙方偿付本合同总的%的违约金。甲方人逾期付款，则每日按本合同总价的‰向乙方偿付违约金。</w:t>
      </w:r>
    </w:p>
    <w:p>
      <w:pPr>
        <w:autoSpaceDE w:val="0"/>
        <w:autoSpaceDN w:val="0"/>
        <w:adjustRightInd w:val="0"/>
        <w:spacing w:line="360" w:lineRule="auto"/>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第十条   不可抗力</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autoSpaceDE w:val="0"/>
        <w:autoSpaceDN w:val="0"/>
        <w:adjustRightInd w:val="0"/>
        <w:spacing w:line="360" w:lineRule="auto"/>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第十一条   争议的解决</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在执行本合同中发生的或与本合同有关的争端，双方应通过友好协商解决，经协商在不能达成协议时，应选择以下第种解决方式：</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1. 向成都仲裁委员会提起仲裁；</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2. 向甲方所在地有管辖权的法院提起诉讼。</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在法院审理和仲裁期间，除有争议部分外，本合同其他部分可以履行的仍应按合同条款继续履行。</w:t>
      </w:r>
    </w:p>
    <w:p>
      <w:pPr>
        <w:autoSpaceDE w:val="0"/>
        <w:autoSpaceDN w:val="0"/>
        <w:adjustRightInd w:val="0"/>
        <w:spacing w:line="360" w:lineRule="auto"/>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第十二条   其他</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11.1  合同经双方法定代表人或授权委托代理人签字并加盖单位公章后生效。合同一经生效，双方应诚信履行合同，除双方协商一致解除合同外，一方不得无理由解除合同。</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11.2  合同执行中涉及采购资金和采购内容修改或补充的，在符合《政府采购法》第49条的前提下，须经政府采购监管部门审批，签订书面补充协议后须报政府采购监督管理部门备案，方可作为主合同不可分割的一部分。</w:t>
      </w:r>
    </w:p>
    <w:p>
      <w:pPr>
        <w:autoSpaceDE w:val="0"/>
        <w:autoSpaceDN w:val="0"/>
        <w:adjustRightInd w:val="0"/>
        <w:spacing w:line="360" w:lineRule="auto"/>
        <w:ind w:firstLine="480"/>
        <w:jc w:val="left"/>
        <w:rPr>
          <w:rFonts w:ascii="仿宋" w:hAnsi="仿宋" w:eastAsia="仿宋" w:cs="仿宋"/>
          <w:color w:val="auto"/>
          <w:kern w:val="0"/>
          <w:sz w:val="24"/>
          <w:szCs w:val="20"/>
        </w:rPr>
      </w:pPr>
      <w:r>
        <w:rPr>
          <w:rFonts w:hint="eastAsia" w:ascii="仿宋" w:hAnsi="仿宋" w:eastAsia="仿宋" w:cs="仿宋"/>
          <w:color w:val="auto"/>
          <w:kern w:val="0"/>
          <w:sz w:val="24"/>
          <w:szCs w:val="20"/>
        </w:rPr>
        <w:t>11.3  本合同一式份，自双方签章之日起起效。甲方份，乙方份，政府采购代理机构份，同级财政部门备案份，具有同等法律效力。</w:t>
      </w:r>
    </w:p>
    <w:p>
      <w:pPr>
        <w:widowControl/>
        <w:jc w:val="left"/>
        <w:rPr>
          <w:rFonts w:ascii="仿宋" w:hAnsi="仿宋" w:eastAsia="仿宋" w:cs="仿宋"/>
          <w:b/>
          <w:color w:val="auto"/>
          <w:kern w:val="0"/>
          <w:sz w:val="24"/>
        </w:rPr>
      </w:pP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甲  方：                                 乙  方：</w:t>
      </w: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法定代表人（授权代表）：                  法定代表人（授权代表）：</w:t>
      </w: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地    址：                               地    址：</w:t>
      </w: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开户银行：                               开户银行：</w:t>
      </w: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账    号：                               账    号：</w:t>
      </w: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电    话：                               电    话：</w:t>
      </w: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传    真：                               传    真：</w:t>
      </w: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签约日期：     年  月   日               签约日期：    年  月   日</w:t>
      </w:r>
    </w:p>
    <w:p>
      <w:pPr>
        <w:widowControl/>
        <w:spacing w:line="400" w:lineRule="exact"/>
        <w:jc w:val="center"/>
        <w:rPr>
          <w:rFonts w:ascii="仿宋" w:hAnsi="仿宋" w:eastAsia="仿宋" w:cs="仿宋"/>
          <w:b/>
          <w:color w:val="auto"/>
          <w:kern w:val="0"/>
          <w:sz w:val="24"/>
        </w:rPr>
      </w:pPr>
    </w:p>
    <w:p>
      <w:pPr>
        <w:widowControl/>
        <w:spacing w:line="400" w:lineRule="exact"/>
        <w:rPr>
          <w:rFonts w:ascii="仿宋" w:hAnsi="仿宋" w:eastAsia="仿宋" w:cs="仿宋"/>
          <w:color w:val="auto"/>
        </w:rPr>
      </w:pPr>
      <w:r>
        <w:rPr>
          <w:rFonts w:hint="eastAsia" w:ascii="仿宋" w:hAnsi="仿宋" w:eastAsia="仿宋" w:cs="仿宋"/>
          <w:b/>
          <w:color w:val="auto"/>
          <w:kern w:val="0"/>
          <w:sz w:val="24"/>
        </w:rPr>
        <w:t>注：其他合同专用条款在合同签订时另商签</w:t>
      </w:r>
    </w:p>
    <w:sectPr>
      <w:footerReference r:id="rId21" w:type="default"/>
      <w:pgSz w:w="11906" w:h="16838"/>
      <w:pgMar w:top="1440" w:right="311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31</w:t>
    </w:r>
    <w:r>
      <w:rPr>
        <w:rFonts w:ascii="宋体" w:hAnsi="宋体"/>
        <w:sz w:val="28"/>
        <w:szCs w:val="2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32"/>
        <w:szCs w:val="32"/>
      </w:rP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37</w:t>
    </w:r>
    <w:r>
      <w:rPr>
        <w:rFonts w:ascii="宋体" w:hAnsi="宋体"/>
        <w:sz w:val="32"/>
        <w:szCs w:val="3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46</w:t>
    </w:r>
    <w:r>
      <w:rPr>
        <w:rFonts w:ascii="宋体" w:hAnsi="宋体"/>
        <w:sz w:val="28"/>
        <w:szCs w:val="2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50</w:t>
    </w:r>
    <w:r>
      <w:rPr>
        <w:rFonts w:ascii="宋体" w:hAnsi="宋体"/>
        <w:sz w:val="28"/>
        <w:szCs w:val="2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60</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33"/>
      </w:rPr>
    </w:pPr>
    <w:r>
      <w:fldChar w:fldCharType="begin"/>
    </w:r>
    <w:r>
      <w:rPr>
        <w:rStyle w:val="33"/>
      </w:rPr>
      <w:instrText xml:space="preserve">PAGE  </w:instrText>
    </w:r>
    <w:r>
      <w:fldChar w:fldCharType="separate"/>
    </w:r>
    <w:r>
      <w:rPr>
        <w:rStyle w:val="33"/>
      </w:rPr>
      <w:t>66</w: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26</w:t>
    </w:r>
    <w:r>
      <w:rPr>
        <w:rFonts w:ascii="宋体" w:hAnsi="宋体"/>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30</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15"/>
        <w:szCs w:val="15"/>
      </w:rPr>
    </w:pPr>
    <w:r>
      <w:rPr>
        <w:rFonts w:hint="eastAsia"/>
        <w:sz w:val="15"/>
        <w:szCs w:val="15"/>
      </w:rPr>
      <w:drawing>
        <wp:inline distT="0" distB="0" distL="0" distR="0">
          <wp:extent cx="163830" cy="163830"/>
          <wp:effectExtent l="19050" t="0" r="7620" b="0"/>
          <wp:docPr id="2" name="图片 5" descr="ab693bf824672e4a167d110c308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ab693bf824672e4a167d110c3087309"/>
                  <pic:cNvPicPr>
                    <a:picLocks noChangeAspect="1" noChangeArrowheads="1"/>
                  </pic:cNvPicPr>
                </pic:nvPicPr>
                <pic:blipFill>
                  <a:blip r:embed="rId1"/>
                  <a:srcRect/>
                  <a:stretch>
                    <a:fillRect/>
                  </a:stretch>
                </pic:blipFill>
                <pic:spPr>
                  <a:xfrm>
                    <a:off x="0" y="0"/>
                    <a:ext cx="163830" cy="163830"/>
                  </a:xfrm>
                  <a:prstGeom prst="rect">
                    <a:avLst/>
                  </a:prstGeom>
                  <a:noFill/>
                  <a:ln w="9525" cmpd="sng">
                    <a:noFill/>
                    <a:miter lim="800000"/>
                    <a:headEnd/>
                    <a:tailEnd/>
                  </a:ln>
                </pic:spPr>
              </pic:pic>
            </a:graphicData>
          </a:graphic>
        </wp:inline>
      </w:drawing>
    </w:r>
    <w:r>
      <w:rPr>
        <w:rFonts w:hint="eastAsia"/>
        <w:sz w:val="15"/>
        <w:szCs w:val="15"/>
      </w:rPr>
      <w:t xml:space="preserve">四川尚运晟工程项目管理有限公司 </w:t>
    </w:r>
  </w:p>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15"/>
        <w:szCs w:val="15"/>
      </w:rPr>
    </w:pPr>
    <w:r>
      <w:rPr>
        <w:rFonts w:hint="eastAsia"/>
        <w:sz w:val="15"/>
        <w:szCs w:val="15"/>
      </w:rPr>
      <w:drawing>
        <wp:inline distT="0" distB="0" distL="0" distR="0">
          <wp:extent cx="163830" cy="163830"/>
          <wp:effectExtent l="19050" t="0" r="7620" b="0"/>
          <wp:docPr id="1" name="图片 5" descr="ab693bf824672e4a167d110c308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ab693bf824672e4a167d110c3087309"/>
                  <pic:cNvPicPr>
                    <a:picLocks noChangeAspect="1" noChangeArrowheads="1"/>
                  </pic:cNvPicPr>
                </pic:nvPicPr>
                <pic:blipFill>
                  <a:blip r:embed="rId1"/>
                  <a:srcRect/>
                  <a:stretch>
                    <a:fillRect/>
                  </a:stretch>
                </pic:blipFill>
                <pic:spPr>
                  <a:xfrm>
                    <a:off x="0" y="0"/>
                    <a:ext cx="163830" cy="163830"/>
                  </a:xfrm>
                  <a:prstGeom prst="rect">
                    <a:avLst/>
                  </a:prstGeom>
                  <a:noFill/>
                  <a:ln w="9525" cmpd="sng">
                    <a:noFill/>
                    <a:miter lim="800000"/>
                    <a:headEnd/>
                    <a:tailEnd/>
                  </a:ln>
                </pic:spPr>
              </pic:pic>
            </a:graphicData>
          </a:graphic>
        </wp:inline>
      </w:drawing>
    </w:r>
    <w:r>
      <w:rPr>
        <w:rFonts w:hint="eastAsia"/>
        <w:sz w:val="15"/>
        <w:szCs w:val="15"/>
      </w:rPr>
      <w:t xml:space="preserve">四川尚运晟工程项目管理有限公司 </w:t>
    </w:r>
  </w:p>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15"/>
        <w:szCs w:val="15"/>
      </w:rPr>
    </w:pPr>
    <w:r>
      <w:rPr>
        <w:rFonts w:hint="eastAsia"/>
        <w:sz w:val="15"/>
        <w:szCs w:val="15"/>
      </w:rPr>
      <w:drawing>
        <wp:inline distT="0" distB="0" distL="0" distR="0">
          <wp:extent cx="163830" cy="163830"/>
          <wp:effectExtent l="19050" t="0" r="7620" b="0"/>
          <wp:docPr id="3" name="图片 5" descr="ab693bf824672e4a167d110c308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ab693bf824672e4a167d110c3087309"/>
                  <pic:cNvPicPr>
                    <a:picLocks noChangeAspect="1" noChangeArrowheads="1"/>
                  </pic:cNvPicPr>
                </pic:nvPicPr>
                <pic:blipFill>
                  <a:blip r:embed="rId1"/>
                  <a:srcRect/>
                  <a:stretch>
                    <a:fillRect/>
                  </a:stretch>
                </pic:blipFill>
                <pic:spPr>
                  <a:xfrm>
                    <a:off x="0" y="0"/>
                    <a:ext cx="163830" cy="163830"/>
                  </a:xfrm>
                  <a:prstGeom prst="rect">
                    <a:avLst/>
                  </a:prstGeom>
                  <a:noFill/>
                  <a:ln w="9525" cmpd="sng">
                    <a:noFill/>
                    <a:miter lim="800000"/>
                    <a:headEnd/>
                    <a:tailEnd/>
                  </a:ln>
                </pic:spPr>
              </pic:pic>
            </a:graphicData>
          </a:graphic>
        </wp:inline>
      </w:drawing>
    </w:r>
    <w:r>
      <w:rPr>
        <w:rFonts w:hint="eastAsia"/>
        <w:sz w:val="15"/>
        <w:szCs w:val="15"/>
      </w:rPr>
      <w:t xml:space="preserve">四川尚运晟工程项目管理有限公司 </w:t>
    </w:r>
  </w:p>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B71C2"/>
    <w:multiLevelType w:val="singleLevel"/>
    <w:tmpl w:val="9D0B71C2"/>
    <w:lvl w:ilvl="0" w:tentative="0">
      <w:start w:val="1"/>
      <w:numFmt w:val="decimal"/>
      <w:lvlText w:val="%1."/>
      <w:lvlJc w:val="left"/>
      <w:pPr>
        <w:tabs>
          <w:tab w:val="left" w:pos="312"/>
        </w:tabs>
      </w:pPr>
    </w:lvl>
  </w:abstractNum>
  <w:abstractNum w:abstractNumId="1">
    <w:nsid w:val="C45BDC40"/>
    <w:multiLevelType w:val="singleLevel"/>
    <w:tmpl w:val="C45BDC40"/>
    <w:lvl w:ilvl="0" w:tentative="0">
      <w:start w:val="1"/>
      <w:numFmt w:val="decimal"/>
      <w:lvlText w:val="%1."/>
      <w:lvlJc w:val="left"/>
      <w:pPr>
        <w:tabs>
          <w:tab w:val="left" w:pos="312"/>
        </w:tabs>
      </w:pPr>
    </w:lvl>
  </w:abstractNum>
  <w:abstractNum w:abstractNumId="2">
    <w:nsid w:val="CAD92843"/>
    <w:multiLevelType w:val="singleLevel"/>
    <w:tmpl w:val="CAD92843"/>
    <w:lvl w:ilvl="0" w:tentative="0">
      <w:start w:val="1"/>
      <w:numFmt w:val="decimalEnclosedCircleChinese"/>
      <w:suff w:val="nothing"/>
      <w:lvlText w:val="%1　"/>
      <w:lvlJc w:val="left"/>
      <w:pPr>
        <w:ind w:left="0" w:firstLine="400"/>
      </w:pPr>
      <w:rPr>
        <w:rFonts w:hint="eastAsia"/>
      </w:rPr>
    </w:lvl>
  </w:abstractNum>
  <w:abstractNum w:abstractNumId="3">
    <w:nsid w:val="5BB13E4A"/>
    <w:multiLevelType w:val="singleLevel"/>
    <w:tmpl w:val="5BB13E4A"/>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C12CC"/>
    <w:rsid w:val="00001660"/>
    <w:rsid w:val="00004B89"/>
    <w:rsid w:val="00006011"/>
    <w:rsid w:val="00010437"/>
    <w:rsid w:val="00011752"/>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35A6"/>
    <w:rsid w:val="00035808"/>
    <w:rsid w:val="00035860"/>
    <w:rsid w:val="00035948"/>
    <w:rsid w:val="000408C4"/>
    <w:rsid w:val="00041FE4"/>
    <w:rsid w:val="00042CF7"/>
    <w:rsid w:val="00043368"/>
    <w:rsid w:val="000451F8"/>
    <w:rsid w:val="000462B4"/>
    <w:rsid w:val="00046697"/>
    <w:rsid w:val="0004677D"/>
    <w:rsid w:val="00047465"/>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6D3"/>
    <w:rsid w:val="000739F4"/>
    <w:rsid w:val="00073B7E"/>
    <w:rsid w:val="00074138"/>
    <w:rsid w:val="000743DD"/>
    <w:rsid w:val="0007588A"/>
    <w:rsid w:val="00081A37"/>
    <w:rsid w:val="00082B75"/>
    <w:rsid w:val="000834B0"/>
    <w:rsid w:val="000839BF"/>
    <w:rsid w:val="00084183"/>
    <w:rsid w:val="00084FFC"/>
    <w:rsid w:val="0008602F"/>
    <w:rsid w:val="000867B4"/>
    <w:rsid w:val="00086A4E"/>
    <w:rsid w:val="00086A9F"/>
    <w:rsid w:val="00090600"/>
    <w:rsid w:val="00090A00"/>
    <w:rsid w:val="00092B4C"/>
    <w:rsid w:val="000932AA"/>
    <w:rsid w:val="00093ABA"/>
    <w:rsid w:val="0009496F"/>
    <w:rsid w:val="000958DC"/>
    <w:rsid w:val="000962DA"/>
    <w:rsid w:val="000A1518"/>
    <w:rsid w:val="000A1D01"/>
    <w:rsid w:val="000A2A84"/>
    <w:rsid w:val="000A32C6"/>
    <w:rsid w:val="000A3D02"/>
    <w:rsid w:val="000A3D83"/>
    <w:rsid w:val="000A4196"/>
    <w:rsid w:val="000A42C7"/>
    <w:rsid w:val="000A4B2E"/>
    <w:rsid w:val="000A4EA5"/>
    <w:rsid w:val="000A7857"/>
    <w:rsid w:val="000A791A"/>
    <w:rsid w:val="000B07DD"/>
    <w:rsid w:val="000B0E0C"/>
    <w:rsid w:val="000B0F4B"/>
    <w:rsid w:val="000B1C2C"/>
    <w:rsid w:val="000B4967"/>
    <w:rsid w:val="000B57D0"/>
    <w:rsid w:val="000B58C4"/>
    <w:rsid w:val="000B7FD8"/>
    <w:rsid w:val="000C00DD"/>
    <w:rsid w:val="000C0110"/>
    <w:rsid w:val="000C0146"/>
    <w:rsid w:val="000C22DB"/>
    <w:rsid w:val="000C2EFC"/>
    <w:rsid w:val="000C3B13"/>
    <w:rsid w:val="000C405E"/>
    <w:rsid w:val="000C4129"/>
    <w:rsid w:val="000C4762"/>
    <w:rsid w:val="000C562F"/>
    <w:rsid w:val="000C5D2D"/>
    <w:rsid w:val="000C5FC0"/>
    <w:rsid w:val="000D03B4"/>
    <w:rsid w:val="000D0F0A"/>
    <w:rsid w:val="000D1724"/>
    <w:rsid w:val="000D2846"/>
    <w:rsid w:val="000D319D"/>
    <w:rsid w:val="000D4EFB"/>
    <w:rsid w:val="000D705A"/>
    <w:rsid w:val="000D710C"/>
    <w:rsid w:val="000E0A69"/>
    <w:rsid w:val="000E2E9A"/>
    <w:rsid w:val="000E4B8B"/>
    <w:rsid w:val="000E583C"/>
    <w:rsid w:val="000E6476"/>
    <w:rsid w:val="000E6CD7"/>
    <w:rsid w:val="000F2ADD"/>
    <w:rsid w:val="000F422B"/>
    <w:rsid w:val="000F45A9"/>
    <w:rsid w:val="000F565F"/>
    <w:rsid w:val="000F5B27"/>
    <w:rsid w:val="000F6854"/>
    <w:rsid w:val="001004E4"/>
    <w:rsid w:val="00100B7D"/>
    <w:rsid w:val="00100C85"/>
    <w:rsid w:val="00100FCD"/>
    <w:rsid w:val="0010167E"/>
    <w:rsid w:val="00101CB5"/>
    <w:rsid w:val="0010257C"/>
    <w:rsid w:val="001033D2"/>
    <w:rsid w:val="00105014"/>
    <w:rsid w:val="0010666F"/>
    <w:rsid w:val="001114EB"/>
    <w:rsid w:val="001116C7"/>
    <w:rsid w:val="00111F41"/>
    <w:rsid w:val="00114DE5"/>
    <w:rsid w:val="00114EBA"/>
    <w:rsid w:val="001150A5"/>
    <w:rsid w:val="001206B4"/>
    <w:rsid w:val="0012096C"/>
    <w:rsid w:val="001212C2"/>
    <w:rsid w:val="0012276E"/>
    <w:rsid w:val="001239E7"/>
    <w:rsid w:val="00123E53"/>
    <w:rsid w:val="00123FC0"/>
    <w:rsid w:val="001248FE"/>
    <w:rsid w:val="00126265"/>
    <w:rsid w:val="001268CA"/>
    <w:rsid w:val="00126D87"/>
    <w:rsid w:val="00131275"/>
    <w:rsid w:val="00131A80"/>
    <w:rsid w:val="00131F14"/>
    <w:rsid w:val="001329EB"/>
    <w:rsid w:val="001345C8"/>
    <w:rsid w:val="00134F35"/>
    <w:rsid w:val="0013590F"/>
    <w:rsid w:val="00136485"/>
    <w:rsid w:val="00136D53"/>
    <w:rsid w:val="00142470"/>
    <w:rsid w:val="0014425B"/>
    <w:rsid w:val="001451F2"/>
    <w:rsid w:val="001464DD"/>
    <w:rsid w:val="001474CC"/>
    <w:rsid w:val="001500D3"/>
    <w:rsid w:val="00150658"/>
    <w:rsid w:val="00150BFF"/>
    <w:rsid w:val="00151441"/>
    <w:rsid w:val="00152074"/>
    <w:rsid w:val="00152949"/>
    <w:rsid w:val="00153D4C"/>
    <w:rsid w:val="0015550E"/>
    <w:rsid w:val="00156466"/>
    <w:rsid w:val="00156D44"/>
    <w:rsid w:val="001575FD"/>
    <w:rsid w:val="0016015B"/>
    <w:rsid w:val="00161AEF"/>
    <w:rsid w:val="00162078"/>
    <w:rsid w:val="00162C00"/>
    <w:rsid w:val="0016341A"/>
    <w:rsid w:val="001648CD"/>
    <w:rsid w:val="001652F8"/>
    <w:rsid w:val="00165833"/>
    <w:rsid w:val="00167ED2"/>
    <w:rsid w:val="00170C8C"/>
    <w:rsid w:val="001746B3"/>
    <w:rsid w:val="00175AEB"/>
    <w:rsid w:val="001763A5"/>
    <w:rsid w:val="001836F5"/>
    <w:rsid w:val="0018382C"/>
    <w:rsid w:val="0018390E"/>
    <w:rsid w:val="00183C90"/>
    <w:rsid w:val="00183F9B"/>
    <w:rsid w:val="00185A39"/>
    <w:rsid w:val="00185F2C"/>
    <w:rsid w:val="00186A43"/>
    <w:rsid w:val="00186AEA"/>
    <w:rsid w:val="001876EA"/>
    <w:rsid w:val="00187C36"/>
    <w:rsid w:val="00187D88"/>
    <w:rsid w:val="0019037D"/>
    <w:rsid w:val="00190646"/>
    <w:rsid w:val="001906AD"/>
    <w:rsid w:val="001935B8"/>
    <w:rsid w:val="00193802"/>
    <w:rsid w:val="00193E56"/>
    <w:rsid w:val="001961BF"/>
    <w:rsid w:val="00196A94"/>
    <w:rsid w:val="00196B7A"/>
    <w:rsid w:val="001974BF"/>
    <w:rsid w:val="0019756E"/>
    <w:rsid w:val="001A0BE4"/>
    <w:rsid w:val="001A19E6"/>
    <w:rsid w:val="001A20A1"/>
    <w:rsid w:val="001A4D34"/>
    <w:rsid w:val="001A67F1"/>
    <w:rsid w:val="001A761A"/>
    <w:rsid w:val="001B053F"/>
    <w:rsid w:val="001B1F0F"/>
    <w:rsid w:val="001B22E9"/>
    <w:rsid w:val="001B334A"/>
    <w:rsid w:val="001B3E78"/>
    <w:rsid w:val="001B4B2D"/>
    <w:rsid w:val="001B4BDC"/>
    <w:rsid w:val="001C2A2B"/>
    <w:rsid w:val="001C2CAE"/>
    <w:rsid w:val="001C4A5B"/>
    <w:rsid w:val="001C5AF6"/>
    <w:rsid w:val="001C7AD1"/>
    <w:rsid w:val="001D0F62"/>
    <w:rsid w:val="001D2331"/>
    <w:rsid w:val="001D3913"/>
    <w:rsid w:val="001D6FBF"/>
    <w:rsid w:val="001E0521"/>
    <w:rsid w:val="001E0CB9"/>
    <w:rsid w:val="001E13E5"/>
    <w:rsid w:val="001E148C"/>
    <w:rsid w:val="001E3B05"/>
    <w:rsid w:val="001E5BB0"/>
    <w:rsid w:val="001E6EBF"/>
    <w:rsid w:val="001E6EC9"/>
    <w:rsid w:val="001E6EF9"/>
    <w:rsid w:val="001F035E"/>
    <w:rsid w:val="001F1E7D"/>
    <w:rsid w:val="001F2E29"/>
    <w:rsid w:val="001F3859"/>
    <w:rsid w:val="001F492D"/>
    <w:rsid w:val="001F64F5"/>
    <w:rsid w:val="001F79FC"/>
    <w:rsid w:val="001F7DBD"/>
    <w:rsid w:val="00200C93"/>
    <w:rsid w:val="00203068"/>
    <w:rsid w:val="00205336"/>
    <w:rsid w:val="00206D18"/>
    <w:rsid w:val="002073CA"/>
    <w:rsid w:val="0021013C"/>
    <w:rsid w:val="002120D0"/>
    <w:rsid w:val="002125E6"/>
    <w:rsid w:val="00215638"/>
    <w:rsid w:val="0021668E"/>
    <w:rsid w:val="00220283"/>
    <w:rsid w:val="00221E35"/>
    <w:rsid w:val="00224333"/>
    <w:rsid w:val="0022447C"/>
    <w:rsid w:val="00224CDC"/>
    <w:rsid w:val="002270B2"/>
    <w:rsid w:val="002276F5"/>
    <w:rsid w:val="00230304"/>
    <w:rsid w:val="00230D10"/>
    <w:rsid w:val="002320BC"/>
    <w:rsid w:val="002332EA"/>
    <w:rsid w:val="002342C9"/>
    <w:rsid w:val="0023460B"/>
    <w:rsid w:val="002376B7"/>
    <w:rsid w:val="00241AF6"/>
    <w:rsid w:val="00242277"/>
    <w:rsid w:val="00242A14"/>
    <w:rsid w:val="00244015"/>
    <w:rsid w:val="00244638"/>
    <w:rsid w:val="0024529B"/>
    <w:rsid w:val="00245E6C"/>
    <w:rsid w:val="002470DA"/>
    <w:rsid w:val="0025006F"/>
    <w:rsid w:val="00250692"/>
    <w:rsid w:val="002509D0"/>
    <w:rsid w:val="002510B3"/>
    <w:rsid w:val="00252DDB"/>
    <w:rsid w:val="0025359C"/>
    <w:rsid w:val="002554B2"/>
    <w:rsid w:val="00255D4B"/>
    <w:rsid w:val="00261162"/>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26F8"/>
    <w:rsid w:val="00293459"/>
    <w:rsid w:val="00294EBC"/>
    <w:rsid w:val="00295F87"/>
    <w:rsid w:val="0029626C"/>
    <w:rsid w:val="00296834"/>
    <w:rsid w:val="00297B8B"/>
    <w:rsid w:val="002A0B7A"/>
    <w:rsid w:val="002A0C3D"/>
    <w:rsid w:val="002A0C82"/>
    <w:rsid w:val="002A1E56"/>
    <w:rsid w:val="002A4317"/>
    <w:rsid w:val="002A5060"/>
    <w:rsid w:val="002A7D03"/>
    <w:rsid w:val="002B067F"/>
    <w:rsid w:val="002B06DF"/>
    <w:rsid w:val="002B125D"/>
    <w:rsid w:val="002B3263"/>
    <w:rsid w:val="002B3497"/>
    <w:rsid w:val="002B3FE9"/>
    <w:rsid w:val="002B4920"/>
    <w:rsid w:val="002B4C3F"/>
    <w:rsid w:val="002B5EB0"/>
    <w:rsid w:val="002B6D25"/>
    <w:rsid w:val="002B7D1D"/>
    <w:rsid w:val="002C0169"/>
    <w:rsid w:val="002C0185"/>
    <w:rsid w:val="002C0964"/>
    <w:rsid w:val="002C1101"/>
    <w:rsid w:val="002C2154"/>
    <w:rsid w:val="002C3905"/>
    <w:rsid w:val="002C49AA"/>
    <w:rsid w:val="002C67ED"/>
    <w:rsid w:val="002C7AF8"/>
    <w:rsid w:val="002C7DDE"/>
    <w:rsid w:val="002D018F"/>
    <w:rsid w:val="002D2A3C"/>
    <w:rsid w:val="002D2EA5"/>
    <w:rsid w:val="002D44CE"/>
    <w:rsid w:val="002D5D7E"/>
    <w:rsid w:val="002D618D"/>
    <w:rsid w:val="002D6435"/>
    <w:rsid w:val="002D73AE"/>
    <w:rsid w:val="002D7D21"/>
    <w:rsid w:val="002E1456"/>
    <w:rsid w:val="002E2016"/>
    <w:rsid w:val="002E372F"/>
    <w:rsid w:val="002E38A1"/>
    <w:rsid w:val="002E53EC"/>
    <w:rsid w:val="002E7B45"/>
    <w:rsid w:val="002F0D48"/>
    <w:rsid w:val="002F3919"/>
    <w:rsid w:val="002F561B"/>
    <w:rsid w:val="002F5A38"/>
    <w:rsid w:val="002F797B"/>
    <w:rsid w:val="00302602"/>
    <w:rsid w:val="0030262F"/>
    <w:rsid w:val="00303C8B"/>
    <w:rsid w:val="003058A0"/>
    <w:rsid w:val="00306772"/>
    <w:rsid w:val="00306A59"/>
    <w:rsid w:val="00306EED"/>
    <w:rsid w:val="00306F89"/>
    <w:rsid w:val="0031103C"/>
    <w:rsid w:val="00311669"/>
    <w:rsid w:val="00311F52"/>
    <w:rsid w:val="0031253B"/>
    <w:rsid w:val="00313AE8"/>
    <w:rsid w:val="00314009"/>
    <w:rsid w:val="00315A72"/>
    <w:rsid w:val="00315AC3"/>
    <w:rsid w:val="0031795E"/>
    <w:rsid w:val="00321BCE"/>
    <w:rsid w:val="003230A0"/>
    <w:rsid w:val="00323546"/>
    <w:rsid w:val="0032451F"/>
    <w:rsid w:val="003245A1"/>
    <w:rsid w:val="00327B03"/>
    <w:rsid w:val="003314D7"/>
    <w:rsid w:val="00331FC6"/>
    <w:rsid w:val="0033261E"/>
    <w:rsid w:val="003331D2"/>
    <w:rsid w:val="00333D33"/>
    <w:rsid w:val="00334A11"/>
    <w:rsid w:val="00335BD1"/>
    <w:rsid w:val="003419CA"/>
    <w:rsid w:val="00342078"/>
    <w:rsid w:val="00343E79"/>
    <w:rsid w:val="00346A47"/>
    <w:rsid w:val="0035067D"/>
    <w:rsid w:val="00351E9C"/>
    <w:rsid w:val="00352BE5"/>
    <w:rsid w:val="003534C0"/>
    <w:rsid w:val="00353DAF"/>
    <w:rsid w:val="00354318"/>
    <w:rsid w:val="003546BB"/>
    <w:rsid w:val="00354A64"/>
    <w:rsid w:val="00354A79"/>
    <w:rsid w:val="00355FC0"/>
    <w:rsid w:val="00356142"/>
    <w:rsid w:val="00356AD1"/>
    <w:rsid w:val="00356B6A"/>
    <w:rsid w:val="00361262"/>
    <w:rsid w:val="00361C9E"/>
    <w:rsid w:val="003638AA"/>
    <w:rsid w:val="00364647"/>
    <w:rsid w:val="003661F8"/>
    <w:rsid w:val="0037029D"/>
    <w:rsid w:val="00370C8A"/>
    <w:rsid w:val="0037288F"/>
    <w:rsid w:val="00372E53"/>
    <w:rsid w:val="00373951"/>
    <w:rsid w:val="0037405F"/>
    <w:rsid w:val="003748EB"/>
    <w:rsid w:val="00375F76"/>
    <w:rsid w:val="0037623D"/>
    <w:rsid w:val="0037714C"/>
    <w:rsid w:val="003818D3"/>
    <w:rsid w:val="00381E2B"/>
    <w:rsid w:val="00382A01"/>
    <w:rsid w:val="00383BFA"/>
    <w:rsid w:val="00383EB8"/>
    <w:rsid w:val="00384FE6"/>
    <w:rsid w:val="003851CE"/>
    <w:rsid w:val="00386948"/>
    <w:rsid w:val="003924E0"/>
    <w:rsid w:val="00394101"/>
    <w:rsid w:val="00395323"/>
    <w:rsid w:val="00395A66"/>
    <w:rsid w:val="0039654A"/>
    <w:rsid w:val="0039658A"/>
    <w:rsid w:val="00396685"/>
    <w:rsid w:val="003A424E"/>
    <w:rsid w:val="003A44B1"/>
    <w:rsid w:val="003A6B99"/>
    <w:rsid w:val="003A736E"/>
    <w:rsid w:val="003B035C"/>
    <w:rsid w:val="003B07A2"/>
    <w:rsid w:val="003B0FE8"/>
    <w:rsid w:val="003B1AB5"/>
    <w:rsid w:val="003B1E98"/>
    <w:rsid w:val="003B22D9"/>
    <w:rsid w:val="003B3290"/>
    <w:rsid w:val="003B3755"/>
    <w:rsid w:val="003B4511"/>
    <w:rsid w:val="003B4C27"/>
    <w:rsid w:val="003B5D08"/>
    <w:rsid w:val="003B637B"/>
    <w:rsid w:val="003B6F87"/>
    <w:rsid w:val="003C0054"/>
    <w:rsid w:val="003C0851"/>
    <w:rsid w:val="003C0D33"/>
    <w:rsid w:val="003C14AB"/>
    <w:rsid w:val="003C1E7C"/>
    <w:rsid w:val="003C668B"/>
    <w:rsid w:val="003C737A"/>
    <w:rsid w:val="003D014F"/>
    <w:rsid w:val="003D1437"/>
    <w:rsid w:val="003D3B7C"/>
    <w:rsid w:val="003D58D0"/>
    <w:rsid w:val="003D629B"/>
    <w:rsid w:val="003D6FFA"/>
    <w:rsid w:val="003E2058"/>
    <w:rsid w:val="003E35F5"/>
    <w:rsid w:val="003E44CB"/>
    <w:rsid w:val="003E7F31"/>
    <w:rsid w:val="003F2938"/>
    <w:rsid w:val="003F4247"/>
    <w:rsid w:val="003F4F88"/>
    <w:rsid w:val="003F7462"/>
    <w:rsid w:val="00400273"/>
    <w:rsid w:val="00400415"/>
    <w:rsid w:val="004005B6"/>
    <w:rsid w:val="00400F8F"/>
    <w:rsid w:val="00401075"/>
    <w:rsid w:val="00403397"/>
    <w:rsid w:val="00404202"/>
    <w:rsid w:val="00405597"/>
    <w:rsid w:val="004056A0"/>
    <w:rsid w:val="00406C2F"/>
    <w:rsid w:val="004071DA"/>
    <w:rsid w:val="004120B4"/>
    <w:rsid w:val="0041210C"/>
    <w:rsid w:val="00420862"/>
    <w:rsid w:val="00420880"/>
    <w:rsid w:val="00420E88"/>
    <w:rsid w:val="00421009"/>
    <w:rsid w:val="004225ED"/>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3AF1"/>
    <w:rsid w:val="004440D6"/>
    <w:rsid w:val="0044451B"/>
    <w:rsid w:val="00446C23"/>
    <w:rsid w:val="00447598"/>
    <w:rsid w:val="004476BA"/>
    <w:rsid w:val="00447F5D"/>
    <w:rsid w:val="00451934"/>
    <w:rsid w:val="004522CD"/>
    <w:rsid w:val="00453DA2"/>
    <w:rsid w:val="0045401F"/>
    <w:rsid w:val="00454103"/>
    <w:rsid w:val="004569C9"/>
    <w:rsid w:val="00456E67"/>
    <w:rsid w:val="00457964"/>
    <w:rsid w:val="004643AF"/>
    <w:rsid w:val="00464C62"/>
    <w:rsid w:val="00465A54"/>
    <w:rsid w:val="004677D8"/>
    <w:rsid w:val="0047082E"/>
    <w:rsid w:val="00472320"/>
    <w:rsid w:val="00472927"/>
    <w:rsid w:val="00474121"/>
    <w:rsid w:val="004746B7"/>
    <w:rsid w:val="00474A2F"/>
    <w:rsid w:val="004753B1"/>
    <w:rsid w:val="00476556"/>
    <w:rsid w:val="0048177F"/>
    <w:rsid w:val="00482D3B"/>
    <w:rsid w:val="004837E8"/>
    <w:rsid w:val="00484A3D"/>
    <w:rsid w:val="0048581D"/>
    <w:rsid w:val="004859C3"/>
    <w:rsid w:val="00485EDF"/>
    <w:rsid w:val="0048636F"/>
    <w:rsid w:val="00490773"/>
    <w:rsid w:val="00490A1F"/>
    <w:rsid w:val="00490D7B"/>
    <w:rsid w:val="004924E2"/>
    <w:rsid w:val="0049282E"/>
    <w:rsid w:val="0049425B"/>
    <w:rsid w:val="00494369"/>
    <w:rsid w:val="004967DA"/>
    <w:rsid w:val="004A0510"/>
    <w:rsid w:val="004A11B8"/>
    <w:rsid w:val="004A2B4F"/>
    <w:rsid w:val="004A4AE1"/>
    <w:rsid w:val="004A5330"/>
    <w:rsid w:val="004A5492"/>
    <w:rsid w:val="004A6596"/>
    <w:rsid w:val="004A7242"/>
    <w:rsid w:val="004A7ED0"/>
    <w:rsid w:val="004A7FDA"/>
    <w:rsid w:val="004B04E6"/>
    <w:rsid w:val="004B1CB6"/>
    <w:rsid w:val="004B2E17"/>
    <w:rsid w:val="004B31F5"/>
    <w:rsid w:val="004B42C6"/>
    <w:rsid w:val="004B46E7"/>
    <w:rsid w:val="004B4B93"/>
    <w:rsid w:val="004B4E67"/>
    <w:rsid w:val="004B56B6"/>
    <w:rsid w:val="004B58B4"/>
    <w:rsid w:val="004B7913"/>
    <w:rsid w:val="004B7CD4"/>
    <w:rsid w:val="004C1A76"/>
    <w:rsid w:val="004C1CA9"/>
    <w:rsid w:val="004C2D18"/>
    <w:rsid w:val="004C3CC5"/>
    <w:rsid w:val="004D17B5"/>
    <w:rsid w:val="004D1CAF"/>
    <w:rsid w:val="004D1D4C"/>
    <w:rsid w:val="004D2D2B"/>
    <w:rsid w:val="004D3C87"/>
    <w:rsid w:val="004D436F"/>
    <w:rsid w:val="004D438D"/>
    <w:rsid w:val="004D64A9"/>
    <w:rsid w:val="004D6AA0"/>
    <w:rsid w:val="004D6EA3"/>
    <w:rsid w:val="004D7C5A"/>
    <w:rsid w:val="004E095F"/>
    <w:rsid w:val="004E0DC1"/>
    <w:rsid w:val="004E2BA2"/>
    <w:rsid w:val="004E3AD2"/>
    <w:rsid w:val="004E4ECE"/>
    <w:rsid w:val="004E77BC"/>
    <w:rsid w:val="004E7C5E"/>
    <w:rsid w:val="004F053A"/>
    <w:rsid w:val="004F2BA1"/>
    <w:rsid w:val="004F6640"/>
    <w:rsid w:val="004F6D0A"/>
    <w:rsid w:val="00500450"/>
    <w:rsid w:val="005023EE"/>
    <w:rsid w:val="00503CA8"/>
    <w:rsid w:val="00505F9E"/>
    <w:rsid w:val="00510247"/>
    <w:rsid w:val="0051137A"/>
    <w:rsid w:val="00511759"/>
    <w:rsid w:val="00512F35"/>
    <w:rsid w:val="005132EC"/>
    <w:rsid w:val="00513DAB"/>
    <w:rsid w:val="00515588"/>
    <w:rsid w:val="00515F84"/>
    <w:rsid w:val="00516884"/>
    <w:rsid w:val="00516E92"/>
    <w:rsid w:val="0051796C"/>
    <w:rsid w:val="00517ACA"/>
    <w:rsid w:val="00520948"/>
    <w:rsid w:val="0052149F"/>
    <w:rsid w:val="005226C0"/>
    <w:rsid w:val="005234C2"/>
    <w:rsid w:val="00523820"/>
    <w:rsid w:val="00523933"/>
    <w:rsid w:val="00524715"/>
    <w:rsid w:val="00525C3E"/>
    <w:rsid w:val="005275DB"/>
    <w:rsid w:val="005306CC"/>
    <w:rsid w:val="00532B2A"/>
    <w:rsid w:val="00534655"/>
    <w:rsid w:val="0053654A"/>
    <w:rsid w:val="00537371"/>
    <w:rsid w:val="005379D8"/>
    <w:rsid w:val="00537DFF"/>
    <w:rsid w:val="005437F7"/>
    <w:rsid w:val="0054439D"/>
    <w:rsid w:val="005455D7"/>
    <w:rsid w:val="0054613F"/>
    <w:rsid w:val="00546F02"/>
    <w:rsid w:val="0054726C"/>
    <w:rsid w:val="00547477"/>
    <w:rsid w:val="00550637"/>
    <w:rsid w:val="00550C15"/>
    <w:rsid w:val="00551138"/>
    <w:rsid w:val="00551E54"/>
    <w:rsid w:val="00552A5B"/>
    <w:rsid w:val="0055356D"/>
    <w:rsid w:val="00553A9F"/>
    <w:rsid w:val="00555666"/>
    <w:rsid w:val="005557AE"/>
    <w:rsid w:val="0055769A"/>
    <w:rsid w:val="00557B80"/>
    <w:rsid w:val="005603D7"/>
    <w:rsid w:val="00560776"/>
    <w:rsid w:val="005641D9"/>
    <w:rsid w:val="005651F2"/>
    <w:rsid w:val="00566BF2"/>
    <w:rsid w:val="00566C37"/>
    <w:rsid w:val="00567FBF"/>
    <w:rsid w:val="0057020D"/>
    <w:rsid w:val="005710B2"/>
    <w:rsid w:val="005715A3"/>
    <w:rsid w:val="005756A0"/>
    <w:rsid w:val="005758DC"/>
    <w:rsid w:val="00575EC8"/>
    <w:rsid w:val="00575F3A"/>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420B"/>
    <w:rsid w:val="005A6B6C"/>
    <w:rsid w:val="005A73C4"/>
    <w:rsid w:val="005B0EA2"/>
    <w:rsid w:val="005B3818"/>
    <w:rsid w:val="005B3AF1"/>
    <w:rsid w:val="005B4B72"/>
    <w:rsid w:val="005B501E"/>
    <w:rsid w:val="005B52B1"/>
    <w:rsid w:val="005B5AEB"/>
    <w:rsid w:val="005C08FA"/>
    <w:rsid w:val="005C10F2"/>
    <w:rsid w:val="005C220E"/>
    <w:rsid w:val="005C3E17"/>
    <w:rsid w:val="005C53B8"/>
    <w:rsid w:val="005C70AB"/>
    <w:rsid w:val="005D1258"/>
    <w:rsid w:val="005D33A1"/>
    <w:rsid w:val="005D3DE5"/>
    <w:rsid w:val="005D691C"/>
    <w:rsid w:val="005D72BC"/>
    <w:rsid w:val="005D7BAC"/>
    <w:rsid w:val="005E0927"/>
    <w:rsid w:val="005E0EB8"/>
    <w:rsid w:val="005E1042"/>
    <w:rsid w:val="005E290B"/>
    <w:rsid w:val="005E61DB"/>
    <w:rsid w:val="005F038E"/>
    <w:rsid w:val="005F1621"/>
    <w:rsid w:val="005F28F4"/>
    <w:rsid w:val="005F3949"/>
    <w:rsid w:val="005F39AC"/>
    <w:rsid w:val="005F4BA3"/>
    <w:rsid w:val="005F6B77"/>
    <w:rsid w:val="005F748D"/>
    <w:rsid w:val="006003EE"/>
    <w:rsid w:val="00604C94"/>
    <w:rsid w:val="00605136"/>
    <w:rsid w:val="0060560B"/>
    <w:rsid w:val="00606299"/>
    <w:rsid w:val="006063A3"/>
    <w:rsid w:val="00606464"/>
    <w:rsid w:val="00606E5C"/>
    <w:rsid w:val="0060753A"/>
    <w:rsid w:val="00610D35"/>
    <w:rsid w:val="00610DCC"/>
    <w:rsid w:val="006120A9"/>
    <w:rsid w:val="00612C9E"/>
    <w:rsid w:val="00613302"/>
    <w:rsid w:val="00614B06"/>
    <w:rsid w:val="00614DE1"/>
    <w:rsid w:val="0061598E"/>
    <w:rsid w:val="00616834"/>
    <w:rsid w:val="006169D0"/>
    <w:rsid w:val="00616C8F"/>
    <w:rsid w:val="00616EAA"/>
    <w:rsid w:val="0062060B"/>
    <w:rsid w:val="00621870"/>
    <w:rsid w:val="0062584A"/>
    <w:rsid w:val="00626234"/>
    <w:rsid w:val="0062626E"/>
    <w:rsid w:val="00627813"/>
    <w:rsid w:val="00630CE7"/>
    <w:rsid w:val="0063176B"/>
    <w:rsid w:val="00633FA7"/>
    <w:rsid w:val="006345DE"/>
    <w:rsid w:val="00635F76"/>
    <w:rsid w:val="0063614F"/>
    <w:rsid w:val="00641AE1"/>
    <w:rsid w:val="00643045"/>
    <w:rsid w:val="0064364F"/>
    <w:rsid w:val="0064574D"/>
    <w:rsid w:val="00645C78"/>
    <w:rsid w:val="00646470"/>
    <w:rsid w:val="00646570"/>
    <w:rsid w:val="00647C91"/>
    <w:rsid w:val="00650EC4"/>
    <w:rsid w:val="00652426"/>
    <w:rsid w:val="0065519A"/>
    <w:rsid w:val="006567DE"/>
    <w:rsid w:val="0065749A"/>
    <w:rsid w:val="0065793E"/>
    <w:rsid w:val="00661934"/>
    <w:rsid w:val="006622F0"/>
    <w:rsid w:val="00662776"/>
    <w:rsid w:val="0066300D"/>
    <w:rsid w:val="0066405F"/>
    <w:rsid w:val="00665609"/>
    <w:rsid w:val="006666FB"/>
    <w:rsid w:val="00666D76"/>
    <w:rsid w:val="00666E38"/>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2CA2"/>
    <w:rsid w:val="00693EA5"/>
    <w:rsid w:val="00694458"/>
    <w:rsid w:val="006959B9"/>
    <w:rsid w:val="00695A3E"/>
    <w:rsid w:val="006A0565"/>
    <w:rsid w:val="006A0C8E"/>
    <w:rsid w:val="006A357E"/>
    <w:rsid w:val="006A45A1"/>
    <w:rsid w:val="006A4E33"/>
    <w:rsid w:val="006A6791"/>
    <w:rsid w:val="006A7FB3"/>
    <w:rsid w:val="006A7FB6"/>
    <w:rsid w:val="006B2B38"/>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0755"/>
    <w:rsid w:val="006D1852"/>
    <w:rsid w:val="006D2D0E"/>
    <w:rsid w:val="006D4E10"/>
    <w:rsid w:val="006D539E"/>
    <w:rsid w:val="006D73C5"/>
    <w:rsid w:val="006D7AEE"/>
    <w:rsid w:val="006E02E6"/>
    <w:rsid w:val="006E0F4A"/>
    <w:rsid w:val="006E1B6F"/>
    <w:rsid w:val="006E280B"/>
    <w:rsid w:val="006E3610"/>
    <w:rsid w:val="006E3819"/>
    <w:rsid w:val="006E3977"/>
    <w:rsid w:val="006E3EA3"/>
    <w:rsid w:val="006E4308"/>
    <w:rsid w:val="006E576E"/>
    <w:rsid w:val="006E57C3"/>
    <w:rsid w:val="006E5B7C"/>
    <w:rsid w:val="006E6C7E"/>
    <w:rsid w:val="006E7778"/>
    <w:rsid w:val="006F1238"/>
    <w:rsid w:val="006F18D0"/>
    <w:rsid w:val="006F19FC"/>
    <w:rsid w:val="006F3F86"/>
    <w:rsid w:val="006F4EC2"/>
    <w:rsid w:val="006F6125"/>
    <w:rsid w:val="006F6C24"/>
    <w:rsid w:val="006F6F4D"/>
    <w:rsid w:val="006F72D9"/>
    <w:rsid w:val="006F74F3"/>
    <w:rsid w:val="00703E8A"/>
    <w:rsid w:val="00704062"/>
    <w:rsid w:val="00706597"/>
    <w:rsid w:val="007068BA"/>
    <w:rsid w:val="00707B59"/>
    <w:rsid w:val="00710A76"/>
    <w:rsid w:val="0071161C"/>
    <w:rsid w:val="00716115"/>
    <w:rsid w:val="00716B69"/>
    <w:rsid w:val="00721582"/>
    <w:rsid w:val="00721914"/>
    <w:rsid w:val="007236E6"/>
    <w:rsid w:val="0072427E"/>
    <w:rsid w:val="00726E92"/>
    <w:rsid w:val="0073057D"/>
    <w:rsid w:val="00730609"/>
    <w:rsid w:val="007307D0"/>
    <w:rsid w:val="00731DA2"/>
    <w:rsid w:val="0073276D"/>
    <w:rsid w:val="00732D2E"/>
    <w:rsid w:val="00734122"/>
    <w:rsid w:val="007352A4"/>
    <w:rsid w:val="00736FE3"/>
    <w:rsid w:val="00737533"/>
    <w:rsid w:val="00737F15"/>
    <w:rsid w:val="0074082A"/>
    <w:rsid w:val="007423F5"/>
    <w:rsid w:val="00742877"/>
    <w:rsid w:val="0074393D"/>
    <w:rsid w:val="00743991"/>
    <w:rsid w:val="007455F3"/>
    <w:rsid w:val="00746AD4"/>
    <w:rsid w:val="00750B7E"/>
    <w:rsid w:val="007515C4"/>
    <w:rsid w:val="007522B7"/>
    <w:rsid w:val="0075277D"/>
    <w:rsid w:val="007540CC"/>
    <w:rsid w:val="00755A08"/>
    <w:rsid w:val="00756231"/>
    <w:rsid w:val="00757287"/>
    <w:rsid w:val="00757D3C"/>
    <w:rsid w:val="007604E9"/>
    <w:rsid w:val="007609D1"/>
    <w:rsid w:val="00762466"/>
    <w:rsid w:val="00763F24"/>
    <w:rsid w:val="00764146"/>
    <w:rsid w:val="0076426B"/>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974A2"/>
    <w:rsid w:val="007A009E"/>
    <w:rsid w:val="007A01F7"/>
    <w:rsid w:val="007A0F8C"/>
    <w:rsid w:val="007A13C0"/>
    <w:rsid w:val="007A4490"/>
    <w:rsid w:val="007A4EE5"/>
    <w:rsid w:val="007A4F56"/>
    <w:rsid w:val="007A7069"/>
    <w:rsid w:val="007A70D1"/>
    <w:rsid w:val="007A7526"/>
    <w:rsid w:val="007A7C36"/>
    <w:rsid w:val="007A7F67"/>
    <w:rsid w:val="007B100D"/>
    <w:rsid w:val="007B1854"/>
    <w:rsid w:val="007B283B"/>
    <w:rsid w:val="007B2F12"/>
    <w:rsid w:val="007B5FA8"/>
    <w:rsid w:val="007B6900"/>
    <w:rsid w:val="007B7884"/>
    <w:rsid w:val="007B7C11"/>
    <w:rsid w:val="007B7DA1"/>
    <w:rsid w:val="007C0294"/>
    <w:rsid w:val="007C12CC"/>
    <w:rsid w:val="007C3AF7"/>
    <w:rsid w:val="007C3B0F"/>
    <w:rsid w:val="007C563E"/>
    <w:rsid w:val="007C6221"/>
    <w:rsid w:val="007C669A"/>
    <w:rsid w:val="007D39E5"/>
    <w:rsid w:val="007D425A"/>
    <w:rsid w:val="007D54E9"/>
    <w:rsid w:val="007D5A19"/>
    <w:rsid w:val="007E193D"/>
    <w:rsid w:val="007E2325"/>
    <w:rsid w:val="007E2700"/>
    <w:rsid w:val="007E31A6"/>
    <w:rsid w:val="007E37B8"/>
    <w:rsid w:val="007E4F90"/>
    <w:rsid w:val="007F00ED"/>
    <w:rsid w:val="007F0420"/>
    <w:rsid w:val="007F1A3E"/>
    <w:rsid w:val="007F1B96"/>
    <w:rsid w:val="007F2474"/>
    <w:rsid w:val="007F3194"/>
    <w:rsid w:val="007F5FAD"/>
    <w:rsid w:val="007F620C"/>
    <w:rsid w:val="008004E8"/>
    <w:rsid w:val="00801B05"/>
    <w:rsid w:val="008025D3"/>
    <w:rsid w:val="008045FC"/>
    <w:rsid w:val="008047C4"/>
    <w:rsid w:val="00807A32"/>
    <w:rsid w:val="00807BB1"/>
    <w:rsid w:val="008102C8"/>
    <w:rsid w:val="00810702"/>
    <w:rsid w:val="00810C97"/>
    <w:rsid w:val="0081220A"/>
    <w:rsid w:val="008127C3"/>
    <w:rsid w:val="00813368"/>
    <w:rsid w:val="008134EF"/>
    <w:rsid w:val="008139F7"/>
    <w:rsid w:val="00813B77"/>
    <w:rsid w:val="00814A90"/>
    <w:rsid w:val="008159D7"/>
    <w:rsid w:val="00815B9F"/>
    <w:rsid w:val="008167D3"/>
    <w:rsid w:val="00816AC0"/>
    <w:rsid w:val="0081715B"/>
    <w:rsid w:val="00817C5D"/>
    <w:rsid w:val="00817D26"/>
    <w:rsid w:val="00817F70"/>
    <w:rsid w:val="00820689"/>
    <w:rsid w:val="00821706"/>
    <w:rsid w:val="00821A14"/>
    <w:rsid w:val="00821FBB"/>
    <w:rsid w:val="00822905"/>
    <w:rsid w:val="00822EDF"/>
    <w:rsid w:val="008265AD"/>
    <w:rsid w:val="008266FA"/>
    <w:rsid w:val="00830484"/>
    <w:rsid w:val="00830A98"/>
    <w:rsid w:val="00831330"/>
    <w:rsid w:val="00831AF4"/>
    <w:rsid w:val="00835E74"/>
    <w:rsid w:val="008373DB"/>
    <w:rsid w:val="00840B26"/>
    <w:rsid w:val="00840D1C"/>
    <w:rsid w:val="00841898"/>
    <w:rsid w:val="00841CA6"/>
    <w:rsid w:val="008434D8"/>
    <w:rsid w:val="00843A50"/>
    <w:rsid w:val="00843C8D"/>
    <w:rsid w:val="00844361"/>
    <w:rsid w:val="00844B43"/>
    <w:rsid w:val="00845524"/>
    <w:rsid w:val="008471CE"/>
    <w:rsid w:val="00847236"/>
    <w:rsid w:val="008477B3"/>
    <w:rsid w:val="00847BF8"/>
    <w:rsid w:val="008505F3"/>
    <w:rsid w:val="008510BC"/>
    <w:rsid w:val="00851335"/>
    <w:rsid w:val="00851D92"/>
    <w:rsid w:val="00852BC0"/>
    <w:rsid w:val="00852E08"/>
    <w:rsid w:val="00855B24"/>
    <w:rsid w:val="00856054"/>
    <w:rsid w:val="00856138"/>
    <w:rsid w:val="00857EA5"/>
    <w:rsid w:val="00862747"/>
    <w:rsid w:val="00863B9D"/>
    <w:rsid w:val="00865464"/>
    <w:rsid w:val="008657E2"/>
    <w:rsid w:val="0086757D"/>
    <w:rsid w:val="0087069A"/>
    <w:rsid w:val="008708ED"/>
    <w:rsid w:val="0087135D"/>
    <w:rsid w:val="00871376"/>
    <w:rsid w:val="00874451"/>
    <w:rsid w:val="00875714"/>
    <w:rsid w:val="00877038"/>
    <w:rsid w:val="00877A9A"/>
    <w:rsid w:val="00882E0C"/>
    <w:rsid w:val="008834FA"/>
    <w:rsid w:val="00883664"/>
    <w:rsid w:val="00885488"/>
    <w:rsid w:val="00887A37"/>
    <w:rsid w:val="008944AF"/>
    <w:rsid w:val="008956BF"/>
    <w:rsid w:val="0089587E"/>
    <w:rsid w:val="008970D5"/>
    <w:rsid w:val="00897B8F"/>
    <w:rsid w:val="008A0B92"/>
    <w:rsid w:val="008A1079"/>
    <w:rsid w:val="008A1875"/>
    <w:rsid w:val="008A28D0"/>
    <w:rsid w:val="008A2D04"/>
    <w:rsid w:val="008A3B23"/>
    <w:rsid w:val="008A3E63"/>
    <w:rsid w:val="008A4078"/>
    <w:rsid w:val="008A51A9"/>
    <w:rsid w:val="008A7E39"/>
    <w:rsid w:val="008B0085"/>
    <w:rsid w:val="008B1F41"/>
    <w:rsid w:val="008B2B51"/>
    <w:rsid w:val="008B346E"/>
    <w:rsid w:val="008B4E2A"/>
    <w:rsid w:val="008B5136"/>
    <w:rsid w:val="008B68FD"/>
    <w:rsid w:val="008B77EA"/>
    <w:rsid w:val="008C194C"/>
    <w:rsid w:val="008C2E09"/>
    <w:rsid w:val="008C32D0"/>
    <w:rsid w:val="008C3677"/>
    <w:rsid w:val="008C3970"/>
    <w:rsid w:val="008C48F8"/>
    <w:rsid w:val="008D33B9"/>
    <w:rsid w:val="008D3C61"/>
    <w:rsid w:val="008D46F1"/>
    <w:rsid w:val="008D4DE9"/>
    <w:rsid w:val="008D6485"/>
    <w:rsid w:val="008D706D"/>
    <w:rsid w:val="008E1ADA"/>
    <w:rsid w:val="008E1C35"/>
    <w:rsid w:val="008E2427"/>
    <w:rsid w:val="008E46ED"/>
    <w:rsid w:val="008E5021"/>
    <w:rsid w:val="008E5112"/>
    <w:rsid w:val="008E512D"/>
    <w:rsid w:val="008E514C"/>
    <w:rsid w:val="008E5891"/>
    <w:rsid w:val="008E5F09"/>
    <w:rsid w:val="008E6D9A"/>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0B4E"/>
    <w:rsid w:val="00931F6A"/>
    <w:rsid w:val="00932A46"/>
    <w:rsid w:val="00933D99"/>
    <w:rsid w:val="009346ED"/>
    <w:rsid w:val="00935053"/>
    <w:rsid w:val="0093520D"/>
    <w:rsid w:val="00935AFD"/>
    <w:rsid w:val="00936062"/>
    <w:rsid w:val="0093789D"/>
    <w:rsid w:val="0093790A"/>
    <w:rsid w:val="009406B2"/>
    <w:rsid w:val="00940D0D"/>
    <w:rsid w:val="009417EE"/>
    <w:rsid w:val="00945A9B"/>
    <w:rsid w:val="00951C0F"/>
    <w:rsid w:val="00954A78"/>
    <w:rsid w:val="009618EC"/>
    <w:rsid w:val="00961B59"/>
    <w:rsid w:val="00961BBD"/>
    <w:rsid w:val="009624C4"/>
    <w:rsid w:val="0096295D"/>
    <w:rsid w:val="00964479"/>
    <w:rsid w:val="00966E0E"/>
    <w:rsid w:val="0097114D"/>
    <w:rsid w:val="0097195D"/>
    <w:rsid w:val="009721A4"/>
    <w:rsid w:val="00972975"/>
    <w:rsid w:val="00973FEF"/>
    <w:rsid w:val="009752EE"/>
    <w:rsid w:val="00977F1D"/>
    <w:rsid w:val="00980B96"/>
    <w:rsid w:val="00980F49"/>
    <w:rsid w:val="0098255F"/>
    <w:rsid w:val="0098261E"/>
    <w:rsid w:val="00982994"/>
    <w:rsid w:val="009844F8"/>
    <w:rsid w:val="009853F8"/>
    <w:rsid w:val="0098675D"/>
    <w:rsid w:val="00987223"/>
    <w:rsid w:val="00987F3D"/>
    <w:rsid w:val="00990E2B"/>
    <w:rsid w:val="00993175"/>
    <w:rsid w:val="0099514C"/>
    <w:rsid w:val="009966A7"/>
    <w:rsid w:val="00996CE3"/>
    <w:rsid w:val="00996F0B"/>
    <w:rsid w:val="009A07C7"/>
    <w:rsid w:val="009A0958"/>
    <w:rsid w:val="009A1FE1"/>
    <w:rsid w:val="009A4BD5"/>
    <w:rsid w:val="009A4F79"/>
    <w:rsid w:val="009A5259"/>
    <w:rsid w:val="009A636B"/>
    <w:rsid w:val="009A6CC8"/>
    <w:rsid w:val="009A7416"/>
    <w:rsid w:val="009B4412"/>
    <w:rsid w:val="009B520F"/>
    <w:rsid w:val="009B6998"/>
    <w:rsid w:val="009B7581"/>
    <w:rsid w:val="009C17E0"/>
    <w:rsid w:val="009C21A8"/>
    <w:rsid w:val="009C2C51"/>
    <w:rsid w:val="009C496B"/>
    <w:rsid w:val="009C58FC"/>
    <w:rsid w:val="009C7871"/>
    <w:rsid w:val="009D004A"/>
    <w:rsid w:val="009D0197"/>
    <w:rsid w:val="009D19AE"/>
    <w:rsid w:val="009D1FA3"/>
    <w:rsid w:val="009D2805"/>
    <w:rsid w:val="009D3609"/>
    <w:rsid w:val="009D4EFC"/>
    <w:rsid w:val="009D6DC6"/>
    <w:rsid w:val="009D6F92"/>
    <w:rsid w:val="009D7994"/>
    <w:rsid w:val="009E144B"/>
    <w:rsid w:val="009E1712"/>
    <w:rsid w:val="009E3963"/>
    <w:rsid w:val="009E46B1"/>
    <w:rsid w:val="009E7AD9"/>
    <w:rsid w:val="009F1FFE"/>
    <w:rsid w:val="009F2DDB"/>
    <w:rsid w:val="009F31B2"/>
    <w:rsid w:val="009F60DF"/>
    <w:rsid w:val="00A01067"/>
    <w:rsid w:val="00A030EA"/>
    <w:rsid w:val="00A04C2D"/>
    <w:rsid w:val="00A04DCF"/>
    <w:rsid w:val="00A066BF"/>
    <w:rsid w:val="00A06BB0"/>
    <w:rsid w:val="00A075EF"/>
    <w:rsid w:val="00A0776C"/>
    <w:rsid w:val="00A100BF"/>
    <w:rsid w:val="00A1253B"/>
    <w:rsid w:val="00A130E7"/>
    <w:rsid w:val="00A17860"/>
    <w:rsid w:val="00A17A8E"/>
    <w:rsid w:val="00A21609"/>
    <w:rsid w:val="00A22389"/>
    <w:rsid w:val="00A24090"/>
    <w:rsid w:val="00A24C04"/>
    <w:rsid w:val="00A25B97"/>
    <w:rsid w:val="00A25BBF"/>
    <w:rsid w:val="00A3179E"/>
    <w:rsid w:val="00A33051"/>
    <w:rsid w:val="00A331CA"/>
    <w:rsid w:val="00A33805"/>
    <w:rsid w:val="00A34DB9"/>
    <w:rsid w:val="00A3546D"/>
    <w:rsid w:val="00A35DEB"/>
    <w:rsid w:val="00A365D7"/>
    <w:rsid w:val="00A36E24"/>
    <w:rsid w:val="00A3709F"/>
    <w:rsid w:val="00A370F4"/>
    <w:rsid w:val="00A3731C"/>
    <w:rsid w:val="00A3757E"/>
    <w:rsid w:val="00A40262"/>
    <w:rsid w:val="00A40333"/>
    <w:rsid w:val="00A40BCF"/>
    <w:rsid w:val="00A40FA5"/>
    <w:rsid w:val="00A42BBA"/>
    <w:rsid w:val="00A442CF"/>
    <w:rsid w:val="00A450A0"/>
    <w:rsid w:val="00A4520A"/>
    <w:rsid w:val="00A46D08"/>
    <w:rsid w:val="00A47AB8"/>
    <w:rsid w:val="00A47CB3"/>
    <w:rsid w:val="00A51A79"/>
    <w:rsid w:val="00A525A5"/>
    <w:rsid w:val="00A53021"/>
    <w:rsid w:val="00A53A2C"/>
    <w:rsid w:val="00A55909"/>
    <w:rsid w:val="00A56417"/>
    <w:rsid w:val="00A57448"/>
    <w:rsid w:val="00A62FDD"/>
    <w:rsid w:val="00A65E47"/>
    <w:rsid w:val="00A66011"/>
    <w:rsid w:val="00A67908"/>
    <w:rsid w:val="00A67D7F"/>
    <w:rsid w:val="00A708C8"/>
    <w:rsid w:val="00A70FA9"/>
    <w:rsid w:val="00A713E5"/>
    <w:rsid w:val="00A71F21"/>
    <w:rsid w:val="00A71F44"/>
    <w:rsid w:val="00A737B7"/>
    <w:rsid w:val="00A73CB8"/>
    <w:rsid w:val="00A745CC"/>
    <w:rsid w:val="00A752F9"/>
    <w:rsid w:val="00A77774"/>
    <w:rsid w:val="00A80B2E"/>
    <w:rsid w:val="00A830AB"/>
    <w:rsid w:val="00A833D9"/>
    <w:rsid w:val="00A8489E"/>
    <w:rsid w:val="00A85309"/>
    <w:rsid w:val="00A858C3"/>
    <w:rsid w:val="00A85B90"/>
    <w:rsid w:val="00A861C6"/>
    <w:rsid w:val="00A87377"/>
    <w:rsid w:val="00A87F68"/>
    <w:rsid w:val="00A93D75"/>
    <w:rsid w:val="00A93F81"/>
    <w:rsid w:val="00A94B75"/>
    <w:rsid w:val="00A94EC9"/>
    <w:rsid w:val="00A96FB3"/>
    <w:rsid w:val="00A97321"/>
    <w:rsid w:val="00A978E5"/>
    <w:rsid w:val="00A97EBF"/>
    <w:rsid w:val="00AA04F9"/>
    <w:rsid w:val="00AA077B"/>
    <w:rsid w:val="00AA0889"/>
    <w:rsid w:val="00AA13B3"/>
    <w:rsid w:val="00AA23BA"/>
    <w:rsid w:val="00AA2E6B"/>
    <w:rsid w:val="00AA4870"/>
    <w:rsid w:val="00AA4A6D"/>
    <w:rsid w:val="00AA5A84"/>
    <w:rsid w:val="00AA6BEB"/>
    <w:rsid w:val="00AA745E"/>
    <w:rsid w:val="00AA7784"/>
    <w:rsid w:val="00AB11E7"/>
    <w:rsid w:val="00AB29BE"/>
    <w:rsid w:val="00AB3F60"/>
    <w:rsid w:val="00AB55D0"/>
    <w:rsid w:val="00AB56FB"/>
    <w:rsid w:val="00AB60F8"/>
    <w:rsid w:val="00AB6EB6"/>
    <w:rsid w:val="00AB7F7A"/>
    <w:rsid w:val="00AC0D78"/>
    <w:rsid w:val="00AC20B4"/>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49C1"/>
    <w:rsid w:val="00AE529B"/>
    <w:rsid w:val="00AE649F"/>
    <w:rsid w:val="00AE6E76"/>
    <w:rsid w:val="00AF02AD"/>
    <w:rsid w:val="00AF291D"/>
    <w:rsid w:val="00AF30DD"/>
    <w:rsid w:val="00AF529A"/>
    <w:rsid w:val="00AF581C"/>
    <w:rsid w:val="00AF5C27"/>
    <w:rsid w:val="00AF613D"/>
    <w:rsid w:val="00AF6A46"/>
    <w:rsid w:val="00AF6A7E"/>
    <w:rsid w:val="00AF7313"/>
    <w:rsid w:val="00B01D46"/>
    <w:rsid w:val="00B03F3C"/>
    <w:rsid w:val="00B04E09"/>
    <w:rsid w:val="00B05431"/>
    <w:rsid w:val="00B06E7A"/>
    <w:rsid w:val="00B11E8E"/>
    <w:rsid w:val="00B1216D"/>
    <w:rsid w:val="00B12D77"/>
    <w:rsid w:val="00B154C8"/>
    <w:rsid w:val="00B1738C"/>
    <w:rsid w:val="00B210F5"/>
    <w:rsid w:val="00B21AC2"/>
    <w:rsid w:val="00B21BC8"/>
    <w:rsid w:val="00B21BE0"/>
    <w:rsid w:val="00B21D57"/>
    <w:rsid w:val="00B23D7B"/>
    <w:rsid w:val="00B26138"/>
    <w:rsid w:val="00B26143"/>
    <w:rsid w:val="00B26B85"/>
    <w:rsid w:val="00B26C5E"/>
    <w:rsid w:val="00B30580"/>
    <w:rsid w:val="00B3084C"/>
    <w:rsid w:val="00B329DF"/>
    <w:rsid w:val="00B34A5D"/>
    <w:rsid w:val="00B361A5"/>
    <w:rsid w:val="00B36583"/>
    <w:rsid w:val="00B372DE"/>
    <w:rsid w:val="00B37394"/>
    <w:rsid w:val="00B40880"/>
    <w:rsid w:val="00B41EC7"/>
    <w:rsid w:val="00B4292D"/>
    <w:rsid w:val="00B42C5A"/>
    <w:rsid w:val="00B42D14"/>
    <w:rsid w:val="00B46951"/>
    <w:rsid w:val="00B50750"/>
    <w:rsid w:val="00B52E35"/>
    <w:rsid w:val="00B5320A"/>
    <w:rsid w:val="00B53E3D"/>
    <w:rsid w:val="00B5583D"/>
    <w:rsid w:val="00B56BBF"/>
    <w:rsid w:val="00B57119"/>
    <w:rsid w:val="00B60632"/>
    <w:rsid w:val="00B60727"/>
    <w:rsid w:val="00B63F94"/>
    <w:rsid w:val="00B64DE9"/>
    <w:rsid w:val="00B65206"/>
    <w:rsid w:val="00B66D3D"/>
    <w:rsid w:val="00B67759"/>
    <w:rsid w:val="00B70F40"/>
    <w:rsid w:val="00B71560"/>
    <w:rsid w:val="00B71E95"/>
    <w:rsid w:val="00B73120"/>
    <w:rsid w:val="00B7537B"/>
    <w:rsid w:val="00B7599E"/>
    <w:rsid w:val="00B761BB"/>
    <w:rsid w:val="00B77ACC"/>
    <w:rsid w:val="00B80BA3"/>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0595"/>
    <w:rsid w:val="00BA3397"/>
    <w:rsid w:val="00BA606B"/>
    <w:rsid w:val="00BA68CA"/>
    <w:rsid w:val="00BA78B0"/>
    <w:rsid w:val="00BA7DC3"/>
    <w:rsid w:val="00BB3ECA"/>
    <w:rsid w:val="00BB40B8"/>
    <w:rsid w:val="00BB471C"/>
    <w:rsid w:val="00BB5D09"/>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3CC5"/>
    <w:rsid w:val="00BD40F4"/>
    <w:rsid w:val="00BD5772"/>
    <w:rsid w:val="00BD7565"/>
    <w:rsid w:val="00BE174B"/>
    <w:rsid w:val="00BE2743"/>
    <w:rsid w:val="00BE2A3D"/>
    <w:rsid w:val="00BE3611"/>
    <w:rsid w:val="00BE5099"/>
    <w:rsid w:val="00BE53FC"/>
    <w:rsid w:val="00BE573A"/>
    <w:rsid w:val="00BE63C9"/>
    <w:rsid w:val="00BE79E6"/>
    <w:rsid w:val="00BF0CAF"/>
    <w:rsid w:val="00BF2A99"/>
    <w:rsid w:val="00BF2B76"/>
    <w:rsid w:val="00BF303D"/>
    <w:rsid w:val="00BF310A"/>
    <w:rsid w:val="00BF3D62"/>
    <w:rsid w:val="00BF3FF4"/>
    <w:rsid w:val="00BF5678"/>
    <w:rsid w:val="00BF6518"/>
    <w:rsid w:val="00BF7FC6"/>
    <w:rsid w:val="00C00A7C"/>
    <w:rsid w:val="00C015C1"/>
    <w:rsid w:val="00C01DA2"/>
    <w:rsid w:val="00C020F9"/>
    <w:rsid w:val="00C0383A"/>
    <w:rsid w:val="00C03FE1"/>
    <w:rsid w:val="00C048B1"/>
    <w:rsid w:val="00C0539B"/>
    <w:rsid w:val="00C056EE"/>
    <w:rsid w:val="00C05C8D"/>
    <w:rsid w:val="00C1063E"/>
    <w:rsid w:val="00C10713"/>
    <w:rsid w:val="00C117A2"/>
    <w:rsid w:val="00C11E85"/>
    <w:rsid w:val="00C131FB"/>
    <w:rsid w:val="00C15341"/>
    <w:rsid w:val="00C166A2"/>
    <w:rsid w:val="00C20E1F"/>
    <w:rsid w:val="00C21258"/>
    <w:rsid w:val="00C215E3"/>
    <w:rsid w:val="00C21F58"/>
    <w:rsid w:val="00C234E3"/>
    <w:rsid w:val="00C259BF"/>
    <w:rsid w:val="00C328E6"/>
    <w:rsid w:val="00C353A8"/>
    <w:rsid w:val="00C356D1"/>
    <w:rsid w:val="00C37429"/>
    <w:rsid w:val="00C411E5"/>
    <w:rsid w:val="00C417AD"/>
    <w:rsid w:val="00C452B7"/>
    <w:rsid w:val="00C45A12"/>
    <w:rsid w:val="00C46DC8"/>
    <w:rsid w:val="00C47BB8"/>
    <w:rsid w:val="00C500B1"/>
    <w:rsid w:val="00C500DE"/>
    <w:rsid w:val="00C51B02"/>
    <w:rsid w:val="00C51F56"/>
    <w:rsid w:val="00C537EC"/>
    <w:rsid w:val="00C53BA5"/>
    <w:rsid w:val="00C53E7F"/>
    <w:rsid w:val="00C53F5E"/>
    <w:rsid w:val="00C543EA"/>
    <w:rsid w:val="00C5572B"/>
    <w:rsid w:val="00C56C4B"/>
    <w:rsid w:val="00C577CE"/>
    <w:rsid w:val="00C60BB5"/>
    <w:rsid w:val="00C6113F"/>
    <w:rsid w:val="00C6154C"/>
    <w:rsid w:val="00C62FBC"/>
    <w:rsid w:val="00C630C0"/>
    <w:rsid w:val="00C64821"/>
    <w:rsid w:val="00C65FAA"/>
    <w:rsid w:val="00C67FE1"/>
    <w:rsid w:val="00C71EBC"/>
    <w:rsid w:val="00C7317A"/>
    <w:rsid w:val="00C73BA8"/>
    <w:rsid w:val="00C741A0"/>
    <w:rsid w:val="00C74A60"/>
    <w:rsid w:val="00C76857"/>
    <w:rsid w:val="00C774EF"/>
    <w:rsid w:val="00C77B4B"/>
    <w:rsid w:val="00C77FD7"/>
    <w:rsid w:val="00C81447"/>
    <w:rsid w:val="00C81ECD"/>
    <w:rsid w:val="00C82892"/>
    <w:rsid w:val="00C84EF2"/>
    <w:rsid w:val="00C8530A"/>
    <w:rsid w:val="00C8595C"/>
    <w:rsid w:val="00C87CFF"/>
    <w:rsid w:val="00C90383"/>
    <w:rsid w:val="00C91EEF"/>
    <w:rsid w:val="00C92B04"/>
    <w:rsid w:val="00C93302"/>
    <w:rsid w:val="00C96476"/>
    <w:rsid w:val="00C966E5"/>
    <w:rsid w:val="00C9746E"/>
    <w:rsid w:val="00C97D01"/>
    <w:rsid w:val="00CA07E5"/>
    <w:rsid w:val="00CA1234"/>
    <w:rsid w:val="00CA124D"/>
    <w:rsid w:val="00CA2F94"/>
    <w:rsid w:val="00CA5643"/>
    <w:rsid w:val="00CA5CD4"/>
    <w:rsid w:val="00CB0602"/>
    <w:rsid w:val="00CB1E69"/>
    <w:rsid w:val="00CB2706"/>
    <w:rsid w:val="00CB32BB"/>
    <w:rsid w:val="00CB3505"/>
    <w:rsid w:val="00CB39A8"/>
    <w:rsid w:val="00CB53CC"/>
    <w:rsid w:val="00CB77AC"/>
    <w:rsid w:val="00CC02B6"/>
    <w:rsid w:val="00CC0515"/>
    <w:rsid w:val="00CC0BA0"/>
    <w:rsid w:val="00CC1EDA"/>
    <w:rsid w:val="00CC218A"/>
    <w:rsid w:val="00CC3230"/>
    <w:rsid w:val="00CC4394"/>
    <w:rsid w:val="00CC44AE"/>
    <w:rsid w:val="00CC4850"/>
    <w:rsid w:val="00CC4CC1"/>
    <w:rsid w:val="00CC5671"/>
    <w:rsid w:val="00CC68F4"/>
    <w:rsid w:val="00CC770D"/>
    <w:rsid w:val="00CD06DB"/>
    <w:rsid w:val="00CD1E58"/>
    <w:rsid w:val="00CD3365"/>
    <w:rsid w:val="00CD471E"/>
    <w:rsid w:val="00CD482D"/>
    <w:rsid w:val="00CD48A2"/>
    <w:rsid w:val="00CD49E4"/>
    <w:rsid w:val="00CD4FD0"/>
    <w:rsid w:val="00CD7A14"/>
    <w:rsid w:val="00CE0322"/>
    <w:rsid w:val="00CE0E5F"/>
    <w:rsid w:val="00CE2FCF"/>
    <w:rsid w:val="00CE318F"/>
    <w:rsid w:val="00CE5461"/>
    <w:rsid w:val="00CE6B10"/>
    <w:rsid w:val="00CE6C4B"/>
    <w:rsid w:val="00CE7045"/>
    <w:rsid w:val="00CF32A8"/>
    <w:rsid w:val="00CF36D8"/>
    <w:rsid w:val="00CF43C8"/>
    <w:rsid w:val="00CF46D5"/>
    <w:rsid w:val="00CF4736"/>
    <w:rsid w:val="00CF7ADB"/>
    <w:rsid w:val="00CF7CDA"/>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6039"/>
    <w:rsid w:val="00D1702F"/>
    <w:rsid w:val="00D170E0"/>
    <w:rsid w:val="00D20EEA"/>
    <w:rsid w:val="00D229F0"/>
    <w:rsid w:val="00D23291"/>
    <w:rsid w:val="00D23533"/>
    <w:rsid w:val="00D24B67"/>
    <w:rsid w:val="00D251C5"/>
    <w:rsid w:val="00D25C54"/>
    <w:rsid w:val="00D32251"/>
    <w:rsid w:val="00D33665"/>
    <w:rsid w:val="00D338D3"/>
    <w:rsid w:val="00D33F03"/>
    <w:rsid w:val="00D360C6"/>
    <w:rsid w:val="00D365C0"/>
    <w:rsid w:val="00D40B48"/>
    <w:rsid w:val="00D42D0E"/>
    <w:rsid w:val="00D445DC"/>
    <w:rsid w:val="00D45287"/>
    <w:rsid w:val="00D4573D"/>
    <w:rsid w:val="00D46DED"/>
    <w:rsid w:val="00D46EEB"/>
    <w:rsid w:val="00D475F2"/>
    <w:rsid w:val="00D4768A"/>
    <w:rsid w:val="00D50683"/>
    <w:rsid w:val="00D5094C"/>
    <w:rsid w:val="00D519FF"/>
    <w:rsid w:val="00D5274E"/>
    <w:rsid w:val="00D53693"/>
    <w:rsid w:val="00D537A9"/>
    <w:rsid w:val="00D53B3D"/>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0EC4"/>
    <w:rsid w:val="00D72E5B"/>
    <w:rsid w:val="00D745C3"/>
    <w:rsid w:val="00D75D8E"/>
    <w:rsid w:val="00D76720"/>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022A"/>
    <w:rsid w:val="00DA2236"/>
    <w:rsid w:val="00DA2485"/>
    <w:rsid w:val="00DA3338"/>
    <w:rsid w:val="00DA4B47"/>
    <w:rsid w:val="00DA4D00"/>
    <w:rsid w:val="00DA57E6"/>
    <w:rsid w:val="00DA58D2"/>
    <w:rsid w:val="00DA5FB5"/>
    <w:rsid w:val="00DA633E"/>
    <w:rsid w:val="00DB307A"/>
    <w:rsid w:val="00DB441E"/>
    <w:rsid w:val="00DB4DA3"/>
    <w:rsid w:val="00DC15C9"/>
    <w:rsid w:val="00DC1D5F"/>
    <w:rsid w:val="00DC1FAD"/>
    <w:rsid w:val="00DC20F9"/>
    <w:rsid w:val="00DC2113"/>
    <w:rsid w:val="00DC46F4"/>
    <w:rsid w:val="00DC56ED"/>
    <w:rsid w:val="00DC6447"/>
    <w:rsid w:val="00DC669F"/>
    <w:rsid w:val="00DC7F24"/>
    <w:rsid w:val="00DD08E7"/>
    <w:rsid w:val="00DD3434"/>
    <w:rsid w:val="00DD42DD"/>
    <w:rsid w:val="00DD52DE"/>
    <w:rsid w:val="00DD7107"/>
    <w:rsid w:val="00DE28C4"/>
    <w:rsid w:val="00DE29A8"/>
    <w:rsid w:val="00DE4225"/>
    <w:rsid w:val="00DE6006"/>
    <w:rsid w:val="00DE7A57"/>
    <w:rsid w:val="00DE7C1A"/>
    <w:rsid w:val="00DF1747"/>
    <w:rsid w:val="00DF4174"/>
    <w:rsid w:val="00DF43EA"/>
    <w:rsid w:val="00DF52BC"/>
    <w:rsid w:val="00DF5FB1"/>
    <w:rsid w:val="00DF7393"/>
    <w:rsid w:val="00DF781B"/>
    <w:rsid w:val="00E009F3"/>
    <w:rsid w:val="00E00DDC"/>
    <w:rsid w:val="00E01FA7"/>
    <w:rsid w:val="00E0274F"/>
    <w:rsid w:val="00E02FA1"/>
    <w:rsid w:val="00E0432C"/>
    <w:rsid w:val="00E048E5"/>
    <w:rsid w:val="00E061F3"/>
    <w:rsid w:val="00E07B26"/>
    <w:rsid w:val="00E07F21"/>
    <w:rsid w:val="00E13FB6"/>
    <w:rsid w:val="00E1487A"/>
    <w:rsid w:val="00E14CE3"/>
    <w:rsid w:val="00E16DAB"/>
    <w:rsid w:val="00E2006D"/>
    <w:rsid w:val="00E207D8"/>
    <w:rsid w:val="00E22756"/>
    <w:rsid w:val="00E23025"/>
    <w:rsid w:val="00E25815"/>
    <w:rsid w:val="00E26F1D"/>
    <w:rsid w:val="00E3140F"/>
    <w:rsid w:val="00E31A51"/>
    <w:rsid w:val="00E31F6C"/>
    <w:rsid w:val="00E3275C"/>
    <w:rsid w:val="00E33021"/>
    <w:rsid w:val="00E33342"/>
    <w:rsid w:val="00E3344C"/>
    <w:rsid w:val="00E339BB"/>
    <w:rsid w:val="00E35CC1"/>
    <w:rsid w:val="00E3715D"/>
    <w:rsid w:val="00E40738"/>
    <w:rsid w:val="00E40848"/>
    <w:rsid w:val="00E42B06"/>
    <w:rsid w:val="00E43C88"/>
    <w:rsid w:val="00E45060"/>
    <w:rsid w:val="00E46927"/>
    <w:rsid w:val="00E47625"/>
    <w:rsid w:val="00E535E4"/>
    <w:rsid w:val="00E543F8"/>
    <w:rsid w:val="00E55DD8"/>
    <w:rsid w:val="00E56F4D"/>
    <w:rsid w:val="00E57F4D"/>
    <w:rsid w:val="00E57FDC"/>
    <w:rsid w:val="00E600D2"/>
    <w:rsid w:val="00E60ED6"/>
    <w:rsid w:val="00E611C6"/>
    <w:rsid w:val="00E62037"/>
    <w:rsid w:val="00E64BB0"/>
    <w:rsid w:val="00E64DD1"/>
    <w:rsid w:val="00E65133"/>
    <w:rsid w:val="00E65773"/>
    <w:rsid w:val="00E65A5A"/>
    <w:rsid w:val="00E65DE3"/>
    <w:rsid w:val="00E6719F"/>
    <w:rsid w:val="00E675E9"/>
    <w:rsid w:val="00E726D8"/>
    <w:rsid w:val="00E72946"/>
    <w:rsid w:val="00E757E9"/>
    <w:rsid w:val="00E7593F"/>
    <w:rsid w:val="00E768F9"/>
    <w:rsid w:val="00E771B0"/>
    <w:rsid w:val="00E77F8A"/>
    <w:rsid w:val="00E8219A"/>
    <w:rsid w:val="00E829CB"/>
    <w:rsid w:val="00E8554D"/>
    <w:rsid w:val="00E859F8"/>
    <w:rsid w:val="00E87395"/>
    <w:rsid w:val="00E875DE"/>
    <w:rsid w:val="00E87C9B"/>
    <w:rsid w:val="00E9018A"/>
    <w:rsid w:val="00E93090"/>
    <w:rsid w:val="00E93C34"/>
    <w:rsid w:val="00E94EC7"/>
    <w:rsid w:val="00E97BD7"/>
    <w:rsid w:val="00EA0073"/>
    <w:rsid w:val="00EA1027"/>
    <w:rsid w:val="00EA2BCA"/>
    <w:rsid w:val="00EA2C71"/>
    <w:rsid w:val="00EA7E56"/>
    <w:rsid w:val="00EB021E"/>
    <w:rsid w:val="00EB05ED"/>
    <w:rsid w:val="00EB0C4B"/>
    <w:rsid w:val="00EB0DC4"/>
    <w:rsid w:val="00EB0E52"/>
    <w:rsid w:val="00EB1A0C"/>
    <w:rsid w:val="00EB1F77"/>
    <w:rsid w:val="00EB506E"/>
    <w:rsid w:val="00EC63A7"/>
    <w:rsid w:val="00ED0D35"/>
    <w:rsid w:val="00ED1019"/>
    <w:rsid w:val="00ED1BC1"/>
    <w:rsid w:val="00ED1E20"/>
    <w:rsid w:val="00ED2FB9"/>
    <w:rsid w:val="00ED3B3D"/>
    <w:rsid w:val="00ED4501"/>
    <w:rsid w:val="00ED4C47"/>
    <w:rsid w:val="00ED4D48"/>
    <w:rsid w:val="00ED70B4"/>
    <w:rsid w:val="00ED7C7A"/>
    <w:rsid w:val="00EE2A0A"/>
    <w:rsid w:val="00EE2DA4"/>
    <w:rsid w:val="00EE4005"/>
    <w:rsid w:val="00EE4C19"/>
    <w:rsid w:val="00EE774B"/>
    <w:rsid w:val="00EF170D"/>
    <w:rsid w:val="00EF19BF"/>
    <w:rsid w:val="00EF23AC"/>
    <w:rsid w:val="00EF33E9"/>
    <w:rsid w:val="00EF36DF"/>
    <w:rsid w:val="00EF654B"/>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32D"/>
    <w:rsid w:val="00F10C7F"/>
    <w:rsid w:val="00F11612"/>
    <w:rsid w:val="00F124CD"/>
    <w:rsid w:val="00F127FE"/>
    <w:rsid w:val="00F1285B"/>
    <w:rsid w:val="00F13DD5"/>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30C3"/>
    <w:rsid w:val="00F45A66"/>
    <w:rsid w:val="00F47A5A"/>
    <w:rsid w:val="00F504AD"/>
    <w:rsid w:val="00F51460"/>
    <w:rsid w:val="00F5407A"/>
    <w:rsid w:val="00F54EDC"/>
    <w:rsid w:val="00F60526"/>
    <w:rsid w:val="00F61206"/>
    <w:rsid w:val="00F6130E"/>
    <w:rsid w:val="00F61EE2"/>
    <w:rsid w:val="00F625E4"/>
    <w:rsid w:val="00F638E4"/>
    <w:rsid w:val="00F65C61"/>
    <w:rsid w:val="00F66421"/>
    <w:rsid w:val="00F67759"/>
    <w:rsid w:val="00F7103E"/>
    <w:rsid w:val="00F72551"/>
    <w:rsid w:val="00F73484"/>
    <w:rsid w:val="00F748B8"/>
    <w:rsid w:val="00F75069"/>
    <w:rsid w:val="00F75123"/>
    <w:rsid w:val="00F76090"/>
    <w:rsid w:val="00F77C8E"/>
    <w:rsid w:val="00F80464"/>
    <w:rsid w:val="00F8218E"/>
    <w:rsid w:val="00F8342E"/>
    <w:rsid w:val="00F83D75"/>
    <w:rsid w:val="00F844A0"/>
    <w:rsid w:val="00F8456D"/>
    <w:rsid w:val="00F847C6"/>
    <w:rsid w:val="00F87CC2"/>
    <w:rsid w:val="00F903B9"/>
    <w:rsid w:val="00F9063F"/>
    <w:rsid w:val="00F90B81"/>
    <w:rsid w:val="00F912E2"/>
    <w:rsid w:val="00F91DD6"/>
    <w:rsid w:val="00F91F67"/>
    <w:rsid w:val="00F9528D"/>
    <w:rsid w:val="00F96F2A"/>
    <w:rsid w:val="00F97818"/>
    <w:rsid w:val="00FA0923"/>
    <w:rsid w:val="00FA1933"/>
    <w:rsid w:val="00FA271F"/>
    <w:rsid w:val="00FA3E45"/>
    <w:rsid w:val="00FA7E7A"/>
    <w:rsid w:val="00FB0E0E"/>
    <w:rsid w:val="00FB0EBD"/>
    <w:rsid w:val="00FB151D"/>
    <w:rsid w:val="00FB27E2"/>
    <w:rsid w:val="00FB2C26"/>
    <w:rsid w:val="00FB2D03"/>
    <w:rsid w:val="00FB44B4"/>
    <w:rsid w:val="00FB44BC"/>
    <w:rsid w:val="00FB4F69"/>
    <w:rsid w:val="00FB65EB"/>
    <w:rsid w:val="00FB73F4"/>
    <w:rsid w:val="00FB784C"/>
    <w:rsid w:val="00FC1DEE"/>
    <w:rsid w:val="00FC271A"/>
    <w:rsid w:val="00FC3252"/>
    <w:rsid w:val="00FC4899"/>
    <w:rsid w:val="00FC4A60"/>
    <w:rsid w:val="00FC532D"/>
    <w:rsid w:val="00FC53C9"/>
    <w:rsid w:val="00FC7074"/>
    <w:rsid w:val="00FD0FA7"/>
    <w:rsid w:val="00FD3C9B"/>
    <w:rsid w:val="00FD3D7B"/>
    <w:rsid w:val="00FD3F6A"/>
    <w:rsid w:val="00FD4076"/>
    <w:rsid w:val="00FD67E6"/>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13E35B5"/>
    <w:rsid w:val="02630FCA"/>
    <w:rsid w:val="03532E79"/>
    <w:rsid w:val="04876A12"/>
    <w:rsid w:val="04A839C3"/>
    <w:rsid w:val="050153A3"/>
    <w:rsid w:val="051723E0"/>
    <w:rsid w:val="063068A4"/>
    <w:rsid w:val="06937DAD"/>
    <w:rsid w:val="06C800A2"/>
    <w:rsid w:val="083877D5"/>
    <w:rsid w:val="0936693A"/>
    <w:rsid w:val="0A3B6777"/>
    <w:rsid w:val="0A9C0406"/>
    <w:rsid w:val="0B8B0B62"/>
    <w:rsid w:val="0C572C3D"/>
    <w:rsid w:val="0C9F0421"/>
    <w:rsid w:val="0D01650A"/>
    <w:rsid w:val="0E6059A9"/>
    <w:rsid w:val="0F884C78"/>
    <w:rsid w:val="107167C9"/>
    <w:rsid w:val="11324414"/>
    <w:rsid w:val="118E3C93"/>
    <w:rsid w:val="11A36BB1"/>
    <w:rsid w:val="12157E2A"/>
    <w:rsid w:val="12CB2D41"/>
    <w:rsid w:val="12E6244B"/>
    <w:rsid w:val="13BA7785"/>
    <w:rsid w:val="13F81EB5"/>
    <w:rsid w:val="14346C95"/>
    <w:rsid w:val="145D0399"/>
    <w:rsid w:val="15780E60"/>
    <w:rsid w:val="16FF0AA9"/>
    <w:rsid w:val="17697EFE"/>
    <w:rsid w:val="178968CE"/>
    <w:rsid w:val="19470875"/>
    <w:rsid w:val="19B55AC1"/>
    <w:rsid w:val="1B66150D"/>
    <w:rsid w:val="1BE574F4"/>
    <w:rsid w:val="1C000033"/>
    <w:rsid w:val="1D3421B9"/>
    <w:rsid w:val="1E950423"/>
    <w:rsid w:val="21053B39"/>
    <w:rsid w:val="220863A3"/>
    <w:rsid w:val="235F70D4"/>
    <w:rsid w:val="23806272"/>
    <w:rsid w:val="23C379FC"/>
    <w:rsid w:val="254A0D87"/>
    <w:rsid w:val="257C492E"/>
    <w:rsid w:val="26C83D05"/>
    <w:rsid w:val="2721787E"/>
    <w:rsid w:val="286E3FC4"/>
    <w:rsid w:val="28DD39D8"/>
    <w:rsid w:val="28EB5E38"/>
    <w:rsid w:val="2AD4382B"/>
    <w:rsid w:val="2B005BD3"/>
    <w:rsid w:val="2C6B2416"/>
    <w:rsid w:val="2C8530D9"/>
    <w:rsid w:val="2D0B56E4"/>
    <w:rsid w:val="2ED221AD"/>
    <w:rsid w:val="2EE21EF8"/>
    <w:rsid w:val="30615EFA"/>
    <w:rsid w:val="31704971"/>
    <w:rsid w:val="319F4B54"/>
    <w:rsid w:val="31AE5842"/>
    <w:rsid w:val="323828CA"/>
    <w:rsid w:val="32A146A4"/>
    <w:rsid w:val="333C5F65"/>
    <w:rsid w:val="337E6FA6"/>
    <w:rsid w:val="34AF2939"/>
    <w:rsid w:val="35B138DC"/>
    <w:rsid w:val="368729E0"/>
    <w:rsid w:val="36925AB3"/>
    <w:rsid w:val="382D0D65"/>
    <w:rsid w:val="383D1E58"/>
    <w:rsid w:val="38DF1EE7"/>
    <w:rsid w:val="38F43592"/>
    <w:rsid w:val="39BB8592"/>
    <w:rsid w:val="3A664054"/>
    <w:rsid w:val="3B4B048E"/>
    <w:rsid w:val="3B635A22"/>
    <w:rsid w:val="3B8A0EE3"/>
    <w:rsid w:val="3CA36DA8"/>
    <w:rsid w:val="3E012034"/>
    <w:rsid w:val="3E98655E"/>
    <w:rsid w:val="3EFB7123"/>
    <w:rsid w:val="3F121E98"/>
    <w:rsid w:val="3FBF19BE"/>
    <w:rsid w:val="3FD15BB4"/>
    <w:rsid w:val="3FFC6BEA"/>
    <w:rsid w:val="426025F0"/>
    <w:rsid w:val="449E502F"/>
    <w:rsid w:val="44D175D5"/>
    <w:rsid w:val="453E79B6"/>
    <w:rsid w:val="45D121F4"/>
    <w:rsid w:val="470B4DCB"/>
    <w:rsid w:val="47892A42"/>
    <w:rsid w:val="47CA5603"/>
    <w:rsid w:val="48640629"/>
    <w:rsid w:val="48DD2273"/>
    <w:rsid w:val="49A85520"/>
    <w:rsid w:val="49B16290"/>
    <w:rsid w:val="4D526178"/>
    <w:rsid w:val="4DA00609"/>
    <w:rsid w:val="4DD60688"/>
    <w:rsid w:val="4E130942"/>
    <w:rsid w:val="4E3B6941"/>
    <w:rsid w:val="4E9B0E29"/>
    <w:rsid w:val="51CA604C"/>
    <w:rsid w:val="51D60303"/>
    <w:rsid w:val="531C3D54"/>
    <w:rsid w:val="53976FBA"/>
    <w:rsid w:val="53A44FAF"/>
    <w:rsid w:val="53DF928F"/>
    <w:rsid w:val="54352DE0"/>
    <w:rsid w:val="54675A0A"/>
    <w:rsid w:val="56AC684B"/>
    <w:rsid w:val="577E16B3"/>
    <w:rsid w:val="580B7A0B"/>
    <w:rsid w:val="58752628"/>
    <w:rsid w:val="58B87898"/>
    <w:rsid w:val="5A4216ED"/>
    <w:rsid w:val="5AB03B1A"/>
    <w:rsid w:val="5AE91516"/>
    <w:rsid w:val="5AFE2FCC"/>
    <w:rsid w:val="5B713B2C"/>
    <w:rsid w:val="5C1134BE"/>
    <w:rsid w:val="5DB569E8"/>
    <w:rsid w:val="5E11597F"/>
    <w:rsid w:val="60753A54"/>
    <w:rsid w:val="61B7492C"/>
    <w:rsid w:val="61E07F68"/>
    <w:rsid w:val="62152B58"/>
    <w:rsid w:val="62381B16"/>
    <w:rsid w:val="6458673E"/>
    <w:rsid w:val="66416EB5"/>
    <w:rsid w:val="670C37A9"/>
    <w:rsid w:val="6726067C"/>
    <w:rsid w:val="674207E8"/>
    <w:rsid w:val="67D7585C"/>
    <w:rsid w:val="687674B8"/>
    <w:rsid w:val="6A3C1A58"/>
    <w:rsid w:val="6B7B2A5F"/>
    <w:rsid w:val="6DE03984"/>
    <w:rsid w:val="6F5B691F"/>
    <w:rsid w:val="6FFFBA2B"/>
    <w:rsid w:val="70F44538"/>
    <w:rsid w:val="74E131D4"/>
    <w:rsid w:val="756B6E97"/>
    <w:rsid w:val="76FB1C79"/>
    <w:rsid w:val="77FC3E22"/>
    <w:rsid w:val="79FF86D1"/>
    <w:rsid w:val="7BBE16E0"/>
    <w:rsid w:val="7C0D5E2F"/>
    <w:rsid w:val="7CC77FF9"/>
    <w:rsid w:val="7D020D3C"/>
    <w:rsid w:val="7E7A41EF"/>
    <w:rsid w:val="7E96C3DB"/>
    <w:rsid w:val="7EF9377A"/>
    <w:rsid w:val="7EFFDF59"/>
    <w:rsid w:val="7FA72FC7"/>
    <w:rsid w:val="7FFFCD39"/>
    <w:rsid w:val="BD5A04E6"/>
    <w:rsid w:val="BDFC784F"/>
    <w:rsid w:val="F75D2E2C"/>
    <w:rsid w:val="FCFF47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5"/>
    <w:basedOn w:val="1"/>
    <w:next w:val="1"/>
    <w:link w:val="61"/>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2"/>
    <w:qFormat/>
    <w:uiPriority w:val="0"/>
    <w:pPr>
      <w:widowControl/>
      <w:spacing w:after="120"/>
      <w:jc w:val="left"/>
    </w:pPr>
    <w:rPr>
      <w:kern w:val="0"/>
      <w:sz w:val="24"/>
    </w:rPr>
  </w:style>
  <w:style w:type="paragraph" w:styleId="7">
    <w:name w:val="toc 7"/>
    <w:basedOn w:val="1"/>
    <w:next w:val="1"/>
    <w:unhideWhenUsed/>
    <w:qFormat/>
    <w:uiPriority w:val="39"/>
    <w:pPr>
      <w:ind w:left="1260"/>
      <w:jc w:val="left"/>
    </w:pPr>
    <w:rPr>
      <w:rFonts w:ascii="Calibri" w:hAnsi="Calibri"/>
      <w:sz w:val="18"/>
      <w:szCs w:val="18"/>
    </w:rPr>
  </w:style>
  <w:style w:type="paragraph" w:styleId="8">
    <w:name w:val="Normal Indent"/>
    <w:basedOn w:val="1"/>
    <w:link w:val="54"/>
    <w:qFormat/>
    <w:uiPriority w:val="0"/>
    <w:pPr>
      <w:ind w:firstLine="420" w:firstLineChars="200"/>
    </w:pPr>
  </w:style>
  <w:style w:type="paragraph" w:styleId="9">
    <w:name w:val="Document Map"/>
    <w:basedOn w:val="1"/>
    <w:link w:val="50"/>
    <w:qFormat/>
    <w:uiPriority w:val="0"/>
    <w:rPr>
      <w:rFonts w:ascii="宋体"/>
      <w:sz w:val="18"/>
      <w:szCs w:val="18"/>
    </w:rPr>
  </w:style>
  <w:style w:type="paragraph" w:styleId="10">
    <w:name w:val="annotation text"/>
    <w:basedOn w:val="1"/>
    <w:link w:val="67"/>
    <w:qFormat/>
    <w:uiPriority w:val="0"/>
    <w:pPr>
      <w:jc w:val="left"/>
    </w:pPr>
    <w:rPr>
      <w:sz w:val="18"/>
      <w:szCs w:val="20"/>
    </w:rPr>
  </w:style>
  <w:style w:type="paragraph" w:styleId="11">
    <w:name w:val="Body Text Indent"/>
    <w:basedOn w:val="1"/>
    <w:link w:val="48"/>
    <w:qFormat/>
    <w:uiPriority w:val="0"/>
    <w:pPr>
      <w:ind w:firstLine="630"/>
    </w:pPr>
    <w:rPr>
      <w:sz w:val="32"/>
      <w:szCs w:val="20"/>
    </w:rPr>
  </w:style>
  <w:style w:type="paragraph" w:styleId="12">
    <w:name w:val="toc 5"/>
    <w:basedOn w:val="1"/>
    <w:next w:val="1"/>
    <w:unhideWhenUsed/>
    <w:qFormat/>
    <w:uiPriority w:val="39"/>
    <w:pPr>
      <w:ind w:left="840"/>
      <w:jc w:val="left"/>
    </w:pPr>
    <w:rPr>
      <w:rFonts w:ascii="Calibri" w:hAnsi="Calibri"/>
      <w:sz w:val="18"/>
      <w:szCs w:val="18"/>
    </w:rPr>
  </w:style>
  <w:style w:type="paragraph" w:styleId="13">
    <w:name w:val="toc 3"/>
    <w:basedOn w:val="1"/>
    <w:next w:val="1"/>
    <w:qFormat/>
    <w:uiPriority w:val="39"/>
    <w:pPr>
      <w:ind w:left="420"/>
      <w:jc w:val="left"/>
    </w:pPr>
    <w:rPr>
      <w:rFonts w:ascii="Calibri" w:hAnsi="Calibri"/>
      <w:i/>
      <w:iCs/>
      <w:sz w:val="20"/>
      <w:szCs w:val="20"/>
    </w:rPr>
  </w:style>
  <w:style w:type="paragraph" w:styleId="14">
    <w:name w:val="Plain Text"/>
    <w:basedOn w:val="1"/>
    <w:link w:val="58"/>
    <w:qFormat/>
    <w:uiPriority w:val="0"/>
    <w:pPr>
      <w:autoSpaceDE w:val="0"/>
      <w:autoSpaceDN w:val="0"/>
      <w:adjustRightInd w:val="0"/>
    </w:pPr>
    <w:rPr>
      <w:rFonts w:ascii="宋体" w:hAnsi="Tms Rmn"/>
      <w:kern w:val="0"/>
      <w:szCs w:val="20"/>
    </w:rPr>
  </w:style>
  <w:style w:type="paragraph" w:styleId="15">
    <w:name w:val="toc 8"/>
    <w:basedOn w:val="1"/>
    <w:next w:val="1"/>
    <w:unhideWhenUsed/>
    <w:qFormat/>
    <w:uiPriority w:val="39"/>
    <w:pPr>
      <w:ind w:left="1470"/>
      <w:jc w:val="left"/>
    </w:pPr>
    <w:rPr>
      <w:rFonts w:ascii="Calibri" w:hAnsi="Calibri"/>
      <w:sz w:val="18"/>
      <w:szCs w:val="18"/>
    </w:rPr>
  </w:style>
  <w:style w:type="paragraph" w:styleId="16">
    <w:name w:val="Date"/>
    <w:basedOn w:val="1"/>
    <w:next w:val="1"/>
    <w:link w:val="63"/>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9"/>
    <w:qFormat/>
    <w:uiPriority w:val="99"/>
    <w:pPr>
      <w:tabs>
        <w:tab w:val="center" w:pos="4153"/>
        <w:tab w:val="right" w:pos="8306"/>
      </w:tabs>
      <w:snapToGrid w:val="0"/>
      <w:jc w:val="left"/>
    </w:pPr>
    <w:rPr>
      <w:sz w:val="18"/>
      <w:szCs w:val="20"/>
    </w:rPr>
  </w:style>
  <w:style w:type="paragraph" w:styleId="20">
    <w:name w:val="header"/>
    <w:basedOn w:val="1"/>
    <w:link w:val="66"/>
    <w:qFormat/>
    <w:uiPriority w:val="0"/>
    <w:pPr>
      <w:pBdr>
        <w:bottom w:val="single" w:color="auto" w:sz="6" w:space="1"/>
      </w:pBdr>
      <w:tabs>
        <w:tab w:val="center" w:pos="4153"/>
        <w:tab w:val="right" w:pos="8306"/>
      </w:tabs>
      <w:snapToGrid w:val="0"/>
      <w:jc w:val="center"/>
    </w:pPr>
    <w:rPr>
      <w:sz w:val="18"/>
      <w:szCs w:val="20"/>
    </w:rPr>
  </w:style>
  <w:style w:type="paragraph" w:styleId="21">
    <w:name w:val="toc 1"/>
    <w:basedOn w:val="1"/>
    <w:next w:val="1"/>
    <w:qFormat/>
    <w:uiPriority w:val="39"/>
    <w:pPr>
      <w:spacing w:before="120" w:after="120"/>
      <w:jc w:val="left"/>
    </w:pPr>
    <w:rPr>
      <w:rFonts w:ascii="Calibri" w:hAnsi="Calibri"/>
      <w:b/>
      <w:bCs/>
      <w:caps/>
      <w:sz w:val="20"/>
      <w:szCs w:val="20"/>
    </w:rPr>
  </w:style>
  <w:style w:type="paragraph" w:styleId="22">
    <w:name w:val="toc 4"/>
    <w:basedOn w:val="1"/>
    <w:next w:val="1"/>
    <w:unhideWhenUsed/>
    <w:qFormat/>
    <w:uiPriority w:val="39"/>
    <w:pPr>
      <w:ind w:left="630"/>
      <w:jc w:val="left"/>
    </w:pPr>
    <w:rPr>
      <w:rFonts w:ascii="Calibri" w:hAnsi="Calibri"/>
      <w:sz w:val="18"/>
      <w:szCs w:val="18"/>
    </w:rPr>
  </w:style>
  <w:style w:type="paragraph" w:styleId="23">
    <w:name w:val="toc 6"/>
    <w:basedOn w:val="1"/>
    <w:next w:val="1"/>
    <w:unhideWhenUsed/>
    <w:qFormat/>
    <w:uiPriority w:val="39"/>
    <w:pPr>
      <w:ind w:left="1050"/>
      <w:jc w:val="left"/>
    </w:pPr>
    <w:rPr>
      <w:rFonts w:ascii="Calibri" w:hAnsi="Calibri"/>
      <w:sz w:val="18"/>
      <w:szCs w:val="18"/>
    </w:rPr>
  </w:style>
  <w:style w:type="paragraph" w:styleId="24">
    <w:name w:val="Body Text Indent 3"/>
    <w:basedOn w:val="1"/>
    <w:link w:val="59"/>
    <w:qFormat/>
    <w:uiPriority w:val="0"/>
    <w:pPr>
      <w:spacing w:after="120"/>
      <w:ind w:left="420" w:leftChars="200"/>
    </w:pPr>
    <w:rPr>
      <w:sz w:val="16"/>
      <w:szCs w:val="16"/>
    </w:rPr>
  </w:style>
  <w:style w:type="paragraph" w:styleId="25">
    <w:name w:val="toc 2"/>
    <w:basedOn w:val="1"/>
    <w:next w:val="1"/>
    <w:qFormat/>
    <w:uiPriority w:val="39"/>
    <w:pPr>
      <w:ind w:left="210"/>
      <w:jc w:val="left"/>
    </w:pPr>
    <w:rPr>
      <w:rFonts w:ascii="Calibri" w:hAnsi="Calibri"/>
      <w:smallCaps/>
      <w:sz w:val="20"/>
      <w:szCs w:val="20"/>
    </w:rPr>
  </w:style>
  <w:style w:type="paragraph" w:styleId="26">
    <w:name w:val="toc 9"/>
    <w:basedOn w:val="1"/>
    <w:next w:val="1"/>
    <w:unhideWhenUsed/>
    <w:qFormat/>
    <w:uiPriority w:val="39"/>
    <w:pPr>
      <w:ind w:left="1680"/>
      <w:jc w:val="left"/>
    </w:pPr>
    <w:rPr>
      <w:rFonts w:ascii="Calibri" w:hAnsi="Calibri"/>
      <w:sz w:val="18"/>
      <w:szCs w:val="18"/>
    </w:rPr>
  </w:style>
  <w:style w:type="paragraph" w:styleId="2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8">
    <w:name w:val="annotation subject"/>
    <w:basedOn w:val="10"/>
    <w:next w:val="10"/>
    <w:link w:val="65"/>
    <w:qFormat/>
    <w:uiPriority w:val="0"/>
    <w:rPr>
      <w:b/>
      <w:bCs/>
      <w:sz w:val="21"/>
      <w:szCs w:val="24"/>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FollowedHyperlink"/>
    <w:basedOn w:val="31"/>
    <w:qFormat/>
    <w:uiPriority w:val="0"/>
    <w:rPr>
      <w:color w:val="3D3D3D"/>
      <w:u w:val="none"/>
    </w:rPr>
  </w:style>
  <w:style w:type="character" w:styleId="35">
    <w:name w:val="Emphasis"/>
    <w:basedOn w:val="31"/>
    <w:qFormat/>
    <w:uiPriority w:val="0"/>
    <w:rPr>
      <w:b/>
      <w:bCs/>
    </w:rPr>
  </w:style>
  <w:style w:type="character" w:styleId="36">
    <w:name w:val="HTML Definition"/>
    <w:basedOn w:val="31"/>
    <w:qFormat/>
    <w:uiPriority w:val="0"/>
  </w:style>
  <w:style w:type="character" w:styleId="37">
    <w:name w:val="HTML Typewriter"/>
    <w:basedOn w:val="31"/>
    <w:qFormat/>
    <w:uiPriority w:val="0"/>
    <w:rPr>
      <w:rFonts w:hint="default" w:ascii="monospace" w:hAnsi="monospace" w:eastAsia="monospace" w:cs="monospace"/>
      <w:sz w:val="20"/>
    </w:rPr>
  </w:style>
  <w:style w:type="character" w:styleId="38">
    <w:name w:val="HTML Acronym"/>
    <w:basedOn w:val="31"/>
    <w:qFormat/>
    <w:uiPriority w:val="0"/>
  </w:style>
  <w:style w:type="character" w:styleId="39">
    <w:name w:val="HTML Variable"/>
    <w:basedOn w:val="31"/>
    <w:qFormat/>
    <w:uiPriority w:val="0"/>
  </w:style>
  <w:style w:type="character" w:styleId="40">
    <w:name w:val="Hyperlink"/>
    <w:basedOn w:val="31"/>
    <w:qFormat/>
    <w:uiPriority w:val="99"/>
    <w:rPr>
      <w:color w:val="0000FF"/>
      <w:u w:val="none"/>
    </w:rPr>
  </w:style>
  <w:style w:type="character" w:styleId="41">
    <w:name w:val="HTML Code"/>
    <w:basedOn w:val="31"/>
    <w:qFormat/>
    <w:uiPriority w:val="0"/>
    <w:rPr>
      <w:rFonts w:ascii="Courier New" w:hAnsi="Courier New"/>
      <w:sz w:val="20"/>
    </w:rPr>
  </w:style>
  <w:style w:type="character" w:styleId="42">
    <w:name w:val="annotation reference"/>
    <w:qFormat/>
    <w:uiPriority w:val="0"/>
    <w:rPr>
      <w:sz w:val="21"/>
      <w:szCs w:val="21"/>
    </w:rPr>
  </w:style>
  <w:style w:type="character" w:styleId="43">
    <w:name w:val="HTML Cite"/>
    <w:basedOn w:val="31"/>
    <w:qFormat/>
    <w:uiPriority w:val="0"/>
  </w:style>
  <w:style w:type="character" w:styleId="44">
    <w:name w:val="HTML Keyboard"/>
    <w:basedOn w:val="31"/>
    <w:qFormat/>
    <w:uiPriority w:val="0"/>
    <w:rPr>
      <w:rFonts w:hint="default" w:ascii="monospace" w:hAnsi="monospace" w:eastAsia="monospace" w:cs="monospace"/>
      <w:sz w:val="20"/>
    </w:rPr>
  </w:style>
  <w:style w:type="character" w:styleId="45">
    <w:name w:val="HTML Sample"/>
    <w:basedOn w:val="31"/>
    <w:qFormat/>
    <w:uiPriority w:val="0"/>
    <w:rPr>
      <w:rFonts w:ascii="monospace" w:hAnsi="monospace" w:eastAsia="monospace" w:cs="monospace"/>
    </w:rPr>
  </w:style>
  <w:style w:type="paragraph" w:customStyle="1" w:styleId="46">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符号）邀请函中一、"/>
    <w:qFormat/>
    <w:uiPriority w:val="0"/>
    <w:rPr>
      <w:rFonts w:ascii="黑体" w:hAnsi="黑体" w:eastAsia="黑体"/>
      <w:b/>
      <w:bCs/>
      <w:sz w:val="24"/>
    </w:rPr>
  </w:style>
  <w:style w:type="character" w:customStyle="1" w:styleId="48">
    <w:name w:val="正文文本缩进 Char"/>
    <w:link w:val="11"/>
    <w:qFormat/>
    <w:uiPriority w:val="0"/>
    <w:rPr>
      <w:rFonts w:eastAsia="宋体"/>
      <w:kern w:val="2"/>
      <w:sz w:val="32"/>
      <w:lang w:val="en-US" w:eastAsia="zh-CN" w:bidi="ar-SA"/>
    </w:rPr>
  </w:style>
  <w:style w:type="character" w:customStyle="1" w:styleId="49">
    <w:name w:val="页脚 Char"/>
    <w:link w:val="19"/>
    <w:qFormat/>
    <w:uiPriority w:val="99"/>
    <w:rPr>
      <w:rFonts w:eastAsia="宋体"/>
      <w:kern w:val="2"/>
      <w:sz w:val="18"/>
      <w:lang w:val="en-US" w:eastAsia="zh-CN" w:bidi="ar-SA"/>
    </w:rPr>
  </w:style>
  <w:style w:type="character" w:customStyle="1" w:styleId="50">
    <w:name w:val="文档结构图 Char"/>
    <w:link w:val="9"/>
    <w:qFormat/>
    <w:uiPriority w:val="0"/>
    <w:rPr>
      <w:rFonts w:ascii="宋体"/>
      <w:kern w:val="2"/>
      <w:sz w:val="18"/>
      <w:szCs w:val="18"/>
    </w:rPr>
  </w:style>
  <w:style w:type="character" w:customStyle="1" w:styleId="51">
    <w:name w:val="Char Char9"/>
    <w:qFormat/>
    <w:uiPriority w:val="0"/>
    <w:rPr>
      <w:kern w:val="2"/>
      <w:sz w:val="21"/>
    </w:rPr>
  </w:style>
  <w:style w:type="character" w:customStyle="1" w:styleId="52">
    <w:name w:val="列出段落 Char"/>
    <w:link w:val="53"/>
    <w:qFormat/>
    <w:uiPriority w:val="0"/>
    <w:rPr>
      <w:rFonts w:eastAsia="宋体"/>
      <w:kern w:val="2"/>
      <w:sz w:val="21"/>
      <w:szCs w:val="24"/>
      <w:lang w:val="en-US" w:eastAsia="zh-CN" w:bidi="ar-SA"/>
    </w:rPr>
  </w:style>
  <w:style w:type="paragraph" w:styleId="53">
    <w:name w:val="List Paragraph"/>
    <w:basedOn w:val="1"/>
    <w:link w:val="52"/>
    <w:qFormat/>
    <w:uiPriority w:val="0"/>
    <w:pPr>
      <w:ind w:firstLine="420" w:firstLineChars="200"/>
    </w:pPr>
  </w:style>
  <w:style w:type="character" w:customStyle="1" w:styleId="54">
    <w:name w:val="正文缩进 Char"/>
    <w:link w:val="8"/>
    <w:qFormat/>
    <w:uiPriority w:val="0"/>
    <w:rPr>
      <w:rFonts w:eastAsia="宋体"/>
      <w:kern w:val="2"/>
      <w:sz w:val="21"/>
      <w:szCs w:val="24"/>
      <w:lang w:val="en-US" w:eastAsia="zh-CN" w:bidi="ar-SA"/>
    </w:rPr>
  </w:style>
  <w:style w:type="character" w:customStyle="1" w:styleId="55">
    <w:name w:val="GW-正文 Char"/>
    <w:link w:val="56"/>
    <w:qFormat/>
    <w:uiPriority w:val="0"/>
    <w:rPr>
      <w:rFonts w:eastAsia="仿宋_GB2312"/>
      <w:kern w:val="2"/>
      <w:sz w:val="24"/>
      <w:szCs w:val="24"/>
      <w:lang w:val="en-US" w:eastAsia="zh-CN" w:bidi="ar-SA"/>
    </w:rPr>
  </w:style>
  <w:style w:type="paragraph" w:customStyle="1" w:styleId="56">
    <w:name w:val="GW-正文"/>
    <w:basedOn w:val="1"/>
    <w:link w:val="55"/>
    <w:qFormat/>
    <w:uiPriority w:val="0"/>
    <w:pPr>
      <w:spacing w:line="360" w:lineRule="auto"/>
      <w:ind w:firstLine="200" w:firstLineChars="200"/>
    </w:pPr>
    <w:rPr>
      <w:rFonts w:eastAsia="仿宋_GB2312"/>
      <w:sz w:val="24"/>
    </w:rPr>
  </w:style>
  <w:style w:type="character" w:customStyle="1" w:styleId="57">
    <w:name w:val="批注文字 Char1"/>
    <w:qFormat/>
    <w:uiPriority w:val="0"/>
    <w:rPr>
      <w:kern w:val="2"/>
      <w:sz w:val="18"/>
      <w:lang w:bidi="ar-SA"/>
    </w:rPr>
  </w:style>
  <w:style w:type="character" w:customStyle="1" w:styleId="58">
    <w:name w:val="纯文本 Char"/>
    <w:link w:val="14"/>
    <w:unhideWhenUsed/>
    <w:qFormat/>
    <w:uiPriority w:val="0"/>
    <w:rPr>
      <w:rFonts w:ascii="宋体" w:hAnsi="Tms Rmn" w:eastAsia="宋体"/>
      <w:sz w:val="21"/>
      <w:lang w:val="en-US" w:eastAsia="zh-CN" w:bidi="ar-SA"/>
    </w:rPr>
  </w:style>
  <w:style w:type="character" w:customStyle="1" w:styleId="59">
    <w:name w:val="正文文本缩进 3 Char"/>
    <w:link w:val="24"/>
    <w:qFormat/>
    <w:uiPriority w:val="0"/>
    <w:rPr>
      <w:kern w:val="2"/>
      <w:sz w:val="16"/>
      <w:szCs w:val="16"/>
    </w:rPr>
  </w:style>
  <w:style w:type="character" w:customStyle="1" w:styleId="60">
    <w:name w:val="正文文本 Char"/>
    <w:qFormat/>
    <w:uiPriority w:val="0"/>
    <w:rPr>
      <w:sz w:val="24"/>
      <w:szCs w:val="24"/>
    </w:rPr>
  </w:style>
  <w:style w:type="character" w:customStyle="1" w:styleId="61">
    <w:name w:val="标题 5 Char"/>
    <w:link w:val="6"/>
    <w:qFormat/>
    <w:uiPriority w:val="0"/>
    <w:rPr>
      <w:b/>
      <w:bCs/>
      <w:kern w:val="2"/>
      <w:sz w:val="28"/>
      <w:szCs w:val="28"/>
    </w:rPr>
  </w:style>
  <w:style w:type="character" w:customStyle="1" w:styleId="62">
    <w:name w:val="正文文本 Char1"/>
    <w:basedOn w:val="31"/>
    <w:link w:val="2"/>
    <w:qFormat/>
    <w:uiPriority w:val="0"/>
    <w:rPr>
      <w:kern w:val="2"/>
      <w:sz w:val="21"/>
      <w:szCs w:val="24"/>
    </w:rPr>
  </w:style>
  <w:style w:type="character" w:customStyle="1" w:styleId="63">
    <w:name w:val="日期 Char"/>
    <w:link w:val="16"/>
    <w:qFormat/>
    <w:uiPriority w:val="0"/>
    <w:rPr>
      <w:kern w:val="2"/>
      <w:sz w:val="21"/>
      <w:szCs w:val="24"/>
    </w:rPr>
  </w:style>
  <w:style w:type="character" w:customStyle="1" w:styleId="64">
    <w:name w:val="grame"/>
    <w:basedOn w:val="31"/>
    <w:qFormat/>
    <w:uiPriority w:val="0"/>
  </w:style>
  <w:style w:type="character" w:customStyle="1" w:styleId="65">
    <w:name w:val="批注主题 Char"/>
    <w:link w:val="28"/>
    <w:qFormat/>
    <w:uiPriority w:val="0"/>
    <w:rPr>
      <w:b/>
      <w:bCs/>
      <w:kern w:val="2"/>
      <w:sz w:val="21"/>
      <w:szCs w:val="24"/>
      <w:lang w:bidi="ar-SA"/>
    </w:rPr>
  </w:style>
  <w:style w:type="character" w:customStyle="1" w:styleId="66">
    <w:name w:val="页眉 Char"/>
    <w:link w:val="20"/>
    <w:qFormat/>
    <w:uiPriority w:val="0"/>
    <w:rPr>
      <w:rFonts w:eastAsia="宋体"/>
      <w:kern w:val="2"/>
      <w:sz w:val="18"/>
      <w:lang w:val="en-US" w:eastAsia="zh-CN" w:bidi="ar-SA"/>
    </w:rPr>
  </w:style>
  <w:style w:type="character" w:customStyle="1" w:styleId="67">
    <w:name w:val="批注文字 Char"/>
    <w:link w:val="10"/>
    <w:qFormat/>
    <w:uiPriority w:val="0"/>
    <w:rPr>
      <w:kern w:val="2"/>
      <w:sz w:val="18"/>
      <w:lang w:bidi="ar-SA"/>
    </w:rPr>
  </w:style>
  <w:style w:type="paragraph" w:customStyle="1" w:styleId="68">
    <w:name w:val="表格"/>
    <w:basedOn w:val="1"/>
    <w:qFormat/>
    <w:uiPriority w:val="0"/>
    <w:pPr>
      <w:spacing w:line="400" w:lineRule="exact"/>
    </w:pPr>
    <w:rPr>
      <w:sz w:val="24"/>
    </w:rPr>
  </w:style>
  <w:style w:type="paragraph" w:customStyle="1" w:styleId="69">
    <w:name w:val="正文1"/>
    <w:qFormat/>
    <w:uiPriority w:val="0"/>
    <w:pPr>
      <w:widowControl w:val="0"/>
      <w:adjustRightInd w:val="0"/>
      <w:spacing w:line="312" w:lineRule="atLeast"/>
      <w:jc w:val="both"/>
      <w:textAlignment w:val="baseline"/>
    </w:pPr>
    <w:rPr>
      <w:rFonts w:ascii="宋体" w:hAnsi="Times New Roman" w:cs="Times New Roman" w:eastAsiaTheme="minorEastAsia"/>
      <w:sz w:val="34"/>
      <w:lang w:val="en-US" w:eastAsia="zh-CN" w:bidi="ar-SA"/>
    </w:rPr>
  </w:style>
  <w:style w:type="paragraph" w:customStyle="1" w:styleId="70">
    <w:name w:val="样式 首行缩进:  2 字符"/>
    <w:basedOn w:val="1"/>
    <w:qFormat/>
    <w:uiPriority w:val="0"/>
    <w:pPr>
      <w:spacing w:line="400" w:lineRule="exact"/>
      <w:ind w:firstLine="200" w:firstLineChars="200"/>
    </w:pPr>
    <w:rPr>
      <w:rFonts w:cs="宋体"/>
      <w:sz w:val="24"/>
    </w:rPr>
  </w:style>
  <w:style w:type="paragraph" w:customStyle="1" w:styleId="71">
    <w:name w:val="正文首行缩进两字符"/>
    <w:basedOn w:val="1"/>
    <w:qFormat/>
    <w:uiPriority w:val="0"/>
    <w:pPr>
      <w:spacing w:line="360" w:lineRule="auto"/>
      <w:ind w:firstLine="200" w:firstLineChars="200"/>
    </w:pPr>
  </w:style>
  <w:style w:type="paragraph" w:customStyle="1" w:styleId="72">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3">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74">
    <w:name w:val="Char Char Char Char Char Char Char Char Char Char Char Char Char Char1 Char Char Char Char"/>
    <w:basedOn w:val="1"/>
    <w:qFormat/>
    <w:uiPriority w:val="0"/>
    <w:rPr>
      <w:szCs w:val="21"/>
    </w:rPr>
  </w:style>
  <w:style w:type="paragraph" w:customStyle="1" w:styleId="75">
    <w:name w:val="Table Paragraph"/>
    <w:basedOn w:val="1"/>
    <w:qFormat/>
    <w:uiPriority w:val="1"/>
    <w:pPr>
      <w:jc w:val="left"/>
    </w:pPr>
    <w:rPr>
      <w:rFonts w:ascii="Calibri" w:hAnsi="Calibri"/>
      <w:kern w:val="0"/>
      <w:sz w:val="22"/>
      <w:szCs w:val="22"/>
      <w:lang w:eastAsia="en-US"/>
    </w:rPr>
  </w:style>
  <w:style w:type="paragraph" w:customStyle="1" w:styleId="76">
    <w:name w:val="Body text|1"/>
    <w:basedOn w:val="1"/>
    <w:qFormat/>
    <w:uiPriority w:val="0"/>
    <w:pPr>
      <w:spacing w:after="220" w:line="480" w:lineRule="auto"/>
      <w:ind w:firstLine="400"/>
    </w:pPr>
    <w:rPr>
      <w:rFonts w:ascii="宋体" w:hAnsi="宋体" w:eastAsia="宋体" w:cs="宋体"/>
      <w:sz w:val="26"/>
      <w:szCs w:val="26"/>
      <w:lang w:val="zh-TW" w:eastAsia="zh-TW" w:bidi="zh-TW"/>
    </w:rPr>
  </w:style>
  <w:style w:type="character" w:customStyle="1" w:styleId="77">
    <w:name w:val="img"/>
    <w:basedOn w:val="31"/>
    <w:qFormat/>
    <w:uiPriority w:val="0"/>
  </w:style>
  <w:style w:type="character" w:customStyle="1" w:styleId="78">
    <w:name w:val="img1"/>
    <w:basedOn w:val="31"/>
    <w:qFormat/>
    <w:uiPriority w:val="0"/>
  </w:style>
  <w:style w:type="paragraph" w:customStyle="1" w:styleId="79">
    <w:name w:val="BodyText"/>
    <w:basedOn w:val="1"/>
    <w:next w:val="1"/>
    <w:qFormat/>
    <w:uiPriority w:val="0"/>
    <w:rPr>
      <w:rFonts w:ascii="Calibri"/>
      <w:szCs w:val="20"/>
    </w:rPr>
  </w:style>
  <w:style w:type="character" w:customStyle="1" w:styleId="80">
    <w:name w:val="NormalCharacter"/>
    <w:qFormat/>
    <w:uiPriority w:val="0"/>
    <w:rPr>
      <w:rFonts w:ascii="Calibri" w:hAnsi="Calibri" w:eastAsia="宋体"/>
    </w:rPr>
  </w:style>
  <w:style w:type="paragraph" w:customStyle="1" w:styleId="81">
    <w:name w:val="Heading2"/>
    <w:basedOn w:val="1"/>
    <w:next w:val="1"/>
    <w:qFormat/>
    <w:uiPriority w:val="0"/>
    <w:pPr>
      <w:keepNext/>
      <w:keepLines/>
      <w:spacing w:line="416" w:lineRule="auto"/>
    </w:pPr>
    <w:rPr>
      <w:rFonts w:ascii="Cambria" w:hAnsi="Cambria"/>
      <w:b/>
      <w:bCs/>
      <w:sz w:val="32"/>
      <w:szCs w:val="32"/>
    </w:rPr>
  </w:style>
  <w:style w:type="character" w:customStyle="1" w:styleId="82">
    <w:name w:val="hover"/>
    <w:basedOn w:val="31"/>
    <w:qFormat/>
    <w:uiPriority w:val="0"/>
    <w:rPr>
      <w:color w:val="2590EB"/>
    </w:rPr>
  </w:style>
  <w:style w:type="character" w:customStyle="1" w:styleId="83">
    <w:name w:val="hover1"/>
    <w:basedOn w:val="31"/>
    <w:qFormat/>
    <w:uiPriority w:val="0"/>
    <w:rPr>
      <w:color w:val="2590EB"/>
    </w:rPr>
  </w:style>
  <w:style w:type="character" w:customStyle="1" w:styleId="84">
    <w:name w:val="hover2"/>
    <w:basedOn w:val="31"/>
    <w:qFormat/>
    <w:uiPriority w:val="0"/>
  </w:style>
  <w:style w:type="character" w:customStyle="1" w:styleId="85">
    <w:name w:val="mini-outputtext1"/>
    <w:basedOn w:val="31"/>
    <w:qFormat/>
    <w:uiPriority w:val="0"/>
  </w:style>
  <w:style w:type="character" w:customStyle="1" w:styleId="86">
    <w:name w:val="first-child"/>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70</Pages>
  <Words>35722</Words>
  <Characters>37128</Characters>
  <Lines>249</Lines>
  <Paragraphs>70</Paragraphs>
  <TotalTime>6</TotalTime>
  <ScaleCrop>false</ScaleCrop>
  <LinksUpToDate>false</LinksUpToDate>
  <CharactersWithSpaces>38169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2020-08-05T02:27:00Z</dcterms:created>
  <dc:creator>lw</dc:creator>
  <cp:lastModifiedBy>情不知所起一往而深</cp:lastModifiedBy>
  <cp:lastPrinted>2021-07-12T02:57:00Z</cp:lastPrinted>
  <dcterms:modified xsi:type="dcterms:W3CDTF">2021-08-30T03:40:37Z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1BFBA3F8EABF4658BE5994BEA169E071</vt:lpwstr>
  </property>
</Properties>
</file>