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43"/>
        <w:ind w:left="0" w:leftChars="0" w:firstLine="0" w:firstLineChars="0"/>
        <w:jc w:val="center"/>
      </w:pPr>
      <w:r>
        <w:rPr>
          <w:rFonts w:hint="eastAsia"/>
          <w:lang w:val="en-US" w:eastAsia="zh-CN"/>
        </w:rPr>
        <w:t xml:space="preserve">               </w:t>
      </w:r>
      <w:r>
        <w:t>项目编号：金堂县政采（2021）B0013号</w:t>
      </w:r>
    </w:p>
    <w:p>
      <w:pPr>
        <w:pStyle w:val="7"/>
        <w:spacing w:before="11"/>
        <w:rPr>
          <w:b/>
          <w:sz w:val="35"/>
        </w:rPr>
      </w:pPr>
    </w:p>
    <w:p>
      <w:pPr>
        <w:spacing w:line="266" w:lineRule="auto"/>
        <w:ind w:left="1372" w:right="1310" w:hanging="108"/>
        <w:jc w:val="center"/>
        <w:rPr>
          <w:rFonts w:hint="eastAsia" w:eastAsia="宋体"/>
          <w:b/>
          <w:sz w:val="44"/>
          <w:lang w:eastAsia="zh-CN"/>
        </w:rPr>
      </w:pPr>
      <w:r>
        <w:rPr>
          <w:rFonts w:hint="eastAsia"/>
          <w:b/>
          <w:w w:val="95"/>
          <w:sz w:val="44"/>
          <w:lang w:eastAsia="zh-CN"/>
        </w:rPr>
        <w:t>金堂县 2021年工业产品检验检测服务采购项目(第二次）</w:t>
      </w:r>
    </w:p>
    <w:p>
      <w:pPr>
        <w:spacing w:before="221" w:line="336" w:lineRule="auto"/>
        <w:ind w:left="4972" w:right="5030"/>
        <w:jc w:val="both"/>
        <w:rPr>
          <w:b/>
          <w:sz w:val="52"/>
        </w:rPr>
      </w:pPr>
    </w:p>
    <w:p>
      <w:pPr>
        <w:spacing w:before="221" w:line="336" w:lineRule="auto"/>
        <w:ind w:left="4972" w:right="5030"/>
        <w:jc w:val="both"/>
        <w:rPr>
          <w:b/>
          <w:sz w:val="52"/>
        </w:rPr>
      </w:pPr>
      <w:r>
        <w:rPr>
          <w:b/>
          <w:sz w:val="52"/>
        </w:rPr>
        <w:t>竞争性磋商文件</w:t>
      </w:r>
    </w:p>
    <w:p>
      <w:pPr>
        <w:spacing w:before="309"/>
        <w:ind w:left="2661" w:right="2721"/>
        <w:jc w:val="center"/>
        <w:rPr>
          <w:b/>
          <w:sz w:val="32"/>
        </w:rPr>
      </w:pPr>
      <w:r>
        <w:rPr>
          <w:b/>
          <w:sz w:val="32"/>
        </w:rPr>
        <w:t>中国·成都</w:t>
      </w:r>
    </w:p>
    <w:p>
      <w:pPr>
        <w:spacing w:before="214"/>
        <w:ind w:left="2664" w:right="2719"/>
        <w:jc w:val="center"/>
        <w:rPr>
          <w:b/>
          <w:sz w:val="32"/>
        </w:rPr>
      </w:pPr>
      <w:r>
        <w:rPr>
          <w:b/>
          <w:sz w:val="32"/>
        </w:rPr>
        <w:t>金堂县市场监督管理局</w:t>
      </w:r>
    </w:p>
    <w:p>
      <w:pPr>
        <w:spacing w:before="214"/>
        <w:ind w:left="2664" w:right="2719"/>
        <w:jc w:val="center"/>
        <w:rPr>
          <w:b/>
          <w:sz w:val="32"/>
        </w:rPr>
      </w:pPr>
      <w:r>
        <w:rPr>
          <w:rFonts w:hint="eastAsia"/>
          <w:b/>
          <w:sz w:val="32"/>
        </w:rPr>
        <w:t>四川仁恒工程建设管理有限公司</w:t>
      </w:r>
    </w:p>
    <w:p>
      <w:pPr>
        <w:spacing w:before="214" w:line="364" w:lineRule="auto"/>
        <w:ind w:left="2664" w:right="2721"/>
        <w:jc w:val="center"/>
        <w:rPr>
          <w:b/>
          <w:sz w:val="32"/>
        </w:rPr>
      </w:pPr>
      <w:r>
        <w:rPr>
          <w:b/>
          <w:sz w:val="32"/>
        </w:rPr>
        <w:t>共同编制</w:t>
      </w:r>
    </w:p>
    <w:p>
      <w:pPr>
        <w:pStyle w:val="4"/>
        <w:ind w:right="2721"/>
        <w:rPr>
          <w:sz w:val="32"/>
        </w:rPr>
      </w:pPr>
      <w:r>
        <w:t>20</w:t>
      </w:r>
      <w:r>
        <w:rPr>
          <w:rFonts w:hint="eastAsia"/>
          <w:lang w:val="en-US"/>
        </w:rPr>
        <w:t>2</w:t>
      </w:r>
      <w:r>
        <w:rPr>
          <w:rFonts w:hint="eastAsia"/>
          <w:lang w:val="en-US" w:eastAsia="zh-CN"/>
        </w:rPr>
        <w:t>1</w:t>
      </w:r>
      <w:r>
        <w:rPr>
          <w:spacing w:val="-51"/>
        </w:rPr>
        <w:t xml:space="preserve"> 年 </w:t>
      </w:r>
      <w:r>
        <w:rPr>
          <w:rFonts w:hint="eastAsia"/>
          <w:lang w:val="en-US" w:eastAsia="zh-CN"/>
        </w:rPr>
        <w:t>5</w:t>
      </w:r>
      <w:r>
        <w:rPr>
          <w:sz w:val="32"/>
        </w:rPr>
        <w:t>月</w:t>
      </w:r>
    </w:p>
    <w:p>
      <w:pPr>
        <w:rPr>
          <w:sz w:val="32"/>
        </w:rPr>
        <w:sectPr>
          <w:type w:val="continuous"/>
          <w:pgSz w:w="11910" w:h="16840"/>
          <w:pgMar w:top="1500" w:right="660" w:bottom="280" w:left="720" w:header="720" w:footer="720" w:gutter="0"/>
          <w:pgBorders>
            <w:top w:val="none" w:sz="0" w:space="0"/>
            <w:left w:val="none" w:sz="0" w:space="0"/>
            <w:bottom w:val="none" w:sz="0" w:space="0"/>
            <w:right w:val="none" w:sz="0" w:space="0"/>
          </w:pgBorders>
          <w:cols w:space="720" w:num="1"/>
        </w:sectPr>
      </w:pPr>
    </w:p>
    <w:p>
      <w:pPr>
        <w:tabs>
          <w:tab w:val="left" w:pos="883"/>
        </w:tabs>
        <w:spacing w:before="72"/>
        <w:ind w:right="57"/>
        <w:jc w:val="center"/>
        <w:rPr>
          <w:b/>
          <w:sz w:val="44"/>
        </w:rPr>
      </w:pPr>
      <w:bookmarkStart w:id="0" w:name="目__录"/>
      <w:bookmarkEnd w:id="0"/>
      <w:r>
        <w:rPr>
          <w:b/>
          <w:sz w:val="44"/>
        </w:rPr>
        <w:t>目</w:t>
      </w:r>
      <w:r>
        <w:rPr>
          <w:b/>
          <w:sz w:val="44"/>
        </w:rPr>
        <w:tab/>
      </w:r>
      <w:r>
        <w:rPr>
          <w:b/>
          <w:sz w:val="44"/>
        </w:rPr>
        <w:t>录</w:t>
      </w:r>
    </w:p>
    <w:p>
      <w:pPr>
        <w:pStyle w:val="7"/>
        <w:rPr>
          <w:b/>
          <w:sz w:val="44"/>
        </w:rPr>
      </w:pPr>
    </w:p>
    <w:p>
      <w:pPr>
        <w:pStyle w:val="7"/>
        <w:rPr>
          <w:b/>
          <w:sz w:val="58"/>
        </w:rPr>
      </w:pPr>
    </w:p>
    <w:sdt>
      <w:sdtPr>
        <w:id w:val="335433719"/>
        <w:docPartObj>
          <w:docPartGallery w:val="Table of Contents"/>
          <w:docPartUnique/>
        </w:docPartObj>
      </w:sdtPr>
      <w:sdtContent>
        <w:p>
          <w:pPr>
            <w:pStyle w:val="10"/>
            <w:tabs>
              <w:tab w:val="left" w:pos="2459"/>
              <w:tab w:val="right" w:leader="dot" w:pos="9386"/>
            </w:tabs>
            <w:spacing w:before="0"/>
          </w:pPr>
          <w:r>
            <w:fldChar w:fldCharType="begin"/>
          </w:r>
          <w:r>
            <w:instrText xml:space="preserve"> HYPERLINK \l "_bookmark0" </w:instrText>
          </w:r>
          <w:r>
            <w:fldChar w:fldCharType="separate"/>
          </w:r>
          <w:r>
            <w:t>第一章</w:t>
          </w:r>
          <w:r>
            <w:tab/>
          </w:r>
          <w:r>
            <w:t>磋商邀请</w:t>
          </w:r>
          <w:r>
            <w:tab/>
          </w:r>
          <w:r>
            <w:t>1</w:t>
          </w:r>
          <w:r>
            <w:fldChar w:fldCharType="end"/>
          </w:r>
        </w:p>
        <w:p>
          <w:pPr>
            <w:pStyle w:val="10"/>
            <w:tabs>
              <w:tab w:val="left" w:pos="2459"/>
              <w:tab w:val="right" w:leader="dot" w:pos="9386"/>
            </w:tabs>
          </w:pPr>
          <w:r>
            <w:fldChar w:fldCharType="begin"/>
          </w:r>
          <w:r>
            <w:instrText xml:space="preserve"> HYPERLINK \l "_bookmark1" </w:instrText>
          </w:r>
          <w:r>
            <w:fldChar w:fldCharType="separate"/>
          </w:r>
          <w:r>
            <w:t>第二章</w:t>
          </w:r>
          <w:r>
            <w:tab/>
          </w:r>
          <w:r>
            <w:t>磋商须知</w:t>
          </w:r>
          <w:r>
            <w:tab/>
          </w:r>
          <w:r>
            <w:t>5</w:t>
          </w:r>
          <w:r>
            <w:fldChar w:fldCharType="end"/>
          </w:r>
        </w:p>
        <w:p>
          <w:pPr>
            <w:pStyle w:val="10"/>
            <w:tabs>
              <w:tab w:val="left" w:pos="2459"/>
              <w:tab w:val="right" w:leader="dot" w:pos="9386"/>
            </w:tabs>
            <w:spacing w:before="473"/>
          </w:pPr>
          <w:r>
            <w:fldChar w:fldCharType="begin"/>
          </w:r>
          <w:r>
            <w:instrText xml:space="preserve"> HYPERLINK \l "_bookmark2" </w:instrText>
          </w:r>
          <w:r>
            <w:fldChar w:fldCharType="separate"/>
          </w:r>
          <w:r>
            <w:t>第三章</w:t>
          </w:r>
          <w:r>
            <w:tab/>
          </w:r>
          <w:r>
            <w:t>供应商资格条件要求</w:t>
          </w:r>
          <w:r>
            <w:tab/>
          </w:r>
          <w:r>
            <w:t>26</w:t>
          </w:r>
          <w:r>
            <w:fldChar w:fldCharType="end"/>
          </w:r>
        </w:p>
        <w:p>
          <w:pPr>
            <w:pStyle w:val="10"/>
            <w:tabs>
              <w:tab w:val="right" w:leader="dot" w:pos="9386"/>
            </w:tabs>
          </w:pPr>
          <w:r>
            <w:fldChar w:fldCharType="begin"/>
          </w:r>
          <w:r>
            <w:instrText xml:space="preserve"> HYPERLINK \l "_bookmark3" </w:instrText>
          </w:r>
          <w:r>
            <w:fldChar w:fldCharType="separate"/>
          </w:r>
          <w:r>
            <w:t>第四章 供应商资格证明材料</w:t>
          </w:r>
          <w:r>
            <w:tab/>
          </w:r>
          <w:r>
            <w:t>28</w:t>
          </w:r>
          <w:r>
            <w:fldChar w:fldCharType="end"/>
          </w:r>
        </w:p>
        <w:p>
          <w:pPr>
            <w:pStyle w:val="10"/>
            <w:tabs>
              <w:tab w:val="right" w:leader="dot" w:pos="9386"/>
            </w:tabs>
            <w:spacing w:before="473"/>
          </w:pPr>
          <w:r>
            <w:fldChar w:fldCharType="begin"/>
          </w:r>
          <w:r>
            <w:instrText xml:space="preserve"> HYPERLINK \l "_bookmark4" </w:instrText>
          </w:r>
          <w:r>
            <w:fldChar w:fldCharType="separate"/>
          </w:r>
          <w:r>
            <w:t>第五章 采购项目技术、服务、政府采购合同内容条款及其他商务要求</w:t>
          </w:r>
          <w:r>
            <w:tab/>
          </w:r>
          <w:r>
            <w:t>30</w:t>
          </w:r>
          <w:r>
            <w:fldChar w:fldCharType="end"/>
          </w:r>
        </w:p>
        <w:p>
          <w:pPr>
            <w:pStyle w:val="10"/>
            <w:tabs>
              <w:tab w:val="left" w:pos="2459"/>
              <w:tab w:val="right" w:leader="dot" w:pos="9386"/>
            </w:tabs>
          </w:pPr>
          <w:r>
            <w:fldChar w:fldCharType="begin"/>
          </w:r>
          <w:r>
            <w:instrText xml:space="preserve"> HYPERLINK \l "_bookmark5" </w:instrText>
          </w:r>
          <w:r>
            <w:fldChar w:fldCharType="separate"/>
          </w:r>
          <w:r>
            <w:t>第六章</w:t>
          </w:r>
          <w:r>
            <w:tab/>
          </w:r>
          <w:r>
            <w:t>响应文件格式</w:t>
          </w:r>
          <w:r>
            <w:tab/>
          </w:r>
          <w:r>
            <w:t>34</w:t>
          </w:r>
          <w:r>
            <w:fldChar w:fldCharType="end"/>
          </w:r>
        </w:p>
        <w:p>
          <w:pPr>
            <w:pStyle w:val="10"/>
            <w:tabs>
              <w:tab w:val="left" w:pos="2459"/>
              <w:tab w:val="right" w:leader="dot" w:pos="9386"/>
            </w:tabs>
            <w:spacing w:before="473"/>
          </w:pPr>
          <w:r>
            <w:fldChar w:fldCharType="begin"/>
          </w:r>
          <w:r>
            <w:instrText xml:space="preserve"> HYPERLINK \l "_bookmark6" </w:instrText>
          </w:r>
          <w:r>
            <w:fldChar w:fldCharType="separate"/>
          </w:r>
          <w:r>
            <w:t>第七章</w:t>
          </w:r>
          <w:r>
            <w:tab/>
          </w:r>
          <w:r>
            <w:t>评审方法</w:t>
          </w:r>
          <w:r>
            <w:tab/>
          </w:r>
          <w:r>
            <w:t>56</w:t>
          </w:r>
          <w:r>
            <w:fldChar w:fldCharType="end"/>
          </w:r>
        </w:p>
        <w:p>
          <w:pPr>
            <w:pStyle w:val="10"/>
            <w:tabs>
              <w:tab w:val="left" w:pos="2459"/>
              <w:tab w:val="right" w:leader="dot" w:pos="9386"/>
            </w:tabs>
          </w:pPr>
          <w:r>
            <w:fldChar w:fldCharType="begin"/>
          </w:r>
          <w:r>
            <w:instrText xml:space="preserve"> HYPERLINK \l "_bookmark7" </w:instrText>
          </w:r>
          <w:r>
            <w:fldChar w:fldCharType="separate"/>
          </w:r>
          <w:r>
            <w:t>第八章</w:t>
          </w:r>
          <w:r>
            <w:tab/>
          </w:r>
          <w:r>
            <w:t>政府采购合同</w:t>
          </w:r>
          <w:r>
            <w:tab/>
          </w:r>
          <w:r>
            <w:t>66</w:t>
          </w:r>
          <w:r>
            <w:fldChar w:fldCharType="end"/>
          </w:r>
        </w:p>
      </w:sdtContent>
    </w:sdt>
    <w:p>
      <w:pPr>
        <w:sectPr>
          <w:headerReference r:id="rId3" w:type="default"/>
          <w:pgSz w:w="11910" w:h="16840"/>
          <w:pgMar w:top="1600" w:right="660" w:bottom="280" w:left="720" w:header="949" w:footer="0" w:gutter="0"/>
          <w:pgBorders>
            <w:top w:val="none" w:sz="0" w:space="0"/>
            <w:left w:val="none" w:sz="0" w:space="0"/>
            <w:bottom w:val="none" w:sz="0" w:space="0"/>
            <w:right w:val="none" w:sz="0" w:space="0"/>
          </w:pgBorders>
          <w:cols w:space="720" w:num="1"/>
        </w:sectPr>
      </w:pPr>
    </w:p>
    <w:p>
      <w:pPr>
        <w:pStyle w:val="3"/>
        <w:tabs>
          <w:tab w:val="left" w:pos="1286"/>
        </w:tabs>
        <w:ind w:right="57"/>
      </w:pPr>
      <w:bookmarkStart w:id="1" w:name="_bookmark0"/>
      <w:bookmarkEnd w:id="1"/>
      <w:bookmarkStart w:id="2" w:name="第一章__磋商邀请"/>
      <w:bookmarkEnd w:id="2"/>
      <w:r>
        <w:t>第一章</w:t>
      </w:r>
      <w:r>
        <w:tab/>
      </w:r>
      <w:r>
        <w:t>磋商邀请</w:t>
      </w:r>
    </w:p>
    <w:p>
      <w:pPr>
        <w:pStyle w:val="7"/>
        <w:spacing w:before="12"/>
        <w:rPr>
          <w:b/>
          <w:sz w:val="34"/>
        </w:rPr>
      </w:pPr>
    </w:p>
    <w:p>
      <w:pPr>
        <w:spacing w:line="364" w:lineRule="auto"/>
        <w:ind w:left="1080" w:right="1137" w:firstLine="480"/>
        <w:rPr>
          <w:sz w:val="24"/>
        </w:rPr>
      </w:pPr>
      <w:r>
        <w:rPr>
          <w:rFonts w:hint="eastAsia"/>
          <w:b/>
          <w:spacing w:val="-4"/>
          <w:sz w:val="24"/>
          <w:u w:val="single"/>
        </w:rPr>
        <w:t>四川仁恒工程建设管理有限公司</w:t>
      </w:r>
      <w:r>
        <w:rPr>
          <w:rFonts w:hint="eastAsia"/>
          <w:b/>
          <w:w w:val="95"/>
          <w:sz w:val="24"/>
          <w:u w:val="single"/>
          <w:lang w:val="en-US" w:eastAsia="zh-CN"/>
        </w:rPr>
        <w:t xml:space="preserve"> </w:t>
      </w:r>
      <w:r>
        <w:rPr>
          <w:spacing w:val="-14"/>
          <w:sz w:val="24"/>
        </w:rPr>
        <w:t>受</w:t>
      </w:r>
      <w:r>
        <w:rPr>
          <w:rFonts w:hint="eastAsia"/>
          <w:spacing w:val="-14"/>
          <w:sz w:val="24"/>
          <w:u w:val="single"/>
          <w:lang w:val="en-US" w:eastAsia="zh-CN"/>
        </w:rPr>
        <w:t xml:space="preserve"> </w:t>
      </w:r>
      <w:r>
        <w:rPr>
          <w:rFonts w:hint="eastAsia"/>
          <w:b/>
          <w:spacing w:val="-4"/>
          <w:sz w:val="24"/>
          <w:u w:val="single"/>
        </w:rPr>
        <w:t>金堂县市场监督管理局</w:t>
      </w:r>
      <w:r>
        <w:rPr>
          <w:rFonts w:hint="eastAsia"/>
          <w:b/>
          <w:spacing w:val="-4"/>
          <w:sz w:val="24"/>
          <w:u w:val="single"/>
          <w:lang w:val="en-US" w:eastAsia="zh-CN"/>
        </w:rPr>
        <w:t xml:space="preserve"> </w:t>
      </w:r>
      <w:r>
        <w:rPr>
          <w:spacing w:val="-2"/>
          <w:sz w:val="24"/>
        </w:rPr>
        <w:t>委托，拟对</w:t>
      </w:r>
      <w:r>
        <w:rPr>
          <w:rFonts w:hint="eastAsia"/>
          <w:b/>
          <w:spacing w:val="-4"/>
          <w:sz w:val="24"/>
          <w:u w:val="single"/>
          <w:lang w:eastAsia="zh-CN"/>
        </w:rPr>
        <w:t>金堂县 2021年工业产品检验检测服务采购项目(第二次）</w:t>
      </w:r>
      <w:r>
        <w:rPr>
          <w:spacing w:val="-17"/>
          <w:sz w:val="24"/>
        </w:rPr>
        <w:t>采用</w:t>
      </w:r>
      <w:r>
        <w:rPr>
          <w:b/>
          <w:spacing w:val="-17"/>
          <w:sz w:val="24"/>
          <w:u w:val="single"/>
        </w:rPr>
        <w:t>竞争性磋商方式</w:t>
      </w:r>
      <w:r>
        <w:rPr>
          <w:spacing w:val="-14"/>
          <w:sz w:val="24"/>
        </w:rPr>
        <w:t>进行采购，特邀请符合本次采购要求的供应商参加本项目的竞争性磋商。</w:t>
      </w:r>
    </w:p>
    <w:p>
      <w:pPr>
        <w:pStyle w:val="6"/>
        <w:spacing w:before="2"/>
      </w:pPr>
      <w:r>
        <w:t>一、采购项目基本情况</w:t>
      </w:r>
    </w:p>
    <w:p>
      <w:pPr>
        <w:spacing w:before="161"/>
        <w:ind w:left="1560"/>
        <w:rPr>
          <w:b/>
          <w:sz w:val="24"/>
        </w:rPr>
      </w:pPr>
      <w:r>
        <w:rPr>
          <w:sz w:val="24"/>
        </w:rPr>
        <w:t>1.项目编号：</w:t>
      </w:r>
      <w:r>
        <w:rPr>
          <w:rFonts w:hint="eastAsia" w:ascii="宋体" w:hAnsi="宋体" w:eastAsia="宋体" w:cs="宋体"/>
          <w:b/>
          <w:bCs/>
          <w:spacing w:val="-3"/>
          <w:sz w:val="24"/>
          <w:szCs w:val="24"/>
          <w:u w:val="single"/>
          <w:lang w:val="zh-CN" w:eastAsia="zh-CN" w:bidi="zh-CN"/>
        </w:rPr>
        <w:t>金堂县政采（2021）B0013号</w:t>
      </w:r>
      <w:r>
        <w:rPr>
          <w:b/>
          <w:sz w:val="24"/>
        </w:rPr>
        <w:t>。</w:t>
      </w:r>
    </w:p>
    <w:p>
      <w:pPr>
        <w:pStyle w:val="6"/>
        <w:numPr>
          <w:ilvl w:val="0"/>
          <w:numId w:val="1"/>
        </w:numPr>
        <w:tabs>
          <w:tab w:val="left" w:pos="1801"/>
        </w:tabs>
        <w:spacing w:before="160" w:line="364" w:lineRule="auto"/>
        <w:ind w:right="1113" w:firstLine="480"/>
        <w:rPr>
          <w:b w:val="0"/>
        </w:rPr>
      </w:pPr>
      <w:r>
        <w:rPr>
          <w:b w:val="0"/>
        </w:rPr>
        <w:t>项目名称：</w:t>
      </w:r>
      <w:r>
        <w:rPr>
          <w:rFonts w:hint="eastAsia"/>
          <w:spacing w:val="-3"/>
          <w:u w:val="single"/>
          <w:lang w:eastAsia="zh-CN"/>
        </w:rPr>
        <w:t>金堂县 2021年工业产品检验检测服务采购项目(第二次）</w:t>
      </w:r>
      <w:r>
        <w:rPr>
          <w:b w:val="0"/>
        </w:rPr>
        <w:t>。</w:t>
      </w:r>
    </w:p>
    <w:p>
      <w:pPr>
        <w:pStyle w:val="16"/>
        <w:numPr>
          <w:ilvl w:val="0"/>
          <w:numId w:val="1"/>
        </w:numPr>
        <w:tabs>
          <w:tab w:val="left" w:pos="1801"/>
        </w:tabs>
        <w:spacing w:before="2"/>
        <w:ind w:left="1801"/>
        <w:rPr>
          <w:sz w:val="24"/>
        </w:rPr>
      </w:pPr>
      <w:r>
        <w:rPr>
          <w:sz w:val="24"/>
        </w:rPr>
        <w:t>采购人：</w:t>
      </w:r>
      <w:r>
        <w:rPr>
          <w:b/>
          <w:sz w:val="24"/>
          <w:u w:val="single"/>
        </w:rPr>
        <w:t>金堂县市场监督管理局</w:t>
      </w:r>
      <w:r>
        <w:rPr>
          <w:sz w:val="24"/>
        </w:rPr>
        <w:t>。</w:t>
      </w:r>
    </w:p>
    <w:p>
      <w:pPr>
        <w:pStyle w:val="16"/>
        <w:numPr>
          <w:ilvl w:val="0"/>
          <w:numId w:val="1"/>
        </w:numPr>
        <w:tabs>
          <w:tab w:val="left" w:pos="1801"/>
        </w:tabs>
        <w:spacing w:before="160" w:line="364" w:lineRule="auto"/>
        <w:ind w:right="2949" w:firstLine="480"/>
        <w:rPr>
          <w:b/>
          <w:sz w:val="24"/>
        </w:rPr>
      </w:pPr>
      <w:r>
        <w:rPr>
          <w:sz w:val="24"/>
        </w:rPr>
        <w:t>采购代理机构：</w:t>
      </w:r>
      <w:r>
        <w:rPr>
          <w:rFonts w:hint="eastAsia"/>
          <w:b/>
          <w:sz w:val="24"/>
          <w:u w:val="single"/>
        </w:rPr>
        <w:t>四川仁恒工程建设管理有限公司</w:t>
      </w:r>
      <w:r>
        <w:rPr>
          <w:spacing w:val="-15"/>
          <w:sz w:val="24"/>
        </w:rPr>
        <w:t>。</w:t>
      </w:r>
    </w:p>
    <w:p>
      <w:pPr>
        <w:pStyle w:val="16"/>
        <w:tabs>
          <w:tab w:val="left" w:pos="1801"/>
        </w:tabs>
        <w:spacing w:before="160" w:line="364" w:lineRule="auto"/>
        <w:ind w:left="0" w:right="2949" w:firstLine="1205" w:firstLineChars="500"/>
        <w:rPr>
          <w:b/>
          <w:sz w:val="24"/>
        </w:rPr>
      </w:pPr>
      <w:r>
        <w:rPr>
          <w:b/>
          <w:sz w:val="24"/>
        </w:rPr>
        <w:t>二、资金情况</w:t>
      </w:r>
    </w:p>
    <w:p>
      <w:pPr>
        <w:spacing w:before="1" w:line="364" w:lineRule="auto"/>
        <w:ind w:left="1080" w:right="1120" w:firstLine="480"/>
        <w:jc w:val="both"/>
        <w:rPr>
          <w:sz w:val="24"/>
        </w:rPr>
      </w:pPr>
      <w:r>
        <w:rPr>
          <w:sz w:val="24"/>
        </w:rPr>
        <w:t>本项目共计一个包。采购内容：</w:t>
      </w:r>
      <w:r>
        <w:rPr>
          <w:rFonts w:hint="eastAsia"/>
          <w:b/>
          <w:spacing w:val="-14"/>
          <w:sz w:val="24"/>
          <w:u w:val="single"/>
          <w:lang w:eastAsia="zh-CN"/>
        </w:rPr>
        <w:t>金堂县 2021年工业产品检验检测服务</w:t>
      </w:r>
      <w:r>
        <w:rPr>
          <w:sz w:val="24"/>
        </w:rPr>
        <w:t>。资金来源及金额：</w:t>
      </w:r>
      <w:r>
        <w:rPr>
          <w:sz w:val="24"/>
          <w:u w:val="single"/>
        </w:rPr>
        <w:t>财政资金</w:t>
      </w:r>
      <w:r>
        <w:rPr>
          <w:sz w:val="24"/>
        </w:rPr>
        <w:t>。预算金额：</w:t>
      </w:r>
      <w:r>
        <w:rPr>
          <w:rFonts w:hint="eastAsia"/>
          <w:sz w:val="24"/>
          <w:u w:val="single"/>
          <w:lang w:val="en-US" w:eastAsia="zh-CN"/>
        </w:rPr>
        <w:t>50</w:t>
      </w:r>
      <w:r>
        <w:rPr>
          <w:spacing w:val="-10"/>
          <w:sz w:val="24"/>
          <w:u w:val="single"/>
        </w:rPr>
        <w:t xml:space="preserve"> 万元人民币</w:t>
      </w:r>
      <w:r>
        <w:rPr>
          <w:sz w:val="24"/>
        </w:rPr>
        <w:t>，最高限价：</w:t>
      </w:r>
      <w:r>
        <w:rPr>
          <w:rFonts w:hint="eastAsia"/>
          <w:sz w:val="24"/>
          <w:u w:val="single"/>
          <w:lang w:val="en-US" w:eastAsia="zh-CN"/>
        </w:rPr>
        <w:t>5</w:t>
      </w:r>
      <w:r>
        <w:rPr>
          <w:sz w:val="24"/>
          <w:u w:val="single"/>
        </w:rPr>
        <w:t>0</w:t>
      </w:r>
      <w:r>
        <w:rPr>
          <w:spacing w:val="-14"/>
          <w:sz w:val="24"/>
          <w:u w:val="single"/>
        </w:rPr>
        <w:t xml:space="preserve"> 万元人民币</w:t>
      </w:r>
      <w:r>
        <w:rPr>
          <w:spacing w:val="-14"/>
          <w:sz w:val="24"/>
        </w:rPr>
        <w:t>。</w:t>
      </w:r>
    </w:p>
    <w:p>
      <w:pPr>
        <w:pStyle w:val="6"/>
        <w:spacing w:before="2" w:line="364" w:lineRule="auto"/>
        <w:ind w:right="1140" w:firstLine="480"/>
      </w:pPr>
      <w:r>
        <w:rPr>
          <w:spacing w:val="1"/>
          <w:w w:val="95"/>
        </w:rPr>
        <w:t xml:space="preserve">供应商的报价不得超过本项目包件预算金额和最高限价，否则视为无效响  </w:t>
      </w:r>
      <w:r>
        <w:rPr>
          <w:spacing w:val="1"/>
        </w:rPr>
        <w:t>应。</w:t>
      </w:r>
    </w:p>
    <w:p>
      <w:pPr>
        <w:pStyle w:val="6"/>
        <w:spacing w:before="1"/>
      </w:pPr>
      <w:r>
        <w:rPr>
          <w:w w:val="95"/>
        </w:rPr>
        <w:t>三、采购项目简介：</w:t>
      </w:r>
    </w:p>
    <w:p>
      <w:pPr>
        <w:pStyle w:val="6"/>
        <w:tabs>
          <w:tab w:val="left" w:pos="4797"/>
        </w:tabs>
        <w:spacing w:before="161" w:line="458" w:lineRule="auto"/>
        <w:ind w:right="1526" w:firstLine="463"/>
        <w:rPr>
          <w:b w:val="0"/>
          <w:w w:val="95"/>
        </w:rPr>
      </w:pPr>
      <w:r>
        <w:rPr>
          <w:spacing w:val="-8"/>
        </w:rPr>
        <w:t>具体要求见磋商文</w:t>
      </w:r>
      <w:r>
        <w:rPr>
          <w:spacing w:val="-5"/>
        </w:rPr>
        <w:t>件</w:t>
      </w:r>
      <w:r>
        <w:rPr>
          <w:spacing w:val="-8"/>
        </w:rPr>
        <w:t>“第五</w:t>
      </w:r>
      <w:r>
        <w:t>章</w:t>
      </w:r>
      <w:r>
        <w:tab/>
      </w:r>
      <w:r>
        <w:t>采购项目技术、服务及其他商务要求</w:t>
      </w:r>
      <w:r>
        <w:rPr>
          <w:spacing w:val="-8"/>
          <w:w w:val="95"/>
        </w:rPr>
        <w:t>”</w:t>
      </w:r>
      <w:r>
        <w:rPr>
          <w:b w:val="0"/>
          <w:w w:val="95"/>
        </w:rPr>
        <w:t>。</w:t>
      </w:r>
    </w:p>
    <w:p>
      <w:pPr>
        <w:pStyle w:val="6"/>
        <w:tabs>
          <w:tab w:val="left" w:pos="4797"/>
        </w:tabs>
        <w:spacing w:before="161" w:line="458" w:lineRule="auto"/>
        <w:ind w:right="1526"/>
      </w:pPr>
      <w:r>
        <w:t>四、供应商邀请方式</w:t>
      </w:r>
    </w:p>
    <w:p>
      <w:pPr>
        <w:spacing w:before="1" w:line="364" w:lineRule="auto"/>
        <w:ind w:left="1080" w:right="1118" w:firstLine="480"/>
        <w:rPr>
          <w:sz w:val="24"/>
        </w:rPr>
      </w:pPr>
      <w:r>
        <w:rPr>
          <w:sz w:val="24"/>
        </w:rPr>
        <w:t>本次竞争性磋商邀请在</w:t>
      </w:r>
      <w:r>
        <w:rPr>
          <w:b/>
          <w:spacing w:val="-8"/>
          <w:sz w:val="24"/>
          <w:u w:val="single"/>
        </w:rPr>
        <w:t>四川政府采购网</w:t>
      </w:r>
      <w:r>
        <w:rPr>
          <w:b/>
          <w:spacing w:val="-3"/>
          <w:sz w:val="24"/>
          <w:u w:val="single"/>
        </w:rPr>
        <w:t>（</w:t>
      </w:r>
      <w:r>
        <w:rPr>
          <w:rFonts w:hint="eastAsia"/>
          <w:b/>
          <w:u w:val="single"/>
        </w:rPr>
        <w:t>http://www.ccgp-sichuan.gov.cn</w:t>
      </w:r>
      <w:r>
        <w:rPr>
          <w:b/>
          <w:spacing w:val="-3"/>
          <w:sz w:val="24"/>
          <w:u w:val="single"/>
        </w:rPr>
        <w:t>）</w:t>
      </w:r>
      <w:r>
        <w:rPr>
          <w:spacing w:val="-2"/>
          <w:sz w:val="24"/>
        </w:rPr>
        <w:t>上以公告形式发</w:t>
      </w:r>
      <w:r>
        <w:rPr>
          <w:sz w:val="24"/>
        </w:rPr>
        <w:t>布。</w:t>
      </w:r>
    </w:p>
    <w:p>
      <w:pPr>
        <w:pStyle w:val="6"/>
        <w:spacing w:before="121"/>
      </w:pPr>
      <w:r>
        <w:t>五、供应商参加本次政府采购活动应具备下列条件</w:t>
      </w:r>
    </w:p>
    <w:p>
      <w:pPr>
        <w:pStyle w:val="7"/>
        <w:spacing w:before="12"/>
        <w:rPr>
          <w:b/>
          <w:sz w:val="21"/>
        </w:rPr>
      </w:pPr>
    </w:p>
    <w:p>
      <w:pPr>
        <w:pStyle w:val="18"/>
        <w:ind w:firstLine="1560" w:firstLineChars="650"/>
        <w:rPr>
          <w:sz w:val="24"/>
        </w:rPr>
      </w:pPr>
      <w:r>
        <w:rPr>
          <w:rFonts w:hint="eastAsia"/>
          <w:sz w:val="24"/>
        </w:rPr>
        <w:t>1、具有独立承担民事责任的能力；</w:t>
      </w:r>
    </w:p>
    <w:p>
      <w:pPr>
        <w:tabs>
          <w:tab w:val="left" w:pos="7665"/>
        </w:tabs>
        <w:spacing w:line="360" w:lineRule="auto"/>
        <w:ind w:firstLine="1560" w:firstLineChars="650"/>
        <w:rPr>
          <w:sz w:val="24"/>
        </w:rPr>
      </w:pPr>
      <w:r>
        <w:rPr>
          <w:rFonts w:hint="eastAsia"/>
          <w:sz w:val="24"/>
        </w:rPr>
        <w:t>2、具有良好的商业信誉和健全的财务会计制度；</w:t>
      </w:r>
    </w:p>
    <w:p>
      <w:pPr>
        <w:tabs>
          <w:tab w:val="left" w:pos="7665"/>
        </w:tabs>
        <w:spacing w:line="360" w:lineRule="auto"/>
        <w:ind w:firstLine="1560" w:firstLineChars="650"/>
        <w:rPr>
          <w:sz w:val="24"/>
        </w:rPr>
      </w:pPr>
      <w:r>
        <w:rPr>
          <w:rFonts w:hint="eastAsia"/>
          <w:sz w:val="24"/>
        </w:rPr>
        <w:t>3、具有履行合同所必须的设备和专业技术能力；</w:t>
      </w:r>
    </w:p>
    <w:p>
      <w:pPr>
        <w:tabs>
          <w:tab w:val="left" w:pos="7665"/>
        </w:tabs>
        <w:spacing w:line="360" w:lineRule="auto"/>
        <w:ind w:firstLine="1560" w:firstLineChars="650"/>
        <w:rPr>
          <w:sz w:val="24"/>
        </w:rPr>
      </w:pPr>
      <w:r>
        <w:rPr>
          <w:rFonts w:hint="eastAsia"/>
          <w:sz w:val="24"/>
        </w:rPr>
        <w:t>4、具有依法缴纳税收和社会保障资金的良好记录；</w:t>
      </w:r>
    </w:p>
    <w:p>
      <w:pPr>
        <w:tabs>
          <w:tab w:val="left" w:pos="7665"/>
        </w:tabs>
        <w:spacing w:line="360" w:lineRule="auto"/>
        <w:ind w:firstLine="1560" w:firstLineChars="650"/>
        <w:rPr>
          <w:sz w:val="24"/>
        </w:rPr>
      </w:pPr>
      <w:r>
        <w:rPr>
          <w:rFonts w:hint="eastAsia"/>
          <w:sz w:val="24"/>
        </w:rPr>
        <w:t>5、参加本次政府采购活动前三年内，在经营活动中没有重大违法记录；</w:t>
      </w:r>
    </w:p>
    <w:p>
      <w:pPr>
        <w:pStyle w:val="18"/>
        <w:ind w:firstLine="1560" w:firstLineChars="650"/>
        <w:rPr>
          <w:sz w:val="24"/>
        </w:rPr>
      </w:pPr>
      <w:r>
        <w:rPr>
          <w:rFonts w:hint="eastAsia"/>
          <w:sz w:val="24"/>
        </w:rPr>
        <w:t>6、法律、行政法规规定的其他条件；</w:t>
      </w:r>
    </w:p>
    <w:p>
      <w:pPr>
        <w:pStyle w:val="18"/>
        <w:ind w:firstLine="1680" w:firstLineChars="700"/>
        <w:rPr>
          <w:rFonts w:hint="eastAsia" w:ascii="宋体" w:hAnsi="宋体" w:cs="宋体"/>
          <w:color w:val="auto"/>
          <w:sz w:val="24"/>
          <w:lang w:val="en-US" w:eastAsia="zh-CN"/>
        </w:rPr>
      </w:pPr>
      <w:r>
        <w:rPr>
          <w:rFonts w:hint="eastAsia"/>
          <w:sz w:val="24"/>
        </w:rPr>
        <w:t>7、根据采购项目提出的特殊条件：</w:t>
      </w:r>
      <w:r>
        <w:rPr>
          <w:rFonts w:hint="eastAsia"/>
          <w:sz w:val="24"/>
          <w:lang w:eastAsia="zh-CN"/>
        </w:rPr>
        <w:t>供应商</w:t>
      </w:r>
      <w:r>
        <w:rPr>
          <w:rFonts w:hint="eastAsia" w:cs="宋体"/>
          <w:color w:val="auto"/>
          <w:sz w:val="24"/>
          <w:lang w:val="en-US" w:eastAsia="zh-CN"/>
        </w:rPr>
        <w:t>应取得国家认可的省级及以上合法机构颁发的《计量认证证书》（CMA），所持证书须在认证有效期内。</w:t>
      </w:r>
    </w:p>
    <w:p>
      <w:pPr>
        <w:pStyle w:val="16"/>
        <w:tabs>
          <w:tab w:val="left" w:pos="1801"/>
        </w:tabs>
        <w:spacing w:before="2" w:line="364" w:lineRule="auto"/>
        <w:ind w:left="1560" w:right="4885" w:firstLine="0"/>
        <w:rPr>
          <w:rFonts w:hint="eastAsia"/>
          <w:sz w:val="24"/>
          <w:highlight w:val="none"/>
          <w:lang w:eastAsia="zh-CN"/>
        </w:rPr>
      </w:pPr>
      <w:r>
        <w:rPr>
          <w:rFonts w:hint="eastAsia"/>
          <w:sz w:val="24"/>
          <w:highlight w:val="none"/>
        </w:rPr>
        <w:t>8、本项目不接受联合体参与采购活动</w:t>
      </w:r>
      <w:r>
        <w:rPr>
          <w:rFonts w:hint="eastAsia"/>
          <w:sz w:val="24"/>
          <w:highlight w:val="none"/>
          <w:lang w:eastAsia="zh-CN"/>
        </w:rPr>
        <w:t>。</w:t>
      </w:r>
    </w:p>
    <w:p>
      <w:pPr>
        <w:pStyle w:val="16"/>
        <w:tabs>
          <w:tab w:val="left" w:pos="1801"/>
        </w:tabs>
        <w:spacing w:before="2" w:line="364" w:lineRule="auto"/>
        <w:ind w:left="0" w:right="4885" w:firstLine="964" w:firstLineChars="400"/>
        <w:rPr>
          <w:b/>
          <w:sz w:val="24"/>
        </w:rPr>
      </w:pPr>
      <w:r>
        <w:rPr>
          <w:b/>
          <w:sz w:val="24"/>
        </w:rPr>
        <w:t>六、禁止参加本次采购活动的供应商</w:t>
      </w:r>
    </w:p>
    <w:p>
      <w:pPr>
        <w:pStyle w:val="16"/>
        <w:numPr>
          <w:ilvl w:val="0"/>
          <w:numId w:val="2"/>
        </w:numPr>
        <w:tabs>
          <w:tab w:val="left" w:pos="1801"/>
        </w:tabs>
        <w:spacing w:before="1" w:line="364" w:lineRule="auto"/>
        <w:ind w:right="1135" w:firstLine="480"/>
        <w:rPr>
          <w:sz w:val="24"/>
        </w:rPr>
      </w:pPr>
      <w:r>
        <w:rPr>
          <w:spacing w:val="-8"/>
          <w:sz w:val="24"/>
        </w:rPr>
        <w:t>根据《关于在政府采购活动中查询及使用信用记录有关问题的通知》</w:t>
      </w:r>
      <w:r>
        <w:rPr>
          <w:sz w:val="24"/>
        </w:rPr>
        <w:t>（</w:t>
      </w:r>
      <w:r>
        <w:rPr>
          <w:spacing w:val="-16"/>
          <w:sz w:val="24"/>
        </w:rPr>
        <w:t>财</w:t>
      </w:r>
      <w:r>
        <w:rPr>
          <w:spacing w:val="-12"/>
          <w:sz w:val="24"/>
        </w:rPr>
        <w:t xml:space="preserve">库〔 </w:t>
      </w:r>
      <w:r>
        <w:rPr>
          <w:sz w:val="24"/>
        </w:rPr>
        <w:t>2016</w:t>
      </w:r>
      <w:r>
        <w:rPr>
          <w:spacing w:val="-52"/>
          <w:sz w:val="24"/>
        </w:rPr>
        <w:t xml:space="preserve"> 〕 </w:t>
      </w:r>
      <w:r>
        <w:rPr>
          <w:sz w:val="24"/>
        </w:rPr>
        <w:t>125</w:t>
      </w:r>
      <w:r>
        <w:rPr>
          <w:spacing w:val="13"/>
          <w:sz w:val="24"/>
        </w:rPr>
        <w:t xml:space="preserve"> 号</w:t>
      </w:r>
      <w:r>
        <w:rPr>
          <w:sz w:val="24"/>
        </w:rPr>
        <w:t>）</w:t>
      </w:r>
      <w:r>
        <w:rPr>
          <w:spacing w:val="11"/>
          <w:sz w:val="24"/>
        </w:rPr>
        <w:t xml:space="preserve"> 的要求， 采购代理机构将通过“ 信用中国” 网站</w:t>
      </w:r>
    </w:p>
    <w:p>
      <w:pPr>
        <w:pStyle w:val="7"/>
        <w:spacing w:before="1" w:line="364" w:lineRule="auto"/>
        <w:ind w:left="1080" w:right="1137"/>
        <w:jc w:val="both"/>
      </w:pPr>
      <w:r>
        <w:fldChar w:fldCharType="begin"/>
      </w:r>
      <w:r>
        <w:instrText xml:space="preserve"> HYPERLINK "http://www.creditchina.gov.cn/" \h </w:instrText>
      </w:r>
      <w:r>
        <w:fldChar w:fldCharType="separate"/>
      </w:r>
      <w:r>
        <w:t>（www.creditchina.gov.cn</w:t>
      </w:r>
      <w:r>
        <w:fldChar w:fldCharType="end"/>
      </w:r>
      <w:r>
        <w:t>）、“中国政府采购网”网站（</w:t>
      </w:r>
      <w:r>
        <w:fldChar w:fldCharType="begin"/>
      </w:r>
      <w:r>
        <w:instrText xml:space="preserve"> HYPERLINK "http://www.ccgp.gov.cn/" \h </w:instrText>
      </w:r>
      <w:r>
        <w:fldChar w:fldCharType="separate"/>
      </w:r>
      <w:r>
        <w:t>www.ccgp.gov.cn</w:t>
      </w:r>
      <w:r>
        <w:fldChar w:fldCharType="end"/>
      </w:r>
      <w:r>
        <w:t>） 等渠道查询供应商在采购公告发布之日前的信用记录并保存信用记录结果网页</w:t>
      </w:r>
      <w:r>
        <w:rPr>
          <w:spacing w:val="-10"/>
        </w:rPr>
        <w:t>截图，拒绝列入失信被执行人名单、重大税收违法案件当事人名单、政府采购严</w:t>
      </w:r>
      <w:r>
        <w:rPr>
          <w:spacing w:val="-4"/>
        </w:rPr>
        <w:t>重违法失信行为记录名单中的供应商报名参加本项目的采购活动</w:t>
      </w:r>
      <w:r>
        <w:t>（</w:t>
      </w:r>
      <w:r>
        <w:rPr>
          <w:spacing w:val="-3"/>
        </w:rPr>
        <w:t>以联合体形式</w:t>
      </w:r>
      <w:r>
        <w:rPr>
          <w:spacing w:val="-8"/>
        </w:rPr>
        <w:t>参加本项目采购活动，联合体成员存在不良信用记录的，视同联合体存在不良信</w:t>
      </w:r>
      <w:r>
        <w:t>用记录）。</w:t>
      </w:r>
    </w:p>
    <w:p>
      <w:pPr>
        <w:pStyle w:val="16"/>
        <w:numPr>
          <w:ilvl w:val="0"/>
          <w:numId w:val="2"/>
        </w:numPr>
        <w:tabs>
          <w:tab w:val="left" w:pos="1801"/>
        </w:tabs>
        <w:spacing w:before="123" w:line="364" w:lineRule="auto"/>
        <w:ind w:right="1015" w:firstLine="480"/>
        <w:rPr>
          <w:sz w:val="24"/>
        </w:rPr>
      </w:pPr>
      <w:r>
        <w:rPr>
          <w:spacing w:val="-7"/>
          <w:sz w:val="24"/>
        </w:rPr>
        <w:t>为采购项目提供整体设计、规范编制或者项目管理、监理、检测等服务的</w:t>
      </w:r>
      <w:r>
        <w:rPr>
          <w:spacing w:val="-18"/>
          <w:sz w:val="24"/>
        </w:rPr>
        <w:t>供应商，不得参加本采购项目。供应商为采购人、采购代理机构在确定采购需求、</w:t>
      </w:r>
      <w:r>
        <w:rPr>
          <w:spacing w:val="-6"/>
          <w:sz w:val="24"/>
        </w:rPr>
        <w:t>编制磋商文件过程中提供咨询论证，其提供的咨询论证意见成为磋商文件中规定</w:t>
      </w:r>
      <w:r>
        <w:rPr>
          <w:spacing w:val="-12"/>
          <w:sz w:val="24"/>
        </w:rPr>
        <w:t>的供应商资格条件、技术服务商务要求、评审因素和标准、政府采购合同等实质性内容条款的，视同为采购项目提供规范编制。</w:t>
      </w:r>
    </w:p>
    <w:p>
      <w:pPr>
        <w:pStyle w:val="6"/>
        <w:spacing w:before="3"/>
      </w:pPr>
      <w:r>
        <w:t>七、磋商文件获取方式、时间、地点：</w:t>
      </w:r>
    </w:p>
    <w:p>
      <w:pPr>
        <w:spacing w:before="161" w:line="364" w:lineRule="auto"/>
        <w:ind w:left="1080" w:right="1118" w:firstLine="480"/>
        <w:jc w:val="both"/>
        <w:rPr>
          <w:sz w:val="24"/>
        </w:rPr>
      </w:pPr>
      <w:r>
        <w:rPr>
          <w:sz w:val="24"/>
        </w:rPr>
        <w:t>磋商文件自</w:t>
      </w:r>
      <w:r>
        <w:rPr>
          <w:spacing w:val="-1"/>
          <w:sz w:val="24"/>
          <w:u w:val="single"/>
        </w:rPr>
        <w:t xml:space="preserve"> </w:t>
      </w:r>
      <w:r>
        <w:rPr>
          <w:sz w:val="24"/>
          <w:u w:val="single"/>
        </w:rPr>
        <w:t>20</w:t>
      </w:r>
      <w:r>
        <w:rPr>
          <w:rFonts w:hint="eastAsia"/>
          <w:sz w:val="24"/>
          <w:u w:val="single"/>
          <w:lang w:val="en-US"/>
        </w:rPr>
        <w:t>2</w:t>
      </w:r>
      <w:r>
        <w:rPr>
          <w:rFonts w:hint="eastAsia"/>
          <w:sz w:val="24"/>
          <w:u w:val="single"/>
          <w:lang w:val="en-US" w:eastAsia="zh-CN"/>
        </w:rPr>
        <w:t>1</w:t>
      </w:r>
      <w:r>
        <w:rPr>
          <w:sz w:val="24"/>
          <w:u w:val="single"/>
        </w:rPr>
        <w:t xml:space="preserve"> </w:t>
      </w:r>
      <w:r>
        <w:rPr>
          <w:spacing w:val="-30"/>
          <w:sz w:val="24"/>
        </w:rPr>
        <w:t>年</w:t>
      </w:r>
      <w:r>
        <w:rPr>
          <w:spacing w:val="-30"/>
          <w:sz w:val="24"/>
          <w:u w:val="single"/>
        </w:rPr>
        <w:t xml:space="preserve"> </w:t>
      </w:r>
      <w:r>
        <w:rPr>
          <w:rFonts w:hint="eastAsia"/>
          <w:sz w:val="24"/>
          <w:u w:val="single"/>
          <w:lang w:val="en-US" w:eastAsia="zh-CN"/>
        </w:rPr>
        <w:t xml:space="preserve"> 5  </w:t>
      </w:r>
      <w:r>
        <w:rPr>
          <w:spacing w:val="-30"/>
          <w:sz w:val="24"/>
          <w:u w:val="single"/>
        </w:rPr>
        <w:t xml:space="preserve"> </w:t>
      </w:r>
      <w:r>
        <w:rPr>
          <w:spacing w:val="-30"/>
          <w:sz w:val="24"/>
        </w:rPr>
        <w:t>月</w:t>
      </w:r>
      <w:r>
        <w:rPr>
          <w:sz w:val="24"/>
          <w:u w:val="single"/>
        </w:rPr>
        <w:t xml:space="preserve"> </w:t>
      </w:r>
      <w:r>
        <w:rPr>
          <w:rFonts w:hint="eastAsia"/>
          <w:sz w:val="24"/>
          <w:u w:val="single"/>
          <w:lang w:val="en-US" w:eastAsia="zh-CN"/>
        </w:rPr>
        <w:t xml:space="preserve"> 10 </w:t>
      </w:r>
      <w:r>
        <w:rPr>
          <w:sz w:val="24"/>
          <w:u w:val="single"/>
        </w:rPr>
        <w:t xml:space="preserve"> </w:t>
      </w:r>
      <w:r>
        <w:rPr>
          <w:sz w:val="24"/>
        </w:rPr>
        <w:t>日至</w:t>
      </w:r>
      <w:r>
        <w:rPr>
          <w:sz w:val="24"/>
          <w:u w:val="single"/>
        </w:rPr>
        <w:t xml:space="preserve"> 20</w:t>
      </w:r>
      <w:r>
        <w:rPr>
          <w:rFonts w:hint="eastAsia"/>
          <w:sz w:val="24"/>
          <w:u w:val="single"/>
          <w:lang w:val="en-US"/>
        </w:rPr>
        <w:t>2</w:t>
      </w:r>
      <w:r>
        <w:rPr>
          <w:rFonts w:hint="eastAsia"/>
          <w:sz w:val="24"/>
          <w:u w:val="single"/>
          <w:lang w:val="en-US" w:eastAsia="zh-CN"/>
        </w:rPr>
        <w:t xml:space="preserve">1 </w:t>
      </w:r>
      <w:r>
        <w:rPr>
          <w:sz w:val="24"/>
        </w:rPr>
        <w:t>年</w:t>
      </w:r>
      <w:r>
        <w:rPr>
          <w:sz w:val="24"/>
          <w:u w:val="single"/>
        </w:rPr>
        <w:t xml:space="preserve"> </w:t>
      </w:r>
      <w:r>
        <w:rPr>
          <w:rFonts w:hint="eastAsia"/>
          <w:sz w:val="24"/>
          <w:u w:val="single"/>
          <w:lang w:val="en-US" w:eastAsia="zh-CN"/>
        </w:rPr>
        <w:t xml:space="preserve">5 </w:t>
      </w:r>
      <w:r>
        <w:rPr>
          <w:sz w:val="24"/>
          <w:u w:val="single"/>
        </w:rPr>
        <w:t xml:space="preserve"> </w:t>
      </w:r>
      <w:r>
        <w:rPr>
          <w:sz w:val="24"/>
        </w:rPr>
        <w:t>月</w:t>
      </w:r>
      <w:r>
        <w:rPr>
          <w:sz w:val="24"/>
          <w:u w:val="single"/>
        </w:rPr>
        <w:t xml:space="preserve"> </w:t>
      </w:r>
      <w:r>
        <w:rPr>
          <w:rFonts w:hint="eastAsia"/>
          <w:sz w:val="24"/>
          <w:u w:val="single"/>
          <w:lang w:val="en-US" w:eastAsia="zh-CN"/>
        </w:rPr>
        <w:t xml:space="preserve">17 </w:t>
      </w:r>
      <w:r>
        <w:rPr>
          <w:spacing w:val="-30"/>
          <w:sz w:val="24"/>
        </w:rPr>
        <w:t xml:space="preserve">日 </w:t>
      </w:r>
      <w:r>
        <w:rPr>
          <w:sz w:val="24"/>
        </w:rPr>
        <w:t>9:</w:t>
      </w:r>
      <w:r>
        <w:rPr>
          <w:rFonts w:hint="eastAsia"/>
          <w:sz w:val="24"/>
          <w:lang w:val="en-US" w:eastAsia="zh-CN"/>
        </w:rPr>
        <w:t>00</w:t>
      </w:r>
      <w:r>
        <w:rPr>
          <w:sz w:val="24"/>
        </w:rPr>
        <w:t>-</w:t>
      </w:r>
      <w:r>
        <w:rPr>
          <w:spacing w:val="-34"/>
          <w:sz w:val="24"/>
        </w:rPr>
        <w:t xml:space="preserve"> </w:t>
      </w:r>
      <w:r>
        <w:rPr>
          <w:sz w:val="24"/>
        </w:rPr>
        <w:t>16:30（北京</w:t>
      </w:r>
      <w:r>
        <w:rPr>
          <w:spacing w:val="-6"/>
          <w:sz w:val="24"/>
        </w:rPr>
        <w:t>时间，法定节假日除外</w:t>
      </w:r>
      <w:r>
        <w:rPr>
          <w:spacing w:val="-36"/>
          <w:sz w:val="24"/>
        </w:rPr>
        <w:t>）</w:t>
      </w:r>
      <w:r>
        <w:rPr>
          <w:sz w:val="24"/>
        </w:rPr>
        <w:t>在</w:t>
      </w:r>
      <w:r>
        <w:rPr>
          <w:rFonts w:hint="eastAsia"/>
          <w:b/>
          <w:spacing w:val="-3"/>
          <w:sz w:val="24"/>
          <w:u w:val="single"/>
        </w:rPr>
        <w:t>四川仁恒工程建设管理有限公司</w:t>
      </w:r>
      <w:r>
        <w:rPr>
          <w:b/>
          <w:sz w:val="24"/>
          <w:u w:val="single"/>
        </w:rPr>
        <w:t>（</w:t>
      </w:r>
      <w:r>
        <w:rPr>
          <w:rFonts w:hint="eastAsia"/>
          <w:b/>
          <w:spacing w:val="-2"/>
          <w:sz w:val="24"/>
          <w:u w:val="single"/>
        </w:rPr>
        <w:t>成都市武侯区九兴大道长益路5号</w:t>
      </w:r>
      <w:r>
        <w:rPr>
          <w:b/>
          <w:sz w:val="24"/>
          <w:u w:val="single"/>
        </w:rPr>
        <w:t>）</w:t>
      </w:r>
      <w:r>
        <w:rPr>
          <w:sz w:val="24"/>
        </w:rPr>
        <w:t>获取。</w:t>
      </w:r>
      <w:r>
        <w:rPr>
          <w:rFonts w:ascii="宋体" w:hAnsi="宋体" w:eastAsia="宋体" w:cs="宋体"/>
          <w:sz w:val="24"/>
          <w:szCs w:val="24"/>
        </w:rPr>
        <w:t>获取</w:t>
      </w:r>
      <w:r>
        <w:rPr>
          <w:rFonts w:hint="eastAsia" w:cs="宋体"/>
          <w:sz w:val="24"/>
          <w:szCs w:val="24"/>
          <w:lang w:eastAsia="zh-CN"/>
        </w:rPr>
        <w:t>磋商</w:t>
      </w:r>
      <w:r>
        <w:rPr>
          <w:rFonts w:ascii="宋体" w:hAnsi="宋体" w:eastAsia="宋体" w:cs="宋体"/>
          <w:sz w:val="24"/>
          <w:szCs w:val="24"/>
        </w:rPr>
        <w:t>文件,也可通过网络（远程）报名、获取</w:t>
      </w:r>
      <w:r>
        <w:rPr>
          <w:rFonts w:hint="eastAsia" w:cs="宋体"/>
          <w:sz w:val="24"/>
          <w:szCs w:val="24"/>
          <w:lang w:eastAsia="zh-CN"/>
        </w:rPr>
        <w:t>磋商</w:t>
      </w:r>
      <w:r>
        <w:rPr>
          <w:rFonts w:ascii="宋体" w:hAnsi="宋体" w:eastAsia="宋体" w:cs="宋体"/>
          <w:sz w:val="24"/>
          <w:szCs w:val="24"/>
        </w:rPr>
        <w:t>文件。</w:t>
      </w:r>
    </w:p>
    <w:p>
      <w:pPr>
        <w:pStyle w:val="7"/>
        <w:spacing w:before="2" w:line="364" w:lineRule="auto"/>
        <w:ind w:left="1080" w:right="1137" w:firstLine="480"/>
        <w:jc w:val="both"/>
      </w:pPr>
      <w:r>
        <w:rPr>
          <w:spacing w:val="-5"/>
        </w:rPr>
        <w:t>本项目磋商文件</w:t>
      </w:r>
      <w:r>
        <w:rPr>
          <w:rFonts w:hint="eastAsia"/>
          <w:spacing w:val="-5"/>
          <w:lang w:eastAsia="zh-CN"/>
        </w:rPr>
        <w:t>免费</w:t>
      </w:r>
      <w:r>
        <w:rPr>
          <w:spacing w:val="-5"/>
        </w:rPr>
        <w:t>获取</w:t>
      </w:r>
      <w:r>
        <w:t>。</w:t>
      </w:r>
    </w:p>
    <w:p>
      <w:pPr>
        <w:numPr>
          <w:ilvl w:val="0"/>
          <w:numId w:val="0"/>
        </w:numPr>
        <w:spacing w:line="360" w:lineRule="auto"/>
        <w:ind w:left="480" w:leftChars="218" w:firstLine="960" w:firstLineChars="400"/>
        <w:rPr>
          <w:rFonts w:hint="eastAsia" w:ascii="宋体" w:hAnsi="宋体" w:cs="宋体"/>
          <w:sz w:val="24"/>
        </w:rPr>
      </w:pPr>
      <w:r>
        <w:rPr>
          <w:rFonts w:hint="eastAsia" w:ascii="宋体" w:hAnsi="宋体" w:cs="宋体"/>
          <w:sz w:val="24"/>
        </w:rPr>
        <w:t>报名需提供的资料：《介绍信》（介绍信内容需标明“项目 名称、项目编号、公司名称、邮箱、经办人及联系电话号码”，并附上经办人身份证复印件）。</w:t>
      </w:r>
    </w:p>
    <w:p>
      <w:pPr>
        <w:numPr>
          <w:ilvl w:val="0"/>
          <w:numId w:val="0"/>
        </w:numPr>
        <w:spacing w:line="360" w:lineRule="auto"/>
        <w:ind w:firstLine="482" w:firstLineChars="200"/>
        <w:rPr>
          <w:rFonts w:hint="eastAsia" w:ascii="宋体" w:hAnsi="宋体" w:cs="宋体"/>
          <w:b/>
          <w:bCs/>
          <w:sz w:val="24"/>
        </w:rPr>
      </w:pPr>
      <w:r>
        <w:rPr>
          <w:rFonts w:hint="eastAsia" w:ascii="宋体" w:hAnsi="宋体" w:cs="宋体"/>
          <w:b/>
          <w:bCs/>
          <w:sz w:val="24"/>
          <w:lang w:eastAsia="zh-CN"/>
        </w:rPr>
        <w:t>注：</w:t>
      </w:r>
      <w:r>
        <w:rPr>
          <w:rFonts w:hint="eastAsia" w:ascii="宋体" w:hAnsi="宋体" w:cs="宋体"/>
          <w:b/>
          <w:bCs/>
          <w:sz w:val="24"/>
          <w:lang w:val="en-US" w:eastAsia="zh-CN"/>
        </w:rPr>
        <w:t>1.</w:t>
      </w:r>
      <w:r>
        <w:rPr>
          <w:rFonts w:hint="eastAsia" w:ascii="宋体" w:hAnsi="宋体" w:cs="宋体"/>
          <w:b/>
          <w:bCs/>
          <w:sz w:val="24"/>
        </w:rPr>
        <w:t>现场报名的</w:t>
      </w:r>
      <w:r>
        <w:rPr>
          <w:rFonts w:hint="eastAsia" w:cs="宋体"/>
          <w:b/>
          <w:bCs/>
          <w:sz w:val="24"/>
          <w:lang w:eastAsia="zh-CN"/>
        </w:rPr>
        <w:t>供应商</w:t>
      </w:r>
      <w:r>
        <w:rPr>
          <w:rFonts w:hint="eastAsia" w:ascii="宋体" w:hAnsi="宋体" w:cs="宋体"/>
          <w:b/>
          <w:bCs/>
          <w:sz w:val="24"/>
        </w:rPr>
        <w:t>，应携带上述资料及身份证原件；</w:t>
      </w:r>
    </w:p>
    <w:p>
      <w:pPr>
        <w:numPr>
          <w:ilvl w:val="0"/>
          <w:numId w:val="0"/>
        </w:numPr>
        <w:spacing w:line="360" w:lineRule="auto"/>
        <w:ind w:left="719" w:leftChars="327" w:firstLine="241" w:firstLineChars="100"/>
        <w:rPr>
          <w:rFonts w:hint="eastAsia" w:ascii="宋体" w:hAnsi="宋体" w:cs="宋体"/>
          <w:b/>
          <w:bCs/>
          <w:sz w:val="24"/>
        </w:rPr>
      </w:pPr>
      <w:r>
        <w:rPr>
          <w:rFonts w:hint="eastAsia" w:ascii="宋体" w:hAnsi="宋体" w:cs="宋体"/>
          <w:b/>
          <w:bCs/>
          <w:sz w:val="24"/>
          <w:lang w:val="en-US" w:eastAsia="zh-CN"/>
        </w:rPr>
        <w:t>2.通过网络（远程）报名的</w:t>
      </w:r>
      <w:r>
        <w:rPr>
          <w:rFonts w:hint="eastAsia" w:cs="宋体"/>
          <w:b/>
          <w:bCs/>
          <w:sz w:val="24"/>
          <w:lang w:eastAsia="zh-CN"/>
        </w:rPr>
        <w:t>供应商</w:t>
      </w:r>
      <w:r>
        <w:rPr>
          <w:rFonts w:hint="eastAsia" w:ascii="宋体" w:hAnsi="宋体" w:cs="宋体"/>
          <w:b/>
          <w:bCs/>
          <w:sz w:val="24"/>
          <w:lang w:val="en-US" w:eastAsia="zh-CN"/>
        </w:rPr>
        <w:t>，请将上述资料扫描后通过邮箱发送252126521@qq.com。</w:t>
      </w:r>
    </w:p>
    <w:p>
      <w:pPr>
        <w:spacing w:before="2"/>
        <w:ind w:left="1080"/>
        <w:jc w:val="both"/>
        <w:rPr>
          <w:sz w:val="24"/>
        </w:rPr>
      </w:pPr>
      <w:r>
        <w:rPr>
          <w:b/>
          <w:sz w:val="24"/>
        </w:rPr>
        <w:t>八、递交响应文件截止时间：</w:t>
      </w:r>
      <w:r>
        <w:rPr>
          <w:b/>
          <w:sz w:val="24"/>
          <w:u w:val="single"/>
        </w:rPr>
        <w:t xml:space="preserve"> </w:t>
      </w:r>
      <w:r>
        <w:rPr>
          <w:sz w:val="24"/>
          <w:u w:val="single"/>
        </w:rPr>
        <w:t>20</w:t>
      </w:r>
      <w:r>
        <w:rPr>
          <w:rFonts w:hint="eastAsia"/>
          <w:sz w:val="24"/>
          <w:u w:val="single"/>
          <w:lang w:val="en-US"/>
        </w:rPr>
        <w:t>2</w:t>
      </w:r>
      <w:r>
        <w:rPr>
          <w:rFonts w:hint="eastAsia"/>
          <w:sz w:val="24"/>
          <w:u w:val="single"/>
          <w:lang w:val="en-US" w:eastAsia="zh-CN"/>
        </w:rPr>
        <w:t>1</w:t>
      </w:r>
      <w:r>
        <w:rPr>
          <w:sz w:val="24"/>
          <w:u w:val="single"/>
        </w:rPr>
        <w:t xml:space="preserve"> </w:t>
      </w:r>
      <w:r>
        <w:rPr>
          <w:sz w:val="24"/>
        </w:rPr>
        <w:t>年</w:t>
      </w:r>
      <w:r>
        <w:rPr>
          <w:sz w:val="24"/>
          <w:u w:val="single"/>
        </w:rPr>
        <w:t xml:space="preserve"> </w:t>
      </w:r>
      <w:r>
        <w:rPr>
          <w:rFonts w:hint="eastAsia"/>
          <w:sz w:val="24"/>
          <w:u w:val="single"/>
          <w:lang w:val="en-US" w:eastAsia="zh-CN"/>
        </w:rPr>
        <w:t xml:space="preserve"> 5 </w:t>
      </w:r>
      <w:r>
        <w:rPr>
          <w:sz w:val="24"/>
          <w:u w:val="single"/>
        </w:rPr>
        <w:t xml:space="preserve"> </w:t>
      </w:r>
      <w:r>
        <w:rPr>
          <w:sz w:val="24"/>
        </w:rPr>
        <w:t>月</w:t>
      </w:r>
      <w:r>
        <w:rPr>
          <w:rFonts w:hint="eastAsia"/>
          <w:sz w:val="24"/>
          <w:u w:val="single"/>
          <w:lang w:val="en-US" w:eastAsia="zh-CN"/>
        </w:rPr>
        <w:t xml:space="preserve">  20</w:t>
      </w:r>
      <w:r>
        <w:rPr>
          <w:sz w:val="24"/>
          <w:u w:val="single"/>
        </w:rPr>
        <w:t xml:space="preserve"> </w:t>
      </w:r>
      <w:r>
        <w:rPr>
          <w:sz w:val="24"/>
        </w:rPr>
        <w:t xml:space="preserve">日 </w:t>
      </w:r>
      <w:r>
        <w:rPr>
          <w:rFonts w:hint="eastAsia"/>
          <w:sz w:val="24"/>
          <w:lang w:val="en-US" w:eastAsia="zh-CN"/>
        </w:rPr>
        <w:t>10</w:t>
      </w:r>
      <w:r>
        <w:rPr>
          <w:sz w:val="24"/>
        </w:rPr>
        <w:t>:</w:t>
      </w:r>
      <w:r>
        <w:rPr>
          <w:rFonts w:hint="eastAsia"/>
          <w:sz w:val="24"/>
          <w:lang w:val="en-US"/>
        </w:rPr>
        <w:t>0</w:t>
      </w:r>
      <w:r>
        <w:rPr>
          <w:sz w:val="24"/>
        </w:rPr>
        <w:t>0（北京时间）。</w:t>
      </w:r>
    </w:p>
    <w:p>
      <w:pPr>
        <w:pStyle w:val="7"/>
        <w:spacing w:before="11"/>
        <w:rPr>
          <w:sz w:val="21"/>
        </w:rPr>
      </w:pPr>
    </w:p>
    <w:p>
      <w:pPr>
        <w:pStyle w:val="7"/>
        <w:spacing w:line="364" w:lineRule="auto"/>
        <w:ind w:left="1080" w:right="1009"/>
      </w:pPr>
      <w:r>
        <w:rPr>
          <w:b/>
          <w:spacing w:val="-23"/>
        </w:rPr>
        <w:t>九、递交响应文件地点：</w:t>
      </w:r>
      <w:r>
        <w:rPr>
          <w:spacing w:val="-1"/>
        </w:rPr>
        <w:t>响应文件必须在递交响应文件截止时间前送达磋商地点。</w:t>
      </w:r>
      <w:r>
        <w:rPr>
          <w:spacing w:val="-9"/>
        </w:rPr>
        <w:t>逾期送达、密封和标注错误的响应文件，采购代理机构恕不接收。本次采购不接收邮寄的响应文件。</w:t>
      </w:r>
    </w:p>
    <w:p>
      <w:pPr>
        <w:spacing w:before="122" w:line="364" w:lineRule="auto"/>
        <w:ind w:left="1080" w:right="1125"/>
        <w:rPr>
          <w:sz w:val="24"/>
        </w:rPr>
      </w:pPr>
      <w:r>
        <w:rPr>
          <w:b/>
          <w:sz w:val="24"/>
        </w:rPr>
        <w:t>十、响应文件开启时间：</w:t>
      </w:r>
      <w:r>
        <w:rPr>
          <w:b/>
          <w:sz w:val="24"/>
          <w:u w:val="single"/>
        </w:rPr>
        <w:t xml:space="preserve"> </w:t>
      </w:r>
      <w:r>
        <w:rPr>
          <w:sz w:val="24"/>
          <w:u w:val="single"/>
        </w:rPr>
        <w:t>20</w:t>
      </w:r>
      <w:r>
        <w:rPr>
          <w:rFonts w:hint="eastAsia"/>
          <w:sz w:val="24"/>
          <w:u w:val="single"/>
          <w:lang w:val="en-US"/>
        </w:rPr>
        <w:t>2</w:t>
      </w:r>
      <w:r>
        <w:rPr>
          <w:rFonts w:hint="eastAsia"/>
          <w:sz w:val="24"/>
          <w:u w:val="single"/>
          <w:lang w:val="en-US" w:eastAsia="zh-CN"/>
        </w:rPr>
        <w:t>1</w:t>
      </w:r>
      <w:r>
        <w:rPr>
          <w:sz w:val="24"/>
          <w:u w:val="single"/>
        </w:rPr>
        <w:t xml:space="preserve"> </w:t>
      </w:r>
      <w:r>
        <w:rPr>
          <w:sz w:val="24"/>
        </w:rPr>
        <w:t>年</w:t>
      </w:r>
      <w:r>
        <w:rPr>
          <w:sz w:val="24"/>
          <w:u w:val="single"/>
        </w:rPr>
        <w:t xml:space="preserve"> </w:t>
      </w:r>
      <w:r>
        <w:rPr>
          <w:rFonts w:hint="eastAsia"/>
          <w:sz w:val="24"/>
          <w:u w:val="single"/>
          <w:lang w:val="en-US" w:eastAsia="zh-CN"/>
        </w:rPr>
        <w:t xml:space="preserve"> 5 </w:t>
      </w:r>
      <w:r>
        <w:rPr>
          <w:sz w:val="24"/>
          <w:u w:val="single"/>
        </w:rPr>
        <w:t xml:space="preserve"> </w:t>
      </w:r>
      <w:r>
        <w:rPr>
          <w:sz w:val="24"/>
        </w:rPr>
        <w:t>月</w:t>
      </w:r>
      <w:r>
        <w:rPr>
          <w:sz w:val="24"/>
          <w:u w:val="single"/>
        </w:rPr>
        <w:t xml:space="preserve"> </w:t>
      </w:r>
      <w:r>
        <w:rPr>
          <w:rFonts w:hint="eastAsia"/>
          <w:sz w:val="24"/>
          <w:u w:val="single"/>
          <w:lang w:val="en-US" w:eastAsia="zh-CN"/>
        </w:rPr>
        <w:t xml:space="preserve"> 20</w:t>
      </w:r>
      <w:bookmarkStart w:id="107" w:name="_GoBack"/>
      <w:bookmarkEnd w:id="107"/>
      <w:r>
        <w:rPr>
          <w:sz w:val="24"/>
          <w:u w:val="single"/>
        </w:rPr>
        <w:t xml:space="preserve"> </w:t>
      </w:r>
      <w:r>
        <w:rPr>
          <w:sz w:val="24"/>
        </w:rPr>
        <w:t xml:space="preserve">日 </w:t>
      </w:r>
      <w:r>
        <w:rPr>
          <w:rFonts w:hint="eastAsia"/>
          <w:sz w:val="24"/>
          <w:lang w:val="en-US" w:eastAsia="zh-CN"/>
        </w:rPr>
        <w:t>10</w:t>
      </w:r>
      <w:r>
        <w:rPr>
          <w:sz w:val="24"/>
        </w:rPr>
        <w:t>:</w:t>
      </w:r>
      <w:r>
        <w:rPr>
          <w:rFonts w:hint="eastAsia"/>
          <w:sz w:val="24"/>
          <w:lang w:val="en-US"/>
        </w:rPr>
        <w:t>0</w:t>
      </w:r>
      <w:r>
        <w:rPr>
          <w:sz w:val="24"/>
        </w:rPr>
        <w:t>0（北京时间）在磋商地点开启。</w:t>
      </w:r>
    </w:p>
    <w:p>
      <w:pPr>
        <w:pStyle w:val="6"/>
        <w:spacing w:before="121" w:line="364" w:lineRule="auto"/>
        <w:ind w:right="1108"/>
        <w:rPr>
          <w:b w:val="0"/>
        </w:rPr>
      </w:pPr>
      <w:r>
        <w:rPr>
          <w:spacing w:val="3"/>
          <w:w w:val="95"/>
        </w:rPr>
        <w:t>十一、</w:t>
      </w:r>
      <w:r>
        <w:rPr>
          <w:rFonts w:ascii="宋体" w:hAnsi="宋体" w:eastAsia="宋体" w:cs="宋体"/>
          <w:b/>
          <w:bCs w:val="0"/>
          <w:sz w:val="24"/>
          <w:szCs w:val="22"/>
          <w:lang w:val="zh-CN" w:eastAsia="zh-CN" w:bidi="zh-CN"/>
        </w:rPr>
        <w:t>磋商地点</w:t>
      </w:r>
      <w:r>
        <w:rPr>
          <w:spacing w:val="3"/>
          <w:w w:val="95"/>
        </w:rPr>
        <w:t>：</w:t>
      </w:r>
      <w:r>
        <w:rPr>
          <w:rFonts w:hint="eastAsia" w:ascii="宋体" w:hAnsi="宋体" w:eastAsia="宋体" w:cs="宋体"/>
          <w:b/>
          <w:bCs w:val="0"/>
          <w:spacing w:val="-3"/>
          <w:sz w:val="24"/>
          <w:szCs w:val="22"/>
          <w:u w:val="single"/>
          <w:lang w:val="zh-CN" w:eastAsia="zh-CN" w:bidi="zh-CN"/>
        </w:rPr>
        <w:t>四川仁恒工程建设管理有限公司（成都市武侯区九兴大道长益路5号杰座310）</w:t>
      </w:r>
      <w:r>
        <w:rPr>
          <w:b w:val="0"/>
        </w:rPr>
        <w:t>。</w:t>
      </w:r>
    </w:p>
    <w:p>
      <w:pPr>
        <w:keepNext w:val="0"/>
        <w:keepLines w:val="0"/>
        <w:widowControl/>
        <w:suppressLineNumbers w:val="0"/>
        <w:ind w:firstLine="1205" w:firstLineChars="500"/>
        <w:jc w:val="left"/>
      </w:pPr>
      <w:r>
        <w:rPr>
          <w:rFonts w:hint="eastAsia" w:ascii="宋体" w:hAnsi="宋体" w:eastAsia="宋体" w:cs="宋体"/>
          <w:b/>
          <w:color w:val="000000"/>
          <w:kern w:val="0"/>
          <w:sz w:val="24"/>
          <w:szCs w:val="24"/>
          <w:lang w:val="en-US" w:eastAsia="zh-CN" w:bidi="ar"/>
        </w:rPr>
        <w:t xml:space="preserve">十二、供应商信用融资： </w:t>
      </w:r>
    </w:p>
    <w:p>
      <w:pPr>
        <w:keepNext w:val="0"/>
        <w:keepLines w:val="0"/>
        <w:widowControl/>
        <w:suppressLineNumbers w:val="0"/>
        <w:ind w:left="1100" w:leftChars="0" w:firstLine="480" w:firstLineChars="200"/>
        <w:jc w:val="left"/>
      </w:pPr>
      <w:r>
        <w:rPr>
          <w:rFonts w:hint="eastAsia" w:ascii="宋体" w:hAnsi="宋体" w:eastAsia="宋体" w:cs="宋体"/>
          <w:color w:val="000000"/>
          <w:kern w:val="0"/>
          <w:sz w:val="24"/>
          <w:szCs w:val="24"/>
          <w:lang w:val="en-US" w:eastAsia="zh-CN" w:bidi="ar"/>
        </w:rPr>
        <w:t xml:space="preserve">1、根据《四川省财政厅关于推进四川省政府采购供应商信用融资工作的通知》（川 财采[2018]123 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 “川财采[2018]123 号”）。 </w:t>
      </w:r>
    </w:p>
    <w:p>
      <w:pPr>
        <w:keepNext w:val="0"/>
        <w:keepLines w:val="0"/>
        <w:widowControl/>
        <w:suppressLineNumbers w:val="0"/>
        <w:ind w:left="1150" w:leftChars="0"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具体内容详见 “成财采2019]17 号”）。</w:t>
      </w:r>
    </w:p>
    <w:p>
      <w:pPr>
        <w:pStyle w:val="7"/>
      </w:pPr>
    </w:p>
    <w:p>
      <w:pPr>
        <w:pStyle w:val="6"/>
        <w:spacing w:before="1"/>
      </w:pPr>
      <w:r>
        <w:t>十</w:t>
      </w:r>
      <w:r>
        <w:rPr>
          <w:rFonts w:hint="eastAsia"/>
          <w:lang w:val="en-US" w:eastAsia="zh-CN"/>
        </w:rPr>
        <w:t>三</w:t>
      </w:r>
      <w:r>
        <w:t>、联系方式</w:t>
      </w:r>
    </w:p>
    <w:p/>
    <w:p>
      <w:pPr>
        <w:pStyle w:val="18"/>
        <w:ind w:firstLine="1436" w:firstLineChars="596"/>
        <w:rPr>
          <w:b/>
          <w:sz w:val="24"/>
        </w:rPr>
      </w:pPr>
      <w:r>
        <w:rPr>
          <w:rFonts w:hint="eastAsia"/>
          <w:b/>
          <w:sz w:val="24"/>
        </w:rPr>
        <w:t>采 购 人：金堂县市场监督管理局</w:t>
      </w:r>
    </w:p>
    <w:p>
      <w:pPr>
        <w:pStyle w:val="18"/>
        <w:ind w:firstLine="1430" w:firstLineChars="596"/>
        <w:rPr>
          <w:bCs/>
          <w:sz w:val="24"/>
        </w:rPr>
      </w:pPr>
      <w:r>
        <w:rPr>
          <w:rFonts w:hint="eastAsia"/>
          <w:bCs/>
          <w:sz w:val="24"/>
        </w:rPr>
        <w:t>地    址：四川省成都市金堂县赵镇沙河街54号</w:t>
      </w:r>
    </w:p>
    <w:p>
      <w:pPr>
        <w:pStyle w:val="18"/>
        <w:ind w:firstLine="1430" w:firstLineChars="596"/>
        <w:rPr>
          <w:rFonts w:hint="default" w:eastAsia="宋体"/>
          <w:sz w:val="24"/>
          <w:lang w:val="en-US" w:eastAsia="zh-CN"/>
        </w:rPr>
      </w:pPr>
      <w:r>
        <w:rPr>
          <w:rFonts w:hint="eastAsia"/>
          <w:sz w:val="24"/>
        </w:rPr>
        <w:t>联 系 人：</w:t>
      </w:r>
      <w:r>
        <w:rPr>
          <w:rFonts w:hint="eastAsia"/>
          <w:sz w:val="24"/>
          <w:lang w:eastAsia="zh-CN"/>
        </w:rPr>
        <w:t>曾女士</w:t>
      </w:r>
      <w:r>
        <w:rPr>
          <w:rFonts w:hint="eastAsia"/>
          <w:sz w:val="24"/>
          <w:lang w:val="en-US" w:eastAsia="zh-CN"/>
        </w:rPr>
        <w:t xml:space="preserve">  </w:t>
      </w:r>
    </w:p>
    <w:p>
      <w:pPr>
        <w:pStyle w:val="18"/>
        <w:ind w:firstLine="1430" w:firstLineChars="596"/>
        <w:rPr>
          <w:sz w:val="24"/>
        </w:rPr>
      </w:pPr>
      <w:r>
        <w:rPr>
          <w:rFonts w:hint="eastAsia"/>
          <w:sz w:val="24"/>
        </w:rPr>
        <w:t>联系电话：</w:t>
      </w:r>
      <w:r>
        <w:rPr>
          <w:rFonts w:hint="eastAsia" w:ascii="宋体" w:hAnsi="宋体" w:cs="宋体"/>
          <w:color w:val="auto"/>
          <w:sz w:val="24"/>
        </w:rPr>
        <w:t>028-84991818</w:t>
      </w:r>
      <w:r>
        <w:rPr>
          <w:rFonts w:hint="eastAsia"/>
          <w:sz w:val="24"/>
        </w:rPr>
        <w:t xml:space="preserve">                                                                                                                                                                                                                                                                                                                                                                                                                                                                                                                                                                                                                                                                                                                                                                                                                                                                                                                                                                                                                                                                                                                                                                                                                                                                                                                                                                                                                                                                                                                                                                                                                                                                                                                                                                                                                                                                                                                                                                                                                                                                                                                                                                                                                                                                                                                                                                                                                                                                                                                                                                                                                                                                                                                                                                                                                                </w:t>
      </w:r>
    </w:p>
    <w:p>
      <w:pPr>
        <w:pStyle w:val="18"/>
        <w:ind w:firstLine="1376" w:firstLineChars="571"/>
        <w:rPr>
          <w:b/>
          <w:sz w:val="24"/>
        </w:rPr>
      </w:pPr>
      <w:r>
        <w:rPr>
          <w:rFonts w:hint="eastAsia"/>
          <w:b/>
          <w:sz w:val="24"/>
        </w:rPr>
        <w:t>采购代理机构：四川仁恒工程建设管理有限公司</w:t>
      </w:r>
    </w:p>
    <w:p>
      <w:pPr>
        <w:pStyle w:val="18"/>
        <w:ind w:firstLine="1370" w:firstLineChars="571"/>
        <w:rPr>
          <w:sz w:val="24"/>
        </w:rPr>
      </w:pPr>
      <w:r>
        <w:rPr>
          <w:rFonts w:hint="eastAsia"/>
          <w:sz w:val="24"/>
        </w:rPr>
        <w:t>地    址：成都市武侯区九兴大道长益路5号杰座310</w:t>
      </w:r>
    </w:p>
    <w:p>
      <w:pPr>
        <w:pStyle w:val="18"/>
        <w:ind w:firstLine="1370" w:firstLineChars="571"/>
        <w:rPr>
          <w:sz w:val="24"/>
        </w:rPr>
      </w:pPr>
      <w:r>
        <w:rPr>
          <w:rFonts w:hint="eastAsia"/>
          <w:sz w:val="24"/>
        </w:rPr>
        <w:t>邮    编：610000</w:t>
      </w:r>
    </w:p>
    <w:p>
      <w:pPr>
        <w:pStyle w:val="18"/>
        <w:ind w:firstLine="1370" w:firstLineChars="571"/>
        <w:rPr>
          <w:sz w:val="24"/>
        </w:rPr>
      </w:pPr>
      <w:r>
        <w:rPr>
          <w:rFonts w:hint="eastAsia"/>
          <w:sz w:val="24"/>
        </w:rPr>
        <w:t>联 系 人：</w:t>
      </w:r>
      <w:r>
        <w:rPr>
          <w:rFonts w:hint="eastAsia"/>
          <w:sz w:val="24"/>
          <w:lang w:val="en-US" w:eastAsia="zh-CN"/>
        </w:rPr>
        <w:t>张</w:t>
      </w:r>
      <w:r>
        <w:rPr>
          <w:rFonts w:hint="eastAsia"/>
          <w:sz w:val="24"/>
          <w:lang w:val="en-US"/>
        </w:rPr>
        <w:t>先生</w:t>
      </w:r>
    </w:p>
    <w:p>
      <w:pPr>
        <w:pStyle w:val="18"/>
        <w:ind w:firstLine="1370" w:firstLineChars="571"/>
        <w:rPr>
          <w:rFonts w:hint="eastAsia" w:eastAsia="宋体"/>
          <w:sz w:val="24"/>
          <w:lang w:eastAsia="zh-CN"/>
        </w:rPr>
      </w:pPr>
      <w:r>
        <w:rPr>
          <w:rFonts w:hint="eastAsia"/>
          <w:sz w:val="24"/>
        </w:rPr>
        <w:t>联系电话：028-</w:t>
      </w:r>
      <w:r>
        <w:rPr>
          <w:rFonts w:hint="eastAsia"/>
          <w:sz w:val="24"/>
          <w:lang w:eastAsia="zh-CN"/>
        </w:rPr>
        <w:t>63922793</w:t>
      </w:r>
    </w:p>
    <w:p>
      <w:pPr>
        <w:pStyle w:val="18"/>
        <w:ind w:firstLine="1370" w:firstLineChars="571"/>
        <w:rPr>
          <w:rFonts w:hint="eastAsia" w:eastAsia="宋体"/>
          <w:sz w:val="24"/>
          <w:lang w:eastAsia="zh-CN"/>
        </w:rPr>
      </w:pPr>
      <w:r>
        <w:rPr>
          <w:rFonts w:hint="eastAsia"/>
          <w:sz w:val="24"/>
        </w:rPr>
        <w:t>传    真：028-</w:t>
      </w:r>
      <w:r>
        <w:rPr>
          <w:rFonts w:hint="eastAsia"/>
          <w:sz w:val="24"/>
          <w:lang w:eastAsia="zh-CN"/>
        </w:rPr>
        <w:t>63922793</w:t>
      </w:r>
    </w:p>
    <w:p>
      <w:pPr>
        <w:pStyle w:val="7"/>
        <w:tabs>
          <w:tab w:val="left" w:pos="2279"/>
        </w:tabs>
        <w:spacing w:before="160"/>
        <w:ind w:left="1560"/>
      </w:pPr>
    </w:p>
    <w:p>
      <w:pPr>
        <w:sectPr>
          <w:footerReference r:id="rId4" w:type="default"/>
          <w:pgSz w:w="11910" w:h="16840"/>
          <w:pgMar w:top="1600" w:right="567" w:bottom="1160" w:left="567" w:header="949" w:footer="975" w:gutter="0"/>
          <w:pgBorders>
            <w:top w:val="none" w:sz="0" w:space="0"/>
            <w:left w:val="none" w:sz="0" w:space="0"/>
            <w:bottom w:val="none" w:sz="0" w:space="0"/>
            <w:right w:val="none" w:sz="0" w:space="0"/>
          </w:pgBorders>
          <w:cols w:space="720" w:num="1"/>
        </w:sectPr>
      </w:pPr>
    </w:p>
    <w:p>
      <w:pPr>
        <w:pStyle w:val="3"/>
        <w:tabs>
          <w:tab w:val="left" w:pos="1283"/>
        </w:tabs>
        <w:ind w:right="60"/>
      </w:pPr>
      <w:r>
        <w:t>第二章</w:t>
      </w:r>
      <w:r>
        <w:tab/>
      </w:r>
      <w:bookmarkStart w:id="3" w:name="第二章_磋商须知"/>
      <w:bookmarkEnd w:id="3"/>
      <w:bookmarkStart w:id="4" w:name="_bookmark1"/>
      <w:bookmarkEnd w:id="4"/>
      <w:r>
        <w:rPr>
          <w:w w:val="95"/>
        </w:rPr>
        <w:t>磋商须知</w:t>
      </w:r>
    </w:p>
    <w:p>
      <w:pPr>
        <w:pStyle w:val="7"/>
        <w:spacing w:before="12"/>
        <w:rPr>
          <w:b/>
          <w:sz w:val="38"/>
        </w:rPr>
      </w:pPr>
    </w:p>
    <w:p>
      <w:pPr>
        <w:pStyle w:val="5"/>
        <w:numPr>
          <w:ilvl w:val="0"/>
          <w:numId w:val="3"/>
        </w:numPr>
        <w:spacing w:line="240" w:lineRule="auto"/>
        <w:ind w:left="2662" w:right="2721"/>
        <w:jc w:val="center"/>
        <w:rPr>
          <w:spacing w:val="-1"/>
          <w:w w:val="95"/>
        </w:rPr>
      </w:pPr>
      <w:bookmarkStart w:id="5" w:name="一、供应商须知附表"/>
      <w:bookmarkEnd w:id="5"/>
      <w:r>
        <w:rPr>
          <w:spacing w:val="-1"/>
          <w:w w:val="95"/>
        </w:rPr>
        <w:t>供应商须知附表</w:t>
      </w:r>
    </w:p>
    <w:p>
      <w:pPr>
        <w:widowControl w:val="0"/>
        <w:numPr>
          <w:ilvl w:val="0"/>
          <w:numId w:val="0"/>
        </w:numPr>
        <w:autoSpaceDE w:val="0"/>
        <w:autoSpaceDN w:val="0"/>
      </w:pPr>
    </w:p>
    <w:tbl>
      <w:tblPr>
        <w:tblStyle w:val="13"/>
        <w:tblW w:w="9894" w:type="dxa"/>
        <w:tblInd w:w="8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967"/>
        <w:gridCol w:w="6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jc w:val="center"/>
              <w:rPr>
                <w:vertAlign w:val="baseline"/>
              </w:rPr>
            </w:pPr>
            <w:r>
              <w:t>序号</w:t>
            </w:r>
          </w:p>
        </w:tc>
        <w:tc>
          <w:tcPr>
            <w:tcW w:w="1967" w:type="dxa"/>
            <w:vAlign w:val="top"/>
          </w:tcPr>
          <w:p>
            <w:pPr>
              <w:jc w:val="center"/>
              <w:rPr>
                <w:vertAlign w:val="baseline"/>
              </w:rPr>
            </w:pPr>
            <w:r>
              <w:t>条款名称</w:t>
            </w:r>
          </w:p>
        </w:tc>
        <w:tc>
          <w:tcPr>
            <w:tcW w:w="6977" w:type="dxa"/>
            <w:vAlign w:val="top"/>
          </w:tcPr>
          <w:p>
            <w:pPr>
              <w:jc w:val="center"/>
              <w:rPr>
                <w:vertAlign w:val="baseline"/>
              </w:rPr>
            </w:pPr>
            <w: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jc w:val="center"/>
              <w:rPr>
                <w:vertAlign w:val="baseline"/>
              </w:rPr>
            </w:pPr>
            <w:r>
              <w:t>1</w:t>
            </w:r>
          </w:p>
        </w:tc>
        <w:tc>
          <w:tcPr>
            <w:tcW w:w="1967" w:type="dxa"/>
            <w:vAlign w:val="center"/>
          </w:tcPr>
          <w:p>
            <w:pPr>
              <w:jc w:val="both"/>
            </w:pPr>
            <w:r>
              <w:t>采购预算价</w:t>
            </w:r>
          </w:p>
          <w:p>
            <w:pPr>
              <w:jc w:val="both"/>
            </w:pPr>
            <w:r>
              <w:t>和最高限价</w:t>
            </w:r>
          </w:p>
          <w:p>
            <w:pPr>
              <w:jc w:val="both"/>
              <w:rPr>
                <w:vertAlign w:val="baseline"/>
              </w:rPr>
            </w:pPr>
            <w:r>
              <w:t>（实质性要求）</w:t>
            </w:r>
          </w:p>
        </w:tc>
        <w:tc>
          <w:tcPr>
            <w:tcW w:w="6977" w:type="dxa"/>
            <w:vAlign w:val="center"/>
          </w:tcPr>
          <w:p>
            <w:pPr>
              <w:jc w:val="both"/>
            </w:pPr>
            <w:r>
              <w:t>采购预算价：</w:t>
            </w:r>
            <w:r>
              <w:rPr>
                <w:rFonts w:hint="eastAsia"/>
                <w:lang w:val="en-US" w:eastAsia="zh-CN"/>
              </w:rPr>
              <w:t>50</w:t>
            </w:r>
            <w:r>
              <w:t xml:space="preserve"> 万元人民币，最高限价：</w:t>
            </w:r>
            <w:r>
              <w:rPr>
                <w:rFonts w:hint="eastAsia"/>
                <w:lang w:val="en-US" w:eastAsia="zh-CN"/>
              </w:rPr>
              <w:t>50</w:t>
            </w:r>
            <w:r>
              <w:t>万元人民币。供应商应</w:t>
            </w:r>
          </w:p>
          <w:p>
            <w:pPr>
              <w:jc w:val="both"/>
            </w:pPr>
            <w:r>
              <w:t>在填报投标报价之前，已经仔细阅读了本竞争性磋商文件的所有有</w:t>
            </w:r>
          </w:p>
          <w:p>
            <w:pPr>
              <w:jc w:val="both"/>
            </w:pPr>
            <w:r>
              <w:t>关章节以及审查了所有相关资料，已确保本次政府采购项目的所有</w:t>
            </w:r>
          </w:p>
          <w:p>
            <w:pPr>
              <w:jc w:val="both"/>
            </w:pPr>
            <w:r>
              <w:t>采购服务范围内的各种价格风险均已包含在投标报价内。</w:t>
            </w:r>
          </w:p>
          <w:p>
            <w:pPr>
              <w:jc w:val="both"/>
              <w:rPr>
                <w:vertAlign w:val="baseline"/>
              </w:rPr>
            </w:pPr>
            <w:r>
              <w:t>超过采购预算价和最高限价的报价为无效响应。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vertAlign w:val="baseline"/>
              </w:rPr>
            </w:pPr>
            <w:r>
              <w:t>2</w:t>
            </w:r>
          </w:p>
        </w:tc>
        <w:tc>
          <w:tcPr>
            <w:tcW w:w="1967" w:type="dxa"/>
            <w:vAlign w:val="top"/>
          </w:tcPr>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r>
              <w:t>低于成本价不正当竞争预防措施</w:t>
            </w:r>
          </w:p>
          <w:p>
            <w:pPr>
              <w:jc w:val="both"/>
              <w:rPr>
                <w:vertAlign w:val="baseline"/>
              </w:rPr>
            </w:pPr>
            <w:r>
              <w:t>（实质性要求）</w:t>
            </w:r>
          </w:p>
        </w:tc>
        <w:tc>
          <w:tcPr>
            <w:tcW w:w="6977" w:type="dxa"/>
            <w:vAlign w:val="top"/>
          </w:tcPr>
          <w:p>
            <w:pPr>
              <w:jc w:val="both"/>
            </w:pPr>
            <w:r>
              <w:t>在评审过程中，磋商小组认为供应商的报价明显低于其他通过符合性审查供应商的报价，有可能影响产品质量或者不能诚信履约的， 磋商小组应当要求其在评审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jc w:val="both"/>
            </w:pPr>
            <w:r>
              <w:t>供应商书面说明应当签字确认或者加盖公章，否则无效。书面说明的签字确认，供应商为法人的，由其法定代表人或者代理人签字确认；供应商为其他组织的，由其主要负责人或者代理人签字确认； 供应商为自然人的，由其本人或者代理人签字确认。</w:t>
            </w:r>
          </w:p>
          <w:p>
            <w:pPr>
              <w:jc w:val="both"/>
            </w:pPr>
            <w: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w:t>
            </w:r>
          </w:p>
          <w:p>
            <w:pPr>
              <w:jc w:val="both"/>
              <w:rPr>
                <w:vertAlign w:val="baseline"/>
              </w:rPr>
            </w:pPr>
            <w:r>
              <w:t>响应文件作为无效处理。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jc w:val="center"/>
              <w:rPr>
                <w:vertAlign w:val="baseline"/>
              </w:rPr>
            </w:pPr>
            <w:r>
              <w:rPr>
                <w:rFonts w:hint="eastAsia"/>
                <w:lang w:val="en-US" w:eastAsia="zh-CN"/>
              </w:rPr>
              <w:t>3</w:t>
            </w:r>
          </w:p>
        </w:tc>
        <w:tc>
          <w:tcPr>
            <w:tcW w:w="1967" w:type="dxa"/>
            <w:vAlign w:val="center"/>
          </w:tcPr>
          <w:p>
            <w:pPr>
              <w:jc w:val="both"/>
            </w:pPr>
            <w:r>
              <w:rPr>
                <w:rFonts w:hint="eastAsia"/>
              </w:rPr>
              <w:t>小微企业（监狱企业、残疾人福利性单位视同小微企业）价格扣除和失信企业报价加成或者扣分</w:t>
            </w:r>
          </w:p>
          <w:p>
            <w:pPr>
              <w:jc w:val="both"/>
              <w:rPr>
                <w:vertAlign w:val="baseline"/>
              </w:rPr>
            </w:pPr>
          </w:p>
        </w:tc>
        <w:tc>
          <w:tcPr>
            <w:tcW w:w="6977" w:type="dxa"/>
            <w:vAlign w:val="top"/>
          </w:tcPr>
          <w:p>
            <w:pPr>
              <w:jc w:val="both"/>
              <w:rPr>
                <w:rFonts w:hint="eastAsia" w:eastAsia="宋体"/>
                <w:lang w:eastAsia="zh-CN"/>
              </w:rPr>
            </w:pPr>
            <w:r>
              <w:rPr>
                <w:rFonts w:hint="eastAsia"/>
              </w:rPr>
              <w:t>小微企业（监狱企业、残疾人福利性单位视同小微企业）价格扣除和失信企业报价加成或者扣分</w:t>
            </w:r>
            <w:r>
              <w:rPr>
                <w:rFonts w:hint="eastAsia"/>
                <w:lang w:eastAsia="zh-CN"/>
              </w:rPr>
              <w:t>：</w:t>
            </w:r>
          </w:p>
          <w:p>
            <w:pPr>
              <w:jc w:val="both"/>
            </w:pPr>
            <w:r>
              <w:rPr>
                <w:rFonts w:hint="eastAsia"/>
              </w:rPr>
              <w:t>一、小微企业（监狱企业、残疾人福利性单位均视同小微企业）价格扣除</w:t>
            </w:r>
          </w:p>
          <w:p>
            <w:pPr>
              <w:jc w:val="both"/>
            </w:pPr>
            <w:r>
              <w:rPr>
                <w:rFonts w:hint="eastAsia"/>
              </w:rPr>
              <w:t>1、根据《政府采购促进中小企业发展管理办法》（财库〔2020〕46号）的规定，对于经主管预算单位统筹后未预留份额专门面向中小企业采购的采购项目，以及预留份额项目中的非预留部分采购包，对符合规定的小微企业报价给予10%的扣除，用扣除后的价格参加评审。</w:t>
            </w:r>
          </w:p>
          <w:p>
            <w:pPr>
              <w:jc w:val="both"/>
            </w:pPr>
            <w:r>
              <w:rPr>
                <w:rFonts w:hint="eastAsia"/>
              </w:rPr>
              <w:t>2、参加政府采购活动的中小企业（监狱企业）提供《中小企业（监狱企业）声明函》原件，未提供的，视为放弃享受小微企业价格扣除优惠政策。</w:t>
            </w:r>
          </w:p>
          <w:p>
            <w:pPr>
              <w:jc w:val="both"/>
            </w:pPr>
            <w:r>
              <w:rPr>
                <w:rFonts w:hint="eastAsia"/>
              </w:rPr>
              <w:t>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30%以上的，采购人、采购代理机构应当对联合体或者大中型企业的报价给予3%的扣除，用扣除后的价格参加评审。</w:t>
            </w:r>
          </w:p>
          <w:p>
            <w:pPr>
              <w:jc w:val="both"/>
            </w:pPr>
            <w:r>
              <w:rPr>
                <w:rFonts w:hint="eastAsia"/>
              </w:rPr>
              <w:t>联合体各方均为小型、微型企业的，联合体视同为小型、微型企业享受规定的扶持政策。组成联合体的大中型企业和其他自然人、法人或者其他组织，与小型、微型企业之间不得存在投资关系。</w:t>
            </w:r>
          </w:p>
          <w:p>
            <w:pPr>
              <w:jc w:val="both"/>
            </w:pPr>
            <w:r>
              <w:rPr>
                <w:rFonts w:hint="eastAsia"/>
              </w:rPr>
              <w:t xml:space="preserve">4、参加政府采购活动的残疾人福利性单位应当提供《残疾人福利性单位声明函》原件，未提供的，视为放弃享受小微企业价格扣除优惠政策。 </w:t>
            </w:r>
          </w:p>
          <w:p>
            <w:pPr>
              <w:jc w:val="both"/>
            </w:pPr>
            <w:r>
              <w:rPr>
                <w:rFonts w:hint="eastAsia"/>
              </w:rPr>
              <w:t>5. 符合中小企业划分标准的个体工商户，在政府采购活动中视同中小企业。</w:t>
            </w:r>
          </w:p>
          <w:p>
            <w:pPr>
              <w:jc w:val="both"/>
            </w:pPr>
            <w:r>
              <w:rPr>
                <w:rFonts w:hint="eastAsia"/>
              </w:rPr>
              <w:t>二、失信企业报价加成（实质性要求）</w:t>
            </w:r>
          </w:p>
          <w:p>
            <w:pPr>
              <w:jc w:val="both"/>
            </w:pPr>
            <w:r>
              <w:rPr>
                <w:rFonts w:hint="eastAsia"/>
              </w:rPr>
              <w:t>1、对按照《四川省政府采购当事人诚信管理办法》（川财采〔2015〕33号）记入诚信档案的且在有效期内的失信供应商，在参加政府采购活动中实行6%的报价加成、以加成后报价作为该供应商报价评标，且供应商失信行为惩戒实行无限制累加制，因其失信行为进行报价加成惩戒后报价超过政府采购预算的，其投标文件按照无效处理。</w:t>
            </w:r>
          </w:p>
          <w:p>
            <w:pPr>
              <w:jc w:val="both"/>
              <w:rPr>
                <w:vertAlign w:val="baseline"/>
              </w:rPr>
            </w:pPr>
            <w:r>
              <w:rPr>
                <w:rFonts w:hint="eastAsia"/>
              </w:rPr>
              <w:t>2、供应商参加政府采购活动时，应当就自己的诚信情况在投标文件中进行承诺。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jc w:val="center"/>
            </w:pPr>
          </w:p>
          <w:p>
            <w:pPr>
              <w:jc w:val="center"/>
            </w:pPr>
          </w:p>
          <w:p>
            <w:pPr>
              <w:jc w:val="center"/>
            </w:pPr>
          </w:p>
          <w:p>
            <w:pPr>
              <w:jc w:val="center"/>
              <w:rPr>
                <w:vertAlign w:val="baseline"/>
              </w:rPr>
            </w:pPr>
            <w:r>
              <w:t>4</w:t>
            </w:r>
          </w:p>
        </w:tc>
        <w:tc>
          <w:tcPr>
            <w:tcW w:w="1967" w:type="dxa"/>
            <w:vAlign w:val="top"/>
          </w:tcPr>
          <w:p>
            <w:pPr>
              <w:jc w:val="both"/>
            </w:pPr>
          </w:p>
          <w:p>
            <w:pPr>
              <w:jc w:val="both"/>
            </w:pPr>
            <w:r>
              <w:t>关于执行《政府采购竞争性磋商采购方式管理暂行办法》财库</w:t>
            </w:r>
          </w:p>
          <w:p>
            <w:pPr>
              <w:jc w:val="both"/>
              <w:rPr>
                <w:vertAlign w:val="baseline"/>
              </w:rPr>
            </w:pPr>
            <w:r>
              <w:t>〔2014〕214 号文件及财库〔2015〕124 号的要求</w:t>
            </w:r>
          </w:p>
        </w:tc>
        <w:tc>
          <w:tcPr>
            <w:tcW w:w="6977" w:type="dxa"/>
            <w:vAlign w:val="top"/>
          </w:tcPr>
          <w:p>
            <w:pPr>
              <w:jc w:val="both"/>
            </w:pPr>
            <w:r>
              <w:t>1、根据该办法第三条：符合下列情形的项目，可以采用竞争性磋商方式开展采购：(四)市场竞争不充分的科研项目，以及需要扶持的科技成果转化项目；符合本办法第三条第四项情形的，提交最后报价的供应商可以为 2 家；</w:t>
            </w:r>
          </w:p>
          <w:p>
            <w:pPr>
              <w:jc w:val="both"/>
            </w:pPr>
            <w:r>
              <w:t>2、依据财库〔2015〕124 号的要求，采用竞争性磋商采购方式采购的政府购买服务项目（含政府和社会资本合作项目），在采购过程中符合要求的供应商（社会资本）只有 2 家的，竞争性磋商采购活动可以继续进行。</w:t>
            </w:r>
          </w:p>
          <w:p>
            <w:pPr>
              <w:jc w:val="both"/>
              <w:rPr>
                <w:vertAlign w:val="baseline"/>
              </w:rPr>
            </w:pPr>
            <w:r>
              <w:t>3、本项目属于政府购买服务项目。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jc w:val="center"/>
              <w:rPr>
                <w:vertAlign w:val="baseline"/>
              </w:rPr>
            </w:pPr>
            <w:r>
              <w:t>5</w:t>
            </w:r>
          </w:p>
        </w:tc>
        <w:tc>
          <w:tcPr>
            <w:tcW w:w="1967" w:type="dxa"/>
            <w:vAlign w:val="top"/>
          </w:tcPr>
          <w:p>
            <w:pPr>
              <w:jc w:val="both"/>
            </w:pPr>
          </w:p>
          <w:p>
            <w:pPr>
              <w:jc w:val="both"/>
              <w:rPr>
                <w:vertAlign w:val="baseline"/>
              </w:rPr>
            </w:pPr>
            <w:r>
              <w:t>节能产品或者政府采购环境标志产品或者无线局域网产品</w:t>
            </w:r>
          </w:p>
        </w:tc>
        <w:tc>
          <w:tcPr>
            <w:tcW w:w="6977" w:type="dxa"/>
            <w:vAlign w:val="top"/>
          </w:tcPr>
          <w:p>
            <w:pPr>
              <w:jc w:val="both"/>
            </w:pPr>
            <w:r>
              <w:t>1、根据财政部、国家发展改革委员会《节能产品政府采购实施意见</w:t>
            </w:r>
          </w:p>
          <w:p>
            <w:pPr>
              <w:jc w:val="both"/>
            </w:pPr>
            <w:r>
              <w:t>（财库［2004］185 号）及财政部、国家发展改革委、信息产业部</w:t>
            </w:r>
          </w:p>
          <w:p>
            <w:pPr>
              <w:jc w:val="both"/>
            </w:pPr>
            <w:r>
              <w:t>《无线局域网产品政府采购实施意见》（财库［2005］366 号）规定，对认定为政府采购节能产品或者政府采购环境标志产品或者无线局对域网产品的实行优先采购。</w:t>
            </w:r>
          </w:p>
          <w:p>
            <w:pPr>
              <w:jc w:val="both"/>
            </w:pPr>
            <w:r>
              <w:t>2、以国家官方认定的为准，并提供相关证明材料（复印件并加盖投标单位公章）。</w:t>
            </w:r>
          </w:p>
          <w:p>
            <w:pPr>
              <w:jc w:val="both"/>
              <w:rPr>
                <w:vertAlign w:val="baseline"/>
              </w:rPr>
            </w:pPr>
            <w:r>
              <w:t>注：本项目属于服务类项目，不适用。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jc w:val="center"/>
            </w:pPr>
          </w:p>
          <w:p>
            <w:pPr>
              <w:jc w:val="center"/>
            </w:pPr>
          </w:p>
          <w:p>
            <w:pPr>
              <w:jc w:val="center"/>
              <w:rPr>
                <w:vertAlign w:val="baseline"/>
              </w:rPr>
            </w:pPr>
            <w:r>
              <w:t>6</w:t>
            </w:r>
          </w:p>
        </w:tc>
        <w:tc>
          <w:tcPr>
            <w:tcW w:w="1967" w:type="dxa"/>
            <w:vAlign w:val="top"/>
          </w:tcPr>
          <w:p>
            <w:pPr>
              <w:jc w:val="both"/>
            </w:pPr>
          </w:p>
          <w:p>
            <w:pPr>
              <w:jc w:val="both"/>
              <w:rPr>
                <w:vertAlign w:val="baseline"/>
              </w:rPr>
            </w:pPr>
            <w:r>
              <w:t>扶持不发达地区和少数民族地区</w:t>
            </w:r>
          </w:p>
        </w:tc>
        <w:tc>
          <w:tcPr>
            <w:tcW w:w="6977" w:type="dxa"/>
            <w:vAlign w:val="top"/>
          </w:tcPr>
          <w:p>
            <w:pPr>
              <w:jc w:val="both"/>
            </w:pPr>
          </w:p>
          <w:p>
            <w:pPr>
              <w:jc w:val="both"/>
            </w:pPr>
            <w:r>
              <w:t>符合扶持不发达地区和少数民族地区政策条件的，对扶持不发达地区和少数民族地区的供应商产品及服务实行优先采购。</w:t>
            </w:r>
          </w:p>
          <w:p>
            <w:pPr>
              <w:jc w:val="both"/>
              <w:rPr>
                <w:vertAlign w:val="baseline"/>
              </w:rPr>
            </w:pPr>
            <w:r>
              <w:t>注：符合请提供相关行政单位证明材料。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jc w:val="center"/>
            </w:pPr>
          </w:p>
          <w:p>
            <w:pPr>
              <w:jc w:val="center"/>
            </w:pPr>
          </w:p>
          <w:p>
            <w:pPr>
              <w:jc w:val="center"/>
              <w:rPr>
                <w:vertAlign w:val="baseline"/>
              </w:rPr>
            </w:pPr>
            <w:r>
              <w:t>7</w:t>
            </w:r>
          </w:p>
        </w:tc>
        <w:tc>
          <w:tcPr>
            <w:tcW w:w="1967" w:type="dxa"/>
            <w:vAlign w:val="top"/>
          </w:tcPr>
          <w:p>
            <w:pPr>
              <w:jc w:val="both"/>
            </w:pPr>
          </w:p>
          <w:p>
            <w:pPr>
              <w:jc w:val="both"/>
            </w:pPr>
          </w:p>
          <w:p>
            <w:pPr>
              <w:jc w:val="both"/>
              <w:rPr>
                <w:vertAlign w:val="baseline"/>
              </w:rPr>
            </w:pPr>
            <w:r>
              <w:t>评审情况公告</w:t>
            </w:r>
          </w:p>
        </w:tc>
        <w:tc>
          <w:tcPr>
            <w:tcW w:w="6977" w:type="dxa"/>
            <w:vAlign w:val="top"/>
          </w:tcPr>
          <w:p>
            <w:pPr>
              <w:jc w:val="both"/>
            </w:pPr>
          </w:p>
          <w:p>
            <w:pPr>
              <w:jc w:val="both"/>
              <w:rPr>
                <w:vertAlign w:val="baseline"/>
              </w:rPr>
            </w:pPr>
            <w:r>
              <w:t>所有供应商响应文件资格性、符合性检查情况、采用综合评分法时的总得分和分项汇总得分情况、评标结果等将在四川政府采购网上采购结果公告栏中予以公告。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jc w:val="center"/>
            </w:pPr>
          </w:p>
          <w:p>
            <w:pPr>
              <w:jc w:val="center"/>
            </w:pPr>
          </w:p>
          <w:p>
            <w:pPr>
              <w:jc w:val="center"/>
            </w:pPr>
            <w:r>
              <w:t>8</w:t>
            </w:r>
          </w:p>
        </w:tc>
        <w:tc>
          <w:tcPr>
            <w:tcW w:w="1967" w:type="dxa"/>
            <w:vAlign w:val="top"/>
          </w:tcPr>
          <w:p>
            <w:pPr>
              <w:jc w:val="both"/>
            </w:pPr>
          </w:p>
          <w:p>
            <w:pPr>
              <w:jc w:val="both"/>
            </w:pPr>
          </w:p>
          <w:p>
            <w:pPr>
              <w:jc w:val="both"/>
            </w:pPr>
            <w:r>
              <w:rPr>
                <w:rFonts w:hint="eastAsia"/>
                <w:lang w:val="en-US" w:eastAsia="zh-CN"/>
              </w:rPr>
              <w:t>磋商保</w:t>
            </w:r>
            <w:r>
              <w:t>证金</w:t>
            </w:r>
          </w:p>
        </w:tc>
        <w:tc>
          <w:tcPr>
            <w:tcW w:w="6977" w:type="dxa"/>
            <w:vAlign w:val="top"/>
          </w:tcPr>
          <w:p>
            <w:pPr>
              <w:jc w:val="both"/>
            </w:pPr>
            <w:r>
              <w:rPr>
                <w:rFonts w:hint="eastAsia"/>
              </w:rPr>
              <w:t>根据《四川省财政厅关于进一步做好疫情防控期间政府采购工作有关事项的通知》（川财采【2020】28号）文件的要求，本项目不收磋商保证金。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jc w:val="center"/>
              <w:rPr>
                <w:highlight w:val="none"/>
              </w:rPr>
            </w:pPr>
          </w:p>
          <w:p>
            <w:pPr>
              <w:jc w:val="center"/>
              <w:rPr>
                <w:highlight w:val="none"/>
              </w:rPr>
            </w:pPr>
          </w:p>
          <w:p>
            <w:pPr>
              <w:jc w:val="center"/>
              <w:rPr>
                <w:highlight w:val="none"/>
              </w:rPr>
            </w:pPr>
            <w:r>
              <w:rPr>
                <w:highlight w:val="none"/>
              </w:rPr>
              <w:t>9</w:t>
            </w:r>
          </w:p>
        </w:tc>
        <w:tc>
          <w:tcPr>
            <w:tcW w:w="1967" w:type="dxa"/>
            <w:vAlign w:val="top"/>
          </w:tcPr>
          <w:p>
            <w:pPr>
              <w:jc w:val="both"/>
              <w:rPr>
                <w:highlight w:val="none"/>
              </w:rPr>
            </w:pPr>
          </w:p>
          <w:p>
            <w:pPr>
              <w:jc w:val="both"/>
              <w:rPr>
                <w:highlight w:val="none"/>
              </w:rPr>
            </w:pPr>
          </w:p>
          <w:p>
            <w:pPr>
              <w:jc w:val="both"/>
              <w:rPr>
                <w:highlight w:val="none"/>
              </w:rPr>
            </w:pPr>
            <w:r>
              <w:rPr>
                <w:highlight w:val="none"/>
              </w:rPr>
              <w:t>履约保证金</w:t>
            </w:r>
          </w:p>
        </w:tc>
        <w:tc>
          <w:tcPr>
            <w:tcW w:w="6977" w:type="dxa"/>
            <w:vAlign w:val="top"/>
          </w:tcPr>
          <w:p>
            <w:pPr>
              <w:jc w:val="both"/>
              <w:rPr>
                <w:highlight w:val="none"/>
              </w:rPr>
            </w:pPr>
            <w:r>
              <w:rPr>
                <w:highlight w:val="none"/>
              </w:rPr>
              <w:t>金</w:t>
            </w:r>
            <w:r>
              <w:rPr>
                <w:highlight w:val="none"/>
              </w:rPr>
              <w:tab/>
            </w:r>
            <w:r>
              <w:rPr>
                <w:highlight w:val="none"/>
              </w:rPr>
              <w:t xml:space="preserve">额：合同总金额的5% </w:t>
            </w:r>
          </w:p>
          <w:p>
            <w:pPr>
              <w:jc w:val="both"/>
              <w:rPr>
                <w:highlight w:val="none"/>
              </w:rPr>
            </w:pPr>
            <w:r>
              <w:rPr>
                <w:highlight w:val="none"/>
              </w:rPr>
              <w:t>交款方式：银行转账。</w:t>
            </w:r>
          </w:p>
          <w:p>
            <w:pPr>
              <w:jc w:val="both"/>
              <w:rPr>
                <w:highlight w:val="none"/>
              </w:rPr>
            </w:pPr>
            <w:r>
              <w:rPr>
                <w:highlight w:val="none"/>
              </w:rPr>
              <w:t>收款单位：金堂县市场监督管理局。</w:t>
            </w:r>
          </w:p>
          <w:p>
            <w:pPr>
              <w:jc w:val="both"/>
              <w:rPr>
                <w:highlight w:val="none"/>
              </w:rPr>
            </w:pPr>
            <w:r>
              <w:rPr>
                <w:highlight w:val="none"/>
              </w:rPr>
              <w:t>交款时间：成交通知书发放后，政府采购合同签订前。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jc w:val="center"/>
            </w:pPr>
            <w:r>
              <w:t>10</w:t>
            </w:r>
          </w:p>
        </w:tc>
        <w:tc>
          <w:tcPr>
            <w:tcW w:w="1967" w:type="dxa"/>
            <w:vAlign w:val="top"/>
          </w:tcPr>
          <w:p>
            <w:pPr>
              <w:jc w:val="both"/>
            </w:pPr>
            <w:r>
              <w:t>竞争性磋商文件咨询</w:t>
            </w:r>
          </w:p>
        </w:tc>
        <w:tc>
          <w:tcPr>
            <w:tcW w:w="6977" w:type="dxa"/>
            <w:vAlign w:val="top"/>
          </w:tcPr>
          <w:p>
            <w:pPr>
              <w:jc w:val="both"/>
            </w:pPr>
            <w:r>
              <w:t>联系人：</w:t>
            </w:r>
            <w:r>
              <w:rPr>
                <w:rFonts w:hint="eastAsia"/>
                <w:lang w:eastAsia="zh-CN"/>
              </w:rPr>
              <w:t>张先生</w:t>
            </w:r>
            <w:r>
              <w:t>。联系电话：</w:t>
            </w:r>
            <w:r>
              <w:rPr>
                <w:rFonts w:hint="eastAsia"/>
              </w:rPr>
              <w:t>028-</w:t>
            </w:r>
            <w:r>
              <w:rPr>
                <w:rFonts w:hint="eastAsia"/>
                <w:lang w:eastAsia="zh-CN"/>
              </w:rPr>
              <w:t>63922793</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jc w:val="center"/>
            </w:pPr>
            <w:r>
              <w:t>11</w:t>
            </w:r>
          </w:p>
        </w:tc>
        <w:tc>
          <w:tcPr>
            <w:tcW w:w="1967" w:type="dxa"/>
            <w:vAlign w:val="top"/>
          </w:tcPr>
          <w:p>
            <w:pPr>
              <w:jc w:val="both"/>
            </w:pPr>
            <w:r>
              <w:t>开标、评审工作咨询</w:t>
            </w:r>
          </w:p>
        </w:tc>
        <w:tc>
          <w:tcPr>
            <w:tcW w:w="6977" w:type="dxa"/>
            <w:vAlign w:val="top"/>
          </w:tcPr>
          <w:p>
            <w:pPr>
              <w:jc w:val="both"/>
            </w:pPr>
            <w:r>
              <w:t>联系人：</w:t>
            </w:r>
            <w:r>
              <w:rPr>
                <w:rFonts w:hint="eastAsia"/>
                <w:lang w:eastAsia="zh-CN"/>
              </w:rPr>
              <w:t>张先生</w:t>
            </w:r>
            <w:r>
              <w:t>。联系电话：</w:t>
            </w:r>
            <w:r>
              <w:rPr>
                <w:rFonts w:hint="eastAsia"/>
              </w:rPr>
              <w:t>028-</w:t>
            </w:r>
            <w:r>
              <w:rPr>
                <w:rFonts w:hint="eastAsia"/>
                <w:lang w:eastAsia="zh-CN"/>
              </w:rPr>
              <w:t>63922793</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jc w:val="both"/>
            </w:pPr>
          </w:p>
          <w:p>
            <w:pPr>
              <w:jc w:val="center"/>
            </w:pPr>
            <w:r>
              <w:t>12</w:t>
            </w:r>
          </w:p>
        </w:tc>
        <w:tc>
          <w:tcPr>
            <w:tcW w:w="1967" w:type="dxa"/>
            <w:vAlign w:val="top"/>
          </w:tcPr>
          <w:p>
            <w:pPr>
              <w:jc w:val="both"/>
            </w:pPr>
            <w:r>
              <w:t>成交通知书领取</w:t>
            </w:r>
          </w:p>
        </w:tc>
        <w:tc>
          <w:tcPr>
            <w:tcW w:w="6977" w:type="dxa"/>
            <w:vAlign w:val="top"/>
          </w:tcPr>
          <w:p>
            <w:pPr>
              <w:jc w:val="both"/>
            </w:pPr>
            <w:r>
              <w:t>成交公告在四川政府采购网上公告后，请成交供应商凭有效身份证明证件到采购代理机构领取成交通知书。</w:t>
            </w:r>
          </w:p>
          <w:p>
            <w:pPr>
              <w:jc w:val="both"/>
            </w:pPr>
            <w:r>
              <w:t>联系人：</w:t>
            </w:r>
            <w:r>
              <w:rPr>
                <w:rFonts w:hint="eastAsia"/>
                <w:lang w:eastAsia="zh-CN"/>
              </w:rPr>
              <w:t>张先生</w:t>
            </w:r>
            <w:r>
              <w:t>。</w:t>
            </w:r>
          </w:p>
          <w:p>
            <w:pPr>
              <w:jc w:val="both"/>
            </w:pPr>
            <w:r>
              <w:t>联系电话：</w:t>
            </w:r>
            <w:r>
              <w:rPr>
                <w:rFonts w:hint="eastAsia"/>
              </w:rPr>
              <w:t>028-</w:t>
            </w:r>
            <w:r>
              <w:rPr>
                <w:rFonts w:hint="eastAsia"/>
                <w:lang w:eastAsia="zh-CN"/>
              </w:rPr>
              <w:t>63922793</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jc w:val="center"/>
            </w:pPr>
            <w:r>
              <w:t>13</w:t>
            </w:r>
          </w:p>
        </w:tc>
        <w:tc>
          <w:tcPr>
            <w:tcW w:w="1967" w:type="dxa"/>
            <w:vAlign w:val="top"/>
          </w:tcPr>
          <w:p>
            <w:pPr>
              <w:jc w:val="both"/>
            </w:pPr>
          </w:p>
          <w:p>
            <w:pPr>
              <w:jc w:val="both"/>
            </w:pPr>
            <w:r>
              <w:t>供应商询问</w:t>
            </w:r>
          </w:p>
        </w:tc>
        <w:tc>
          <w:tcPr>
            <w:tcW w:w="6977" w:type="dxa"/>
            <w:vAlign w:val="top"/>
          </w:tcPr>
          <w:p>
            <w:pPr>
              <w:jc w:val="both"/>
            </w:pPr>
            <w:r>
              <w:t>根据委托代理协议约定，供应商询问由采购代理机构负责答复。联系人：</w:t>
            </w:r>
            <w:r>
              <w:rPr>
                <w:rFonts w:hint="eastAsia"/>
                <w:lang w:eastAsia="zh-CN"/>
              </w:rPr>
              <w:t>张先生</w:t>
            </w:r>
            <w:r>
              <w:t>。</w:t>
            </w:r>
          </w:p>
          <w:p>
            <w:pPr>
              <w:jc w:val="both"/>
            </w:pPr>
            <w:r>
              <w:t>联系电话：</w:t>
            </w:r>
            <w:r>
              <w:rPr>
                <w:rFonts w:hint="eastAsia"/>
              </w:rPr>
              <w:t>028-</w:t>
            </w:r>
            <w:r>
              <w:rPr>
                <w:rFonts w:hint="eastAsia"/>
                <w:lang w:eastAsia="zh-CN"/>
              </w:rPr>
              <w:t>63922793</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jc w:val="center"/>
            </w:pPr>
            <w:r>
              <w:t>14</w:t>
            </w:r>
          </w:p>
        </w:tc>
        <w:tc>
          <w:tcPr>
            <w:tcW w:w="1967" w:type="dxa"/>
            <w:vAlign w:val="top"/>
          </w:tcPr>
          <w:p>
            <w:pPr>
              <w:jc w:val="both"/>
            </w:pPr>
          </w:p>
          <w:p>
            <w:pPr>
              <w:jc w:val="both"/>
            </w:pPr>
          </w:p>
          <w:p>
            <w:pPr>
              <w:jc w:val="both"/>
            </w:pPr>
          </w:p>
          <w:p>
            <w:pPr>
              <w:jc w:val="both"/>
            </w:pPr>
          </w:p>
          <w:p>
            <w:pPr>
              <w:jc w:val="both"/>
            </w:pPr>
          </w:p>
          <w:p>
            <w:pPr>
              <w:jc w:val="both"/>
            </w:pPr>
          </w:p>
          <w:p>
            <w:pPr>
              <w:jc w:val="both"/>
            </w:pPr>
            <w:r>
              <w:t>供应商质疑</w:t>
            </w:r>
          </w:p>
        </w:tc>
        <w:tc>
          <w:tcPr>
            <w:tcW w:w="6977" w:type="dxa"/>
            <w:vAlign w:val="top"/>
          </w:tcPr>
          <w:p>
            <w:pPr>
              <w:jc w:val="both"/>
            </w:pPr>
            <w:r>
              <w:t>根据委托代理协议约定，对于磋商文件(磋商文件技术条款和除政府采购法第二十二条之外的其他资格条件、专业商务要求)的质疑由采购人负责答复；对于采购过程由采购代理机构负责答复；对于采购结果由采购代理机构负责答复。</w:t>
            </w:r>
          </w:p>
          <w:p>
            <w:pPr>
              <w:jc w:val="both"/>
            </w:pPr>
            <w:r>
              <w:t>接收质疑函的方式：供应商在法定时间内以书面形式现场、邮寄或快递提交质疑函(邮寄以寄出的邮戳日期为准，快递以受送达人在签收单上签收之日为准)，逾期提交不予受理。</w:t>
            </w:r>
          </w:p>
          <w:p>
            <w:pPr>
              <w:jc w:val="both"/>
            </w:pPr>
            <w:r>
              <w:t>联系人：</w:t>
            </w:r>
            <w:r>
              <w:rPr>
                <w:rFonts w:hint="eastAsia"/>
                <w:lang w:eastAsia="zh-CN"/>
              </w:rPr>
              <w:t>张先生</w:t>
            </w:r>
            <w:r>
              <w:t>。联系电</w:t>
            </w:r>
            <w:r>
              <w:rPr>
                <w:rFonts w:hint="eastAsia"/>
                <w:lang w:val="en-US"/>
              </w:rPr>
              <w:t>话：</w:t>
            </w:r>
            <w:r>
              <w:rPr>
                <w:rFonts w:hint="eastAsia"/>
              </w:rPr>
              <w:t>028-</w:t>
            </w:r>
            <w:r>
              <w:rPr>
                <w:rFonts w:hint="eastAsia"/>
                <w:lang w:eastAsia="zh-CN"/>
              </w:rPr>
              <w:t>63922793</w:t>
            </w:r>
            <w:r>
              <w:t>。</w:t>
            </w:r>
          </w:p>
          <w:p>
            <w:pPr>
              <w:jc w:val="both"/>
            </w:pPr>
            <w:r>
              <w:t>注：①根据《中华人民共和国政府采购法》等法律法规规定，供应商质疑应当有明确的请求和必要的证明材料，须符合《政府采购质疑和投诉办法》财政部第 94 号令规定。</w:t>
            </w:r>
          </w:p>
          <w:p>
            <w:pPr>
              <w:jc w:val="both"/>
            </w:pPr>
            <w:r>
              <w:t>②供应商应当在法定质疑期内一次性提出针对同一采购程序环节的</w:t>
            </w:r>
          </w:p>
          <w:p>
            <w:pPr>
              <w:jc w:val="both"/>
            </w:pPr>
            <w:r>
              <w:t>质疑，否则不予受理。</w:t>
            </w:r>
          </w:p>
          <w:p>
            <w:pPr>
              <w:pStyle w:val="2"/>
              <w:jc w:val="both"/>
            </w:pPr>
            <w:r>
              <w:t>③供应商质疑不得超出磋商文件、采购过程、采购结果的范围，不得进行虚假、恶意质疑，不得以质疑为手段获取不当得利、实现非法目的。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jc w:val="center"/>
            </w:pPr>
            <w:r>
              <w:t>15</w:t>
            </w:r>
          </w:p>
        </w:tc>
        <w:tc>
          <w:tcPr>
            <w:tcW w:w="1967" w:type="dxa"/>
            <w:vAlign w:val="top"/>
          </w:tcPr>
          <w:p>
            <w:pPr>
              <w:jc w:val="both"/>
            </w:pPr>
          </w:p>
          <w:p>
            <w:pPr>
              <w:jc w:val="both"/>
            </w:pPr>
            <w:r>
              <w:t>供应商投诉</w:t>
            </w:r>
          </w:p>
        </w:tc>
        <w:tc>
          <w:tcPr>
            <w:tcW w:w="6977" w:type="dxa"/>
            <w:vAlign w:val="top"/>
          </w:tcPr>
          <w:p>
            <w:pPr>
              <w:jc w:val="both"/>
            </w:pPr>
            <w:r>
              <w:t>投诉受理单位：本采购项目同级财政部门，即金堂</w:t>
            </w:r>
            <w:r>
              <w:rPr>
                <w:rFonts w:hint="eastAsia"/>
                <w:lang w:eastAsia="zh-CN"/>
              </w:rPr>
              <w:t>县</w:t>
            </w:r>
            <w:r>
              <w:t>财政局。联系电话：028-84151055。</w:t>
            </w:r>
          </w:p>
          <w:p>
            <w:pPr>
              <w:jc w:val="both"/>
            </w:pPr>
            <w:r>
              <w:t>注：供应商投诉应当有明确的请求和必要的证明材料。供应商投诉</w:t>
            </w:r>
          </w:p>
          <w:p>
            <w:pPr>
              <w:jc w:val="both"/>
            </w:pPr>
            <w:r>
              <w:t>的事项不得超出已质疑事项的范围，须符合《政府采购质疑和投诉办法》财政部第94号令规定。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jc w:val="center"/>
            </w:pPr>
          </w:p>
          <w:p>
            <w:pPr>
              <w:jc w:val="center"/>
            </w:pPr>
            <w:r>
              <w:t>16</w:t>
            </w:r>
          </w:p>
        </w:tc>
        <w:tc>
          <w:tcPr>
            <w:tcW w:w="1967" w:type="dxa"/>
            <w:vAlign w:val="top"/>
          </w:tcPr>
          <w:p>
            <w:pPr>
              <w:jc w:val="both"/>
            </w:pPr>
          </w:p>
          <w:p>
            <w:pPr>
              <w:jc w:val="both"/>
            </w:pPr>
            <w:r>
              <w:t>政府采购合同公告备案</w:t>
            </w:r>
          </w:p>
        </w:tc>
        <w:tc>
          <w:tcPr>
            <w:tcW w:w="6977" w:type="dxa"/>
            <w:vAlign w:val="top"/>
          </w:tcPr>
          <w:p>
            <w:pPr>
              <w:jc w:val="both"/>
            </w:pPr>
            <w:r>
              <w:t>政府采购合同签订之日起 2 个工作日内，政府采购合同将在四川政府采购网公告；政府采购合同签订之日起七个工作日内，政府采购合同</w:t>
            </w:r>
          </w:p>
          <w:p>
            <w:pPr>
              <w:jc w:val="both"/>
            </w:pPr>
            <w:r>
              <w:t>将向本采购项目同级财政部门，即金堂</w:t>
            </w:r>
            <w:r>
              <w:rPr>
                <w:rFonts w:hint="eastAsia"/>
                <w:lang w:eastAsia="zh-CN"/>
              </w:rPr>
              <w:t>县</w:t>
            </w:r>
            <w:r>
              <w:t>财政局备案。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jc w:val="center"/>
            </w:pPr>
            <w:r>
              <w:t>17</w:t>
            </w:r>
          </w:p>
        </w:tc>
        <w:tc>
          <w:tcPr>
            <w:tcW w:w="1967" w:type="dxa"/>
            <w:vAlign w:val="center"/>
          </w:tcPr>
          <w:p>
            <w:pPr>
              <w:jc w:val="left"/>
            </w:pPr>
            <w:r>
              <w:t>代理服务费</w:t>
            </w:r>
          </w:p>
        </w:tc>
        <w:tc>
          <w:tcPr>
            <w:tcW w:w="6977" w:type="dxa"/>
            <w:vAlign w:val="top"/>
          </w:tcPr>
          <w:p>
            <w:pPr>
              <w:jc w:val="both"/>
            </w:pPr>
            <w:r>
              <w:rPr>
                <w:rFonts w:hint="eastAsia"/>
              </w:rPr>
              <w:t>本项目招标代理服务费参照国家计委计价格【2002】1980号文件标准计算定额 收取，由供应商领取成交通知书前支付。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jc w:val="center"/>
            </w:pPr>
            <w:r>
              <w:t>18</w:t>
            </w:r>
          </w:p>
        </w:tc>
        <w:tc>
          <w:tcPr>
            <w:tcW w:w="1967" w:type="dxa"/>
            <w:vAlign w:val="top"/>
          </w:tcPr>
          <w:p>
            <w:pPr>
              <w:jc w:val="both"/>
            </w:pPr>
          </w:p>
          <w:p>
            <w:pPr>
              <w:jc w:val="both"/>
            </w:pPr>
            <w:r>
              <w:t>答疑会和现场考察</w:t>
            </w:r>
          </w:p>
        </w:tc>
        <w:tc>
          <w:tcPr>
            <w:tcW w:w="6977" w:type="dxa"/>
            <w:vAlign w:val="top"/>
          </w:tcPr>
          <w:p>
            <w:pPr>
              <w:jc w:val="both"/>
            </w:pPr>
            <w:r>
              <w:t>本次政府采购项目不组织现场踏勘。如供应商自行现场踏勘，将承担</w:t>
            </w:r>
          </w:p>
          <w:p>
            <w:pPr>
              <w:jc w:val="both"/>
            </w:pPr>
            <w:r>
              <w:t>现场考察的责任和风险，勘察现场的费用由供应商自行承担。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jc w:val="center"/>
            </w:pPr>
            <w:r>
              <w:t>19</w:t>
            </w:r>
          </w:p>
        </w:tc>
        <w:tc>
          <w:tcPr>
            <w:tcW w:w="1967" w:type="dxa"/>
            <w:vAlign w:val="top"/>
          </w:tcPr>
          <w:p>
            <w:pPr>
              <w:jc w:val="both"/>
            </w:pPr>
            <w:r>
              <w:t>是否专门面向中小企业的项目或专门面向小微企业采购的项目</w:t>
            </w:r>
          </w:p>
        </w:tc>
        <w:tc>
          <w:tcPr>
            <w:tcW w:w="6977" w:type="dxa"/>
            <w:vAlign w:val="top"/>
          </w:tcPr>
          <w:p>
            <w:pPr>
              <w:jc w:val="both"/>
            </w:pPr>
          </w:p>
          <w:p>
            <w:pPr>
              <w:jc w:val="both"/>
              <w:rPr>
                <w:rFonts w:hint="eastAsia" w:eastAsia="宋体"/>
                <w:lang w:eastAsia="zh-CN"/>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jc w:val="center"/>
              <w:rPr>
                <w:rFonts w:hint="default" w:eastAsia="宋体"/>
                <w:highlight w:val="none"/>
                <w:lang w:val="en-US" w:eastAsia="zh-CN"/>
              </w:rPr>
            </w:pPr>
            <w:r>
              <w:rPr>
                <w:rFonts w:hint="eastAsia"/>
                <w:highlight w:val="none"/>
                <w:lang w:val="en-US" w:eastAsia="zh-CN"/>
              </w:rPr>
              <w:t>20</w:t>
            </w:r>
          </w:p>
        </w:tc>
        <w:tc>
          <w:tcPr>
            <w:tcW w:w="1967" w:type="dxa"/>
            <w:vAlign w:val="top"/>
          </w:tcPr>
          <w:p>
            <w:pPr>
              <w:jc w:val="both"/>
              <w:rPr>
                <w:highlight w:val="none"/>
              </w:rPr>
            </w:pPr>
            <w:r>
              <w:rPr>
                <w:rFonts w:hint="eastAsia"/>
                <w:highlight w:val="none"/>
              </w:rPr>
              <w:t>是否允许联合体</w:t>
            </w:r>
          </w:p>
        </w:tc>
        <w:tc>
          <w:tcPr>
            <w:tcW w:w="6977" w:type="dxa"/>
            <w:vAlign w:val="top"/>
          </w:tcPr>
          <w:p>
            <w:pPr>
              <w:jc w:val="both"/>
              <w:rPr>
                <w:rFonts w:hint="default"/>
                <w:highlight w:val="none"/>
                <w:lang w:val="en-US" w:eastAsia="zh-CN"/>
              </w:rPr>
            </w:pPr>
            <w:r>
              <w:rPr>
                <w:rFonts w:hint="eastAsia"/>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jc w:val="center"/>
              <w:rPr>
                <w:rFonts w:hint="default"/>
                <w:highlight w:val="none"/>
                <w:lang w:val="en-US" w:eastAsia="zh-CN"/>
              </w:rPr>
            </w:pPr>
            <w:r>
              <w:rPr>
                <w:rFonts w:hint="eastAsia"/>
                <w:highlight w:val="none"/>
                <w:lang w:val="en-US" w:eastAsia="zh-CN"/>
              </w:rPr>
              <w:t>21</w:t>
            </w:r>
          </w:p>
        </w:tc>
        <w:tc>
          <w:tcPr>
            <w:tcW w:w="1967" w:type="dxa"/>
            <w:vAlign w:val="top"/>
          </w:tcPr>
          <w:p>
            <w:pPr>
              <w:jc w:val="both"/>
              <w:rPr>
                <w:rFonts w:hint="default" w:eastAsia="宋体"/>
                <w:highlight w:val="none"/>
                <w:lang w:val="en-US" w:eastAsia="zh-CN"/>
              </w:rPr>
            </w:pPr>
            <w:r>
              <w:rPr>
                <w:rFonts w:hint="eastAsia"/>
                <w:highlight w:val="none"/>
                <w:lang w:val="en-US" w:eastAsia="zh-CN"/>
              </w:rPr>
              <w:t>是否允许</w:t>
            </w:r>
            <w:r>
              <w:rPr>
                <w:rFonts w:hint="eastAsia"/>
                <w:highlight w:val="none"/>
              </w:rPr>
              <w:t>合同分包</w:t>
            </w:r>
            <w:r>
              <w:rPr>
                <w:rFonts w:hint="eastAsia"/>
                <w:highlight w:val="none"/>
                <w:lang w:eastAsia="zh-CN"/>
              </w:rPr>
              <w:t>、</w:t>
            </w:r>
            <w:r>
              <w:rPr>
                <w:rFonts w:hint="eastAsia"/>
                <w:highlight w:val="none"/>
                <w:lang w:val="en-US" w:eastAsia="zh-CN"/>
              </w:rPr>
              <w:t>转包</w:t>
            </w:r>
          </w:p>
        </w:tc>
        <w:tc>
          <w:tcPr>
            <w:tcW w:w="6977" w:type="dxa"/>
            <w:vAlign w:val="top"/>
          </w:tcPr>
          <w:p>
            <w:pPr>
              <w:jc w:val="both"/>
              <w:rPr>
                <w:rFonts w:hint="default"/>
                <w:highlight w:val="none"/>
                <w:lang w:val="en-US" w:eastAsia="zh-CN"/>
              </w:rPr>
            </w:pPr>
            <w:r>
              <w:rPr>
                <w:rFonts w:hint="eastAsia"/>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jc w:val="center"/>
            </w:pPr>
          </w:p>
          <w:p>
            <w:pPr>
              <w:jc w:val="center"/>
            </w:pPr>
          </w:p>
          <w:p>
            <w:pPr>
              <w:jc w:val="center"/>
              <w:rPr>
                <w:rFonts w:hint="default" w:eastAsia="宋体"/>
                <w:lang w:val="en-US" w:eastAsia="zh-CN"/>
              </w:rPr>
            </w:pPr>
            <w:r>
              <w:rPr>
                <w:rFonts w:hint="eastAsia"/>
                <w:lang w:val="en-US" w:eastAsia="zh-CN"/>
              </w:rPr>
              <w:t>22</w:t>
            </w:r>
          </w:p>
        </w:tc>
        <w:tc>
          <w:tcPr>
            <w:tcW w:w="1967" w:type="dxa"/>
            <w:vAlign w:val="top"/>
          </w:tcPr>
          <w:p>
            <w:pPr>
              <w:jc w:val="both"/>
            </w:pPr>
          </w:p>
          <w:p>
            <w:pPr>
              <w:jc w:val="both"/>
            </w:pPr>
          </w:p>
          <w:p>
            <w:pPr>
              <w:jc w:val="both"/>
            </w:pPr>
          </w:p>
          <w:p>
            <w:pPr>
              <w:jc w:val="both"/>
            </w:pPr>
            <w:r>
              <w:t>充分、公平竞争保障措施</w:t>
            </w:r>
          </w:p>
          <w:p>
            <w:pPr>
              <w:jc w:val="both"/>
            </w:pPr>
            <w:r>
              <w:t>(实质性要求)</w:t>
            </w:r>
          </w:p>
        </w:tc>
        <w:tc>
          <w:tcPr>
            <w:tcW w:w="6977" w:type="dxa"/>
            <w:vAlign w:val="top"/>
          </w:tcPr>
          <w:p>
            <w:pPr>
              <w:jc w:val="both"/>
            </w:pPr>
            <w:r>
              <w:t>1.根据《关于在政府采购活动中查询及使用信用记录有关问题的通知》(财库〔2016〕125 号)等文件要求，采购代理机构将通过“信用中国”网站 (www.creditchina.gov.cn)、“中国政府采购网”网站(www.ccgp.gov.cn) 等渠道查询供应商的信用记录并保存信用记录结果网页截图，拒绝列入失信被执行人名单、重大税收违法案件当事人名单、政府采购严重违法失信行为记录名单中的供应商参加本项目</w:t>
            </w:r>
          </w:p>
          <w:p>
            <w:pPr>
              <w:jc w:val="both"/>
            </w:pPr>
            <w:r>
              <w:t>的采购活动(以联合体形式参加本项目采购活动，联合体成员存在不良信用记录的，视同联合体存在不良信用记录)。</w:t>
            </w:r>
          </w:p>
          <w:p>
            <w:pPr>
              <w:jc w:val="both"/>
            </w:pPr>
            <w:r>
              <w:t>利害关系供应商处理。单位负责人为同一人或者存在直接控股、管理关系的不同供应商不得参加同一合同项下的政府采购活动。</w:t>
            </w:r>
          </w:p>
          <w:p>
            <w:pPr>
              <w:jc w:val="both"/>
            </w:pPr>
            <w:r>
              <w:t>前期参与供应商处理。为采购项目提供整体设计、规范编制或者项目管理、监理、检测等服务的供应商，不得再参加该采购项目的其他采购活动。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jc w:val="both"/>
            </w:pPr>
            <w:r>
              <w:t>利害关系代理人处理。2 家以上的供应商不得在同一合同项下的采购项目中，同时委托同一个自然人、同一家庭的人员、同一单位的人员作为其代理人，否则，其响应文件作为无效处理。</w:t>
            </w:r>
          </w:p>
          <w:p>
            <w:pPr>
              <w:jc w:val="both"/>
            </w:pPr>
            <w:r>
              <w:t>供应商实际控制人或者中高级管理人员，同时是采购代理机构工作人员，不得参与本项目政府采购活动。</w:t>
            </w:r>
          </w:p>
          <w:p>
            <w:pPr>
              <w:jc w:val="both"/>
            </w:pPr>
            <w:r>
              <w:t>同一母公司的两家以上的子公司只能组成联合体参加本项目同一合同项下的采购活动，不得以不同供应商身份同时参加本项目同一合同项下的采购活动。</w:t>
            </w:r>
          </w:p>
          <w:p>
            <w:pPr>
              <w:jc w:val="both"/>
            </w:pPr>
            <w:r>
              <w:t>供应商与采购代理机构存在关联关系，或者是采购代理机构的母公司或子公司，不得参加本项目政府采购活动。</w:t>
            </w:r>
          </w:p>
          <w:p>
            <w:pPr>
              <w:jc w:val="both"/>
            </w:pPr>
            <w:r>
              <w:t>回避。政府采购活动中，采购人员及相关人员与供应商有下列利害关系之一的，应当回避：</w:t>
            </w:r>
          </w:p>
          <w:p>
            <w:pPr>
              <w:jc w:val="both"/>
            </w:pPr>
            <w:r>
              <w:t>参加采购活动前 3 年内与供应商存在劳动关系；</w:t>
            </w:r>
          </w:p>
          <w:p>
            <w:pPr>
              <w:jc w:val="both"/>
            </w:pPr>
            <w:r>
              <w:t>参加采购活动前 3 年内担任供应商的董事、监事；</w:t>
            </w:r>
          </w:p>
          <w:p>
            <w:pPr>
              <w:jc w:val="both"/>
            </w:pPr>
            <w:r>
              <w:t>参加采购活动前 3 年内是供应商的控股股东或者实际控制人； (4)与供应商的法定代表人或者负责人有夫妻、直系血亲、三代以内旁系血亲或者近姻亲关系；</w:t>
            </w:r>
          </w:p>
          <w:p>
            <w:pPr>
              <w:jc w:val="both"/>
            </w:pPr>
            <w:r>
              <w:t>(5)与供应商有其他可能影响政府采购活动公平、公正进行的关系。</w:t>
            </w:r>
          </w:p>
          <w:p>
            <w:pPr>
              <w:jc w:val="both"/>
            </w:pPr>
            <w: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jc w:val="both"/>
            </w:pPr>
            <w:r>
              <w:t>供应商认为采购人员及相关人员与其他供应商有利害关系的，可以向采购代理机构书面提出回避申请，并说明理由。采购代理机构将及时询问被申请回避人员，有利害关系的被申请回避人员应当回避。</w:t>
            </w:r>
          </w:p>
          <w:p>
            <w:pPr>
              <w:jc w:val="both"/>
            </w:pPr>
            <w:r>
              <w:t>9.提供相同品牌产品处理。提供相同品牌产品的不同供应商参加同一合同项下采购活动的，以其中通过资格审查且满足实质性要求的供应商参加磋商，报价相同的，由采购人或者采购人委托评审委员会按照随机抽签的公平方式确定一个供应商参加磋商，其他响应文件无效非单一产品采购项目中，多家供应商提供的部分或所有核心产品品牌</w:t>
            </w:r>
          </w:p>
          <w:p>
            <w:pPr>
              <w:jc w:val="both"/>
            </w:pPr>
            <w:r>
              <w:t>相同的，视为提供相同品牌产品。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jc w:val="center"/>
            </w:pPr>
          </w:p>
          <w:p>
            <w:pPr>
              <w:jc w:val="center"/>
              <w:rPr>
                <w:rFonts w:hint="default" w:eastAsia="宋体"/>
                <w:lang w:val="en-US" w:eastAsia="zh-CN"/>
              </w:rPr>
            </w:pPr>
            <w:r>
              <w:rPr>
                <w:rFonts w:hint="eastAsia"/>
                <w:lang w:val="en-US" w:eastAsia="zh-CN"/>
              </w:rPr>
              <w:t>23</w:t>
            </w:r>
          </w:p>
        </w:tc>
        <w:tc>
          <w:tcPr>
            <w:tcW w:w="1967" w:type="dxa"/>
            <w:vAlign w:val="top"/>
          </w:tcPr>
          <w:p>
            <w:pPr>
              <w:jc w:val="both"/>
            </w:pPr>
          </w:p>
          <w:p>
            <w:pPr>
              <w:jc w:val="both"/>
            </w:pPr>
            <w:r>
              <w:t>竞争性磋商费用</w:t>
            </w:r>
          </w:p>
        </w:tc>
        <w:tc>
          <w:tcPr>
            <w:tcW w:w="6977" w:type="dxa"/>
            <w:vAlign w:val="top"/>
          </w:tcPr>
          <w:p>
            <w:pPr>
              <w:jc w:val="both"/>
            </w:pPr>
            <w:r>
              <w:t>无论竞争性磋商的结果如何，供应商自行承担所有与参加竞争性磋商</w:t>
            </w:r>
          </w:p>
          <w:p>
            <w:pPr>
              <w:jc w:val="both"/>
            </w:pPr>
            <w:r>
              <w:t>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jc w:val="center"/>
            </w:pPr>
          </w:p>
          <w:p>
            <w:pPr>
              <w:jc w:val="center"/>
            </w:pPr>
          </w:p>
          <w:p>
            <w:pPr>
              <w:jc w:val="center"/>
              <w:rPr>
                <w:rFonts w:hint="default" w:eastAsia="宋体"/>
                <w:lang w:val="en-US" w:eastAsia="zh-CN"/>
              </w:rPr>
            </w:pPr>
            <w:r>
              <w:rPr>
                <w:rFonts w:hint="eastAsia"/>
                <w:lang w:val="en-US" w:eastAsia="zh-CN"/>
              </w:rPr>
              <w:t>24</w:t>
            </w:r>
          </w:p>
        </w:tc>
        <w:tc>
          <w:tcPr>
            <w:tcW w:w="1967" w:type="dxa"/>
            <w:vAlign w:val="top"/>
          </w:tcPr>
          <w:p>
            <w:pPr>
              <w:jc w:val="both"/>
            </w:pPr>
          </w:p>
          <w:p>
            <w:pPr>
              <w:jc w:val="both"/>
            </w:pPr>
            <w:r>
              <w:t>建议品牌或者供应商(如涉及)</w:t>
            </w:r>
          </w:p>
        </w:tc>
        <w:tc>
          <w:tcPr>
            <w:tcW w:w="6977" w:type="dxa"/>
            <w:vAlign w:val="top"/>
          </w:tcPr>
          <w:p>
            <w:pPr>
              <w:jc w:val="both"/>
            </w:pPr>
            <w:r>
              <w:t>若磋商文件涉及建议品牌或者供应商，其目的是为了准确清楚说明采</w:t>
            </w:r>
          </w:p>
          <w:p>
            <w:pPr>
              <w:jc w:val="both"/>
            </w:pPr>
            <w:r>
              <w:t>购项目的技术标准和要求，其意思表示为“参照或相当于”建议品牌或者供应商，其品牌或供应商具有可替代性。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jc w:val="center"/>
              <w:rPr>
                <w:rFonts w:hint="default" w:eastAsia="宋体"/>
                <w:lang w:val="en-US" w:eastAsia="zh-CN"/>
              </w:rPr>
            </w:pPr>
            <w:r>
              <w:rPr>
                <w:rFonts w:hint="eastAsia"/>
                <w:lang w:val="en-US" w:eastAsia="zh-CN"/>
              </w:rPr>
              <w:t>25</w:t>
            </w:r>
          </w:p>
        </w:tc>
        <w:tc>
          <w:tcPr>
            <w:tcW w:w="1967" w:type="dxa"/>
            <w:vAlign w:val="top"/>
          </w:tcPr>
          <w:p>
            <w:pPr>
              <w:jc w:val="both"/>
            </w:pPr>
          </w:p>
          <w:p>
            <w:pPr>
              <w:jc w:val="both"/>
            </w:pPr>
            <w:r>
              <w:t>强制认证产品(如涉及)</w:t>
            </w:r>
          </w:p>
        </w:tc>
        <w:tc>
          <w:tcPr>
            <w:tcW w:w="6977" w:type="dxa"/>
            <w:vAlign w:val="top"/>
          </w:tcPr>
          <w:p>
            <w:pPr>
              <w:jc w:val="both"/>
            </w:pPr>
            <w:r>
              <w:t>如涉及 CCC 认证产品的 CCC 认证证书在响应文件中可不提供，成交供应商应在成交通知书发出之日起 30 日内提供至采购人，未提供或不能提供的视为放弃成交。采购人将另行确定成交供应商或重新组织磋商。</w:t>
            </w:r>
          </w:p>
          <w:p>
            <w:pPr>
              <w:jc w:val="both"/>
            </w:pPr>
            <w:r>
              <w:t>如涉及政府强制采购节能产品参加磋商的须提供该产品最新一期</w:t>
            </w:r>
          </w:p>
          <w:p>
            <w:pPr>
              <w:jc w:val="both"/>
            </w:pPr>
            <w:r>
              <w:t>的强制采购节能产品清单所在页截图证明(详见中国政府采购网)。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jc w:val="center"/>
              <w:rPr>
                <w:rFonts w:hint="default" w:eastAsia="宋体"/>
                <w:lang w:val="en-US" w:eastAsia="zh-CN"/>
              </w:rPr>
            </w:pPr>
            <w:r>
              <w:rPr>
                <w:rFonts w:hint="eastAsia"/>
                <w:lang w:val="en-US" w:eastAsia="zh-CN"/>
              </w:rPr>
              <w:t>26</w:t>
            </w:r>
          </w:p>
        </w:tc>
        <w:tc>
          <w:tcPr>
            <w:tcW w:w="1967" w:type="dxa"/>
            <w:vAlign w:val="center"/>
          </w:tcPr>
          <w:p>
            <w:pPr>
              <w:jc w:val="center"/>
            </w:pPr>
            <w:r>
              <w:t>备注</w:t>
            </w:r>
          </w:p>
        </w:tc>
        <w:tc>
          <w:tcPr>
            <w:tcW w:w="6977" w:type="dxa"/>
            <w:vAlign w:val="top"/>
          </w:tcPr>
          <w:p>
            <w:pPr>
              <w:jc w:val="both"/>
            </w:pPr>
            <w:r>
              <w:t>若竞争性磋商文件中其他内容与磋商须知表内容不一致的，以磋商须</w:t>
            </w:r>
          </w:p>
          <w:p>
            <w:pPr>
              <w:jc w:val="both"/>
            </w:pPr>
            <w:r>
              <w:t>知表为准。</w:t>
            </w:r>
          </w:p>
        </w:tc>
      </w:tr>
    </w:tbl>
    <w:p>
      <w:pPr>
        <w:pStyle w:val="2"/>
      </w:pPr>
    </w:p>
    <w:p/>
    <w:p>
      <w:pPr>
        <w:pStyle w:val="2"/>
      </w:pPr>
    </w:p>
    <w:p/>
    <w:p>
      <w:pPr>
        <w:pStyle w:val="2"/>
      </w:pPr>
    </w:p>
    <w:p/>
    <w:p>
      <w:pPr>
        <w:sectPr>
          <w:pgSz w:w="11910" w:h="16840"/>
          <w:pgMar w:top="1600" w:right="660" w:bottom="1160" w:left="720" w:header="949" w:footer="975" w:gutter="0"/>
          <w:pgBorders>
            <w:top w:val="none" w:sz="0" w:space="0"/>
            <w:left w:val="none" w:sz="0" w:space="0"/>
            <w:bottom w:val="none" w:sz="0" w:space="0"/>
            <w:right w:val="none" w:sz="0" w:space="0"/>
          </w:pgBorders>
          <w:cols w:space="720" w:num="1"/>
        </w:sectPr>
      </w:pPr>
    </w:p>
    <w:p>
      <w:pPr>
        <w:tabs>
          <w:tab w:val="left" w:pos="1283"/>
        </w:tabs>
        <w:spacing w:before="149"/>
        <w:ind w:right="60"/>
        <w:jc w:val="center"/>
        <w:rPr>
          <w:b/>
          <w:sz w:val="32"/>
        </w:rPr>
      </w:pPr>
      <w:r>
        <w:rPr>
          <w:b/>
          <w:sz w:val="32"/>
        </w:rPr>
        <w:t>二、</w:t>
      </w:r>
      <w:bookmarkStart w:id="6" w:name="二、总__则"/>
      <w:bookmarkEnd w:id="6"/>
      <w:r>
        <w:rPr>
          <w:b/>
          <w:sz w:val="32"/>
        </w:rPr>
        <w:t>总</w:t>
      </w:r>
      <w:r>
        <w:rPr>
          <w:b/>
          <w:sz w:val="32"/>
        </w:rPr>
        <w:tab/>
      </w:r>
      <w:r>
        <w:rPr>
          <w:b/>
          <w:sz w:val="32"/>
        </w:rPr>
        <w:t>则</w:t>
      </w:r>
    </w:p>
    <w:p>
      <w:pPr>
        <w:pStyle w:val="6"/>
        <w:numPr>
          <w:ilvl w:val="0"/>
          <w:numId w:val="4"/>
        </w:numPr>
        <w:tabs>
          <w:tab w:val="left" w:pos="1324"/>
        </w:tabs>
        <w:spacing w:before="188"/>
      </w:pPr>
      <w:bookmarkStart w:id="7" w:name="1.适用范围"/>
      <w:bookmarkEnd w:id="7"/>
      <w:r>
        <w:t>适用范围</w:t>
      </w:r>
    </w:p>
    <w:p>
      <w:pPr>
        <w:pStyle w:val="16"/>
        <w:numPr>
          <w:ilvl w:val="1"/>
          <w:numId w:val="4"/>
        </w:numPr>
        <w:tabs>
          <w:tab w:val="left" w:pos="2040"/>
        </w:tabs>
        <w:rPr>
          <w:sz w:val="24"/>
        </w:rPr>
      </w:pPr>
      <w:r>
        <w:rPr>
          <w:sz w:val="24"/>
        </w:rPr>
        <w:t>本磋商文件仅适用于本次磋商所叙述的服务采购。</w:t>
      </w:r>
    </w:p>
    <w:p>
      <w:pPr>
        <w:pStyle w:val="16"/>
        <w:numPr>
          <w:ilvl w:val="1"/>
          <w:numId w:val="4"/>
        </w:numPr>
        <w:tabs>
          <w:tab w:val="left" w:pos="2040"/>
        </w:tabs>
        <w:spacing w:before="160"/>
        <w:rPr>
          <w:sz w:val="24"/>
        </w:rPr>
      </w:pPr>
      <w:r>
        <w:rPr>
          <w:sz w:val="24"/>
        </w:rPr>
        <w:t>本磋商文件的解释权归采购人和采购代理机构所有。</w:t>
      </w:r>
    </w:p>
    <w:p>
      <w:pPr>
        <w:pStyle w:val="7"/>
      </w:pPr>
    </w:p>
    <w:p>
      <w:pPr>
        <w:pStyle w:val="7"/>
        <w:spacing w:before="1"/>
        <w:rPr>
          <w:sz w:val="25"/>
        </w:rPr>
      </w:pPr>
    </w:p>
    <w:p>
      <w:pPr>
        <w:pStyle w:val="6"/>
        <w:numPr>
          <w:ilvl w:val="0"/>
          <w:numId w:val="4"/>
        </w:numPr>
        <w:tabs>
          <w:tab w:val="left" w:pos="1324"/>
        </w:tabs>
      </w:pPr>
      <w:bookmarkStart w:id="8" w:name="2.采购主体"/>
      <w:bookmarkEnd w:id="8"/>
      <w:r>
        <w:t>采购主体</w:t>
      </w:r>
    </w:p>
    <w:p>
      <w:pPr>
        <w:pStyle w:val="16"/>
        <w:numPr>
          <w:ilvl w:val="1"/>
          <w:numId w:val="4"/>
        </w:numPr>
        <w:tabs>
          <w:tab w:val="left" w:pos="1980"/>
        </w:tabs>
        <w:ind w:left="1980" w:hanging="420"/>
        <w:rPr>
          <w:sz w:val="24"/>
        </w:rPr>
      </w:pPr>
      <w:r>
        <w:rPr>
          <w:sz w:val="24"/>
        </w:rPr>
        <w:t>本次磋商的采购人是</w:t>
      </w:r>
      <w:r>
        <w:rPr>
          <w:b/>
          <w:sz w:val="24"/>
          <w:u w:val="single"/>
        </w:rPr>
        <w:t>金堂县市场监督管理局</w:t>
      </w:r>
      <w:r>
        <w:rPr>
          <w:sz w:val="24"/>
        </w:rPr>
        <w:t>。</w:t>
      </w:r>
    </w:p>
    <w:p>
      <w:pPr>
        <w:pStyle w:val="16"/>
        <w:numPr>
          <w:ilvl w:val="1"/>
          <w:numId w:val="4"/>
        </w:numPr>
        <w:tabs>
          <w:tab w:val="left" w:pos="1980"/>
        </w:tabs>
        <w:spacing w:before="160"/>
        <w:ind w:left="1980" w:hanging="420"/>
        <w:rPr>
          <w:sz w:val="24"/>
        </w:rPr>
      </w:pPr>
      <w:r>
        <w:rPr>
          <w:sz w:val="24"/>
        </w:rPr>
        <w:t>本次磋商的采购代理机构是</w:t>
      </w:r>
      <w:r>
        <w:rPr>
          <w:rFonts w:hint="eastAsia"/>
          <w:b/>
          <w:sz w:val="24"/>
          <w:u w:val="single"/>
        </w:rPr>
        <w:t>四川仁恒工程建设管理有限公司</w:t>
      </w:r>
      <w:r>
        <w:rPr>
          <w:sz w:val="24"/>
        </w:rPr>
        <w:t>。</w:t>
      </w:r>
    </w:p>
    <w:p>
      <w:pPr>
        <w:pStyle w:val="7"/>
      </w:pPr>
    </w:p>
    <w:p>
      <w:pPr>
        <w:pStyle w:val="7"/>
        <w:spacing w:before="1"/>
        <w:rPr>
          <w:sz w:val="25"/>
        </w:rPr>
      </w:pPr>
    </w:p>
    <w:p>
      <w:pPr>
        <w:pStyle w:val="6"/>
        <w:numPr>
          <w:ilvl w:val="0"/>
          <w:numId w:val="4"/>
        </w:numPr>
        <w:tabs>
          <w:tab w:val="left" w:pos="1324"/>
        </w:tabs>
      </w:pPr>
      <w:bookmarkStart w:id="9" w:name="3.合格供应商（实质性要求）"/>
      <w:bookmarkEnd w:id="9"/>
      <w:r>
        <w:t>合格供应商（实质性要求）</w:t>
      </w:r>
    </w:p>
    <w:p>
      <w:pPr>
        <w:pStyle w:val="7"/>
        <w:spacing w:before="160"/>
        <w:ind w:left="1560"/>
      </w:pPr>
      <w:r>
        <w:t>合格供应商应具备以下条件：</w:t>
      </w:r>
    </w:p>
    <w:p>
      <w:pPr>
        <w:pStyle w:val="16"/>
        <w:numPr>
          <w:ilvl w:val="1"/>
          <w:numId w:val="4"/>
        </w:numPr>
        <w:tabs>
          <w:tab w:val="left" w:pos="2040"/>
        </w:tabs>
        <w:rPr>
          <w:sz w:val="24"/>
        </w:rPr>
      </w:pPr>
      <w:r>
        <w:rPr>
          <w:sz w:val="24"/>
        </w:rPr>
        <w:t>具备法律法规和本采购文件规定的资格条件；</w:t>
      </w:r>
    </w:p>
    <w:p>
      <w:pPr>
        <w:pStyle w:val="16"/>
        <w:numPr>
          <w:ilvl w:val="1"/>
          <w:numId w:val="4"/>
        </w:numPr>
        <w:tabs>
          <w:tab w:val="left" w:pos="2004"/>
        </w:tabs>
        <w:spacing w:before="160"/>
        <w:ind w:left="2004" w:hanging="461"/>
        <w:rPr>
          <w:sz w:val="24"/>
        </w:rPr>
      </w:pPr>
      <w:r>
        <w:rPr>
          <w:spacing w:val="-10"/>
          <w:sz w:val="24"/>
        </w:rPr>
        <w:t>不属于禁止参加本项目采购活动的供应商；</w:t>
      </w:r>
    </w:p>
    <w:p>
      <w:pPr>
        <w:pStyle w:val="16"/>
        <w:numPr>
          <w:ilvl w:val="1"/>
          <w:numId w:val="4"/>
        </w:numPr>
        <w:tabs>
          <w:tab w:val="left" w:pos="2004"/>
        </w:tabs>
        <w:ind w:left="2004" w:hanging="461"/>
        <w:rPr>
          <w:sz w:val="24"/>
        </w:rPr>
      </w:pPr>
      <w:r>
        <w:rPr>
          <w:spacing w:val="-6"/>
          <w:sz w:val="24"/>
        </w:rPr>
        <w:t>按照规定获取了磋商文件，属于实质性参加政府采购活动的供应商。</w:t>
      </w:r>
    </w:p>
    <w:p>
      <w:pPr>
        <w:pStyle w:val="7"/>
      </w:pPr>
    </w:p>
    <w:p>
      <w:pPr>
        <w:pStyle w:val="7"/>
        <w:rPr>
          <w:sz w:val="25"/>
        </w:rPr>
      </w:pPr>
    </w:p>
    <w:p>
      <w:pPr>
        <w:pStyle w:val="6"/>
        <w:numPr>
          <w:ilvl w:val="0"/>
          <w:numId w:val="4"/>
        </w:numPr>
        <w:tabs>
          <w:tab w:val="left" w:pos="1324"/>
        </w:tabs>
      </w:pPr>
      <w:bookmarkStart w:id="10" w:name="4.磋商费用"/>
      <w:bookmarkEnd w:id="10"/>
      <w:r>
        <w:t>磋商费用</w:t>
      </w:r>
    </w:p>
    <w:p>
      <w:pPr>
        <w:pStyle w:val="7"/>
        <w:spacing w:before="161"/>
        <w:ind w:left="1560"/>
      </w:pPr>
      <w:r>
        <w:t>供应商应自行承担参加磋商活动的全部费用。</w:t>
      </w:r>
    </w:p>
    <w:p>
      <w:pPr>
        <w:pStyle w:val="7"/>
      </w:pPr>
    </w:p>
    <w:p>
      <w:pPr>
        <w:pStyle w:val="7"/>
        <w:rPr>
          <w:sz w:val="25"/>
        </w:rPr>
      </w:pPr>
    </w:p>
    <w:p>
      <w:pPr>
        <w:pStyle w:val="6"/>
        <w:numPr>
          <w:ilvl w:val="0"/>
          <w:numId w:val="4"/>
        </w:numPr>
        <w:tabs>
          <w:tab w:val="left" w:pos="1324"/>
        </w:tabs>
        <w:spacing w:before="1"/>
      </w:pPr>
      <w:r>
        <w:t>充分、公平竞争保障措施（实质性要求）</w:t>
      </w:r>
    </w:p>
    <w:p>
      <w:pPr>
        <w:pStyle w:val="16"/>
        <w:numPr>
          <w:ilvl w:val="1"/>
          <w:numId w:val="4"/>
        </w:numPr>
        <w:tabs>
          <w:tab w:val="left" w:pos="1980"/>
        </w:tabs>
        <w:spacing w:before="160" w:line="364" w:lineRule="auto"/>
        <w:ind w:left="1080" w:right="1137" w:firstLine="480"/>
        <w:jc w:val="both"/>
        <w:rPr>
          <w:sz w:val="24"/>
        </w:rPr>
      </w:pPr>
      <w:r>
        <w:rPr>
          <w:spacing w:val="-4"/>
          <w:sz w:val="24"/>
        </w:rPr>
        <w:t>利害关系供应商处理。单位负责人为同一人或者存在直接控股、管理关</w:t>
      </w:r>
      <w:r>
        <w:rPr>
          <w:spacing w:val="-5"/>
          <w:sz w:val="24"/>
        </w:rPr>
        <w:t>系的不同供应商不得参加同一合同项下的政府采购活动。采购项目实行资格预审</w:t>
      </w:r>
      <w:r>
        <w:rPr>
          <w:spacing w:val="-10"/>
          <w:sz w:val="24"/>
        </w:rPr>
        <w:t>的，单位负责人为同一人或者存在直接控股、管理关系的不同供应商可以参加资</w:t>
      </w:r>
      <w:r>
        <w:rPr>
          <w:spacing w:val="-12"/>
          <w:sz w:val="24"/>
        </w:rPr>
        <w:t>格预审，但只能由供应商确定其中一家符合条件的供应商参加后续的政府采购活</w:t>
      </w:r>
      <w:r>
        <w:rPr>
          <w:sz w:val="24"/>
        </w:rPr>
        <w:t>动，否则，其响应文件作为无效处理。</w:t>
      </w:r>
    </w:p>
    <w:p>
      <w:pPr>
        <w:pStyle w:val="16"/>
        <w:numPr>
          <w:ilvl w:val="1"/>
          <w:numId w:val="4"/>
        </w:numPr>
        <w:tabs>
          <w:tab w:val="left" w:pos="1980"/>
        </w:tabs>
        <w:spacing w:before="3" w:line="364" w:lineRule="auto"/>
        <w:ind w:left="1080" w:right="1015" w:firstLine="480"/>
        <w:rPr>
          <w:sz w:val="24"/>
        </w:rPr>
      </w:pPr>
      <w:r>
        <w:rPr>
          <w:spacing w:val="-4"/>
          <w:sz w:val="24"/>
        </w:rPr>
        <w:t>利害关系授权代表处理。两家以上的供应商不得在同一合同项下的采购</w:t>
      </w:r>
      <w:r>
        <w:rPr>
          <w:spacing w:val="-17"/>
          <w:sz w:val="24"/>
        </w:rPr>
        <w:t xml:space="preserve">项目中，委托同一个自然人、同一家庭的人员、同一单位的人员作为其授权代表， </w:t>
      </w:r>
      <w:r>
        <w:rPr>
          <w:sz w:val="24"/>
        </w:rPr>
        <w:t>否则，其响应文件作为无效处理。</w:t>
      </w:r>
    </w:p>
    <w:p>
      <w:pPr>
        <w:pStyle w:val="16"/>
        <w:numPr>
          <w:ilvl w:val="1"/>
          <w:numId w:val="4"/>
        </w:numPr>
        <w:tabs>
          <w:tab w:val="left" w:pos="1980"/>
        </w:tabs>
        <w:spacing w:before="2" w:line="364" w:lineRule="auto"/>
        <w:ind w:left="1080" w:right="1137" w:firstLine="480"/>
        <w:rPr>
          <w:sz w:val="24"/>
        </w:rPr>
      </w:pPr>
      <w:r>
        <w:rPr>
          <w:spacing w:val="-4"/>
          <w:sz w:val="24"/>
        </w:rPr>
        <w:t>前期参与供应商处理。为采购项目提供整体设计、规范编制或者项目管</w:t>
      </w:r>
      <w:r>
        <w:rPr>
          <w:spacing w:val="-10"/>
          <w:sz w:val="24"/>
        </w:rPr>
        <w:t>理、监理、检测等服务的供应商，不得再参加该采购项目的其他采购活动。供应</w:t>
      </w:r>
    </w:p>
    <w:p>
      <w:pPr>
        <w:spacing w:line="364" w:lineRule="auto"/>
        <w:rPr>
          <w:sz w:val="24"/>
        </w:rPr>
        <w:sectPr>
          <w:footerReference r:id="rId5" w:type="default"/>
          <w:pgSz w:w="11910" w:h="16840"/>
          <w:pgMar w:top="1600" w:right="660" w:bottom="1160" w:left="720" w:header="949" w:footer="975" w:gutter="0"/>
          <w:pgBorders>
            <w:top w:val="none" w:sz="0" w:space="0"/>
            <w:left w:val="none" w:sz="0" w:space="0"/>
            <w:bottom w:val="none" w:sz="0" w:space="0"/>
            <w:right w:val="none" w:sz="0" w:space="0"/>
          </w:pgBorders>
          <w:cols w:space="720" w:num="1"/>
        </w:sectPr>
      </w:pPr>
    </w:p>
    <w:p>
      <w:pPr>
        <w:pStyle w:val="7"/>
        <w:spacing w:before="123" w:line="364" w:lineRule="auto"/>
        <w:ind w:left="1080" w:right="1017"/>
      </w:pPr>
      <w:r>
        <w:rPr>
          <w:spacing w:val="-16"/>
        </w:rPr>
        <w:t xml:space="preserve">商为采购人、采购代理机构在确定采购需求、编制采购文件过程中提供咨询论证， </w:t>
      </w:r>
      <w:r>
        <w:rPr>
          <w:spacing w:val="-4"/>
        </w:rPr>
        <w:t>其提供的咨询论证意见成为采购文件中规定的供应商资格条件、技术服务商务要</w:t>
      </w:r>
      <w:r>
        <w:rPr>
          <w:spacing w:val="-10"/>
        </w:rPr>
        <w:t>求、评标因素和标准、政府采购合同等实质性内容条款的，视同为采购项目提供规范编制。</w:t>
      </w:r>
    </w:p>
    <w:p>
      <w:pPr>
        <w:pStyle w:val="16"/>
        <w:numPr>
          <w:ilvl w:val="1"/>
          <w:numId w:val="4"/>
        </w:numPr>
        <w:tabs>
          <w:tab w:val="left" w:pos="1980"/>
        </w:tabs>
        <w:spacing w:before="3" w:line="364" w:lineRule="auto"/>
        <w:ind w:left="1080" w:right="1137" w:firstLine="480"/>
        <w:jc w:val="both"/>
        <w:rPr>
          <w:sz w:val="24"/>
        </w:rPr>
      </w:pPr>
      <w:r>
        <w:rPr>
          <w:spacing w:val="-5"/>
          <w:sz w:val="24"/>
        </w:rPr>
        <w:t>提供相同品牌产品处理。提供相同品牌产品的不同供应商参加同一合同</w:t>
      </w:r>
      <w:r>
        <w:rPr>
          <w:spacing w:val="-9"/>
          <w:sz w:val="24"/>
        </w:rPr>
        <w:t>项下采购活动的，以其中通过资格审查且报价最低的供应商参加磋商，</w:t>
      </w:r>
      <w:r>
        <w:rPr>
          <w:spacing w:val="-11"/>
          <w:sz w:val="24"/>
        </w:rPr>
        <w:t>报价相同的，由采购人或者采购人委托评审委员会按照随机抽签的公平方式</w:t>
      </w:r>
      <w:r>
        <w:rPr>
          <w:sz w:val="24"/>
        </w:rPr>
        <w:t>确定一个供应商参加磋商，其他响应文件无效。</w:t>
      </w:r>
    </w:p>
    <w:p>
      <w:pPr>
        <w:pStyle w:val="7"/>
        <w:spacing w:before="2" w:line="364" w:lineRule="auto"/>
        <w:ind w:left="1080" w:right="1137" w:firstLine="480"/>
      </w:pPr>
      <w:r>
        <w:t>非单一产品采购项目中，多家供应商提供的部分或所有核心产品品牌相同的，视为提供相同品牌产品。</w:t>
      </w:r>
    </w:p>
    <w:p>
      <w:pPr>
        <w:pStyle w:val="16"/>
        <w:numPr>
          <w:ilvl w:val="1"/>
          <w:numId w:val="4"/>
        </w:numPr>
        <w:tabs>
          <w:tab w:val="left" w:pos="1985"/>
        </w:tabs>
        <w:spacing w:before="1" w:line="364" w:lineRule="auto"/>
        <w:ind w:left="1080" w:right="1140" w:firstLine="480"/>
        <w:jc w:val="both"/>
        <w:rPr>
          <w:sz w:val="24"/>
        </w:rPr>
      </w:pPr>
      <w:r>
        <w:rPr>
          <w:spacing w:val="3"/>
          <w:sz w:val="24"/>
        </w:rPr>
        <w:t>供应商实际控制人或者中高级管理人员，同时是采购代理机构工作人员，不得参与本项目政府采购活动。</w:t>
      </w:r>
    </w:p>
    <w:p>
      <w:pPr>
        <w:pStyle w:val="16"/>
        <w:numPr>
          <w:ilvl w:val="1"/>
          <w:numId w:val="4"/>
        </w:numPr>
        <w:tabs>
          <w:tab w:val="left" w:pos="1985"/>
        </w:tabs>
        <w:spacing w:before="2" w:line="364" w:lineRule="auto"/>
        <w:ind w:left="1080" w:right="1137" w:firstLine="480"/>
        <w:jc w:val="both"/>
        <w:rPr>
          <w:sz w:val="24"/>
        </w:rPr>
      </w:pPr>
      <w:r>
        <w:rPr>
          <w:spacing w:val="3"/>
          <w:sz w:val="24"/>
        </w:rPr>
        <w:t>同一母公司的两家以上的子公司只能组成联合体参加本项目同一合同</w:t>
      </w:r>
      <w:r>
        <w:rPr>
          <w:spacing w:val="-10"/>
          <w:sz w:val="24"/>
        </w:rPr>
        <w:t>项下的采购活动，不得以不同供应商身份同时参加本项目同一合同项下的采购活</w:t>
      </w:r>
      <w:r>
        <w:rPr>
          <w:sz w:val="24"/>
        </w:rPr>
        <w:t>动。</w:t>
      </w:r>
    </w:p>
    <w:p>
      <w:pPr>
        <w:pStyle w:val="16"/>
        <w:numPr>
          <w:ilvl w:val="1"/>
          <w:numId w:val="4"/>
        </w:numPr>
        <w:tabs>
          <w:tab w:val="left" w:pos="1980"/>
        </w:tabs>
        <w:spacing w:before="1" w:line="364" w:lineRule="auto"/>
        <w:ind w:left="1080" w:right="1137" w:firstLine="480"/>
        <w:jc w:val="both"/>
        <w:rPr>
          <w:sz w:val="24"/>
        </w:rPr>
      </w:pPr>
      <w:r>
        <w:rPr>
          <w:spacing w:val="-3"/>
          <w:sz w:val="24"/>
        </w:rPr>
        <w:t>供应商与采购代理机构存在关联关系，或者是采购代理机构的母公司或</w:t>
      </w:r>
      <w:r>
        <w:rPr>
          <w:sz w:val="24"/>
        </w:rPr>
        <w:t>子公司，不得参加本项目政府采购活动。</w:t>
      </w:r>
    </w:p>
    <w:p>
      <w:pPr>
        <w:pStyle w:val="16"/>
        <w:numPr>
          <w:ilvl w:val="1"/>
          <w:numId w:val="4"/>
        </w:numPr>
        <w:tabs>
          <w:tab w:val="left" w:pos="1980"/>
        </w:tabs>
        <w:spacing w:before="2" w:line="364" w:lineRule="auto"/>
        <w:ind w:left="1080" w:right="1137" w:firstLine="480"/>
        <w:jc w:val="both"/>
        <w:rPr>
          <w:sz w:val="24"/>
        </w:rPr>
      </w:pPr>
      <w:r>
        <w:rPr>
          <w:spacing w:val="-7"/>
          <w:sz w:val="24"/>
        </w:rPr>
        <w:t>回避。政府采购活动中，采购人员及相关人员与供应商有下列利害关系</w:t>
      </w:r>
      <w:r>
        <w:rPr>
          <w:sz w:val="24"/>
        </w:rPr>
        <w:t>之一的，应当回避：</w:t>
      </w:r>
    </w:p>
    <w:p>
      <w:pPr>
        <w:pStyle w:val="16"/>
        <w:numPr>
          <w:ilvl w:val="0"/>
          <w:numId w:val="5"/>
        </w:numPr>
        <w:tabs>
          <w:tab w:val="left" w:pos="2161"/>
        </w:tabs>
        <w:spacing w:before="1"/>
        <w:jc w:val="both"/>
        <w:rPr>
          <w:sz w:val="24"/>
        </w:rPr>
      </w:pPr>
      <w:r>
        <w:rPr>
          <w:spacing w:val="-8"/>
          <w:sz w:val="24"/>
        </w:rPr>
        <w:t xml:space="preserve">参加采购活动前 </w:t>
      </w:r>
      <w:r>
        <w:rPr>
          <w:sz w:val="24"/>
        </w:rPr>
        <w:t>3</w:t>
      </w:r>
      <w:r>
        <w:rPr>
          <w:spacing w:val="-8"/>
          <w:sz w:val="24"/>
        </w:rPr>
        <w:t xml:space="preserve"> 年内与供应商存在劳动关系；</w:t>
      </w:r>
    </w:p>
    <w:p>
      <w:pPr>
        <w:pStyle w:val="16"/>
        <w:numPr>
          <w:ilvl w:val="0"/>
          <w:numId w:val="5"/>
        </w:numPr>
        <w:tabs>
          <w:tab w:val="left" w:pos="2161"/>
        </w:tabs>
        <w:spacing w:before="160"/>
        <w:jc w:val="both"/>
        <w:rPr>
          <w:sz w:val="24"/>
        </w:rPr>
      </w:pPr>
      <w:r>
        <w:rPr>
          <w:spacing w:val="-8"/>
          <w:sz w:val="24"/>
        </w:rPr>
        <w:t xml:space="preserve">参加采购活动前 </w:t>
      </w:r>
      <w:r>
        <w:rPr>
          <w:sz w:val="24"/>
        </w:rPr>
        <w:t>3</w:t>
      </w:r>
      <w:r>
        <w:rPr>
          <w:spacing w:val="-8"/>
          <w:sz w:val="24"/>
        </w:rPr>
        <w:t xml:space="preserve"> 年内担任供应商的董事、监事；</w:t>
      </w:r>
    </w:p>
    <w:p>
      <w:pPr>
        <w:pStyle w:val="16"/>
        <w:numPr>
          <w:ilvl w:val="0"/>
          <w:numId w:val="5"/>
        </w:numPr>
        <w:tabs>
          <w:tab w:val="left" w:pos="2161"/>
        </w:tabs>
        <w:rPr>
          <w:sz w:val="24"/>
        </w:rPr>
      </w:pPr>
      <w:r>
        <w:rPr>
          <w:spacing w:val="-8"/>
          <w:sz w:val="24"/>
        </w:rPr>
        <w:t xml:space="preserve">参加采购活动前 </w:t>
      </w:r>
      <w:r>
        <w:rPr>
          <w:sz w:val="24"/>
        </w:rPr>
        <w:t>3</w:t>
      </w:r>
      <w:r>
        <w:rPr>
          <w:spacing w:val="-8"/>
          <w:sz w:val="24"/>
        </w:rPr>
        <w:t xml:space="preserve"> 年内是供应商的控股股东或者实际控制人；</w:t>
      </w:r>
    </w:p>
    <w:p>
      <w:pPr>
        <w:pStyle w:val="16"/>
        <w:numPr>
          <w:ilvl w:val="0"/>
          <w:numId w:val="5"/>
        </w:numPr>
        <w:tabs>
          <w:tab w:val="left" w:pos="2161"/>
        </w:tabs>
        <w:spacing w:before="160" w:line="364" w:lineRule="auto"/>
        <w:ind w:left="1080" w:right="1140" w:firstLine="480"/>
        <w:rPr>
          <w:sz w:val="24"/>
        </w:rPr>
      </w:pPr>
      <w:r>
        <w:rPr>
          <w:spacing w:val="-1"/>
          <w:sz w:val="24"/>
        </w:rPr>
        <w:t>与供应商的法定代表人或者负责人有夫妻、直系血亲、三代以内旁系</w:t>
      </w:r>
      <w:r>
        <w:rPr>
          <w:sz w:val="24"/>
        </w:rPr>
        <w:t>血亲或者近姻亲关系；</w:t>
      </w:r>
    </w:p>
    <w:p>
      <w:pPr>
        <w:pStyle w:val="16"/>
        <w:numPr>
          <w:ilvl w:val="0"/>
          <w:numId w:val="5"/>
        </w:numPr>
        <w:tabs>
          <w:tab w:val="left" w:pos="2161"/>
        </w:tabs>
        <w:spacing w:before="1"/>
        <w:rPr>
          <w:sz w:val="24"/>
        </w:rPr>
      </w:pPr>
      <w:r>
        <w:rPr>
          <w:sz w:val="24"/>
        </w:rPr>
        <w:t>与供应商有其他可能影响政府采购活动公平、公正进行的关系。</w:t>
      </w:r>
    </w:p>
    <w:p>
      <w:pPr>
        <w:pStyle w:val="7"/>
        <w:spacing w:before="161" w:line="364" w:lineRule="auto"/>
        <w:ind w:left="1080" w:right="1137" w:firstLine="480"/>
        <w:jc w:val="both"/>
      </w:pPr>
      <w:r>
        <w:rPr>
          <w:spacing w:val="1"/>
        </w:rPr>
        <w:t>本项目政府采购活动中需要依法回避的采购人员是指采购人内部负责采购</w:t>
      </w:r>
      <w:r>
        <w:rPr>
          <w:spacing w:val="-4"/>
        </w:rPr>
        <w:t>项目的具体经办工作人员和直接分管采购项目的负责人，以及采购代理机构负责</w:t>
      </w:r>
      <w:r>
        <w:rPr>
          <w:spacing w:val="-5"/>
        </w:rPr>
        <w:t>采购项目的具体经办工作人员和直接分管采购活动的负责人。本项目政府采购活</w:t>
      </w:r>
      <w:r>
        <w:t>动中需要依法回避的相关人员是指磋商小组成员。</w:t>
      </w:r>
    </w:p>
    <w:p>
      <w:pPr>
        <w:spacing w:line="364" w:lineRule="auto"/>
        <w:jc w:val="both"/>
        <w:sectPr>
          <w:pgSz w:w="11910" w:h="16840"/>
          <w:pgMar w:top="1600" w:right="660" w:bottom="1160" w:left="720" w:header="949" w:footer="975" w:gutter="0"/>
          <w:pgBorders>
            <w:top w:val="none" w:sz="0" w:space="0"/>
            <w:left w:val="none" w:sz="0" w:space="0"/>
            <w:bottom w:val="none" w:sz="0" w:space="0"/>
            <w:right w:val="none" w:sz="0" w:space="0"/>
          </w:pgBorders>
          <w:cols w:space="720" w:num="1"/>
        </w:sectPr>
      </w:pPr>
    </w:p>
    <w:p>
      <w:pPr>
        <w:pStyle w:val="7"/>
        <w:spacing w:before="123" w:line="364" w:lineRule="auto"/>
        <w:ind w:left="1080" w:right="1137" w:firstLine="480"/>
        <w:jc w:val="both"/>
      </w:pPr>
      <w:r>
        <w:rPr>
          <w:spacing w:val="-5"/>
        </w:rPr>
        <w:t>供应商认为采购人员及相关人员与其他供应商有利害关系的，可以向采购代</w:t>
      </w:r>
      <w:r>
        <w:rPr>
          <w:spacing w:val="-8"/>
        </w:rPr>
        <w:t>理机构书面提出回避申请，并说明理由。采购代理机构将及时询问被申请回避人</w:t>
      </w:r>
      <w:r>
        <w:t>员，有利害关系的被申请回避人员应当回避。</w:t>
      </w:r>
    </w:p>
    <w:p>
      <w:pPr>
        <w:pStyle w:val="7"/>
      </w:pPr>
    </w:p>
    <w:p>
      <w:pPr>
        <w:pStyle w:val="16"/>
        <w:numPr>
          <w:ilvl w:val="0"/>
          <w:numId w:val="4"/>
        </w:numPr>
        <w:tabs>
          <w:tab w:val="left" w:pos="1324"/>
        </w:tabs>
        <w:spacing w:before="163" w:line="364" w:lineRule="auto"/>
        <w:ind w:left="1080" w:right="5592" w:firstLine="0"/>
        <w:jc w:val="both"/>
        <w:rPr>
          <w:b/>
          <w:sz w:val="24"/>
        </w:rPr>
      </w:pPr>
      <w:r>
        <w:rPr>
          <w:b/>
          <w:sz w:val="24"/>
        </w:rPr>
        <w:t>联合体竞争性磋商（实质性要求</w:t>
      </w:r>
      <w:r>
        <w:rPr>
          <w:b/>
          <w:spacing w:val="-15"/>
          <w:sz w:val="24"/>
        </w:rPr>
        <w:t xml:space="preserve">） </w:t>
      </w:r>
      <w:r>
        <w:rPr>
          <w:sz w:val="24"/>
        </w:rPr>
        <w:t>本项目不接受联合体参与采购活动</w:t>
      </w:r>
      <w:r>
        <w:rPr>
          <w:rFonts w:hint="eastAsia"/>
          <w:sz w:val="24"/>
          <w:lang w:eastAsia="zh-CN"/>
        </w:rPr>
        <w:t>。</w:t>
      </w:r>
      <w:r>
        <w:rPr>
          <w:sz w:val="24"/>
        </w:rPr>
        <w:t xml:space="preserve"> </w:t>
      </w:r>
      <w:r>
        <w:rPr>
          <w:b/>
          <w:sz w:val="24"/>
        </w:rPr>
        <w:t>7.磋商保证金（实质性要求）</w:t>
      </w:r>
    </w:p>
    <w:p>
      <w:pPr>
        <w:pStyle w:val="7"/>
        <w:ind w:firstLine="1200" w:firstLineChars="500"/>
        <w:rPr>
          <w:rFonts w:hint="eastAsia" w:eastAsia="宋体"/>
          <w:lang w:eastAsia="zh-CN"/>
        </w:rPr>
      </w:pPr>
      <w:r>
        <w:rPr>
          <w:rFonts w:hint="eastAsia"/>
        </w:rPr>
        <w:t>本项目不收取磋商保证金</w:t>
      </w:r>
      <w:r>
        <w:rPr>
          <w:rFonts w:hint="eastAsia"/>
          <w:lang w:eastAsia="zh-CN"/>
        </w:rPr>
        <w:t>。</w:t>
      </w:r>
    </w:p>
    <w:p>
      <w:pPr>
        <w:pStyle w:val="7"/>
        <w:spacing w:before="1"/>
        <w:rPr>
          <w:sz w:val="25"/>
        </w:rPr>
      </w:pPr>
    </w:p>
    <w:p>
      <w:pPr>
        <w:pStyle w:val="6"/>
        <w:numPr>
          <w:ilvl w:val="0"/>
          <w:numId w:val="6"/>
        </w:numPr>
        <w:tabs>
          <w:tab w:val="left" w:pos="1324"/>
        </w:tabs>
      </w:pPr>
      <w:r>
        <w:t>响应文件有效期（实质性要求）</w:t>
      </w:r>
    </w:p>
    <w:p>
      <w:pPr>
        <w:pStyle w:val="7"/>
        <w:spacing w:before="161" w:line="364" w:lineRule="auto"/>
        <w:ind w:left="1080" w:right="1137" w:firstLine="470"/>
        <w:jc w:val="both"/>
      </w:pPr>
      <w:r>
        <w:rPr>
          <w:spacing w:val="-2"/>
        </w:rPr>
        <w:t xml:space="preserve">本项目响应文件有效期为递交磋商响应文件截止之日起 </w:t>
      </w:r>
      <w:r>
        <w:t>90</w:t>
      </w:r>
      <w:r>
        <w:rPr>
          <w:spacing w:val="-9"/>
        </w:rPr>
        <w:t xml:space="preserve"> 天。供应商响应</w:t>
      </w:r>
      <w:r>
        <w:rPr>
          <w:spacing w:val="-8"/>
        </w:rPr>
        <w:t>文件中必须载明响应文件有效期，响应文件中载明的响应文件有效期可以长于磋商文件规定的期限，但不得短于磋商文件规定的期限。否则，其响应文件将作为</w:t>
      </w:r>
      <w:r>
        <w:t>无效处理。</w:t>
      </w:r>
    </w:p>
    <w:p>
      <w:pPr>
        <w:pStyle w:val="7"/>
      </w:pPr>
    </w:p>
    <w:p>
      <w:pPr>
        <w:pStyle w:val="6"/>
        <w:numPr>
          <w:ilvl w:val="0"/>
          <w:numId w:val="6"/>
        </w:numPr>
        <w:tabs>
          <w:tab w:val="left" w:pos="1324"/>
        </w:tabs>
        <w:spacing w:before="162"/>
      </w:pPr>
      <w:r>
        <w:t>知识产权（实质性要求）</w:t>
      </w:r>
    </w:p>
    <w:p>
      <w:pPr>
        <w:pStyle w:val="16"/>
        <w:numPr>
          <w:ilvl w:val="0"/>
          <w:numId w:val="0"/>
        </w:numPr>
        <w:tabs>
          <w:tab w:val="left" w:pos="2040"/>
        </w:tabs>
        <w:spacing w:line="364" w:lineRule="auto"/>
        <w:ind w:left="1560" w:leftChars="0" w:right="1137" w:rightChars="0"/>
        <w:jc w:val="both"/>
        <w:rPr>
          <w:sz w:val="24"/>
        </w:rPr>
      </w:pPr>
      <w:r>
        <w:rPr>
          <w:rFonts w:hint="eastAsia"/>
          <w:spacing w:val="-2"/>
          <w:sz w:val="24"/>
          <w:lang w:val="en-US" w:eastAsia="zh-CN"/>
        </w:rPr>
        <w:t xml:space="preserve">9.1  </w:t>
      </w:r>
      <w:r>
        <w:rPr>
          <w:spacing w:val="-2"/>
          <w:sz w:val="24"/>
        </w:rPr>
        <w:t>供应商应保证在本项目中使用的任何产品和服务</w:t>
      </w:r>
      <w:r>
        <w:rPr>
          <w:sz w:val="24"/>
        </w:rPr>
        <w:t>（包括部分使用</w:t>
      </w:r>
      <w:r>
        <w:rPr>
          <w:spacing w:val="-32"/>
          <w:sz w:val="24"/>
        </w:rPr>
        <w:t>）</w:t>
      </w:r>
      <w:r>
        <w:rPr>
          <w:spacing w:val="-24"/>
          <w:sz w:val="24"/>
        </w:rPr>
        <w:t>，不</w:t>
      </w:r>
      <w:r>
        <w:rPr>
          <w:spacing w:val="-7"/>
          <w:sz w:val="24"/>
        </w:rPr>
        <w:t>会产生因第三方提出侵犯其专利权、商标权或其它知识产权而引起的法律和经济</w:t>
      </w:r>
      <w:r>
        <w:rPr>
          <w:spacing w:val="-11"/>
          <w:sz w:val="24"/>
        </w:rPr>
        <w:t>纠纷，如因专利权、商标权或其它知识产权而引起法律和经济纠纷，由供应商承</w:t>
      </w:r>
      <w:r>
        <w:rPr>
          <w:sz w:val="24"/>
        </w:rPr>
        <w:t>担所有相关责任。</w:t>
      </w:r>
    </w:p>
    <w:p>
      <w:pPr>
        <w:pStyle w:val="16"/>
        <w:numPr>
          <w:ilvl w:val="0"/>
          <w:numId w:val="0"/>
        </w:numPr>
        <w:tabs>
          <w:tab w:val="left" w:pos="2040"/>
        </w:tabs>
        <w:spacing w:before="2" w:line="364" w:lineRule="auto"/>
        <w:ind w:left="1560" w:leftChars="0" w:right="1137" w:rightChars="0"/>
        <w:jc w:val="both"/>
        <w:rPr>
          <w:sz w:val="24"/>
        </w:rPr>
      </w:pPr>
      <w:r>
        <w:rPr>
          <w:rFonts w:hint="eastAsia"/>
          <w:spacing w:val="-10"/>
          <w:sz w:val="24"/>
          <w:lang w:val="en-US" w:eastAsia="zh-CN"/>
        </w:rPr>
        <w:t xml:space="preserve">9.2  </w:t>
      </w:r>
      <w:r>
        <w:rPr>
          <w:spacing w:val="-10"/>
          <w:sz w:val="24"/>
        </w:rPr>
        <w:t>除非磋商文件特别规定，采购人享有本项目实施过程中产生的知识成果</w:t>
      </w:r>
      <w:r>
        <w:rPr>
          <w:sz w:val="24"/>
        </w:rPr>
        <w:t>及知识产权。</w:t>
      </w:r>
    </w:p>
    <w:p>
      <w:pPr>
        <w:pStyle w:val="16"/>
        <w:numPr>
          <w:ilvl w:val="0"/>
          <w:numId w:val="0"/>
        </w:numPr>
        <w:tabs>
          <w:tab w:val="left" w:pos="1980"/>
        </w:tabs>
        <w:spacing w:before="2" w:line="364" w:lineRule="auto"/>
        <w:ind w:left="1560" w:leftChars="0" w:right="1137" w:rightChars="0"/>
        <w:jc w:val="both"/>
        <w:rPr>
          <w:sz w:val="24"/>
        </w:rPr>
      </w:pPr>
      <w:r>
        <w:rPr>
          <w:rFonts w:hint="eastAsia"/>
          <w:spacing w:val="-3"/>
          <w:sz w:val="24"/>
          <w:lang w:val="en-US" w:eastAsia="zh-CN"/>
        </w:rPr>
        <w:t xml:space="preserve">9.3  </w:t>
      </w:r>
      <w:r>
        <w:rPr>
          <w:spacing w:val="-3"/>
          <w:sz w:val="24"/>
        </w:rPr>
        <w:t>供应商将在采购项目实施过程中采用自有或者第三方知识成果的，应当</w:t>
      </w:r>
      <w:r>
        <w:rPr>
          <w:spacing w:val="-8"/>
          <w:sz w:val="24"/>
        </w:rPr>
        <w:t>在响应文件中载明，并提供相关知识产权证明文件。使用该知识成果后，供应商</w:t>
      </w:r>
      <w:r>
        <w:rPr>
          <w:spacing w:val="-6"/>
          <w:sz w:val="24"/>
        </w:rPr>
        <w:t>需提供开发接口和开发手册等技术资料，并承诺提供无限期支持，采购人享有使</w:t>
      </w:r>
      <w:r>
        <w:rPr>
          <w:sz w:val="24"/>
        </w:rPr>
        <w:t>用权（含采购人委托第三方在该项目后续开发的使用权）。</w:t>
      </w:r>
    </w:p>
    <w:p>
      <w:pPr>
        <w:pStyle w:val="16"/>
        <w:numPr>
          <w:ilvl w:val="0"/>
          <w:numId w:val="0"/>
        </w:numPr>
        <w:tabs>
          <w:tab w:val="left" w:pos="2021"/>
        </w:tabs>
        <w:spacing w:before="2" w:line="364" w:lineRule="auto"/>
        <w:ind w:left="1540" w:leftChars="0" w:right="1137" w:rightChars="0"/>
        <w:jc w:val="both"/>
        <w:rPr>
          <w:sz w:val="24"/>
        </w:rPr>
      </w:pPr>
      <w:r>
        <w:rPr>
          <w:rFonts w:hint="eastAsia"/>
          <w:spacing w:val="-6"/>
          <w:sz w:val="24"/>
          <w:lang w:val="en-US" w:eastAsia="zh-CN"/>
        </w:rPr>
        <w:t xml:space="preserve">9.4   </w:t>
      </w:r>
      <w:r>
        <w:rPr>
          <w:spacing w:val="-6"/>
          <w:sz w:val="24"/>
        </w:rPr>
        <w:t>如采用供应商所不拥有的知识产权，则在报价中必须包括合法获取该知</w:t>
      </w:r>
      <w:r>
        <w:rPr>
          <w:sz w:val="24"/>
        </w:rPr>
        <w:t>识产权的相关费用。</w:t>
      </w:r>
    </w:p>
    <w:p>
      <w:pPr>
        <w:pStyle w:val="7"/>
      </w:pPr>
    </w:p>
    <w:p>
      <w:pPr>
        <w:pStyle w:val="7"/>
      </w:pPr>
    </w:p>
    <w:p>
      <w:pPr>
        <w:pStyle w:val="7"/>
        <w:spacing w:before="7"/>
        <w:rPr>
          <w:sz w:val="21"/>
        </w:rPr>
      </w:pPr>
    </w:p>
    <w:p>
      <w:pPr>
        <w:ind w:left="2661" w:right="2721"/>
        <w:jc w:val="center"/>
        <w:rPr>
          <w:b/>
          <w:sz w:val="32"/>
        </w:rPr>
      </w:pPr>
      <w:bookmarkStart w:id="11" w:name="三、磋商文件"/>
      <w:bookmarkEnd w:id="11"/>
      <w:r>
        <w:rPr>
          <w:b/>
          <w:sz w:val="32"/>
        </w:rPr>
        <w:t>三、磋商文件</w:t>
      </w:r>
    </w:p>
    <w:p>
      <w:pPr>
        <w:pStyle w:val="6"/>
        <w:numPr>
          <w:ilvl w:val="0"/>
          <w:numId w:val="6"/>
        </w:numPr>
        <w:tabs>
          <w:tab w:val="left" w:pos="1561"/>
        </w:tabs>
        <w:spacing w:before="188"/>
        <w:ind w:left="1561" w:hanging="481"/>
      </w:pPr>
      <w:bookmarkStart w:id="12" w:name="10．磋商文件的构成（实质性要求）"/>
      <w:bookmarkEnd w:id="12"/>
      <w:r>
        <w:t>磋商文件的构成（实质性要求）</w:t>
      </w:r>
    </w:p>
    <w:p>
      <w:pPr>
        <w:pStyle w:val="16"/>
        <w:numPr>
          <w:ilvl w:val="0"/>
          <w:numId w:val="0"/>
        </w:numPr>
        <w:tabs>
          <w:tab w:val="left" w:pos="2160"/>
        </w:tabs>
        <w:spacing w:line="360" w:lineRule="auto"/>
        <w:ind w:left="1560" w:leftChars="0" w:right="1045" w:rightChars="0"/>
        <w:rPr>
          <w:sz w:val="24"/>
        </w:rPr>
      </w:pPr>
      <w:r>
        <w:rPr>
          <w:rFonts w:hint="eastAsia"/>
          <w:sz w:val="24"/>
          <w:lang w:val="en-US" w:eastAsia="zh-CN"/>
        </w:rPr>
        <w:t xml:space="preserve">10.1  </w:t>
      </w:r>
      <w:r>
        <w:rPr>
          <w:sz w:val="24"/>
        </w:rPr>
        <w:t>磋商文件是供应商准备响应文件和参加磋商的依据，同时也是磋商的</w:t>
      </w:r>
      <w:r>
        <w:rPr>
          <w:spacing w:val="-1"/>
          <w:sz w:val="24"/>
        </w:rPr>
        <w:t>重要依据。磋商文件用以阐明磋商项目所需的资质、技术、服务及报价等要求、</w:t>
      </w:r>
      <w:r>
        <w:rPr>
          <w:sz w:val="24"/>
        </w:rPr>
        <w:t>磋商程序、有关规定和注意事项以及合同主要条款等。</w:t>
      </w:r>
    </w:p>
    <w:p>
      <w:pPr>
        <w:pStyle w:val="16"/>
        <w:numPr>
          <w:ilvl w:val="0"/>
          <w:numId w:val="0"/>
        </w:numPr>
        <w:tabs>
          <w:tab w:val="left" w:pos="2160"/>
        </w:tabs>
        <w:spacing w:before="1" w:line="360" w:lineRule="auto"/>
        <w:ind w:left="1560" w:leftChars="0" w:right="1167" w:rightChars="0"/>
      </w:pPr>
      <w:r>
        <w:rPr>
          <w:rFonts w:hint="eastAsia"/>
          <w:sz w:val="24"/>
          <w:lang w:val="en-US" w:eastAsia="zh-CN"/>
        </w:rPr>
        <w:t xml:space="preserve">10.2  </w:t>
      </w:r>
      <w:r>
        <w:rPr>
          <w:sz w:val="24"/>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7"/>
      </w:pPr>
    </w:p>
    <w:p>
      <w:pPr>
        <w:pStyle w:val="6"/>
        <w:numPr>
          <w:ilvl w:val="0"/>
          <w:numId w:val="6"/>
        </w:numPr>
        <w:tabs>
          <w:tab w:val="left" w:pos="1563"/>
        </w:tabs>
        <w:spacing w:before="163"/>
        <w:ind w:left="1562" w:hanging="483"/>
        <w:jc w:val="both"/>
      </w:pPr>
      <w:bookmarkStart w:id="13" w:name="11._磋商文件的澄清和修改"/>
      <w:bookmarkEnd w:id="13"/>
      <w:r>
        <w:t>磋商文件的澄清和修改</w:t>
      </w:r>
    </w:p>
    <w:p>
      <w:pPr>
        <w:pStyle w:val="7"/>
        <w:spacing w:before="160" w:line="364" w:lineRule="auto"/>
        <w:ind w:left="1080" w:right="1137" w:firstLine="480"/>
        <w:jc w:val="both"/>
      </w:pPr>
      <w:r>
        <w:rPr>
          <w:spacing w:val="-8"/>
        </w:rPr>
        <w:t>提交首次响应文件截止之日前，采购人、采购代理机构或者磋商小组可以对</w:t>
      </w:r>
      <w:r>
        <w:rPr>
          <w:spacing w:val="-6"/>
        </w:rPr>
        <w:t>已发出的磋商文件进行必要的澄清或者修改，澄清或者修改的内容作为磋商文件</w:t>
      </w:r>
      <w:r>
        <w:rPr>
          <w:spacing w:val="-9"/>
        </w:rPr>
        <w:t>的组成部分。澄清或者修改的内容可能影响响应文件编制的，采购人、采购代理</w:t>
      </w:r>
      <w:r>
        <w:rPr>
          <w:spacing w:val="-3"/>
        </w:rPr>
        <w:t xml:space="preserve">机构应当在提交首次响应文件截止时间至少 </w:t>
      </w:r>
      <w:r>
        <w:t>5</w:t>
      </w:r>
      <w:r>
        <w:rPr>
          <w:spacing w:val="-15"/>
        </w:rPr>
        <w:t xml:space="preserve"> 日前，以书面形式通知所有获取磋</w:t>
      </w:r>
    </w:p>
    <w:p>
      <w:pPr>
        <w:pStyle w:val="7"/>
        <w:spacing w:before="3" w:line="364" w:lineRule="auto"/>
        <w:ind w:left="1080" w:right="1137"/>
        <w:jc w:val="both"/>
      </w:pPr>
      <w:r>
        <w:rPr>
          <w:spacing w:val="-10"/>
        </w:rPr>
        <w:t xml:space="preserve">商文件的供应商；不足 </w:t>
      </w:r>
      <w:r>
        <w:t>5</w:t>
      </w:r>
      <w:r>
        <w:rPr>
          <w:spacing w:val="-13"/>
        </w:rPr>
        <w:t xml:space="preserve"> 日的，采购人、采购代理机构应当顺延提交首次响应文</w:t>
      </w:r>
      <w:r>
        <w:t>件截止时间。</w:t>
      </w:r>
    </w:p>
    <w:p>
      <w:pPr>
        <w:pStyle w:val="7"/>
      </w:pPr>
    </w:p>
    <w:p>
      <w:pPr>
        <w:pStyle w:val="6"/>
        <w:numPr>
          <w:ilvl w:val="0"/>
          <w:numId w:val="6"/>
        </w:numPr>
        <w:tabs>
          <w:tab w:val="left" w:pos="1563"/>
        </w:tabs>
        <w:spacing w:before="161"/>
        <w:ind w:left="1562" w:hanging="483"/>
        <w:jc w:val="both"/>
      </w:pPr>
      <w:bookmarkStart w:id="14" w:name="12._答疑会和现场考察"/>
      <w:bookmarkEnd w:id="14"/>
      <w:r>
        <w:t>答疑会和现场考察</w:t>
      </w:r>
    </w:p>
    <w:p>
      <w:pPr>
        <w:pStyle w:val="16"/>
        <w:numPr>
          <w:ilvl w:val="0"/>
          <w:numId w:val="0"/>
        </w:numPr>
        <w:tabs>
          <w:tab w:val="left" w:pos="2160"/>
        </w:tabs>
        <w:spacing w:line="364" w:lineRule="auto"/>
        <w:ind w:left="1560" w:leftChars="0" w:right="1137" w:rightChars="0"/>
        <w:jc w:val="both"/>
        <w:rPr>
          <w:sz w:val="24"/>
        </w:rPr>
      </w:pPr>
      <w:r>
        <w:rPr>
          <w:rFonts w:hint="eastAsia"/>
          <w:spacing w:val="-1"/>
          <w:sz w:val="24"/>
          <w:lang w:val="en-US" w:eastAsia="zh-CN"/>
        </w:rPr>
        <w:t xml:space="preserve">12.1  </w:t>
      </w:r>
      <w:r>
        <w:rPr>
          <w:spacing w:val="-1"/>
          <w:sz w:val="24"/>
        </w:rPr>
        <w:t>根据采购项目和具体情况，采购人、采购代理机构认为有必要，可以</w:t>
      </w:r>
      <w:r>
        <w:rPr>
          <w:spacing w:val="-6"/>
          <w:sz w:val="24"/>
        </w:rPr>
        <w:t>在磋商文件提供期限截止后响应文件提交截止前，组织已获取磋商文件的潜在供</w:t>
      </w:r>
      <w:r>
        <w:rPr>
          <w:sz w:val="24"/>
        </w:rPr>
        <w:t>应商现场考察或者召开答疑会。</w:t>
      </w:r>
    </w:p>
    <w:p>
      <w:pPr>
        <w:pStyle w:val="16"/>
        <w:numPr>
          <w:ilvl w:val="0"/>
          <w:numId w:val="0"/>
        </w:numPr>
        <w:tabs>
          <w:tab w:val="left" w:pos="2103"/>
        </w:tabs>
        <w:spacing w:before="2" w:line="364" w:lineRule="auto"/>
        <w:ind w:left="1560" w:leftChars="0" w:right="1137" w:rightChars="0"/>
        <w:jc w:val="both"/>
        <w:rPr>
          <w:sz w:val="24"/>
        </w:rPr>
      </w:pPr>
      <w:r>
        <w:rPr>
          <w:rFonts w:hint="eastAsia"/>
          <w:sz w:val="24"/>
          <w:lang w:val="en-US" w:eastAsia="zh-CN"/>
        </w:rPr>
        <w:t xml:space="preserve">12.2  </w:t>
      </w:r>
      <w:r>
        <w:rPr>
          <w:sz w:val="24"/>
        </w:rPr>
        <w:t>采购人、采购代理机构组织现场考察或者召开答疑会的，将以书面形</w:t>
      </w:r>
      <w:r>
        <w:rPr>
          <w:spacing w:val="-6"/>
          <w:sz w:val="24"/>
        </w:rPr>
        <w:t>式通知所有获取磋商文件的潜在供应商。供应商接到通知后，不按照要求参加现</w:t>
      </w:r>
      <w:r>
        <w:rPr>
          <w:spacing w:val="-7"/>
          <w:sz w:val="24"/>
        </w:rPr>
        <w:t>场考察或者答疑会的，视同放弃参加现场考察或者答疑的权利，采购人、采购代</w:t>
      </w:r>
      <w:r>
        <w:rPr>
          <w:spacing w:val="-8"/>
          <w:sz w:val="24"/>
        </w:rPr>
        <w:t>理机构不再对该供应商重新组织，但也不会以此限制供应商提交响应文件或者以</w:t>
      </w:r>
      <w:r>
        <w:rPr>
          <w:sz w:val="24"/>
        </w:rPr>
        <w:t>此将供应商响应文件直接作为无效处理。</w:t>
      </w:r>
    </w:p>
    <w:p>
      <w:pPr>
        <w:pStyle w:val="16"/>
        <w:numPr>
          <w:ilvl w:val="0"/>
          <w:numId w:val="0"/>
        </w:numPr>
        <w:tabs>
          <w:tab w:val="left" w:pos="2112"/>
        </w:tabs>
        <w:spacing w:before="0" w:line="231" w:lineRule="exact"/>
        <w:ind w:left="1500" w:leftChars="0"/>
      </w:pPr>
      <w:r>
        <w:rPr>
          <w:rFonts w:hint="eastAsia"/>
          <w:spacing w:val="8"/>
          <w:sz w:val="24"/>
          <w:lang w:val="en-US" w:eastAsia="zh-CN"/>
        </w:rPr>
        <w:t xml:space="preserve">12.3 </w:t>
      </w:r>
      <w:r>
        <w:rPr>
          <w:spacing w:val="8"/>
          <w:sz w:val="24"/>
        </w:rPr>
        <w:t>供应商考察现场或者参加答疑会所发生的一切费用由供应商自己承</w:t>
      </w:r>
      <w:r>
        <w:t>担。</w:t>
      </w:r>
    </w:p>
    <w:p>
      <w:pPr>
        <w:pStyle w:val="7"/>
      </w:pPr>
    </w:p>
    <w:p>
      <w:pPr>
        <w:pStyle w:val="7"/>
        <w:rPr>
          <w:sz w:val="21"/>
        </w:rPr>
      </w:pPr>
    </w:p>
    <w:p>
      <w:pPr>
        <w:ind w:left="2661" w:right="2721"/>
        <w:jc w:val="center"/>
        <w:rPr>
          <w:b/>
          <w:sz w:val="32"/>
        </w:rPr>
      </w:pPr>
      <w:bookmarkStart w:id="15" w:name="四、响应文件"/>
      <w:bookmarkEnd w:id="15"/>
      <w:r>
        <w:rPr>
          <w:b/>
          <w:sz w:val="32"/>
        </w:rPr>
        <w:t>四、响应文件</w:t>
      </w:r>
    </w:p>
    <w:p>
      <w:pPr>
        <w:pStyle w:val="7"/>
        <w:rPr>
          <w:b/>
          <w:sz w:val="32"/>
        </w:rPr>
      </w:pPr>
    </w:p>
    <w:p>
      <w:pPr>
        <w:pStyle w:val="6"/>
        <w:numPr>
          <w:ilvl w:val="0"/>
          <w:numId w:val="6"/>
        </w:numPr>
        <w:tabs>
          <w:tab w:val="left" w:pos="1444"/>
        </w:tabs>
        <w:spacing w:before="244"/>
        <w:ind w:left="1443" w:hanging="364"/>
      </w:pPr>
      <w:bookmarkStart w:id="16" w:name="13.响应文件的组成（实质性要求）"/>
      <w:bookmarkEnd w:id="16"/>
      <w:r>
        <w:t>响应文件的组成（实质性要求）</w:t>
      </w:r>
    </w:p>
    <w:p>
      <w:pPr>
        <w:pStyle w:val="7"/>
        <w:spacing w:before="161" w:line="364" w:lineRule="auto"/>
        <w:ind w:left="1082" w:right="1137" w:firstLine="480"/>
      </w:pPr>
      <w:r>
        <w:rPr>
          <w:spacing w:val="-6"/>
        </w:rPr>
        <w:t>供应商应按照磋商文件的规定和要求编制响应文件。</w:t>
      </w:r>
      <w:r>
        <w:rPr>
          <w:rFonts w:hint="eastAsia"/>
          <w:spacing w:val="-6"/>
        </w:rPr>
        <w:t>对竞争性磋商文件提出的要求和条件做出实质性响应。</w:t>
      </w:r>
      <w:r>
        <w:t>供应商编写的响应文件应包括资格性响应文件和其他响应文件两部分，分册装订。</w:t>
      </w:r>
    </w:p>
    <w:p>
      <w:pPr>
        <w:pStyle w:val="7"/>
      </w:pPr>
    </w:p>
    <w:p>
      <w:pPr>
        <w:pStyle w:val="6"/>
        <w:numPr>
          <w:ilvl w:val="0"/>
          <w:numId w:val="6"/>
        </w:numPr>
        <w:tabs>
          <w:tab w:val="left" w:pos="1444"/>
        </w:tabs>
        <w:spacing w:before="162"/>
        <w:ind w:left="1443" w:hanging="364"/>
      </w:pPr>
      <w:bookmarkStart w:id="17" w:name="14.响应文件的语言（实质性要求）"/>
      <w:bookmarkEnd w:id="17"/>
      <w:r>
        <w:t>响应文件的语言（实质性要求）</w:t>
      </w:r>
    </w:p>
    <w:p>
      <w:pPr>
        <w:pStyle w:val="16"/>
        <w:numPr>
          <w:ilvl w:val="0"/>
          <w:numId w:val="0"/>
        </w:numPr>
        <w:tabs>
          <w:tab w:val="left" w:pos="2160"/>
        </w:tabs>
        <w:spacing w:line="364" w:lineRule="auto"/>
        <w:ind w:left="1560" w:leftChars="0" w:right="1137" w:rightChars="0"/>
        <w:jc w:val="both"/>
        <w:rPr>
          <w:sz w:val="24"/>
        </w:rPr>
      </w:pPr>
      <w:r>
        <w:rPr>
          <w:rFonts w:hint="eastAsia"/>
          <w:spacing w:val="-1"/>
          <w:sz w:val="24"/>
          <w:lang w:val="en-US" w:eastAsia="zh-CN"/>
        </w:rPr>
        <w:t xml:space="preserve">14.1  </w:t>
      </w:r>
      <w:r>
        <w:rPr>
          <w:spacing w:val="-1"/>
          <w:sz w:val="24"/>
        </w:rPr>
        <w:t>供应商提交的响应文件以及供应商与采购人、采购代理机构就有关报</w:t>
      </w:r>
      <w:r>
        <w:rPr>
          <w:spacing w:val="-6"/>
          <w:sz w:val="24"/>
        </w:rPr>
        <w:t>价的所有来往书面文件均须使用中文。响应文件中如附有外文资料，必须逐一对</w:t>
      </w:r>
      <w:r>
        <w:rPr>
          <w:spacing w:val="-5"/>
          <w:sz w:val="24"/>
        </w:rPr>
        <w:t>应翻译成中文并加盖供应商公章后附在相关外文资料后面，否则，供应商的响应文件将作为无效处理。</w:t>
      </w:r>
      <w:r>
        <w:rPr>
          <w:spacing w:val="-3"/>
          <w:sz w:val="24"/>
        </w:rPr>
        <w:t>（</w:t>
      </w:r>
      <w:r>
        <w:rPr>
          <w:spacing w:val="-7"/>
          <w:sz w:val="24"/>
        </w:rPr>
        <w:t>说明：供应商的法定代表人为外籍人士的，法定代表人</w:t>
      </w:r>
      <w:r>
        <w:rPr>
          <w:sz w:val="24"/>
        </w:rPr>
        <w:t>的签字和护照除外。）</w:t>
      </w:r>
    </w:p>
    <w:p>
      <w:pPr>
        <w:pStyle w:val="16"/>
        <w:numPr>
          <w:ilvl w:val="0"/>
          <w:numId w:val="0"/>
        </w:numPr>
        <w:tabs>
          <w:tab w:val="left" w:pos="2160"/>
        </w:tabs>
        <w:spacing w:before="3" w:line="364" w:lineRule="auto"/>
        <w:ind w:left="1560" w:leftChars="0" w:right="1140" w:rightChars="0"/>
        <w:jc w:val="both"/>
        <w:rPr>
          <w:sz w:val="24"/>
        </w:rPr>
      </w:pPr>
      <w:r>
        <w:rPr>
          <w:rFonts w:hint="eastAsia"/>
          <w:spacing w:val="-1"/>
          <w:sz w:val="24"/>
          <w:lang w:val="en-US" w:eastAsia="zh-CN"/>
        </w:rPr>
        <w:t xml:space="preserve">14.2  </w:t>
      </w:r>
      <w:r>
        <w:rPr>
          <w:spacing w:val="-1"/>
          <w:sz w:val="24"/>
        </w:rPr>
        <w:t>翻译的中文资料与外文资料如果出现差异和矛盾，以中文为准。但不</w:t>
      </w:r>
      <w:r>
        <w:rPr>
          <w:sz w:val="24"/>
        </w:rPr>
        <w:t>能故意错误翻译，否则，供应商的响应文件将作为无效处理。</w:t>
      </w:r>
    </w:p>
    <w:p>
      <w:pPr>
        <w:pStyle w:val="6"/>
        <w:numPr>
          <w:ilvl w:val="0"/>
          <w:numId w:val="6"/>
        </w:numPr>
        <w:tabs>
          <w:tab w:val="left" w:pos="1561"/>
        </w:tabs>
        <w:spacing w:before="161"/>
        <w:ind w:left="1561" w:hanging="481"/>
      </w:pPr>
      <w:bookmarkStart w:id="18" w:name="15．计量单位（实质性要求）"/>
      <w:bookmarkEnd w:id="18"/>
      <w:r>
        <w:t>计量单位（实质性要求）</w:t>
      </w:r>
    </w:p>
    <w:p>
      <w:pPr>
        <w:pStyle w:val="7"/>
        <w:spacing w:before="161" w:line="364" w:lineRule="auto"/>
        <w:ind w:left="1080" w:right="1137" w:firstLine="470"/>
      </w:pPr>
      <w:r>
        <w:rPr>
          <w:spacing w:val="-9"/>
        </w:rPr>
        <w:t>除磋商文件中另有规定外，本次采购项目所有合同项下的报价均采用国家法</w:t>
      </w:r>
      <w:r>
        <w:t>定的计量单位。</w:t>
      </w:r>
    </w:p>
    <w:p>
      <w:pPr>
        <w:pStyle w:val="6"/>
        <w:numPr>
          <w:ilvl w:val="0"/>
          <w:numId w:val="6"/>
        </w:numPr>
        <w:tabs>
          <w:tab w:val="left" w:pos="1563"/>
        </w:tabs>
        <w:spacing w:before="161"/>
        <w:ind w:left="1562" w:hanging="483"/>
      </w:pPr>
      <w:r>
        <w:t>报价货币（实质性要求）</w:t>
      </w:r>
    </w:p>
    <w:p>
      <w:pPr>
        <w:pStyle w:val="7"/>
        <w:spacing w:before="161"/>
        <w:ind w:left="1548"/>
      </w:pPr>
      <w:r>
        <w:t>本次磋商项目的报价货币为人民币，报价以磋商文件规定为准。</w:t>
      </w:r>
    </w:p>
    <w:p>
      <w:pPr>
        <w:pStyle w:val="7"/>
        <w:rPr>
          <w:sz w:val="25"/>
        </w:rPr>
      </w:pPr>
    </w:p>
    <w:p>
      <w:pPr>
        <w:pStyle w:val="6"/>
        <w:numPr>
          <w:ilvl w:val="0"/>
          <w:numId w:val="6"/>
        </w:numPr>
        <w:tabs>
          <w:tab w:val="left" w:pos="1444"/>
        </w:tabs>
        <w:spacing w:before="1"/>
        <w:ind w:left="1443" w:hanging="364"/>
      </w:pPr>
      <w:r>
        <w:t>响应文件格式</w:t>
      </w:r>
    </w:p>
    <w:p>
      <w:pPr>
        <w:pStyle w:val="16"/>
        <w:numPr>
          <w:ilvl w:val="0"/>
          <w:numId w:val="0"/>
        </w:numPr>
        <w:tabs>
          <w:tab w:val="left" w:pos="2163"/>
        </w:tabs>
        <w:spacing w:before="160"/>
        <w:ind w:left="1561" w:leftChars="0"/>
        <w:jc w:val="both"/>
        <w:rPr>
          <w:sz w:val="24"/>
        </w:rPr>
      </w:pPr>
      <w:r>
        <w:rPr>
          <w:rFonts w:hint="eastAsia"/>
          <w:sz w:val="24"/>
          <w:lang w:val="en-US" w:eastAsia="zh-CN"/>
        </w:rPr>
        <w:t xml:space="preserve">17.1  </w:t>
      </w:r>
      <w:r>
        <w:rPr>
          <w:sz w:val="24"/>
        </w:rPr>
        <w:t>供应商应执行磋商文件第六章的规定要求。</w:t>
      </w:r>
    </w:p>
    <w:p>
      <w:pPr>
        <w:pStyle w:val="16"/>
        <w:numPr>
          <w:ilvl w:val="0"/>
          <w:numId w:val="0"/>
        </w:numPr>
        <w:tabs>
          <w:tab w:val="left" w:pos="2163"/>
        </w:tabs>
        <w:spacing w:line="364" w:lineRule="auto"/>
        <w:ind w:left="1562" w:leftChars="0" w:right="3081" w:rightChars="0"/>
        <w:jc w:val="both"/>
        <w:rPr>
          <w:b/>
          <w:sz w:val="24"/>
        </w:rPr>
      </w:pPr>
      <w:r>
        <w:rPr>
          <w:rFonts w:hint="eastAsia"/>
          <w:spacing w:val="-1"/>
          <w:sz w:val="24"/>
          <w:lang w:val="en-US" w:eastAsia="zh-CN"/>
        </w:rPr>
        <w:t xml:space="preserve">17.2  </w:t>
      </w:r>
      <w:r>
        <w:rPr>
          <w:spacing w:val="-1"/>
          <w:sz w:val="24"/>
        </w:rPr>
        <w:t>对于没有格式要求的磋商文件由供应商自行写。</w:t>
      </w:r>
      <w:r>
        <w:rPr>
          <w:b/>
          <w:sz w:val="24"/>
        </w:rPr>
        <w:t>18.响应文件的编制和签署</w:t>
      </w:r>
    </w:p>
    <w:p>
      <w:pPr>
        <w:pStyle w:val="16"/>
        <w:numPr>
          <w:ilvl w:val="1"/>
          <w:numId w:val="7"/>
        </w:numPr>
        <w:tabs>
          <w:tab w:val="left" w:pos="2148"/>
        </w:tabs>
        <w:spacing w:before="1" w:line="364" w:lineRule="auto"/>
        <w:ind w:right="1137" w:firstLine="468"/>
        <w:jc w:val="both"/>
        <w:rPr>
          <w:sz w:val="24"/>
        </w:rPr>
      </w:pPr>
      <w:r>
        <w:rPr>
          <w:rFonts w:hint="eastAsia"/>
          <w:sz w:val="24"/>
          <w:lang w:val="en-US" w:eastAsia="zh-CN"/>
        </w:rPr>
        <w:t xml:space="preserve"> </w:t>
      </w:r>
      <w:r>
        <w:rPr>
          <w:sz w:val="24"/>
        </w:rPr>
        <w:t>资格性响应文件正本壹份副本贰份，并在其封面上清楚地标明资格性</w:t>
      </w:r>
      <w:r>
        <w:rPr>
          <w:spacing w:val="-7"/>
          <w:sz w:val="24"/>
        </w:rPr>
        <w:t>响应文件、采购项目名称、采购项目编号、包件号及名称</w:t>
      </w:r>
      <w:r>
        <w:rPr>
          <w:spacing w:val="-3"/>
          <w:sz w:val="24"/>
        </w:rPr>
        <w:t>（</w:t>
      </w:r>
      <w:r>
        <w:rPr>
          <w:sz w:val="24"/>
        </w:rPr>
        <w:t>若有</w:t>
      </w:r>
      <w:r>
        <w:rPr>
          <w:spacing w:val="-15"/>
          <w:sz w:val="24"/>
        </w:rPr>
        <w:t>）</w:t>
      </w:r>
      <w:r>
        <w:rPr>
          <w:spacing w:val="-6"/>
          <w:sz w:val="24"/>
        </w:rPr>
        <w:t>、供应商名称</w:t>
      </w:r>
      <w:r>
        <w:rPr>
          <w:spacing w:val="-12"/>
          <w:sz w:val="24"/>
        </w:rPr>
        <w:t>以及“正本”或“副本”字样。若正本和副本有不一致的内容，以正本书面响应</w:t>
      </w:r>
      <w:r>
        <w:rPr>
          <w:sz w:val="24"/>
        </w:rPr>
        <w:t>文件为准。</w:t>
      </w:r>
    </w:p>
    <w:p>
      <w:pPr>
        <w:pStyle w:val="16"/>
        <w:numPr>
          <w:ilvl w:val="1"/>
          <w:numId w:val="7"/>
        </w:numPr>
        <w:tabs>
          <w:tab w:val="left" w:pos="2148"/>
        </w:tabs>
        <w:spacing w:before="2" w:line="364" w:lineRule="auto"/>
        <w:ind w:right="1137" w:firstLine="468"/>
        <w:jc w:val="both"/>
      </w:pPr>
      <w:r>
        <w:rPr>
          <w:rFonts w:hint="eastAsia"/>
          <w:sz w:val="24"/>
          <w:lang w:val="en-US" w:eastAsia="zh-CN"/>
        </w:rPr>
        <w:t xml:space="preserve"> </w:t>
      </w:r>
      <w:r>
        <w:rPr>
          <w:sz w:val="24"/>
        </w:rPr>
        <w:t>其他响应文件正本壹份副本贰份，并在其封面上清楚地标明其他响应</w:t>
      </w:r>
      <w:r>
        <w:rPr>
          <w:spacing w:val="-8"/>
          <w:sz w:val="24"/>
        </w:rPr>
        <w:t>文件、采购项目名称、采购项目编号、包件号及名称</w:t>
      </w:r>
      <w:r>
        <w:rPr>
          <w:spacing w:val="-3"/>
          <w:sz w:val="24"/>
        </w:rPr>
        <w:t>（</w:t>
      </w:r>
      <w:r>
        <w:rPr>
          <w:sz w:val="24"/>
        </w:rPr>
        <w:t>若有</w:t>
      </w:r>
      <w:r>
        <w:rPr>
          <w:spacing w:val="-15"/>
          <w:sz w:val="24"/>
        </w:rPr>
        <w:t>）</w:t>
      </w:r>
      <w:r>
        <w:rPr>
          <w:spacing w:val="-6"/>
          <w:sz w:val="24"/>
        </w:rPr>
        <w:t>、供应商名称以及</w:t>
      </w:r>
      <w:r>
        <w:rPr>
          <w:spacing w:val="-12"/>
        </w:rPr>
        <w:t>“正本”或“副本”字样。若正本和副本有不一致的内容，以正本书面响应文件</w:t>
      </w:r>
      <w:r>
        <w:t>为准。</w:t>
      </w:r>
    </w:p>
    <w:p>
      <w:pPr>
        <w:pStyle w:val="16"/>
        <w:numPr>
          <w:ilvl w:val="1"/>
          <w:numId w:val="7"/>
        </w:numPr>
        <w:tabs>
          <w:tab w:val="left" w:pos="2148"/>
        </w:tabs>
        <w:spacing w:before="2" w:line="364" w:lineRule="auto"/>
        <w:ind w:right="1140" w:firstLine="468"/>
        <w:jc w:val="both"/>
        <w:rPr>
          <w:sz w:val="24"/>
        </w:rPr>
      </w:pPr>
      <w:r>
        <w:rPr>
          <w:rFonts w:hint="eastAsia"/>
          <w:spacing w:val="-1"/>
          <w:sz w:val="24"/>
          <w:lang w:val="en-US" w:eastAsia="zh-CN"/>
        </w:rPr>
        <w:t xml:space="preserve"> </w:t>
      </w:r>
      <w:r>
        <w:rPr>
          <w:spacing w:val="-1"/>
          <w:sz w:val="24"/>
        </w:rPr>
        <w:t>响应文件正本和副本均需在规定签章处签字和盖章。响应文件副本可</w:t>
      </w:r>
      <w:r>
        <w:rPr>
          <w:spacing w:val="-4"/>
          <w:sz w:val="24"/>
        </w:rPr>
        <w:t xml:space="preserve">采用正本的复印件，电子文档采用 </w:t>
      </w:r>
      <w:r>
        <w:rPr>
          <w:sz w:val="24"/>
        </w:rPr>
        <w:t>U</w:t>
      </w:r>
      <w:r>
        <w:rPr>
          <w:spacing w:val="-8"/>
          <w:sz w:val="24"/>
        </w:rPr>
        <w:t xml:space="preserve"> 盘或光盘制作。</w:t>
      </w:r>
    </w:p>
    <w:p>
      <w:pPr>
        <w:pStyle w:val="16"/>
        <w:numPr>
          <w:ilvl w:val="1"/>
          <w:numId w:val="7"/>
        </w:numPr>
        <w:tabs>
          <w:tab w:val="left" w:pos="2091"/>
        </w:tabs>
        <w:spacing w:before="1" w:line="364" w:lineRule="auto"/>
        <w:ind w:right="1140" w:firstLine="468"/>
        <w:jc w:val="both"/>
        <w:rPr>
          <w:sz w:val="24"/>
        </w:rPr>
      </w:pPr>
      <w:r>
        <w:rPr>
          <w:sz w:val="24"/>
        </w:rPr>
        <w:t>响应文件的打印和书写应清楚工整，任何行间插字、涂改或增删，必须由供应商的法定代表人或其授权代表签字并盖供应商公章。</w:t>
      </w:r>
    </w:p>
    <w:p>
      <w:pPr>
        <w:pStyle w:val="7"/>
        <w:spacing w:before="1" w:line="364" w:lineRule="auto"/>
        <w:ind w:left="1080" w:right="1132" w:firstLine="468"/>
        <w:jc w:val="both"/>
      </w:pPr>
      <w:r>
        <w:rPr>
          <w:spacing w:val="-9"/>
        </w:rPr>
        <w:t>18.5</w:t>
      </w:r>
      <w:r>
        <w:rPr>
          <w:rFonts w:hint="eastAsia"/>
          <w:spacing w:val="-9"/>
          <w:lang w:val="en-US" w:eastAsia="zh-CN"/>
        </w:rPr>
        <w:t xml:space="preserve"> </w:t>
      </w:r>
      <w:r>
        <w:rPr>
          <w:b/>
          <w:spacing w:val="-9"/>
        </w:rPr>
        <w:t>（</w:t>
      </w:r>
      <w:r>
        <w:rPr>
          <w:b/>
        </w:rPr>
        <w:t>实质性要求</w:t>
      </w:r>
      <w:r>
        <w:rPr>
          <w:b/>
          <w:spacing w:val="-44"/>
        </w:rPr>
        <w:t>）</w:t>
      </w:r>
      <w:r>
        <w:rPr>
          <w:spacing w:val="-1"/>
        </w:rPr>
        <w:t>响应文件应由供应商法定代表人或其授权代表在响应文</w:t>
      </w:r>
      <w:r>
        <w:rPr>
          <w:spacing w:val="-3"/>
        </w:rPr>
        <w:t>件要求的地方签字</w:t>
      </w:r>
      <w:r>
        <w:t>（或加盖私人印章</w:t>
      </w:r>
      <w:r>
        <w:rPr>
          <w:spacing w:val="-23"/>
        </w:rPr>
        <w:t>）</w:t>
      </w:r>
      <w:r>
        <w:rPr>
          <w:spacing w:val="-8"/>
        </w:rPr>
        <w:t>，要求加盖公章的地方加盖单位公章，不</w:t>
      </w:r>
      <w:r>
        <w:t>得使用专用章（如经济合同章、投标专用章等）或下属单位印章代替。</w:t>
      </w:r>
    </w:p>
    <w:p>
      <w:pPr>
        <w:pStyle w:val="7"/>
        <w:spacing w:before="2"/>
        <w:ind w:left="1548"/>
        <w:jc w:val="both"/>
      </w:pPr>
      <w:r>
        <w:t>18.6</w:t>
      </w:r>
      <w:r>
        <w:rPr>
          <w:rFonts w:hint="eastAsia"/>
          <w:lang w:val="en-US" w:eastAsia="zh-CN"/>
        </w:rPr>
        <w:t xml:space="preserve"> </w:t>
      </w:r>
      <w:r>
        <w:t xml:space="preserve"> 响应文件正本和副本需要逐页编目编码。</w:t>
      </w:r>
    </w:p>
    <w:p>
      <w:pPr>
        <w:pStyle w:val="7"/>
        <w:spacing w:before="160" w:line="364" w:lineRule="auto"/>
        <w:ind w:left="1080" w:right="1057" w:firstLine="460"/>
      </w:pPr>
      <w:r>
        <w:t>18.7</w:t>
      </w:r>
      <w:r>
        <w:rPr>
          <w:rFonts w:hint="eastAsia"/>
          <w:lang w:val="en-US" w:eastAsia="zh-CN"/>
        </w:rPr>
        <w:t xml:space="preserve"> </w:t>
      </w:r>
      <w:r>
        <w:rPr>
          <w:b/>
        </w:rPr>
        <w:t>（实质性要求）</w:t>
      </w:r>
      <w:r>
        <w:t>响应文件正本和副本应当采用胶装方式装订成册，不得散装或者合页装订。</w:t>
      </w:r>
    </w:p>
    <w:p>
      <w:pPr>
        <w:pStyle w:val="7"/>
        <w:spacing w:before="1" w:line="364" w:lineRule="auto"/>
        <w:ind w:left="1080" w:right="1130" w:firstLine="460"/>
      </w:pPr>
      <w:r>
        <w:rPr>
          <w:spacing w:val="-11"/>
        </w:rPr>
        <w:t>18.8</w:t>
      </w:r>
      <w:r>
        <w:rPr>
          <w:rFonts w:hint="eastAsia"/>
          <w:spacing w:val="-11"/>
          <w:lang w:val="en-US" w:eastAsia="zh-CN"/>
        </w:rPr>
        <w:t xml:space="preserve"> </w:t>
      </w:r>
      <w:r>
        <w:rPr>
          <w:b/>
          <w:spacing w:val="-11"/>
        </w:rPr>
        <w:t>（</w:t>
      </w:r>
      <w:r>
        <w:rPr>
          <w:b/>
        </w:rPr>
        <w:t>实质性要求</w:t>
      </w:r>
      <w:r>
        <w:rPr>
          <w:b/>
          <w:spacing w:val="-56"/>
        </w:rPr>
        <w:t>）</w:t>
      </w:r>
      <w:r>
        <w:rPr>
          <w:spacing w:val="-12"/>
        </w:rPr>
        <w:t>响应文件应根据磋商文件的要求制作，签署、盖章。</w:t>
      </w:r>
      <w:r>
        <w:t>（</w:t>
      </w:r>
      <w:r>
        <w:rPr>
          <w:spacing w:val="-11"/>
        </w:rPr>
        <w:t>按</w:t>
      </w:r>
      <w:r>
        <w:t>照《四川省政府采购评审工作规程（修订）》规范）</w:t>
      </w:r>
    </w:p>
    <w:p>
      <w:pPr>
        <w:pStyle w:val="7"/>
        <w:spacing w:before="2"/>
        <w:ind w:left="1540"/>
      </w:pPr>
      <w:r>
        <w:t xml:space="preserve">18.9 </w:t>
      </w:r>
      <w:r>
        <w:rPr>
          <w:rFonts w:hint="eastAsia"/>
          <w:lang w:val="en-US" w:eastAsia="zh-CN"/>
        </w:rPr>
        <w:t xml:space="preserve"> </w:t>
      </w:r>
      <w:r>
        <w:t>响应文件统一用 A4 幅面纸印制，除另有规定外。</w:t>
      </w:r>
    </w:p>
    <w:p>
      <w:pPr>
        <w:pStyle w:val="7"/>
        <w:rPr>
          <w:sz w:val="25"/>
        </w:rPr>
      </w:pPr>
    </w:p>
    <w:p>
      <w:pPr>
        <w:pStyle w:val="6"/>
        <w:numPr>
          <w:ilvl w:val="0"/>
          <w:numId w:val="8"/>
        </w:numPr>
        <w:tabs>
          <w:tab w:val="left" w:pos="1444"/>
        </w:tabs>
        <w:spacing w:line="364" w:lineRule="auto"/>
        <w:ind w:right="1106" w:firstLine="0"/>
      </w:pPr>
      <w:r>
        <w:t>响应文件的密封和标注（不属于本项目磋商小组评审范畴，由采购人、采购代理机构在接收响应文件时及时处理）</w:t>
      </w:r>
    </w:p>
    <w:p>
      <w:pPr>
        <w:pStyle w:val="16"/>
        <w:numPr>
          <w:ilvl w:val="1"/>
          <w:numId w:val="8"/>
        </w:numPr>
        <w:tabs>
          <w:tab w:val="left" w:pos="2141"/>
        </w:tabs>
        <w:spacing w:before="2" w:line="364" w:lineRule="auto"/>
        <w:ind w:right="1140" w:firstLine="460"/>
        <w:rPr>
          <w:sz w:val="24"/>
        </w:rPr>
      </w:pPr>
      <w:r>
        <w:rPr>
          <w:rFonts w:hint="eastAsia"/>
          <w:spacing w:val="-1"/>
          <w:sz w:val="24"/>
          <w:lang w:val="en-US" w:eastAsia="zh-CN"/>
        </w:rPr>
        <w:t xml:space="preserve"> </w:t>
      </w:r>
      <w:r>
        <w:rPr>
          <w:spacing w:val="-1"/>
          <w:sz w:val="24"/>
        </w:rPr>
        <w:t>响应文件可以单独密封包装，也可以所有响应文件密封包装在一个密</w:t>
      </w:r>
      <w:r>
        <w:rPr>
          <w:sz w:val="24"/>
        </w:rPr>
        <w:t>封袋内。</w:t>
      </w:r>
    </w:p>
    <w:p>
      <w:pPr>
        <w:pStyle w:val="16"/>
        <w:numPr>
          <w:ilvl w:val="1"/>
          <w:numId w:val="8"/>
        </w:numPr>
        <w:tabs>
          <w:tab w:val="left" w:pos="2141"/>
        </w:tabs>
        <w:spacing w:before="1" w:line="364" w:lineRule="auto"/>
        <w:ind w:right="1017" w:firstLine="460"/>
        <w:rPr>
          <w:sz w:val="24"/>
        </w:rPr>
      </w:pPr>
      <w:r>
        <w:rPr>
          <w:rFonts w:hint="eastAsia"/>
          <w:spacing w:val="-5"/>
          <w:sz w:val="24"/>
          <w:lang w:val="en-US" w:eastAsia="zh-CN"/>
        </w:rPr>
        <w:t xml:space="preserve"> </w:t>
      </w:r>
      <w:r>
        <w:rPr>
          <w:spacing w:val="-5"/>
          <w:sz w:val="24"/>
        </w:rPr>
        <w:t>响应文件密封袋的最外层应清楚地标明采购项目名称、采购项目编号、</w:t>
      </w:r>
      <w:r>
        <w:rPr>
          <w:sz w:val="24"/>
        </w:rPr>
        <w:t>包件号及名称（若有）、供应商名称。</w:t>
      </w:r>
    </w:p>
    <w:p>
      <w:pPr>
        <w:pStyle w:val="16"/>
        <w:numPr>
          <w:ilvl w:val="1"/>
          <w:numId w:val="8"/>
        </w:numPr>
        <w:tabs>
          <w:tab w:val="left" w:pos="2141"/>
        </w:tabs>
        <w:spacing w:before="1"/>
        <w:ind w:left="2140" w:hanging="601"/>
        <w:rPr>
          <w:sz w:val="24"/>
        </w:rPr>
      </w:pPr>
      <w:r>
        <w:rPr>
          <w:rFonts w:hint="eastAsia"/>
          <w:sz w:val="24"/>
          <w:lang w:val="en-US" w:eastAsia="zh-CN"/>
        </w:rPr>
        <w:t xml:space="preserve"> </w:t>
      </w:r>
      <w:r>
        <w:rPr>
          <w:sz w:val="24"/>
        </w:rPr>
        <w:t>所有外层密封袋的封口处应粘贴牢固。</w:t>
      </w:r>
    </w:p>
    <w:p>
      <w:pPr>
        <w:pStyle w:val="16"/>
        <w:numPr>
          <w:ilvl w:val="1"/>
          <w:numId w:val="8"/>
        </w:numPr>
        <w:tabs>
          <w:tab w:val="left" w:pos="2141"/>
        </w:tabs>
        <w:spacing w:before="160" w:line="364" w:lineRule="auto"/>
        <w:ind w:right="1140" w:firstLine="460"/>
        <w:rPr>
          <w:sz w:val="24"/>
        </w:rPr>
      </w:pPr>
      <w:r>
        <w:rPr>
          <w:rFonts w:hint="eastAsia"/>
          <w:spacing w:val="-1"/>
          <w:sz w:val="24"/>
          <w:lang w:val="en-US" w:eastAsia="zh-CN"/>
        </w:rPr>
        <w:t xml:space="preserve"> </w:t>
      </w:r>
      <w:r>
        <w:rPr>
          <w:spacing w:val="-1"/>
          <w:sz w:val="24"/>
        </w:rPr>
        <w:t>未按以上要求进行密封和标注的响应文件，采购人、采购代理机构将</w:t>
      </w:r>
      <w:r>
        <w:rPr>
          <w:sz w:val="24"/>
        </w:rPr>
        <w:t>拒收或者在时间允许的范围内，要求修改完善后接收。</w:t>
      </w:r>
    </w:p>
    <w:p>
      <w:pPr>
        <w:pStyle w:val="6"/>
        <w:numPr>
          <w:ilvl w:val="0"/>
          <w:numId w:val="8"/>
        </w:numPr>
        <w:tabs>
          <w:tab w:val="left" w:pos="1444"/>
        </w:tabs>
        <w:spacing w:before="162"/>
        <w:ind w:left="1443"/>
      </w:pPr>
      <w:r>
        <w:t>响应文件的递交</w:t>
      </w:r>
    </w:p>
    <w:p>
      <w:pPr>
        <w:pStyle w:val="16"/>
        <w:numPr>
          <w:ilvl w:val="1"/>
          <w:numId w:val="8"/>
        </w:numPr>
        <w:tabs>
          <w:tab w:val="left" w:pos="2141"/>
        </w:tabs>
        <w:spacing w:line="364" w:lineRule="auto"/>
        <w:ind w:right="1140" w:firstLine="460"/>
        <w:rPr>
          <w:sz w:val="24"/>
        </w:rPr>
      </w:pPr>
      <w:r>
        <w:rPr>
          <w:rFonts w:hint="eastAsia"/>
          <w:spacing w:val="-1"/>
          <w:sz w:val="24"/>
          <w:lang w:val="en-US" w:eastAsia="zh-CN"/>
        </w:rPr>
        <w:t xml:space="preserve"> </w:t>
      </w:r>
      <w:r>
        <w:rPr>
          <w:spacing w:val="-1"/>
          <w:sz w:val="24"/>
        </w:rPr>
        <w:t>资格性响应文件和其他响应文件应于递交响应文件截止时间前送达指</w:t>
      </w:r>
      <w:r>
        <w:rPr>
          <w:sz w:val="24"/>
        </w:rPr>
        <w:t>定地点，采购代理机构拒绝接收截止时间后送达的响应文件。</w:t>
      </w:r>
    </w:p>
    <w:p>
      <w:pPr>
        <w:spacing w:line="364" w:lineRule="auto"/>
        <w:rPr>
          <w:sz w:val="24"/>
        </w:rPr>
        <w:sectPr>
          <w:pgSz w:w="11910" w:h="16840"/>
          <w:pgMar w:top="1600" w:right="660" w:bottom="1160" w:left="720" w:header="949" w:footer="975" w:gutter="0"/>
          <w:pgBorders>
            <w:top w:val="none" w:sz="0" w:space="0"/>
            <w:left w:val="none" w:sz="0" w:space="0"/>
            <w:bottom w:val="none" w:sz="0" w:space="0"/>
            <w:right w:val="none" w:sz="0" w:space="0"/>
          </w:pgBorders>
          <w:cols w:space="720" w:num="1"/>
        </w:sectPr>
      </w:pPr>
    </w:p>
    <w:p>
      <w:pPr>
        <w:pStyle w:val="16"/>
        <w:numPr>
          <w:ilvl w:val="1"/>
          <w:numId w:val="8"/>
        </w:numPr>
        <w:tabs>
          <w:tab w:val="left" w:pos="2141"/>
        </w:tabs>
        <w:spacing w:before="123" w:line="364" w:lineRule="auto"/>
        <w:ind w:right="1140" w:firstLine="460"/>
        <w:rPr>
          <w:sz w:val="24"/>
        </w:rPr>
      </w:pPr>
      <w:r>
        <w:rPr>
          <w:rFonts w:hint="eastAsia"/>
          <w:spacing w:val="-1"/>
          <w:sz w:val="24"/>
          <w:lang w:val="en-US" w:eastAsia="zh-CN"/>
        </w:rPr>
        <w:t xml:space="preserve"> </w:t>
      </w:r>
      <w:r>
        <w:rPr>
          <w:spacing w:val="-1"/>
          <w:sz w:val="24"/>
        </w:rPr>
        <w:t>采购代理机构将向通过资格审查的供应商发出磋商邀请；告知未通过</w:t>
      </w:r>
      <w:r>
        <w:rPr>
          <w:sz w:val="24"/>
        </w:rPr>
        <w:t>资格审查的供应商未通过的原因。</w:t>
      </w:r>
    </w:p>
    <w:p>
      <w:pPr>
        <w:pStyle w:val="16"/>
        <w:numPr>
          <w:ilvl w:val="1"/>
          <w:numId w:val="8"/>
        </w:numPr>
        <w:tabs>
          <w:tab w:val="left" w:pos="2141"/>
        </w:tabs>
        <w:spacing w:before="2"/>
        <w:ind w:left="2140" w:hanging="601"/>
        <w:rPr>
          <w:sz w:val="24"/>
        </w:rPr>
      </w:pPr>
      <w:r>
        <w:rPr>
          <w:rFonts w:hint="eastAsia"/>
          <w:sz w:val="24"/>
          <w:lang w:val="en-US" w:eastAsia="zh-CN"/>
        </w:rPr>
        <w:t xml:space="preserve"> </w:t>
      </w:r>
      <w:r>
        <w:rPr>
          <w:sz w:val="24"/>
        </w:rPr>
        <w:t>报价表在磋商后，磋商小组要求供应商进行最后报价时递交。</w:t>
      </w:r>
    </w:p>
    <w:p>
      <w:pPr>
        <w:pStyle w:val="16"/>
        <w:numPr>
          <w:ilvl w:val="1"/>
          <w:numId w:val="8"/>
        </w:numPr>
        <w:tabs>
          <w:tab w:val="left" w:pos="2141"/>
        </w:tabs>
        <w:spacing w:before="160"/>
        <w:ind w:left="2140" w:hanging="601"/>
        <w:rPr>
          <w:sz w:val="24"/>
        </w:rPr>
      </w:pPr>
      <w:r>
        <w:rPr>
          <w:rFonts w:hint="eastAsia"/>
          <w:sz w:val="24"/>
          <w:lang w:val="en-US" w:eastAsia="zh-CN"/>
        </w:rPr>
        <w:t xml:space="preserve"> </w:t>
      </w:r>
      <w:r>
        <w:rPr>
          <w:sz w:val="24"/>
        </w:rPr>
        <w:t>本次采购不接收邮寄的响应文件。</w:t>
      </w:r>
    </w:p>
    <w:p>
      <w:pPr>
        <w:pStyle w:val="7"/>
      </w:pPr>
    </w:p>
    <w:p>
      <w:pPr>
        <w:pStyle w:val="6"/>
        <w:numPr>
          <w:ilvl w:val="0"/>
          <w:numId w:val="8"/>
        </w:numPr>
        <w:tabs>
          <w:tab w:val="left" w:pos="1448"/>
        </w:tabs>
        <w:spacing w:line="364" w:lineRule="auto"/>
        <w:ind w:right="1104" w:firstLine="0"/>
      </w:pPr>
      <w:r>
        <w:rPr>
          <w:spacing w:val="4"/>
          <w:w w:val="95"/>
        </w:rPr>
        <w:t>响应文件的修改和撤回（</w:t>
      </w:r>
      <w:r>
        <w:rPr>
          <w:spacing w:val="3"/>
          <w:w w:val="95"/>
        </w:rPr>
        <w:t>补充、修改响应文件的密封和标注按照本章“</w:t>
      </w:r>
      <w:r>
        <w:rPr>
          <w:w w:val="95"/>
        </w:rPr>
        <w:t xml:space="preserve">19.  </w:t>
      </w:r>
      <w:r>
        <w:t>响应文件的密封和标注”规定处理）</w:t>
      </w:r>
    </w:p>
    <w:p>
      <w:pPr>
        <w:pStyle w:val="16"/>
        <w:numPr>
          <w:ilvl w:val="1"/>
          <w:numId w:val="8"/>
        </w:numPr>
        <w:tabs>
          <w:tab w:val="left" w:pos="2103"/>
        </w:tabs>
        <w:spacing w:before="1" w:line="364" w:lineRule="auto"/>
        <w:ind w:right="1045" w:firstLine="480"/>
        <w:rPr>
          <w:sz w:val="24"/>
        </w:rPr>
      </w:pPr>
      <w:r>
        <w:rPr>
          <w:rFonts w:hint="eastAsia"/>
          <w:sz w:val="24"/>
          <w:lang w:val="en-US" w:eastAsia="zh-CN"/>
        </w:rPr>
        <w:t xml:space="preserve"> </w:t>
      </w:r>
      <w:r>
        <w:rPr>
          <w:sz w:val="24"/>
        </w:rPr>
        <w:t>供应商在提交响应文件后可对其响应文件进行修改或撤回，但该修改</w:t>
      </w:r>
      <w:r>
        <w:rPr>
          <w:spacing w:val="-4"/>
          <w:sz w:val="24"/>
        </w:rPr>
        <w:t>或撤回的书面通知须在递交截止时间之前送达采购代理机构，补充、修改的内容</w:t>
      </w:r>
      <w:r>
        <w:rPr>
          <w:spacing w:val="-5"/>
          <w:sz w:val="24"/>
        </w:rPr>
        <w:t>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pStyle w:val="16"/>
        <w:numPr>
          <w:ilvl w:val="1"/>
          <w:numId w:val="8"/>
        </w:numPr>
        <w:tabs>
          <w:tab w:val="left" w:pos="2112"/>
        </w:tabs>
        <w:spacing w:before="0" w:line="231" w:lineRule="exact"/>
        <w:ind w:left="2112" w:hanging="552"/>
        <w:rPr>
          <w:sz w:val="24"/>
        </w:rPr>
      </w:pPr>
      <w:r>
        <w:rPr>
          <w:rFonts w:hint="eastAsia"/>
          <w:spacing w:val="8"/>
          <w:sz w:val="24"/>
          <w:lang w:val="en-US" w:eastAsia="zh-CN"/>
        </w:rPr>
        <w:t xml:space="preserve"> </w:t>
      </w:r>
      <w:r>
        <w:rPr>
          <w:spacing w:val="8"/>
          <w:sz w:val="24"/>
        </w:rPr>
        <w:t>供应商对响应文件修改的书面材料或撤回的通知应该按规定进行编</w:t>
      </w:r>
    </w:p>
    <w:p>
      <w:pPr>
        <w:pStyle w:val="7"/>
        <w:spacing w:before="158"/>
        <w:ind w:left="1080"/>
      </w:pPr>
      <w:r>
        <w:t>写、密封、标注和递送，并注明“修改响应文件”字样。</w:t>
      </w:r>
    </w:p>
    <w:p>
      <w:pPr>
        <w:pStyle w:val="16"/>
        <w:numPr>
          <w:ilvl w:val="1"/>
          <w:numId w:val="8"/>
        </w:numPr>
        <w:tabs>
          <w:tab w:val="left" w:pos="2103"/>
        </w:tabs>
        <w:spacing w:before="158" w:line="364" w:lineRule="auto"/>
        <w:ind w:right="1105" w:firstLine="480"/>
        <w:rPr>
          <w:sz w:val="24"/>
        </w:rPr>
      </w:pPr>
      <w:r>
        <w:rPr>
          <w:rFonts w:hint="eastAsia"/>
          <w:sz w:val="24"/>
          <w:lang w:val="en-US" w:eastAsia="zh-CN"/>
        </w:rPr>
        <w:t xml:space="preserve"> </w:t>
      </w:r>
      <w:r>
        <w:rPr>
          <w:sz w:val="24"/>
        </w:rPr>
        <w:t>供应商不得在递交截止时间起至响应文件有效期期满前撤销其响应文</w:t>
      </w:r>
      <w:r>
        <w:rPr>
          <w:spacing w:val="-3"/>
          <w:sz w:val="24"/>
        </w:rPr>
        <w:t xml:space="preserve">件。否则其磋商保证金将按“第二部分供应商采购须知 </w:t>
      </w:r>
      <w:r>
        <w:rPr>
          <w:sz w:val="24"/>
        </w:rPr>
        <w:t>7”</w:t>
      </w:r>
      <w:r>
        <w:rPr>
          <w:spacing w:val="-3"/>
          <w:sz w:val="24"/>
        </w:rPr>
        <w:t>的相关规定被没收。</w:t>
      </w:r>
    </w:p>
    <w:p>
      <w:pPr>
        <w:pStyle w:val="16"/>
        <w:numPr>
          <w:ilvl w:val="1"/>
          <w:numId w:val="8"/>
        </w:numPr>
        <w:tabs>
          <w:tab w:val="left" w:pos="2160"/>
        </w:tabs>
        <w:spacing w:before="78"/>
        <w:ind w:left="2160"/>
        <w:rPr>
          <w:sz w:val="24"/>
        </w:rPr>
      </w:pPr>
      <w:r>
        <w:rPr>
          <w:rFonts w:hint="eastAsia"/>
          <w:sz w:val="24"/>
          <w:lang w:val="en-US" w:eastAsia="zh-CN"/>
        </w:rPr>
        <w:t xml:space="preserve"> </w:t>
      </w:r>
      <w:r>
        <w:rPr>
          <w:sz w:val="24"/>
        </w:rPr>
        <w:t>响应文件中报价如果出现下列不一致的，可按以下原则进行修改：</w:t>
      </w:r>
    </w:p>
    <w:p>
      <w:pPr>
        <w:pStyle w:val="7"/>
        <w:spacing w:before="161" w:line="364" w:lineRule="auto"/>
        <w:ind w:left="1080" w:right="1045" w:firstLine="480"/>
      </w:pPr>
      <w:r>
        <w:t>（一）大写金额和小写金额不一致的，以大写金额为准，但大写金额文字存在错误的，应当先对大写金额的文字错误进行澄清、说明或者更正，再行修正。</w:t>
      </w:r>
    </w:p>
    <w:p>
      <w:pPr>
        <w:pStyle w:val="7"/>
        <w:spacing w:before="1" w:line="364" w:lineRule="auto"/>
        <w:ind w:left="1080" w:right="1135" w:firstLine="480"/>
        <w:jc w:val="both"/>
      </w:pPr>
      <w:r>
        <w:t>（二</w:t>
      </w:r>
      <w:r>
        <w:rPr>
          <w:spacing w:val="-32"/>
        </w:rPr>
        <w:t>）</w:t>
      </w:r>
      <w:r>
        <w:rPr>
          <w:spacing w:val="-5"/>
        </w:rPr>
        <w:t>总价金额与按单价汇总金额不一致的，以单价金额计算结果为准，但</w:t>
      </w:r>
      <w:r>
        <w:rPr>
          <w:spacing w:val="-6"/>
        </w:rPr>
        <w:t>单价或者单价汇总金额存在数字或者文字错误的，应当先对数字或者文字错误进</w:t>
      </w:r>
      <w:r>
        <w:t>行澄清、说明或者更正，再行修正。</w:t>
      </w:r>
    </w:p>
    <w:p>
      <w:pPr>
        <w:pStyle w:val="7"/>
        <w:spacing w:before="2" w:line="364" w:lineRule="auto"/>
        <w:ind w:left="1560" w:right="1045"/>
      </w:pPr>
      <w:r>
        <w:t>（三）单价金额小数点或者百分比有明显错位的，以总价为准，修正单价。同时出现两种以上不一致的，按照上述规定的顺序修正。修正后的报价经供</w:t>
      </w:r>
    </w:p>
    <w:p>
      <w:pPr>
        <w:pStyle w:val="7"/>
        <w:spacing w:before="1" w:line="364" w:lineRule="auto"/>
        <w:ind w:left="1080" w:right="1137"/>
      </w:pPr>
      <w:r>
        <w:rPr>
          <w:spacing w:val="-7"/>
        </w:rPr>
        <w:t>应商确认后产生约束力，供应商不确认的，其响应文件作为无效处理。供应商确</w:t>
      </w:r>
      <w:r>
        <w:t>认采取书面且加盖单位公章或者供应商授权代表签字的方式。</w:t>
      </w:r>
    </w:p>
    <w:p>
      <w:pPr>
        <w:pStyle w:val="16"/>
        <w:numPr>
          <w:ilvl w:val="1"/>
          <w:numId w:val="8"/>
        </w:numPr>
        <w:tabs>
          <w:tab w:val="left" w:pos="2100"/>
        </w:tabs>
        <w:spacing w:before="1"/>
        <w:ind w:left="2100" w:hanging="540"/>
        <w:rPr>
          <w:sz w:val="24"/>
        </w:rPr>
      </w:pPr>
      <w:r>
        <w:rPr>
          <w:rFonts w:hint="eastAsia"/>
          <w:sz w:val="24"/>
          <w:lang w:val="en-US" w:eastAsia="zh-CN"/>
        </w:rPr>
        <w:t xml:space="preserve"> </w:t>
      </w:r>
      <w:r>
        <w:rPr>
          <w:sz w:val="24"/>
        </w:rPr>
        <w:t>供应商对其提交的响应文件的真实性、合法性承担法律责任。</w:t>
      </w:r>
    </w:p>
    <w:p>
      <w:pPr>
        <w:rPr>
          <w:sz w:val="24"/>
        </w:rPr>
        <w:sectPr>
          <w:footerReference r:id="rId6" w:type="default"/>
          <w:pgSz w:w="11910" w:h="16840"/>
          <w:pgMar w:top="1600" w:right="660" w:bottom="1160" w:left="720" w:header="949" w:footer="975" w:gutter="0"/>
          <w:pgBorders>
            <w:top w:val="none" w:sz="0" w:space="0"/>
            <w:left w:val="none" w:sz="0" w:space="0"/>
            <w:bottom w:val="none" w:sz="0" w:space="0"/>
            <w:right w:val="none" w:sz="0" w:space="0"/>
          </w:pgBorders>
          <w:pgNumType w:start="20"/>
          <w:cols w:space="720" w:num="1"/>
        </w:sectPr>
      </w:pPr>
    </w:p>
    <w:p>
      <w:pPr>
        <w:spacing w:before="149"/>
        <w:ind w:left="2664" w:right="2721"/>
        <w:jc w:val="center"/>
        <w:rPr>
          <w:b/>
          <w:sz w:val="32"/>
        </w:rPr>
      </w:pPr>
      <w:bookmarkStart w:id="19" w:name="五、评审"/>
      <w:bookmarkEnd w:id="19"/>
      <w:r>
        <w:rPr>
          <w:b/>
          <w:sz w:val="32"/>
        </w:rPr>
        <w:t>五、评审</w:t>
      </w:r>
    </w:p>
    <w:p>
      <w:pPr>
        <w:pStyle w:val="7"/>
        <w:spacing w:before="12"/>
        <w:rPr>
          <w:b/>
          <w:sz w:val="34"/>
        </w:rPr>
      </w:pPr>
    </w:p>
    <w:p>
      <w:pPr>
        <w:pStyle w:val="16"/>
        <w:numPr>
          <w:ilvl w:val="0"/>
          <w:numId w:val="8"/>
        </w:numPr>
        <w:tabs>
          <w:tab w:val="left" w:pos="1452"/>
        </w:tabs>
        <w:spacing w:before="0" w:line="364" w:lineRule="auto"/>
        <w:ind w:right="1135" w:firstLine="0"/>
        <w:rPr>
          <w:sz w:val="24"/>
        </w:rPr>
      </w:pPr>
      <w:bookmarkStart w:id="20" w:name="22.磋商小组的组建及其评审工作按照有关法律制度和本文件第七章的规定进行。"/>
      <w:bookmarkEnd w:id="20"/>
      <w:r>
        <w:rPr>
          <w:spacing w:val="6"/>
          <w:sz w:val="24"/>
        </w:rPr>
        <w:t>磋商小组的组建及其评审工作按照有关法律制度和本文件第七章的规定进行。</w:t>
      </w:r>
    </w:p>
    <w:p>
      <w:pPr>
        <w:pStyle w:val="7"/>
        <w:spacing w:before="6"/>
        <w:rPr>
          <w:sz w:val="22"/>
        </w:rPr>
      </w:pPr>
    </w:p>
    <w:p>
      <w:pPr>
        <w:ind w:left="2661" w:right="2721"/>
        <w:jc w:val="center"/>
        <w:rPr>
          <w:b/>
          <w:sz w:val="32"/>
        </w:rPr>
      </w:pPr>
      <w:bookmarkStart w:id="21" w:name="六、成交事项"/>
      <w:bookmarkEnd w:id="21"/>
      <w:r>
        <w:rPr>
          <w:b/>
          <w:sz w:val="32"/>
        </w:rPr>
        <w:t>六、成交事项</w:t>
      </w:r>
    </w:p>
    <w:p>
      <w:pPr>
        <w:pStyle w:val="7"/>
        <w:spacing w:before="12"/>
        <w:rPr>
          <w:b/>
          <w:sz w:val="34"/>
        </w:rPr>
      </w:pPr>
    </w:p>
    <w:p>
      <w:pPr>
        <w:pStyle w:val="6"/>
        <w:numPr>
          <w:ilvl w:val="0"/>
          <w:numId w:val="8"/>
        </w:numPr>
        <w:tabs>
          <w:tab w:val="left" w:pos="1444"/>
        </w:tabs>
        <w:ind w:left="1443"/>
      </w:pPr>
      <w:bookmarkStart w:id="22" w:name="23.确定成交供应商"/>
      <w:bookmarkEnd w:id="22"/>
      <w:r>
        <w:t>确定成交供应商</w:t>
      </w:r>
    </w:p>
    <w:p>
      <w:pPr>
        <w:pStyle w:val="7"/>
        <w:spacing w:before="161"/>
        <w:ind w:left="1560"/>
      </w:pPr>
      <w:bookmarkStart w:id="23" w:name="采购人将按磋商小组推荐的成交候选供应商顺序确定成交供应商。"/>
      <w:bookmarkEnd w:id="23"/>
      <w:r>
        <w:t>采购人将按磋商小组推荐的成交候选供应商顺序确定成交供应商。</w:t>
      </w:r>
    </w:p>
    <w:p>
      <w:pPr>
        <w:pStyle w:val="16"/>
        <w:numPr>
          <w:ilvl w:val="1"/>
          <w:numId w:val="8"/>
        </w:numPr>
        <w:tabs>
          <w:tab w:val="left" w:pos="2103"/>
        </w:tabs>
        <w:spacing w:before="160" w:line="364" w:lineRule="auto"/>
        <w:ind w:right="1137" w:firstLine="480"/>
        <w:jc w:val="both"/>
        <w:rPr>
          <w:sz w:val="24"/>
        </w:rPr>
      </w:pPr>
      <w:bookmarkStart w:id="24" w:name="23.1采购代理机构自评审结束后2个工作日内将磋商报告及有关资料送交采购人确定成"/>
      <w:bookmarkEnd w:id="24"/>
      <w:r>
        <w:rPr>
          <w:rFonts w:hint="eastAsia"/>
          <w:spacing w:val="-4"/>
          <w:sz w:val="24"/>
          <w:lang w:val="en-US" w:eastAsia="zh-CN"/>
        </w:rPr>
        <w:t xml:space="preserve"> </w:t>
      </w:r>
      <w:r>
        <w:rPr>
          <w:spacing w:val="-4"/>
          <w:sz w:val="24"/>
        </w:rPr>
        <w:t xml:space="preserve">采购代理机构自评审结束后 </w:t>
      </w:r>
      <w:r>
        <w:rPr>
          <w:sz w:val="24"/>
        </w:rPr>
        <w:t>2</w:t>
      </w:r>
      <w:r>
        <w:rPr>
          <w:spacing w:val="-5"/>
          <w:sz w:val="24"/>
        </w:rPr>
        <w:t xml:space="preserve"> 个工作日内将磋商报告及有关资料送交采购人确定成交供应商。</w:t>
      </w:r>
    </w:p>
    <w:p>
      <w:pPr>
        <w:pStyle w:val="16"/>
        <w:numPr>
          <w:ilvl w:val="1"/>
          <w:numId w:val="8"/>
        </w:numPr>
        <w:tabs>
          <w:tab w:val="left" w:pos="2103"/>
        </w:tabs>
        <w:spacing w:before="2" w:line="364" w:lineRule="auto"/>
        <w:ind w:right="1137" w:firstLine="480"/>
        <w:jc w:val="both"/>
        <w:rPr>
          <w:sz w:val="24"/>
        </w:rPr>
      </w:pPr>
      <w:bookmarkStart w:id="25" w:name="23.2采购人收到磋商报告及有关资料后，将在5个工作日内按照磋商报告中推荐的成交"/>
      <w:bookmarkEnd w:id="25"/>
      <w:r>
        <w:rPr>
          <w:rFonts w:hint="eastAsia"/>
          <w:spacing w:val="-3"/>
          <w:sz w:val="24"/>
          <w:lang w:val="en-US" w:eastAsia="zh-CN"/>
        </w:rPr>
        <w:t xml:space="preserve"> </w:t>
      </w:r>
      <w:r>
        <w:rPr>
          <w:spacing w:val="-3"/>
          <w:sz w:val="24"/>
        </w:rPr>
        <w:t xml:space="preserve">采购人收到磋商报告及有关资料后，将在 </w:t>
      </w:r>
      <w:r>
        <w:rPr>
          <w:sz w:val="24"/>
        </w:rPr>
        <w:t>5</w:t>
      </w:r>
      <w:r>
        <w:rPr>
          <w:spacing w:val="-5"/>
          <w:sz w:val="24"/>
        </w:rPr>
        <w:t xml:space="preserve"> 个工作日内按照磋商报告</w:t>
      </w:r>
      <w:r>
        <w:rPr>
          <w:spacing w:val="-11"/>
          <w:sz w:val="24"/>
        </w:rPr>
        <w:t>中推荐的成交候选供应商顺序确定成交供应商。成交候选供应商并列的，采购人</w:t>
      </w:r>
      <w:r>
        <w:rPr>
          <w:spacing w:val="-10"/>
          <w:sz w:val="24"/>
        </w:rPr>
        <w:t>自主采取公平、择优的方式选择成交供应商。采购人逾期未确定成交供应商且不</w:t>
      </w:r>
      <w:r>
        <w:rPr>
          <w:sz w:val="24"/>
        </w:rPr>
        <w:t>提出异议的，视为确定磋商报告提出的排序第一的供应商为成交供应商。</w:t>
      </w:r>
    </w:p>
    <w:p>
      <w:pPr>
        <w:pStyle w:val="16"/>
        <w:numPr>
          <w:ilvl w:val="1"/>
          <w:numId w:val="8"/>
        </w:numPr>
        <w:tabs>
          <w:tab w:val="left" w:pos="2103"/>
        </w:tabs>
        <w:spacing w:before="2" w:line="364" w:lineRule="auto"/>
        <w:ind w:right="1137" w:firstLine="480"/>
        <w:jc w:val="both"/>
        <w:rPr>
          <w:sz w:val="24"/>
        </w:rPr>
      </w:pPr>
      <w:bookmarkStart w:id="26" w:name="23.3采购人确定成交供应商过程中，发现成交候选供应商有下列情形之一的，应当不予"/>
      <w:bookmarkEnd w:id="26"/>
      <w:r>
        <w:rPr>
          <w:rFonts w:hint="eastAsia"/>
          <w:sz w:val="24"/>
          <w:lang w:val="en-US" w:eastAsia="zh-CN"/>
        </w:rPr>
        <w:t xml:space="preserve"> </w:t>
      </w:r>
      <w:r>
        <w:rPr>
          <w:sz w:val="24"/>
        </w:rPr>
        <w:t>采购人确定成交供应商过程中，发现成交候选供应商有下列情形之一的，应当不予确定其为成交供应商：</w:t>
      </w:r>
    </w:p>
    <w:p>
      <w:pPr>
        <w:pStyle w:val="16"/>
        <w:numPr>
          <w:ilvl w:val="0"/>
          <w:numId w:val="9"/>
        </w:numPr>
        <w:tabs>
          <w:tab w:val="left" w:pos="2161"/>
        </w:tabs>
        <w:spacing w:before="1"/>
        <w:rPr>
          <w:sz w:val="24"/>
        </w:rPr>
      </w:pPr>
      <w:bookmarkStart w:id="27" w:name="（1）发现成交候选供应商存在禁止参加本项目采购活动的违法行为的；"/>
      <w:bookmarkEnd w:id="27"/>
      <w:r>
        <w:rPr>
          <w:sz w:val="24"/>
        </w:rPr>
        <w:t>发现成交候选供应商存在禁止参加本项目采购活动的违法行为的；</w:t>
      </w:r>
    </w:p>
    <w:p>
      <w:pPr>
        <w:pStyle w:val="16"/>
        <w:numPr>
          <w:ilvl w:val="0"/>
          <w:numId w:val="9"/>
        </w:numPr>
        <w:tabs>
          <w:tab w:val="left" w:pos="2161"/>
        </w:tabs>
        <w:rPr>
          <w:sz w:val="24"/>
        </w:rPr>
      </w:pPr>
      <w:bookmarkStart w:id="28" w:name="（2）成交候选供应商因不可抗力，不能继续参加政府采购活动；"/>
      <w:bookmarkEnd w:id="28"/>
      <w:r>
        <w:rPr>
          <w:sz w:val="24"/>
        </w:rPr>
        <w:t>成交候选供应商因不可抗力，不能继续参加政府采购活动；</w:t>
      </w:r>
    </w:p>
    <w:p>
      <w:pPr>
        <w:pStyle w:val="16"/>
        <w:numPr>
          <w:ilvl w:val="0"/>
          <w:numId w:val="9"/>
        </w:numPr>
        <w:tabs>
          <w:tab w:val="left" w:pos="2161"/>
        </w:tabs>
        <w:spacing w:before="160"/>
        <w:rPr>
          <w:sz w:val="24"/>
        </w:rPr>
      </w:pPr>
      <w:bookmarkStart w:id="29" w:name="（3）成交候选供应商无偿赠与或者低于成本价竞争；"/>
      <w:bookmarkEnd w:id="29"/>
      <w:r>
        <w:rPr>
          <w:sz w:val="24"/>
        </w:rPr>
        <w:t>成交候选供应商无偿赠与或者低于成本价竞争；</w:t>
      </w:r>
    </w:p>
    <w:p>
      <w:pPr>
        <w:pStyle w:val="16"/>
        <w:numPr>
          <w:ilvl w:val="0"/>
          <w:numId w:val="9"/>
        </w:numPr>
        <w:tabs>
          <w:tab w:val="left" w:pos="2161"/>
        </w:tabs>
        <w:rPr>
          <w:sz w:val="24"/>
        </w:rPr>
      </w:pPr>
      <w:bookmarkStart w:id="30" w:name="（4）成交候选供应商提供虚假材料；"/>
      <w:bookmarkEnd w:id="30"/>
      <w:r>
        <w:rPr>
          <w:sz w:val="24"/>
        </w:rPr>
        <w:t>成交候选供应商提供虚假材料；</w:t>
      </w:r>
    </w:p>
    <w:p>
      <w:pPr>
        <w:pStyle w:val="16"/>
        <w:numPr>
          <w:ilvl w:val="0"/>
          <w:numId w:val="9"/>
        </w:numPr>
        <w:tabs>
          <w:tab w:val="left" w:pos="2161"/>
        </w:tabs>
        <w:spacing w:before="160"/>
        <w:rPr>
          <w:sz w:val="24"/>
        </w:rPr>
      </w:pPr>
      <w:bookmarkStart w:id="31" w:name="（5）成交候选供应商恶意串通。"/>
      <w:bookmarkEnd w:id="31"/>
      <w:r>
        <w:rPr>
          <w:sz w:val="24"/>
        </w:rPr>
        <w:t>成交候选供应商恶意串通。</w:t>
      </w:r>
    </w:p>
    <w:p>
      <w:pPr>
        <w:pStyle w:val="7"/>
        <w:spacing w:before="161" w:line="364" w:lineRule="auto"/>
        <w:ind w:left="1080" w:right="1137" w:firstLine="480"/>
      </w:pPr>
      <w:bookmarkStart w:id="32" w:name="成交候选供应商有本条情形之一的，采购人可以确定后一位成交候选供应商为成交供应商，"/>
      <w:bookmarkEnd w:id="32"/>
      <w:r>
        <w:rPr>
          <w:spacing w:val="-7"/>
        </w:rPr>
        <w:t>成交候选供应商有本条情形之一的，采购人可以确定后一位成交候选供应商</w:t>
      </w:r>
      <w:r>
        <w:t>为成交供应商，依次类推。无法确定成交供应商的，应当重新组织采购。</w:t>
      </w:r>
    </w:p>
    <w:p>
      <w:pPr>
        <w:pStyle w:val="6"/>
        <w:numPr>
          <w:ilvl w:val="0"/>
          <w:numId w:val="8"/>
        </w:numPr>
        <w:tabs>
          <w:tab w:val="left" w:pos="1444"/>
        </w:tabs>
        <w:spacing w:before="161"/>
        <w:ind w:left="1443"/>
      </w:pPr>
      <w:bookmarkStart w:id="33" w:name="24.供应商存在行贿犯罪记录的"/>
      <w:bookmarkEnd w:id="33"/>
      <w:r>
        <w:t>供应商存在行贿犯罪记录的</w:t>
      </w:r>
    </w:p>
    <w:p>
      <w:pPr>
        <w:pStyle w:val="7"/>
        <w:spacing w:before="161" w:line="364" w:lineRule="auto"/>
        <w:ind w:left="1080" w:right="1137" w:firstLine="480"/>
        <w:jc w:val="both"/>
      </w:pPr>
      <w:bookmarkStart w:id="34" w:name="成交候选供应商单位及其现任法定代表人、主要负责人存在行贿犯罪记录的，成交后未签订"/>
      <w:bookmarkEnd w:id="34"/>
      <w:r>
        <w:rPr>
          <w:spacing w:val="2"/>
        </w:rPr>
        <w:t>成交候选供应商单位及其现任法定代表人、主要负责人存在行贿犯罪记录</w:t>
      </w:r>
      <w:r>
        <w:rPr>
          <w:spacing w:val="-10"/>
        </w:rPr>
        <w:t>的，成交后未签订政府采购合同的，将认定成交无效；成交后签订政府采购合同未履行的，将认定成交无效，同时撤销政府采购合同；成交后签订政府采购合同</w:t>
      </w:r>
      <w:r>
        <w:t>且已经履行的，将认定采购活动违法，由相关当事人承担赔偿责任。</w:t>
      </w:r>
    </w:p>
    <w:p>
      <w:pPr>
        <w:spacing w:line="364" w:lineRule="auto"/>
        <w:jc w:val="both"/>
        <w:sectPr>
          <w:pgSz w:w="11910" w:h="16840"/>
          <w:pgMar w:top="1600" w:right="660" w:bottom="1160" w:left="720" w:header="949" w:footer="975" w:gutter="0"/>
          <w:pgBorders>
            <w:top w:val="none" w:sz="0" w:space="0"/>
            <w:left w:val="none" w:sz="0" w:space="0"/>
            <w:bottom w:val="none" w:sz="0" w:space="0"/>
            <w:right w:val="none" w:sz="0" w:space="0"/>
          </w:pgBorders>
          <w:cols w:space="720" w:num="1"/>
        </w:sectPr>
      </w:pPr>
    </w:p>
    <w:p>
      <w:pPr>
        <w:pStyle w:val="7"/>
        <w:rPr>
          <w:sz w:val="20"/>
        </w:rPr>
      </w:pPr>
    </w:p>
    <w:p>
      <w:pPr>
        <w:pStyle w:val="7"/>
        <w:rPr>
          <w:sz w:val="21"/>
        </w:rPr>
      </w:pPr>
    </w:p>
    <w:p>
      <w:pPr>
        <w:pStyle w:val="6"/>
        <w:numPr>
          <w:ilvl w:val="0"/>
          <w:numId w:val="8"/>
        </w:numPr>
        <w:tabs>
          <w:tab w:val="left" w:pos="1444"/>
        </w:tabs>
        <w:spacing w:before="66"/>
        <w:ind w:left="1443"/>
      </w:pPr>
      <w:bookmarkStart w:id="35" w:name="25.成交结果"/>
      <w:bookmarkEnd w:id="35"/>
      <w:r>
        <w:t>成交结果</w:t>
      </w:r>
    </w:p>
    <w:p>
      <w:pPr>
        <w:pStyle w:val="16"/>
        <w:numPr>
          <w:ilvl w:val="1"/>
          <w:numId w:val="8"/>
        </w:numPr>
        <w:tabs>
          <w:tab w:val="left" w:pos="2103"/>
        </w:tabs>
        <w:spacing w:line="364" w:lineRule="auto"/>
        <w:ind w:right="1137" w:firstLine="480"/>
        <w:rPr>
          <w:sz w:val="24"/>
        </w:rPr>
      </w:pPr>
      <w:bookmarkStart w:id="36" w:name="25.1采购人确定成交供应商后，将及时书面通知采购代理机构，发出成交通知书并发布"/>
      <w:bookmarkEnd w:id="36"/>
      <w:r>
        <w:rPr>
          <w:rFonts w:hint="eastAsia"/>
          <w:sz w:val="24"/>
          <w:lang w:val="en-US" w:eastAsia="zh-CN"/>
        </w:rPr>
        <w:t xml:space="preserve"> </w:t>
      </w:r>
      <w:r>
        <w:rPr>
          <w:sz w:val="24"/>
        </w:rPr>
        <w:t>采购人确定成交供应商后，将及时书面通知采购代理机构，发出成交通知书并发布成交结果公告。</w:t>
      </w:r>
    </w:p>
    <w:p>
      <w:pPr>
        <w:pStyle w:val="16"/>
        <w:numPr>
          <w:ilvl w:val="1"/>
          <w:numId w:val="8"/>
        </w:numPr>
        <w:tabs>
          <w:tab w:val="left" w:pos="2100"/>
        </w:tabs>
        <w:spacing w:before="1" w:line="364" w:lineRule="auto"/>
        <w:ind w:right="1017" w:firstLine="480"/>
        <w:rPr>
          <w:sz w:val="24"/>
        </w:rPr>
      </w:pPr>
      <w:r>
        <w:rPr>
          <w:rFonts w:hint="eastAsia"/>
          <w:spacing w:val="-3"/>
          <w:sz w:val="24"/>
          <w:lang w:val="en-US" w:eastAsia="zh-CN"/>
        </w:rPr>
        <w:t xml:space="preserve"> </w:t>
      </w:r>
      <w:r>
        <w:rPr>
          <w:spacing w:val="-3"/>
          <w:sz w:val="24"/>
        </w:rPr>
        <w:t xml:space="preserve">成交供应商应当及时领取成交通知书。本项目需要交纳履约保证金的， </w:t>
      </w:r>
      <w:r>
        <w:rPr>
          <w:sz w:val="24"/>
        </w:rPr>
        <w:t>成交供应商应当及时向采购人交纳。</w:t>
      </w:r>
    </w:p>
    <w:p>
      <w:pPr>
        <w:pStyle w:val="6"/>
        <w:numPr>
          <w:ilvl w:val="0"/>
          <w:numId w:val="8"/>
        </w:numPr>
        <w:tabs>
          <w:tab w:val="left" w:pos="1444"/>
        </w:tabs>
        <w:spacing w:before="161"/>
        <w:ind w:left="1443"/>
      </w:pPr>
      <w:bookmarkStart w:id="37" w:name="26.成交通知书"/>
      <w:bookmarkEnd w:id="37"/>
      <w:r>
        <w:t>成交通知书</w:t>
      </w:r>
    </w:p>
    <w:p>
      <w:pPr>
        <w:pStyle w:val="16"/>
        <w:numPr>
          <w:ilvl w:val="1"/>
          <w:numId w:val="8"/>
        </w:numPr>
        <w:tabs>
          <w:tab w:val="left" w:pos="2100"/>
        </w:tabs>
        <w:ind w:left="2100" w:hanging="540"/>
        <w:rPr>
          <w:sz w:val="24"/>
        </w:rPr>
      </w:pPr>
      <w:bookmarkStart w:id="38" w:name="26.1成交通知书为签订政府采购合同的依据之一，是合同的有效组成部分。"/>
      <w:bookmarkEnd w:id="38"/>
      <w:r>
        <w:rPr>
          <w:rFonts w:hint="eastAsia"/>
          <w:spacing w:val="-2"/>
          <w:sz w:val="24"/>
          <w:lang w:val="en-US" w:eastAsia="zh-CN"/>
        </w:rPr>
        <w:t xml:space="preserve"> </w:t>
      </w:r>
      <w:r>
        <w:rPr>
          <w:spacing w:val="-2"/>
          <w:sz w:val="24"/>
        </w:rPr>
        <w:t>成交通知书为签订政府采购合同的依据之一，是合同的有效组成部分。</w:t>
      </w:r>
    </w:p>
    <w:p>
      <w:pPr>
        <w:pStyle w:val="16"/>
        <w:numPr>
          <w:ilvl w:val="1"/>
          <w:numId w:val="8"/>
        </w:numPr>
        <w:tabs>
          <w:tab w:val="left" w:pos="2103"/>
        </w:tabs>
        <w:spacing w:before="160" w:line="364" w:lineRule="auto"/>
        <w:ind w:right="1045" w:firstLine="480"/>
        <w:rPr>
          <w:sz w:val="24"/>
        </w:rPr>
      </w:pPr>
      <w:bookmarkStart w:id="39" w:name="26.2成交通知书对采购人和成交供应商均具有法律效力。成交通知书发出后，采购人无"/>
      <w:bookmarkEnd w:id="39"/>
      <w:r>
        <w:rPr>
          <w:rFonts w:hint="eastAsia"/>
          <w:sz w:val="24"/>
          <w:lang w:val="en-US" w:eastAsia="zh-CN"/>
        </w:rPr>
        <w:t xml:space="preserve"> </w:t>
      </w:r>
      <w:r>
        <w:rPr>
          <w:sz w:val="24"/>
        </w:rPr>
        <w:t>成交通知书对采购人和成交供应商均具有法律效力。成交通知书发出</w:t>
      </w:r>
      <w:r>
        <w:rPr>
          <w:spacing w:val="-1"/>
          <w:sz w:val="24"/>
        </w:rPr>
        <w:t xml:space="preserve">后，采购人无正当理由改变成交结果，或者成交供应商无正当理由放弃成交的， </w:t>
      </w:r>
      <w:r>
        <w:rPr>
          <w:sz w:val="24"/>
        </w:rPr>
        <w:t>将承担相应的法律责任。</w:t>
      </w:r>
    </w:p>
    <w:p>
      <w:pPr>
        <w:pStyle w:val="16"/>
        <w:numPr>
          <w:ilvl w:val="1"/>
          <w:numId w:val="8"/>
        </w:numPr>
        <w:tabs>
          <w:tab w:val="left" w:pos="2103"/>
        </w:tabs>
        <w:spacing w:before="2" w:line="364" w:lineRule="auto"/>
        <w:ind w:right="1137" w:firstLine="480"/>
        <w:jc w:val="both"/>
        <w:rPr>
          <w:sz w:val="24"/>
        </w:rPr>
      </w:pPr>
      <w:bookmarkStart w:id="40" w:name="26.3成交供应商的响应文件作为无效响应文件处理或者有政府采购法律法规规章制度规"/>
      <w:bookmarkEnd w:id="40"/>
      <w:r>
        <w:rPr>
          <w:rFonts w:hint="eastAsia"/>
          <w:sz w:val="24"/>
          <w:lang w:val="en-US" w:eastAsia="zh-CN"/>
        </w:rPr>
        <w:t xml:space="preserve"> </w:t>
      </w:r>
      <w:r>
        <w:rPr>
          <w:sz w:val="24"/>
        </w:rPr>
        <w:t>成交供应商的响应文件作为无效响应文件处理或者有政府采购法律法</w:t>
      </w:r>
      <w:r>
        <w:rPr>
          <w:spacing w:val="-6"/>
          <w:sz w:val="24"/>
        </w:rPr>
        <w:t>规规章制度规定的成交无效情形的，采购人在取得有权主体的认定以后，有权宣</w:t>
      </w:r>
      <w:r>
        <w:rPr>
          <w:spacing w:val="-7"/>
          <w:sz w:val="24"/>
        </w:rPr>
        <w:t>布发出的成交通知书无效，并收回发出的成交通知书，依法重新确定成交供应商</w:t>
      </w:r>
      <w:r>
        <w:rPr>
          <w:sz w:val="24"/>
        </w:rPr>
        <w:t>或者重新开展采购活动。</w:t>
      </w:r>
    </w:p>
    <w:p>
      <w:pPr>
        <w:pStyle w:val="7"/>
      </w:pPr>
    </w:p>
    <w:p>
      <w:pPr>
        <w:pStyle w:val="7"/>
        <w:spacing w:before="10"/>
        <w:rPr>
          <w:sz w:val="22"/>
        </w:rPr>
      </w:pPr>
    </w:p>
    <w:p>
      <w:pPr>
        <w:ind w:left="2661" w:right="2721"/>
        <w:jc w:val="center"/>
        <w:rPr>
          <w:b/>
          <w:sz w:val="32"/>
        </w:rPr>
      </w:pPr>
      <w:bookmarkStart w:id="41" w:name="七、合同事项"/>
      <w:bookmarkEnd w:id="41"/>
      <w:r>
        <w:rPr>
          <w:b/>
          <w:sz w:val="32"/>
        </w:rPr>
        <w:t>七、合同事项</w:t>
      </w:r>
    </w:p>
    <w:p>
      <w:pPr>
        <w:pStyle w:val="7"/>
        <w:spacing w:before="12"/>
        <w:rPr>
          <w:b/>
          <w:sz w:val="34"/>
        </w:rPr>
      </w:pPr>
    </w:p>
    <w:p>
      <w:pPr>
        <w:pStyle w:val="6"/>
        <w:numPr>
          <w:ilvl w:val="0"/>
          <w:numId w:val="8"/>
        </w:numPr>
        <w:tabs>
          <w:tab w:val="left" w:pos="1444"/>
        </w:tabs>
        <w:ind w:left="1443"/>
      </w:pPr>
      <w:bookmarkStart w:id="42" w:name="27.签订合同"/>
      <w:bookmarkEnd w:id="42"/>
      <w:r>
        <w:t>签订合同</w:t>
      </w:r>
    </w:p>
    <w:p>
      <w:pPr>
        <w:pStyle w:val="16"/>
        <w:numPr>
          <w:ilvl w:val="1"/>
          <w:numId w:val="8"/>
        </w:numPr>
        <w:tabs>
          <w:tab w:val="left" w:pos="2160"/>
        </w:tabs>
        <w:spacing w:line="364" w:lineRule="auto"/>
        <w:ind w:right="1045" w:firstLine="480"/>
        <w:rPr>
          <w:sz w:val="24"/>
        </w:rPr>
      </w:pPr>
      <w:r>
        <w:rPr>
          <w:rFonts w:hint="eastAsia"/>
          <w:sz w:val="24"/>
          <w:lang w:val="en-US" w:eastAsia="zh-CN"/>
        </w:rPr>
        <w:t xml:space="preserve"> </w:t>
      </w:r>
      <w:r>
        <w:rPr>
          <w:sz w:val="24"/>
        </w:rPr>
        <w:t>成交供应商应在成交通知书发出之日起三十日内与采购人签订采购合</w:t>
      </w:r>
      <w:r>
        <w:rPr>
          <w:spacing w:val="-1"/>
          <w:sz w:val="24"/>
        </w:rPr>
        <w:t xml:space="preserve">同。由于成交供应商的原因逾期未与采购人签订采购合同的，将视为放弃成交， </w:t>
      </w:r>
      <w:r>
        <w:rPr>
          <w:sz w:val="24"/>
        </w:rPr>
        <w:t>取消其成交资格并将按相关规定进行处理。</w:t>
      </w:r>
    </w:p>
    <w:p>
      <w:pPr>
        <w:pStyle w:val="16"/>
        <w:numPr>
          <w:ilvl w:val="1"/>
          <w:numId w:val="8"/>
        </w:numPr>
        <w:tabs>
          <w:tab w:val="left" w:pos="2160"/>
        </w:tabs>
        <w:spacing w:before="1" w:line="364" w:lineRule="auto"/>
        <w:ind w:right="1140" w:firstLine="480"/>
        <w:rPr>
          <w:sz w:val="24"/>
        </w:rPr>
      </w:pPr>
      <w:r>
        <w:rPr>
          <w:rFonts w:hint="eastAsia"/>
          <w:spacing w:val="-1"/>
          <w:sz w:val="24"/>
          <w:lang w:val="en-US" w:eastAsia="zh-CN"/>
        </w:rPr>
        <w:t xml:space="preserve"> </w:t>
      </w:r>
      <w:r>
        <w:rPr>
          <w:spacing w:val="-1"/>
          <w:sz w:val="24"/>
        </w:rPr>
        <w:t>磋商文件、成交供应商的响应文件及双方确认的澄清文件等，均为有</w:t>
      </w:r>
      <w:r>
        <w:rPr>
          <w:sz w:val="24"/>
        </w:rPr>
        <w:t>法律约束力的合同组成部分。</w:t>
      </w:r>
    </w:p>
    <w:p>
      <w:pPr>
        <w:pStyle w:val="16"/>
        <w:numPr>
          <w:ilvl w:val="1"/>
          <w:numId w:val="8"/>
        </w:numPr>
        <w:tabs>
          <w:tab w:val="left" w:pos="2160"/>
        </w:tabs>
        <w:spacing w:before="2" w:line="364" w:lineRule="auto"/>
        <w:ind w:right="1137" w:firstLine="480"/>
        <w:jc w:val="both"/>
        <w:rPr>
          <w:sz w:val="24"/>
        </w:rPr>
      </w:pPr>
      <w:r>
        <w:rPr>
          <w:rFonts w:hint="eastAsia"/>
          <w:spacing w:val="-1"/>
          <w:sz w:val="24"/>
          <w:lang w:val="en-US" w:eastAsia="zh-CN"/>
        </w:rPr>
        <w:t xml:space="preserve"> </w:t>
      </w:r>
      <w:r>
        <w:rPr>
          <w:spacing w:val="-1"/>
          <w:sz w:val="24"/>
        </w:rPr>
        <w:t>采购人不得向成交供应商提出任何不合理的要求，作为签订合同的条</w:t>
      </w:r>
      <w:r>
        <w:rPr>
          <w:spacing w:val="-10"/>
          <w:sz w:val="24"/>
        </w:rPr>
        <w:t>件，不得与成交供应商私下订立背离合同实质性内容的任何协议，所签订的合同</w:t>
      </w:r>
      <w:r>
        <w:rPr>
          <w:sz w:val="24"/>
        </w:rPr>
        <w:t>不得对磋商文件和成交供应商响应文件确定的事项进行修改。</w:t>
      </w:r>
    </w:p>
    <w:p>
      <w:pPr>
        <w:pStyle w:val="16"/>
        <w:numPr>
          <w:ilvl w:val="1"/>
          <w:numId w:val="8"/>
        </w:numPr>
        <w:tabs>
          <w:tab w:val="left" w:pos="2160"/>
        </w:tabs>
        <w:spacing w:before="1"/>
        <w:ind w:left="2160"/>
        <w:jc w:val="both"/>
        <w:rPr>
          <w:sz w:val="24"/>
        </w:rPr>
      </w:pPr>
      <w:r>
        <w:rPr>
          <w:rFonts w:hint="eastAsia"/>
          <w:sz w:val="24"/>
          <w:lang w:val="en-US" w:eastAsia="zh-CN"/>
        </w:rPr>
        <w:t xml:space="preserve"> </w:t>
      </w:r>
      <w:r>
        <w:rPr>
          <w:sz w:val="24"/>
        </w:rPr>
        <w:t>成交供应商因不可抗力原因不能履行采购合同或放弃成交的，采购人</w:t>
      </w:r>
    </w:p>
    <w:p>
      <w:pPr>
        <w:jc w:val="both"/>
        <w:rPr>
          <w:sz w:val="24"/>
        </w:rPr>
        <w:sectPr>
          <w:pgSz w:w="11910" w:h="16840"/>
          <w:pgMar w:top="1600" w:right="660" w:bottom="1160" w:left="720" w:header="949" w:footer="975" w:gutter="0"/>
          <w:pgBorders>
            <w:top w:val="none" w:sz="0" w:space="0"/>
            <w:left w:val="none" w:sz="0" w:space="0"/>
            <w:bottom w:val="none" w:sz="0" w:space="0"/>
            <w:right w:val="none" w:sz="0" w:space="0"/>
          </w:pgBorders>
          <w:cols w:space="720" w:num="1"/>
        </w:sectPr>
      </w:pPr>
    </w:p>
    <w:p>
      <w:pPr>
        <w:pStyle w:val="7"/>
        <w:spacing w:before="123"/>
        <w:ind w:left="1080"/>
      </w:pPr>
      <w:r>
        <w:t>可以与排在成交供应商之后第一位的成交候选人签订采购合同，以此类推。</w:t>
      </w:r>
    </w:p>
    <w:p>
      <w:pPr>
        <w:pStyle w:val="16"/>
        <w:numPr>
          <w:ilvl w:val="1"/>
          <w:numId w:val="8"/>
        </w:numPr>
        <w:tabs>
          <w:tab w:val="left" w:pos="2103"/>
        </w:tabs>
        <w:spacing w:line="364" w:lineRule="auto"/>
        <w:ind w:right="1137" w:firstLine="480"/>
        <w:rPr>
          <w:sz w:val="24"/>
        </w:rPr>
      </w:pPr>
      <w:r>
        <w:rPr>
          <w:rFonts w:hint="eastAsia"/>
          <w:sz w:val="24"/>
          <w:lang w:val="en-US" w:eastAsia="zh-CN"/>
        </w:rPr>
        <w:t xml:space="preserve"> </w:t>
      </w:r>
      <w:r>
        <w:rPr>
          <w:sz w:val="24"/>
        </w:rPr>
        <w:t>竞争性磋商文件、成交供应商提交的响应文件、磋商中的最后报价、成交供应商承诺书、成交通知书等均称为有法律约束力的合同组成内容。</w:t>
      </w:r>
    </w:p>
    <w:p>
      <w:pPr>
        <w:pStyle w:val="6"/>
        <w:numPr>
          <w:ilvl w:val="0"/>
          <w:numId w:val="8"/>
        </w:numPr>
        <w:tabs>
          <w:tab w:val="left" w:pos="1444"/>
        </w:tabs>
        <w:spacing w:before="162"/>
        <w:ind w:left="1443"/>
      </w:pPr>
      <w:r>
        <w:t>合同分包（实质性要求）</w:t>
      </w:r>
    </w:p>
    <w:p>
      <w:pPr>
        <w:rPr>
          <w:sz w:val="24"/>
          <w:szCs w:val="24"/>
        </w:rPr>
      </w:pPr>
    </w:p>
    <w:p>
      <w:pPr>
        <w:pStyle w:val="2"/>
        <w:ind w:firstLine="1200" w:firstLineChars="500"/>
        <w:rPr>
          <w:sz w:val="24"/>
          <w:szCs w:val="24"/>
        </w:rPr>
      </w:pPr>
      <w:r>
        <w:rPr>
          <w:rFonts w:hint="eastAsia"/>
          <w:sz w:val="24"/>
          <w:szCs w:val="24"/>
        </w:rPr>
        <w:t>本</w:t>
      </w:r>
      <w:r>
        <w:rPr>
          <w:rFonts w:hint="eastAsia"/>
          <w:sz w:val="24"/>
          <w:szCs w:val="24"/>
          <w:lang w:val="en-US" w:eastAsia="zh-CN"/>
        </w:rPr>
        <w:t>采购</w:t>
      </w:r>
      <w:r>
        <w:rPr>
          <w:rFonts w:hint="eastAsia"/>
          <w:sz w:val="24"/>
          <w:szCs w:val="24"/>
        </w:rPr>
        <w:t>项目不允许该合同以任何形式进行分包。</w:t>
      </w:r>
    </w:p>
    <w:p>
      <w:pPr>
        <w:pStyle w:val="6"/>
        <w:numPr>
          <w:ilvl w:val="0"/>
          <w:numId w:val="8"/>
        </w:numPr>
        <w:tabs>
          <w:tab w:val="left" w:pos="1444"/>
        </w:tabs>
        <w:spacing w:before="163"/>
        <w:ind w:left="1443"/>
      </w:pPr>
      <w:r>
        <w:t>合同转包（实质性要求）</w:t>
      </w:r>
    </w:p>
    <w:p>
      <w:pPr>
        <w:pStyle w:val="7"/>
        <w:spacing w:before="160" w:line="364" w:lineRule="auto"/>
        <w:ind w:left="1080" w:right="1137" w:firstLine="480"/>
        <w:jc w:val="both"/>
      </w:pPr>
      <w:r>
        <w:rPr>
          <w:spacing w:val="2"/>
        </w:rPr>
        <w:t>本采购项目严禁成交供应商将任何政府采购合同义务转包。本项目所称转</w:t>
      </w:r>
      <w:r>
        <w:rPr>
          <w:spacing w:val="-10"/>
        </w:rPr>
        <w:t>包，是指成交供应商将政府采购合同义务转让给第三人，并退出现有政府采购合</w:t>
      </w:r>
      <w:r>
        <w:rPr>
          <w:spacing w:val="-5"/>
        </w:rPr>
        <w:t>同当事人双方的权利义务关系，受让人</w:t>
      </w:r>
      <w:r>
        <w:t>（即第三人</w:t>
      </w:r>
      <w:r>
        <w:rPr>
          <w:spacing w:val="-32"/>
        </w:rPr>
        <w:t>）</w:t>
      </w:r>
      <w:r>
        <w:rPr>
          <w:spacing w:val="-2"/>
        </w:rPr>
        <w:t>成为政府采购合同的另一方</w:t>
      </w:r>
      <w:r>
        <w:t>当事人的行为。</w:t>
      </w:r>
    </w:p>
    <w:p>
      <w:pPr>
        <w:pStyle w:val="7"/>
        <w:spacing w:before="2" w:line="364" w:lineRule="auto"/>
        <w:ind w:left="1080" w:right="1017" w:firstLine="480"/>
        <w:rPr>
          <w:spacing w:val="-16"/>
        </w:rPr>
      </w:pPr>
      <w:r>
        <w:rPr>
          <w:spacing w:val="-16"/>
        </w:rPr>
        <w:t>成交供应商转包的，视同拒绝履行政府采购合同义务，将依法追究法律责任。</w:t>
      </w:r>
    </w:p>
    <w:p>
      <w:pPr>
        <w:pStyle w:val="7"/>
        <w:spacing w:before="2" w:line="364" w:lineRule="auto"/>
        <w:ind w:right="1017" w:firstLine="964" w:firstLineChars="400"/>
        <w:rPr>
          <w:b/>
        </w:rPr>
      </w:pPr>
      <w:r>
        <w:rPr>
          <w:b/>
        </w:rPr>
        <w:t>30.补充合同</w:t>
      </w:r>
    </w:p>
    <w:p>
      <w:pPr>
        <w:pStyle w:val="7"/>
        <w:spacing w:before="2" w:line="364" w:lineRule="auto"/>
        <w:ind w:left="1080" w:right="1045" w:firstLine="480"/>
      </w:pPr>
      <w:r>
        <w:rPr>
          <w:spacing w:val="-1"/>
        </w:rPr>
        <w:t xml:space="preserve">采购合同履行过程中，采购人需要追加与合同标的相同的货物或者服务的， </w:t>
      </w:r>
      <w:r>
        <w:rPr>
          <w:spacing w:val="-6"/>
        </w:rPr>
        <w:t>在不改变合同其他条款的前提下，可以与成交供应商协商签订补充合同，但所有</w:t>
      </w:r>
      <w:r>
        <w:rPr>
          <w:spacing w:val="-10"/>
        </w:rPr>
        <w:t>补充合同的采购金额不得超过原合同采购金额的百分之十，该补充合同应当在原</w:t>
      </w:r>
      <w:r>
        <w:rPr>
          <w:spacing w:val="-14"/>
        </w:rPr>
        <w:t>政府采购合同履行过程中，不得在原政府采购合同履行结束后，且采购货物、工程和服务的名称、价格、履约方式、验收标准等必须与原政府采购合同一致。</w:t>
      </w:r>
    </w:p>
    <w:p>
      <w:pPr>
        <w:spacing w:line="364" w:lineRule="auto"/>
        <w:sectPr>
          <w:pgSz w:w="11910" w:h="16840"/>
          <w:pgMar w:top="1600" w:right="660" w:bottom="1160" w:left="720" w:header="949" w:footer="975" w:gutter="0"/>
          <w:pgBorders>
            <w:top w:val="none" w:sz="0" w:space="0"/>
            <w:left w:val="none" w:sz="0" w:space="0"/>
            <w:bottom w:val="none" w:sz="0" w:space="0"/>
            <w:right w:val="none" w:sz="0" w:space="0"/>
          </w:pgBorders>
          <w:cols w:space="720" w:num="1"/>
        </w:sectPr>
      </w:pPr>
    </w:p>
    <w:p>
      <w:pPr>
        <w:pStyle w:val="6"/>
        <w:numPr>
          <w:ilvl w:val="0"/>
          <w:numId w:val="10"/>
        </w:numPr>
        <w:tabs>
          <w:tab w:val="left" w:pos="1444"/>
        </w:tabs>
        <w:spacing w:before="123"/>
        <w:jc w:val="left"/>
        <w:rPr>
          <w:sz w:val="22"/>
        </w:rPr>
      </w:pPr>
      <w:r>
        <w:t>履约保证金（实质性要求）</w:t>
      </w:r>
    </w:p>
    <w:p>
      <w:pPr>
        <w:pStyle w:val="16"/>
        <w:numPr>
          <w:ilvl w:val="1"/>
          <w:numId w:val="10"/>
        </w:numPr>
        <w:tabs>
          <w:tab w:val="left" w:pos="2160"/>
        </w:tabs>
        <w:rPr>
          <w:sz w:val="24"/>
        </w:rPr>
      </w:pPr>
      <w:r>
        <w:rPr>
          <w:rFonts w:hint="eastAsia"/>
          <w:sz w:val="24"/>
          <w:lang w:val="en-US" w:eastAsia="zh-CN"/>
        </w:rPr>
        <w:t xml:space="preserve"> </w:t>
      </w:r>
      <w:r>
        <w:rPr>
          <w:sz w:val="24"/>
        </w:rPr>
        <w:t>成交供应商应在合同签订之前交纳采购文件规定数额的履约保证金。</w:t>
      </w:r>
    </w:p>
    <w:p>
      <w:pPr>
        <w:pStyle w:val="16"/>
        <w:numPr>
          <w:ilvl w:val="1"/>
          <w:numId w:val="10"/>
        </w:numPr>
        <w:tabs>
          <w:tab w:val="left" w:pos="2160"/>
        </w:tabs>
        <w:spacing w:before="160" w:line="364" w:lineRule="auto"/>
        <w:ind w:left="1080" w:right="1140" w:firstLine="480"/>
        <w:rPr>
          <w:sz w:val="24"/>
        </w:rPr>
      </w:pPr>
      <w:r>
        <w:rPr>
          <w:rFonts w:hint="eastAsia"/>
          <w:spacing w:val="-1"/>
          <w:sz w:val="24"/>
          <w:lang w:val="en-US" w:eastAsia="zh-CN"/>
        </w:rPr>
        <w:t xml:space="preserve"> </w:t>
      </w:r>
      <w:r>
        <w:rPr>
          <w:spacing w:val="-1"/>
          <w:sz w:val="24"/>
        </w:rPr>
        <w:t>如果成交供应商在规定的合同签订时间内，没有按照采购文件的规定</w:t>
      </w:r>
      <w:r>
        <w:rPr>
          <w:sz w:val="24"/>
        </w:rPr>
        <w:t>交纳履约保证金，且又无正当理由的，将视为放弃成交。</w:t>
      </w:r>
    </w:p>
    <w:p>
      <w:pPr>
        <w:pStyle w:val="6"/>
        <w:numPr>
          <w:ilvl w:val="0"/>
          <w:numId w:val="10"/>
        </w:numPr>
        <w:tabs>
          <w:tab w:val="left" w:pos="1444"/>
        </w:tabs>
        <w:spacing w:before="162"/>
        <w:jc w:val="left"/>
        <w:rPr>
          <w:sz w:val="22"/>
        </w:rPr>
      </w:pPr>
      <w:r>
        <w:t>合同公告</w:t>
      </w:r>
    </w:p>
    <w:p>
      <w:pPr>
        <w:pStyle w:val="7"/>
        <w:spacing w:before="161" w:line="364" w:lineRule="auto"/>
        <w:ind w:left="1080" w:right="1137" w:firstLine="480"/>
        <w:jc w:val="both"/>
      </w:pPr>
      <w:r>
        <w:rPr>
          <w:spacing w:val="-4"/>
        </w:rPr>
        <w:t>采购人应当自政府采购合同签订</w:t>
      </w:r>
      <w:r>
        <w:t>（双方当事人均已签字盖章</w:t>
      </w:r>
      <w:r>
        <w:rPr>
          <w:spacing w:val="-46"/>
        </w:rPr>
        <w:t>）</w:t>
      </w:r>
      <w:r>
        <w:rPr>
          <w:spacing w:val="-16"/>
        </w:rPr>
        <w:t xml:space="preserve">之日起 </w:t>
      </w:r>
      <w:r>
        <w:t>2</w:t>
      </w:r>
      <w:r>
        <w:rPr>
          <w:spacing w:val="-26"/>
        </w:rPr>
        <w:t xml:space="preserve"> 个工</w:t>
      </w:r>
      <w:r>
        <w:rPr>
          <w:spacing w:val="-10"/>
        </w:rPr>
        <w:t>作日内，将政府采购合同在四川政府采购网上公告，但政府采购合同中涉及国家</w:t>
      </w:r>
      <w:r>
        <w:t>秘密、商业秘密的内容除外。</w:t>
      </w:r>
    </w:p>
    <w:p>
      <w:pPr>
        <w:pStyle w:val="6"/>
        <w:numPr>
          <w:ilvl w:val="0"/>
          <w:numId w:val="10"/>
        </w:numPr>
        <w:tabs>
          <w:tab w:val="left" w:pos="1444"/>
        </w:tabs>
        <w:spacing w:before="162"/>
        <w:jc w:val="left"/>
        <w:rPr>
          <w:sz w:val="22"/>
        </w:rPr>
      </w:pPr>
      <w:r>
        <w:t>合同备案</w:t>
      </w:r>
    </w:p>
    <w:p>
      <w:pPr>
        <w:pStyle w:val="7"/>
        <w:spacing w:before="160" w:line="364" w:lineRule="auto"/>
        <w:ind w:left="1080" w:right="1137" w:firstLine="480"/>
      </w:pPr>
      <w:r>
        <w:rPr>
          <w:spacing w:val="-3"/>
        </w:rPr>
        <w:t>采购人应当将政府采购合同副本自签订</w:t>
      </w:r>
      <w:r>
        <w:t>（双方当事人均已签字盖章</w:t>
      </w:r>
      <w:r>
        <w:rPr>
          <w:spacing w:val="-46"/>
        </w:rPr>
        <w:t>）</w:t>
      </w:r>
      <w:r>
        <w:rPr>
          <w:spacing w:val="-6"/>
        </w:rPr>
        <w:t>之日起</w:t>
      </w:r>
      <w:r>
        <w:t>七个工作日内通过四川政府采购网报同级财政部门备案。</w:t>
      </w:r>
    </w:p>
    <w:p>
      <w:pPr>
        <w:pStyle w:val="6"/>
        <w:numPr>
          <w:ilvl w:val="0"/>
          <w:numId w:val="10"/>
        </w:numPr>
        <w:tabs>
          <w:tab w:val="left" w:pos="1444"/>
        </w:tabs>
        <w:spacing w:before="162"/>
        <w:jc w:val="left"/>
        <w:rPr>
          <w:sz w:val="22"/>
        </w:rPr>
      </w:pPr>
      <w:r>
        <w:t>履行合同</w:t>
      </w:r>
    </w:p>
    <w:p>
      <w:pPr>
        <w:pStyle w:val="16"/>
        <w:numPr>
          <w:ilvl w:val="1"/>
          <w:numId w:val="10"/>
        </w:numPr>
        <w:tabs>
          <w:tab w:val="left" w:pos="2160"/>
        </w:tabs>
        <w:spacing w:line="364" w:lineRule="auto"/>
        <w:ind w:left="1080" w:right="1140" w:firstLine="480"/>
        <w:rPr>
          <w:sz w:val="24"/>
        </w:rPr>
      </w:pPr>
      <w:r>
        <w:rPr>
          <w:rFonts w:hint="eastAsia"/>
          <w:spacing w:val="-1"/>
          <w:sz w:val="24"/>
          <w:lang w:val="en-US" w:eastAsia="zh-CN"/>
        </w:rPr>
        <w:t xml:space="preserve"> </w:t>
      </w:r>
      <w:r>
        <w:rPr>
          <w:spacing w:val="-1"/>
          <w:sz w:val="24"/>
        </w:rPr>
        <w:t>成交供应商与采购人签订合同后，合同双方应严格执行合同条款，履</w:t>
      </w:r>
      <w:r>
        <w:rPr>
          <w:sz w:val="24"/>
        </w:rPr>
        <w:t>行合同规定的义务，保证合同的顺利完成。</w:t>
      </w:r>
    </w:p>
    <w:p>
      <w:pPr>
        <w:pStyle w:val="16"/>
        <w:numPr>
          <w:ilvl w:val="1"/>
          <w:numId w:val="10"/>
        </w:numPr>
        <w:tabs>
          <w:tab w:val="left" w:pos="2160"/>
        </w:tabs>
        <w:spacing w:before="1" w:line="364" w:lineRule="auto"/>
        <w:ind w:left="1080" w:right="1140" w:firstLine="480"/>
        <w:rPr>
          <w:sz w:val="24"/>
        </w:rPr>
      </w:pPr>
      <w:r>
        <w:rPr>
          <w:rFonts w:hint="eastAsia"/>
          <w:spacing w:val="-1"/>
          <w:sz w:val="24"/>
          <w:lang w:val="en-US" w:eastAsia="zh-CN"/>
        </w:rPr>
        <w:t xml:space="preserve"> </w:t>
      </w:r>
      <w:r>
        <w:rPr>
          <w:spacing w:val="-1"/>
          <w:sz w:val="24"/>
        </w:rPr>
        <w:t>在合同履行过程中，如发生合同纠纷，合同双方应按照《</w:t>
      </w:r>
      <w:r>
        <w:rPr>
          <w:rFonts w:hint="eastAsia"/>
          <w:spacing w:val="-1"/>
          <w:sz w:val="24"/>
          <w:lang w:eastAsia="zh-CN"/>
        </w:rPr>
        <w:t>民法典</w:t>
      </w:r>
      <w:r>
        <w:rPr>
          <w:spacing w:val="-1"/>
          <w:sz w:val="24"/>
        </w:rPr>
        <w:t>》的</w:t>
      </w:r>
      <w:r>
        <w:rPr>
          <w:sz w:val="24"/>
        </w:rPr>
        <w:t>有关规定进行处理。</w:t>
      </w:r>
    </w:p>
    <w:p>
      <w:pPr>
        <w:pStyle w:val="6"/>
        <w:numPr>
          <w:ilvl w:val="0"/>
          <w:numId w:val="10"/>
        </w:numPr>
        <w:tabs>
          <w:tab w:val="left" w:pos="1444"/>
        </w:tabs>
        <w:jc w:val="left"/>
        <w:rPr>
          <w:sz w:val="22"/>
        </w:rPr>
      </w:pPr>
      <w:r>
        <w:t>验收标准</w:t>
      </w:r>
    </w:p>
    <w:p>
      <w:pPr>
        <w:pStyle w:val="16"/>
        <w:numPr>
          <w:ilvl w:val="1"/>
          <w:numId w:val="10"/>
        </w:numPr>
        <w:tabs>
          <w:tab w:val="left" w:pos="2103"/>
        </w:tabs>
        <w:spacing w:line="364" w:lineRule="auto"/>
        <w:ind w:left="1080" w:right="1137" w:firstLine="480"/>
        <w:jc w:val="both"/>
        <w:rPr>
          <w:sz w:val="24"/>
        </w:rPr>
      </w:pPr>
      <w:r>
        <w:rPr>
          <w:rFonts w:hint="eastAsia"/>
          <w:sz w:val="24"/>
          <w:lang w:val="en-US" w:eastAsia="zh-CN"/>
        </w:rPr>
        <w:t xml:space="preserve"> </w:t>
      </w:r>
      <w:r>
        <w:rPr>
          <w:sz w:val="24"/>
        </w:rPr>
        <w:t>严格按</w:t>
      </w:r>
      <w:r>
        <w:rPr>
          <w:spacing w:val="-4"/>
          <w:sz w:val="24"/>
        </w:rPr>
        <w:t>《财政部关于进一步加强政</w:t>
      </w:r>
      <w:r>
        <w:rPr>
          <w:spacing w:val="-6"/>
          <w:sz w:val="24"/>
        </w:rPr>
        <w:t>府采购需求和履约验收管理的指导意见》(财库〔</w:t>
      </w:r>
      <w:r>
        <w:rPr>
          <w:sz w:val="24"/>
        </w:rPr>
        <w:t>2016</w:t>
      </w:r>
      <w:r>
        <w:rPr>
          <w:spacing w:val="-12"/>
          <w:sz w:val="24"/>
        </w:rPr>
        <w:t>〕</w:t>
      </w:r>
      <w:r>
        <w:rPr>
          <w:sz w:val="24"/>
        </w:rPr>
        <w:t>205</w:t>
      </w:r>
      <w:r>
        <w:rPr>
          <w:spacing w:val="-9"/>
          <w:sz w:val="24"/>
        </w:rPr>
        <w:t xml:space="preserve"> 号)以及主管部门的</w:t>
      </w:r>
      <w:r>
        <w:rPr>
          <w:sz w:val="24"/>
        </w:rPr>
        <w:t>相关要求进行验收。</w:t>
      </w:r>
    </w:p>
    <w:p>
      <w:pPr>
        <w:pStyle w:val="16"/>
        <w:numPr>
          <w:ilvl w:val="1"/>
          <w:numId w:val="10"/>
        </w:numPr>
        <w:tabs>
          <w:tab w:val="left" w:pos="2100"/>
        </w:tabs>
        <w:spacing w:before="2" w:line="364" w:lineRule="auto"/>
        <w:ind w:left="1080" w:right="925" w:firstLine="480"/>
        <w:jc w:val="both"/>
        <w:rPr>
          <w:sz w:val="24"/>
        </w:rPr>
      </w:pPr>
      <w:r>
        <w:rPr>
          <w:rFonts w:hint="eastAsia"/>
          <w:spacing w:val="-3"/>
          <w:sz w:val="24"/>
          <w:lang w:val="en-US" w:eastAsia="zh-CN"/>
        </w:rPr>
        <w:t xml:space="preserve"> </w:t>
      </w:r>
      <w:r>
        <w:rPr>
          <w:spacing w:val="-3"/>
          <w:sz w:val="24"/>
        </w:rPr>
        <w:t>由采购人组织履约验收小组，开展项目验收工作，达到国家相关标准、</w:t>
      </w:r>
      <w:r>
        <w:rPr>
          <w:spacing w:val="-12"/>
          <w:sz w:val="24"/>
        </w:rPr>
        <w:t>行业标准、地方标准或者其他标准、规范要求为标准，按照《竞争性磋商文件》、</w:t>
      </w:r>
    </w:p>
    <w:p>
      <w:pPr>
        <w:spacing w:line="364" w:lineRule="auto"/>
        <w:jc w:val="both"/>
        <w:rPr>
          <w:sz w:val="24"/>
        </w:rPr>
        <w:sectPr>
          <w:pgSz w:w="11910" w:h="16840"/>
          <w:pgMar w:top="1600" w:right="660" w:bottom="1160" w:left="720" w:header="949" w:footer="975" w:gutter="0"/>
          <w:pgBorders>
            <w:top w:val="none" w:sz="0" w:space="0"/>
            <w:left w:val="none" w:sz="0" w:space="0"/>
            <w:bottom w:val="none" w:sz="0" w:space="0"/>
            <w:right w:val="none" w:sz="0" w:space="0"/>
          </w:pgBorders>
          <w:cols w:space="720" w:num="1"/>
        </w:sectPr>
      </w:pPr>
    </w:p>
    <w:p>
      <w:pPr>
        <w:pStyle w:val="7"/>
        <w:spacing w:before="123" w:line="364" w:lineRule="auto"/>
        <w:ind w:left="1080" w:right="1045"/>
      </w:pPr>
      <w:r>
        <w:rPr>
          <w:spacing w:val="-1"/>
        </w:rPr>
        <w:t xml:space="preserve">《响应文件》和双方签订的《采购合同》，审查项目资料完备性、规范性情况， </w:t>
      </w:r>
      <w:r>
        <w:rPr>
          <w:spacing w:val="-8"/>
        </w:rPr>
        <w:t>审查项目履行合同、《竞争性磋商文件》和《响应文件》情况，审查所有材料质</w:t>
      </w:r>
      <w:r>
        <w:rPr>
          <w:spacing w:val="-10"/>
        </w:rPr>
        <w:t>量、性能、安全性以及各项技术指标完成情况，对供应商履约情况进行验收，出具验收报告。</w:t>
      </w:r>
    </w:p>
    <w:p>
      <w:pPr>
        <w:spacing w:before="28"/>
        <w:ind w:left="2661" w:right="2721"/>
        <w:jc w:val="center"/>
        <w:rPr>
          <w:b/>
          <w:sz w:val="32"/>
        </w:rPr>
      </w:pPr>
      <w:bookmarkStart w:id="43" w:name="八、磋商纪律要求"/>
      <w:bookmarkEnd w:id="43"/>
      <w:r>
        <w:rPr>
          <w:b/>
          <w:sz w:val="32"/>
        </w:rPr>
        <w:t>八、磋商纪律要求</w:t>
      </w:r>
    </w:p>
    <w:p>
      <w:pPr>
        <w:pStyle w:val="6"/>
        <w:numPr>
          <w:ilvl w:val="0"/>
          <w:numId w:val="10"/>
        </w:numPr>
        <w:tabs>
          <w:tab w:val="left" w:pos="1444"/>
        </w:tabs>
        <w:spacing w:before="189"/>
        <w:jc w:val="left"/>
        <w:rPr>
          <w:sz w:val="22"/>
        </w:rPr>
      </w:pPr>
      <w:r>
        <w:t>供应商不得具有的情形</w:t>
      </w:r>
    </w:p>
    <w:p>
      <w:pPr>
        <w:pStyle w:val="7"/>
        <w:spacing w:before="160"/>
        <w:ind w:left="1560"/>
      </w:pPr>
      <w:r>
        <w:t>供应商参加本项目磋商不得有下列情形：</w:t>
      </w:r>
    </w:p>
    <w:p>
      <w:pPr>
        <w:pStyle w:val="16"/>
        <w:numPr>
          <w:ilvl w:val="0"/>
          <w:numId w:val="11"/>
        </w:numPr>
        <w:tabs>
          <w:tab w:val="left" w:pos="2161"/>
        </w:tabs>
        <w:rPr>
          <w:sz w:val="24"/>
        </w:rPr>
      </w:pPr>
      <w:r>
        <w:rPr>
          <w:sz w:val="24"/>
        </w:rPr>
        <w:t>提供虚假材料谋取成交；</w:t>
      </w:r>
    </w:p>
    <w:p>
      <w:pPr>
        <w:pStyle w:val="16"/>
        <w:numPr>
          <w:ilvl w:val="0"/>
          <w:numId w:val="11"/>
        </w:numPr>
        <w:tabs>
          <w:tab w:val="left" w:pos="2161"/>
        </w:tabs>
        <w:spacing w:before="160"/>
        <w:rPr>
          <w:sz w:val="24"/>
        </w:rPr>
      </w:pPr>
      <w:r>
        <w:rPr>
          <w:sz w:val="24"/>
        </w:rPr>
        <w:t>采取不正当手段诋毁、排挤其他供应商；</w:t>
      </w:r>
    </w:p>
    <w:p>
      <w:pPr>
        <w:pStyle w:val="16"/>
        <w:numPr>
          <w:ilvl w:val="0"/>
          <w:numId w:val="11"/>
        </w:numPr>
        <w:tabs>
          <w:tab w:val="left" w:pos="2161"/>
        </w:tabs>
        <w:rPr>
          <w:sz w:val="24"/>
        </w:rPr>
      </w:pPr>
      <w:r>
        <w:rPr>
          <w:sz w:val="24"/>
        </w:rPr>
        <w:t>与采购人、采购代理机构、或其他供应商恶意串通；</w:t>
      </w:r>
    </w:p>
    <w:p>
      <w:pPr>
        <w:pStyle w:val="16"/>
        <w:numPr>
          <w:ilvl w:val="0"/>
          <w:numId w:val="11"/>
        </w:numPr>
        <w:tabs>
          <w:tab w:val="left" w:pos="2161"/>
        </w:tabs>
        <w:spacing w:before="160" w:line="364" w:lineRule="auto"/>
        <w:ind w:left="1080" w:right="1140" w:firstLine="480"/>
        <w:rPr>
          <w:sz w:val="24"/>
        </w:rPr>
      </w:pPr>
      <w:r>
        <w:rPr>
          <w:spacing w:val="-1"/>
          <w:sz w:val="24"/>
        </w:rPr>
        <w:t>向采购人、采购代理机构、磋商小组成员行贿或者提供其他不正当利</w:t>
      </w:r>
      <w:r>
        <w:rPr>
          <w:sz w:val="24"/>
        </w:rPr>
        <w:t>益；</w:t>
      </w:r>
    </w:p>
    <w:p>
      <w:pPr>
        <w:pStyle w:val="16"/>
        <w:numPr>
          <w:ilvl w:val="0"/>
          <w:numId w:val="11"/>
        </w:numPr>
        <w:tabs>
          <w:tab w:val="left" w:pos="2161"/>
        </w:tabs>
        <w:spacing w:before="1"/>
        <w:rPr>
          <w:sz w:val="24"/>
        </w:rPr>
      </w:pPr>
      <w:r>
        <w:rPr>
          <w:sz w:val="24"/>
        </w:rPr>
        <w:t>在磋商过程中与采购人、采购代理机构进行协商；</w:t>
      </w:r>
    </w:p>
    <w:p>
      <w:pPr>
        <w:pStyle w:val="16"/>
        <w:numPr>
          <w:ilvl w:val="0"/>
          <w:numId w:val="11"/>
        </w:numPr>
        <w:tabs>
          <w:tab w:val="left" w:pos="2161"/>
        </w:tabs>
        <w:rPr>
          <w:sz w:val="24"/>
        </w:rPr>
      </w:pPr>
      <w:r>
        <w:rPr>
          <w:sz w:val="24"/>
        </w:rPr>
        <w:t>成交后无正当理由拒不与采购人签订政府采购合同；</w:t>
      </w:r>
    </w:p>
    <w:p>
      <w:pPr>
        <w:pStyle w:val="16"/>
        <w:numPr>
          <w:ilvl w:val="0"/>
          <w:numId w:val="11"/>
        </w:numPr>
        <w:tabs>
          <w:tab w:val="left" w:pos="2161"/>
        </w:tabs>
        <w:spacing w:before="160"/>
        <w:rPr>
          <w:sz w:val="24"/>
        </w:rPr>
      </w:pPr>
      <w:r>
        <w:rPr>
          <w:sz w:val="24"/>
        </w:rPr>
        <w:t>未按照磋商文件确定的事项签订政府采购合同；</w:t>
      </w:r>
    </w:p>
    <w:p>
      <w:pPr>
        <w:pStyle w:val="16"/>
        <w:numPr>
          <w:ilvl w:val="0"/>
          <w:numId w:val="11"/>
        </w:numPr>
        <w:tabs>
          <w:tab w:val="left" w:pos="2161"/>
        </w:tabs>
        <w:rPr>
          <w:sz w:val="24"/>
        </w:rPr>
      </w:pPr>
      <w:r>
        <w:rPr>
          <w:sz w:val="24"/>
        </w:rPr>
        <w:t>将政府采购合同转包或者违规分包；</w:t>
      </w:r>
    </w:p>
    <w:p>
      <w:pPr>
        <w:pStyle w:val="16"/>
        <w:numPr>
          <w:ilvl w:val="0"/>
          <w:numId w:val="11"/>
        </w:numPr>
        <w:tabs>
          <w:tab w:val="left" w:pos="2161"/>
        </w:tabs>
        <w:spacing w:before="160"/>
        <w:rPr>
          <w:sz w:val="24"/>
        </w:rPr>
      </w:pPr>
      <w:r>
        <w:rPr>
          <w:sz w:val="24"/>
        </w:rPr>
        <w:t>提供假冒伪劣产品；</w:t>
      </w:r>
    </w:p>
    <w:p>
      <w:pPr>
        <w:pStyle w:val="16"/>
        <w:numPr>
          <w:ilvl w:val="0"/>
          <w:numId w:val="11"/>
        </w:numPr>
        <w:tabs>
          <w:tab w:val="left" w:pos="2281"/>
        </w:tabs>
        <w:ind w:left="2281" w:hanging="721"/>
        <w:rPr>
          <w:sz w:val="24"/>
        </w:rPr>
      </w:pPr>
      <w:r>
        <w:rPr>
          <w:sz w:val="24"/>
        </w:rPr>
        <w:t>擅自变更、中止或者终止政府采购合同；</w:t>
      </w:r>
    </w:p>
    <w:p>
      <w:pPr>
        <w:pStyle w:val="16"/>
        <w:numPr>
          <w:ilvl w:val="0"/>
          <w:numId w:val="11"/>
        </w:numPr>
        <w:tabs>
          <w:tab w:val="left" w:pos="2281"/>
        </w:tabs>
        <w:spacing w:before="160"/>
        <w:ind w:left="2281" w:hanging="721"/>
        <w:rPr>
          <w:sz w:val="24"/>
        </w:rPr>
      </w:pPr>
      <w:r>
        <w:rPr>
          <w:sz w:val="24"/>
        </w:rPr>
        <w:t>拒绝有关部门的监督检查或者向监督检查部门提供虚假情况；</w:t>
      </w:r>
    </w:p>
    <w:p>
      <w:pPr>
        <w:pStyle w:val="16"/>
        <w:numPr>
          <w:ilvl w:val="0"/>
          <w:numId w:val="11"/>
        </w:numPr>
        <w:tabs>
          <w:tab w:val="left" w:pos="2281"/>
        </w:tabs>
        <w:ind w:left="2281" w:hanging="721"/>
        <w:rPr>
          <w:sz w:val="24"/>
        </w:rPr>
      </w:pPr>
      <w:r>
        <w:rPr>
          <w:sz w:val="24"/>
        </w:rPr>
        <w:t>法律法规规定的其他情形。</w:t>
      </w:r>
    </w:p>
    <w:p>
      <w:pPr>
        <w:pStyle w:val="7"/>
        <w:spacing w:before="160" w:line="364" w:lineRule="auto"/>
        <w:ind w:left="1080" w:right="1137" w:firstLine="480"/>
      </w:pPr>
      <w:r>
        <w:rPr>
          <w:spacing w:val="-4"/>
        </w:rPr>
        <w:t>供应商有上述情形的，按照规定追究法律责任，具备</w:t>
      </w:r>
      <w:r>
        <w:rPr>
          <w:spacing w:val="-7"/>
        </w:rPr>
        <w:t>（1）-（10）</w:t>
      </w:r>
      <w:r>
        <w:rPr>
          <w:spacing w:val="-4"/>
        </w:rPr>
        <w:t>条情形之</w:t>
      </w:r>
      <w:r>
        <w:t>一的，同时将取消被确认为成交供应商的资格或者认定成交无效。</w:t>
      </w:r>
    </w:p>
    <w:p>
      <w:pPr>
        <w:pStyle w:val="7"/>
        <w:spacing w:before="6"/>
        <w:rPr>
          <w:sz w:val="26"/>
        </w:rPr>
      </w:pPr>
    </w:p>
    <w:p>
      <w:pPr>
        <w:ind w:left="2664" w:right="2719"/>
        <w:jc w:val="center"/>
        <w:rPr>
          <w:b/>
          <w:sz w:val="32"/>
        </w:rPr>
      </w:pPr>
      <w:r>
        <w:rPr>
          <w:b/>
          <w:sz w:val="32"/>
        </w:rPr>
        <w:t>九、询问、质疑和投诉</w:t>
      </w:r>
    </w:p>
    <w:p>
      <w:pPr>
        <w:pStyle w:val="7"/>
        <w:rPr>
          <w:b/>
          <w:sz w:val="32"/>
        </w:rPr>
      </w:pPr>
    </w:p>
    <w:p>
      <w:pPr>
        <w:pStyle w:val="16"/>
        <w:numPr>
          <w:ilvl w:val="0"/>
          <w:numId w:val="10"/>
        </w:numPr>
        <w:tabs>
          <w:tab w:val="left" w:pos="1936"/>
        </w:tabs>
        <w:spacing w:before="247"/>
        <w:ind w:left="1935" w:hanging="362"/>
        <w:jc w:val="left"/>
      </w:pPr>
      <w:r>
        <w:rPr>
          <w:spacing w:val="-22"/>
          <w:sz w:val="24"/>
        </w:rPr>
        <w:t>询问、质疑、投诉的接收和处理严格按照《中华人民共和国政府采购法》、</w:t>
      </w:r>
    </w:p>
    <w:p>
      <w:pPr>
        <w:pStyle w:val="7"/>
        <w:spacing w:before="160" w:line="364" w:lineRule="auto"/>
        <w:ind w:left="1080" w:right="1137"/>
        <w:jc w:val="both"/>
      </w:pPr>
      <w:r>
        <w:rPr>
          <w:spacing w:val="-7"/>
        </w:rPr>
        <w:t>《中华人民共和国政府采购法实施条例》、《政府采购竞争性磋商采购方式管理</w:t>
      </w:r>
      <w:r>
        <w:rPr>
          <w:spacing w:val="-3"/>
        </w:rPr>
        <w:t xml:space="preserve">暂行办法》、《中华人民共和国财政部令第 </w:t>
      </w:r>
      <w:r>
        <w:t>94</w:t>
      </w:r>
      <w:r>
        <w:rPr>
          <w:spacing w:val="-9"/>
        </w:rPr>
        <w:t xml:space="preserve"> 号--政府采购质疑和投诉办法》</w:t>
      </w:r>
      <w:r>
        <w:t>等有关规定办理（详细规定请在四川政府采购网政策法规模块查询）。</w:t>
      </w:r>
    </w:p>
    <w:p>
      <w:pPr>
        <w:spacing w:line="364" w:lineRule="auto"/>
        <w:jc w:val="both"/>
        <w:sectPr>
          <w:pgSz w:w="11910" w:h="16840"/>
          <w:pgMar w:top="1600" w:right="660" w:bottom="1160" w:left="720" w:header="949" w:footer="975" w:gutter="0"/>
          <w:pgBorders>
            <w:top w:val="none" w:sz="0" w:space="0"/>
            <w:left w:val="none" w:sz="0" w:space="0"/>
            <w:bottom w:val="none" w:sz="0" w:space="0"/>
            <w:right w:val="none" w:sz="0" w:space="0"/>
          </w:pgBorders>
          <w:cols w:space="720" w:num="1"/>
        </w:sectPr>
      </w:pPr>
    </w:p>
    <w:p>
      <w:pPr>
        <w:pStyle w:val="3"/>
        <w:tabs>
          <w:tab w:val="left" w:pos="1286"/>
        </w:tabs>
        <w:ind w:right="55"/>
      </w:pPr>
      <w:bookmarkStart w:id="44" w:name="_bookmark2"/>
      <w:bookmarkEnd w:id="44"/>
      <w:bookmarkStart w:id="45" w:name="第三章__供应商资格条件要求"/>
      <w:bookmarkEnd w:id="45"/>
      <w:r>
        <w:t>第三章</w:t>
      </w:r>
      <w:r>
        <w:tab/>
      </w:r>
      <w:r>
        <w:t>供应商资格条件要求</w:t>
      </w:r>
    </w:p>
    <w:p>
      <w:pPr>
        <w:pStyle w:val="7"/>
        <w:spacing w:before="12"/>
        <w:rPr>
          <w:b/>
          <w:sz w:val="34"/>
        </w:rPr>
      </w:pPr>
    </w:p>
    <w:p>
      <w:pPr>
        <w:pStyle w:val="7"/>
        <w:spacing w:line="364" w:lineRule="auto"/>
        <w:ind w:left="1680" w:right="4630" w:hanging="600"/>
      </w:pPr>
      <w:r>
        <w:t>一、参加磋商的供应商应具备下列资格条件： 1.具有独立承担民事责任的能力；</w:t>
      </w:r>
    </w:p>
    <w:p>
      <w:pPr>
        <w:pStyle w:val="16"/>
        <w:numPr>
          <w:ilvl w:val="0"/>
          <w:numId w:val="12"/>
        </w:numPr>
        <w:tabs>
          <w:tab w:val="left" w:pos="1921"/>
        </w:tabs>
        <w:spacing w:before="1"/>
        <w:jc w:val="left"/>
        <w:rPr>
          <w:sz w:val="24"/>
        </w:rPr>
      </w:pPr>
      <w:r>
        <w:rPr>
          <w:sz w:val="24"/>
        </w:rPr>
        <w:t>具有良好的商业信誉和健全的财务会计制度；</w:t>
      </w:r>
    </w:p>
    <w:p>
      <w:pPr>
        <w:pStyle w:val="16"/>
        <w:numPr>
          <w:ilvl w:val="0"/>
          <w:numId w:val="12"/>
        </w:numPr>
        <w:tabs>
          <w:tab w:val="left" w:pos="1921"/>
        </w:tabs>
        <w:jc w:val="left"/>
        <w:rPr>
          <w:sz w:val="24"/>
        </w:rPr>
      </w:pPr>
      <w:r>
        <w:rPr>
          <w:sz w:val="24"/>
        </w:rPr>
        <w:t>具有履行合同所必需的设备和专业技术能力；</w:t>
      </w:r>
    </w:p>
    <w:p>
      <w:pPr>
        <w:pStyle w:val="16"/>
        <w:numPr>
          <w:ilvl w:val="0"/>
          <w:numId w:val="12"/>
        </w:numPr>
        <w:tabs>
          <w:tab w:val="left" w:pos="1921"/>
        </w:tabs>
        <w:spacing w:before="160"/>
        <w:jc w:val="left"/>
        <w:rPr>
          <w:sz w:val="24"/>
        </w:rPr>
      </w:pPr>
      <w:r>
        <w:rPr>
          <w:sz w:val="24"/>
        </w:rPr>
        <w:t>具有依法缴纳税收和社会保障资金的良好记录；</w:t>
      </w:r>
    </w:p>
    <w:p>
      <w:pPr>
        <w:pStyle w:val="16"/>
        <w:numPr>
          <w:ilvl w:val="0"/>
          <w:numId w:val="12"/>
        </w:numPr>
        <w:tabs>
          <w:tab w:val="left" w:pos="1921"/>
        </w:tabs>
        <w:jc w:val="left"/>
        <w:rPr>
          <w:sz w:val="24"/>
        </w:rPr>
      </w:pPr>
      <w:r>
        <w:rPr>
          <w:sz w:val="24"/>
        </w:rPr>
        <w:t>参加此项采购活动前三年内，在经营活动中没有重大违法记录；</w:t>
      </w:r>
    </w:p>
    <w:p>
      <w:pPr>
        <w:pStyle w:val="16"/>
        <w:numPr>
          <w:ilvl w:val="0"/>
          <w:numId w:val="12"/>
        </w:numPr>
        <w:tabs>
          <w:tab w:val="left" w:pos="1921"/>
        </w:tabs>
        <w:spacing w:before="160"/>
        <w:jc w:val="left"/>
        <w:rPr>
          <w:sz w:val="24"/>
        </w:rPr>
      </w:pPr>
      <w:r>
        <w:rPr>
          <w:sz w:val="24"/>
        </w:rPr>
        <w:t>法律、行政法规规定的其他条件；</w:t>
      </w:r>
    </w:p>
    <w:p>
      <w:pPr>
        <w:pStyle w:val="16"/>
        <w:numPr>
          <w:ilvl w:val="0"/>
          <w:numId w:val="13"/>
        </w:numPr>
        <w:tabs>
          <w:tab w:val="left" w:pos="2161"/>
        </w:tabs>
        <w:spacing w:line="364" w:lineRule="auto"/>
        <w:ind w:right="1140" w:firstLine="480"/>
        <w:rPr>
          <w:sz w:val="24"/>
        </w:rPr>
      </w:pPr>
      <w:r>
        <w:rPr>
          <w:spacing w:val="-1"/>
          <w:sz w:val="24"/>
        </w:rPr>
        <w:t>供应商及其现任法定代表人、主要负责人在参加本项目政府采购活动</w:t>
      </w:r>
      <w:r>
        <w:rPr>
          <w:sz w:val="24"/>
        </w:rPr>
        <w:t>前三年无行贿犯罪记录；</w:t>
      </w:r>
    </w:p>
    <w:p>
      <w:pPr>
        <w:pStyle w:val="16"/>
        <w:numPr>
          <w:ilvl w:val="0"/>
          <w:numId w:val="13"/>
        </w:numPr>
        <w:tabs>
          <w:tab w:val="left" w:pos="2161"/>
        </w:tabs>
        <w:spacing w:before="1" w:line="364" w:lineRule="auto"/>
        <w:ind w:right="1140" w:firstLine="480"/>
        <w:rPr>
          <w:sz w:val="24"/>
        </w:rPr>
      </w:pPr>
      <w:r>
        <w:rPr>
          <w:spacing w:val="-1"/>
          <w:sz w:val="24"/>
        </w:rPr>
        <w:t>供应商须提供“截至磋商截止日未被列入失信被执行人、重大税收违</w:t>
      </w:r>
      <w:r>
        <w:rPr>
          <w:sz w:val="24"/>
        </w:rPr>
        <w:t>法案件当事人名单、政府采购严重违法失信行为记录名单的承诺函”；</w:t>
      </w:r>
    </w:p>
    <w:p>
      <w:pPr>
        <w:pStyle w:val="7"/>
        <w:spacing w:before="1" w:line="364" w:lineRule="auto"/>
        <w:ind w:left="1080" w:right="1135" w:firstLine="600"/>
        <w:jc w:val="both"/>
      </w:pPr>
      <w:r>
        <w:rPr>
          <w:spacing w:val="-24"/>
        </w:rPr>
        <w:t>注：采购人或采购代理机构将于本项目磋商截止日在‘信用中国’网站、‘中</w:t>
      </w:r>
      <w:r>
        <w:rPr>
          <w:spacing w:val="-9"/>
        </w:rPr>
        <w:t>国政府采购网’网站等渠道对供应商进行信用记录查询，并将查询记录存档。凡</w:t>
      </w:r>
      <w:r>
        <w:rPr>
          <w:spacing w:val="-8"/>
        </w:rPr>
        <w:t>被列入失信被执行人、重大税收违法案件当事人名单、政府采购严重违法失信行</w:t>
      </w:r>
      <w:r>
        <w:t>为记录名单的，视为存在不良信用记录，参与本项目的将被拒绝。</w:t>
      </w:r>
    </w:p>
    <w:p>
      <w:pPr>
        <w:pStyle w:val="16"/>
        <w:numPr>
          <w:ilvl w:val="0"/>
          <w:numId w:val="13"/>
        </w:numPr>
        <w:tabs>
          <w:tab w:val="left" w:pos="2161"/>
        </w:tabs>
        <w:spacing w:before="2" w:line="364" w:lineRule="auto"/>
        <w:ind w:right="1140" w:firstLine="480"/>
        <w:rPr>
          <w:sz w:val="24"/>
        </w:rPr>
      </w:pPr>
      <w:r>
        <w:rPr>
          <w:spacing w:val="-1"/>
          <w:sz w:val="24"/>
        </w:rPr>
        <w:t>参加本次招标采购活动，不存在与单位负责人为同一人或者存在直接</w:t>
      </w:r>
      <w:r>
        <w:rPr>
          <w:sz w:val="24"/>
        </w:rPr>
        <w:t>控股、管理关系的其他供应商参与同一合同项下的政府采购活动的行为；</w:t>
      </w:r>
    </w:p>
    <w:p>
      <w:pPr>
        <w:pStyle w:val="16"/>
        <w:numPr>
          <w:ilvl w:val="0"/>
          <w:numId w:val="13"/>
        </w:numPr>
        <w:tabs>
          <w:tab w:val="left" w:pos="2161"/>
        </w:tabs>
        <w:spacing w:before="2" w:line="364" w:lineRule="auto"/>
        <w:ind w:right="1137" w:firstLine="480"/>
        <w:jc w:val="both"/>
        <w:rPr>
          <w:sz w:val="24"/>
        </w:rPr>
      </w:pPr>
      <w:r>
        <w:rPr>
          <w:spacing w:val="-1"/>
          <w:sz w:val="24"/>
        </w:rPr>
        <w:t>参加本次招标采购活动，不存在和其他供应商在同一合同项下的采购</w:t>
      </w:r>
      <w:r>
        <w:rPr>
          <w:spacing w:val="-11"/>
          <w:sz w:val="24"/>
        </w:rPr>
        <w:t>项目中，同时委托同一个自然人、同一家庭的人员、同一单位的人员作为代理人</w:t>
      </w:r>
      <w:r>
        <w:rPr>
          <w:sz w:val="24"/>
        </w:rPr>
        <w:t>的行为；</w:t>
      </w:r>
    </w:p>
    <w:p>
      <w:pPr>
        <w:pStyle w:val="16"/>
        <w:numPr>
          <w:ilvl w:val="0"/>
          <w:numId w:val="13"/>
        </w:numPr>
        <w:tabs>
          <w:tab w:val="left" w:pos="2161"/>
        </w:tabs>
        <w:spacing w:before="1" w:line="364" w:lineRule="auto"/>
        <w:ind w:right="1140" w:firstLine="480"/>
        <w:rPr>
          <w:sz w:val="24"/>
        </w:rPr>
      </w:pPr>
      <w:r>
        <w:rPr>
          <w:spacing w:val="-1"/>
          <w:sz w:val="24"/>
        </w:rPr>
        <w:t>参加本次招标采购活动，未对本次采购项目提供过整体设计、规范编</w:t>
      </w:r>
      <w:r>
        <w:rPr>
          <w:sz w:val="24"/>
        </w:rPr>
        <w:t>制或者项目管理、监理、检测等服务；</w:t>
      </w:r>
    </w:p>
    <w:p>
      <w:pPr>
        <w:pStyle w:val="16"/>
        <w:numPr>
          <w:ilvl w:val="0"/>
          <w:numId w:val="13"/>
        </w:numPr>
        <w:tabs>
          <w:tab w:val="left" w:pos="2161"/>
        </w:tabs>
        <w:spacing w:before="2" w:line="364" w:lineRule="auto"/>
        <w:ind w:right="1140" w:firstLine="480"/>
        <w:rPr>
          <w:sz w:val="24"/>
        </w:rPr>
      </w:pPr>
      <w:r>
        <w:rPr>
          <w:sz w:val="24"/>
        </w:rPr>
        <w:t>供应商对是否存在受到财政部门或有关部门认定的失信行为（</w:t>
      </w:r>
      <w:r>
        <w:rPr>
          <w:spacing w:val="-5"/>
          <w:sz w:val="24"/>
        </w:rPr>
        <w:t>有效期</w:t>
      </w:r>
      <w:r>
        <w:rPr>
          <w:sz w:val="24"/>
        </w:rPr>
        <w:t>内）以及认定次数进行承诺。</w:t>
      </w:r>
    </w:p>
    <w:p>
      <w:pPr>
        <w:pStyle w:val="16"/>
        <w:keepNext w:val="0"/>
        <w:keepLines w:val="0"/>
        <w:pageBreakBefore w:val="0"/>
        <w:widowControl w:val="0"/>
        <w:numPr>
          <w:ilvl w:val="0"/>
          <w:numId w:val="12"/>
        </w:numPr>
        <w:tabs>
          <w:tab w:val="left" w:pos="1801"/>
        </w:tabs>
        <w:kinsoku/>
        <w:wordWrap/>
        <w:overflowPunct/>
        <w:topLinePunct w:val="0"/>
        <w:autoSpaceDE w:val="0"/>
        <w:autoSpaceDN w:val="0"/>
        <w:bidi w:val="0"/>
        <w:adjustRightInd/>
        <w:snapToGrid/>
        <w:spacing w:before="1" w:line="360" w:lineRule="auto"/>
        <w:ind w:left="1801"/>
        <w:jc w:val="left"/>
        <w:textAlignment w:val="auto"/>
        <w:rPr>
          <w:sz w:val="24"/>
          <w:highlight w:val="none"/>
        </w:rPr>
      </w:pPr>
      <w:r>
        <w:rPr>
          <w:sz w:val="24"/>
        </w:rPr>
        <w:t>本项目不接受联合体参与采购活动。</w:t>
      </w:r>
    </w:p>
    <w:p>
      <w:pPr>
        <w:pStyle w:val="18"/>
        <w:ind w:left="719" w:leftChars="327" w:firstLine="720" w:firstLineChars="300"/>
        <w:rPr>
          <w:rStyle w:val="14"/>
          <w:rFonts w:hint="eastAsia" w:cs="宋体"/>
          <w:color w:val="auto"/>
          <w:sz w:val="24"/>
          <w:szCs w:val="24"/>
          <w:lang w:val="en-US" w:eastAsia="zh-CN"/>
        </w:rPr>
      </w:pPr>
      <w:r>
        <w:rPr>
          <w:rStyle w:val="14"/>
          <w:rFonts w:hint="eastAsia"/>
          <w:sz w:val="24"/>
          <w:szCs w:val="24"/>
          <w:lang w:val="en-US" w:eastAsia="zh-CN"/>
        </w:rPr>
        <w:t>8.</w:t>
      </w:r>
      <w:r>
        <w:rPr>
          <w:rStyle w:val="14"/>
          <w:rFonts w:hint="eastAsia"/>
          <w:sz w:val="24"/>
          <w:szCs w:val="24"/>
        </w:rPr>
        <w:t>根据采购项目提出的特殊条件：</w:t>
      </w:r>
      <w:r>
        <w:rPr>
          <w:rFonts w:hint="eastAsia"/>
          <w:sz w:val="24"/>
          <w:lang w:eastAsia="zh-CN"/>
        </w:rPr>
        <w:t>供应商</w:t>
      </w:r>
      <w:r>
        <w:rPr>
          <w:rFonts w:hint="eastAsia" w:cs="宋体"/>
          <w:color w:val="auto"/>
          <w:sz w:val="24"/>
          <w:lang w:val="en-US" w:eastAsia="zh-CN"/>
        </w:rPr>
        <w:t>应取得国家认可的省级及以上合法机构颁发的《计量认证证书》（CMA）</w:t>
      </w:r>
      <w:r>
        <w:rPr>
          <w:rFonts w:hint="eastAsia" w:ascii="宋体" w:hAnsi="宋体" w:cs="宋体"/>
          <w:color w:val="auto"/>
          <w:sz w:val="24"/>
          <w:lang w:val="en-US" w:eastAsia="zh-CN"/>
        </w:rPr>
        <w:t>，</w:t>
      </w:r>
      <w:r>
        <w:rPr>
          <w:rFonts w:hint="eastAsia" w:cs="宋体"/>
          <w:color w:val="auto"/>
          <w:sz w:val="24"/>
          <w:lang w:val="en-US" w:eastAsia="zh-CN"/>
        </w:rPr>
        <w:t>所持证书须在认证有效期内。</w:t>
      </w:r>
    </w:p>
    <w:p>
      <w:pPr>
        <w:spacing w:beforeLines="0" w:afterLines="0" w:line="360" w:lineRule="auto"/>
        <w:ind w:firstLine="1320" w:firstLineChars="600"/>
        <w:jc w:val="left"/>
      </w:pPr>
      <w:r>
        <w:t>注 ：1、本项目确定供应商重大违法记录中较大数额罚款的金额标准是指：</w:t>
      </w:r>
    </w:p>
    <w:p>
      <w:pPr>
        <w:pStyle w:val="6"/>
        <w:keepNext w:val="0"/>
        <w:keepLines/>
        <w:pageBreakBefore w:val="0"/>
        <w:widowControl w:val="0"/>
        <w:kinsoku/>
        <w:wordWrap/>
        <w:overflowPunct/>
        <w:topLinePunct w:val="0"/>
        <w:autoSpaceDE w:val="0"/>
        <w:autoSpaceDN w:val="0"/>
        <w:bidi w:val="0"/>
        <w:adjustRightInd/>
        <w:snapToGrid/>
        <w:spacing w:line="365" w:lineRule="auto"/>
        <w:ind w:left="1083" w:right="1253"/>
        <w:jc w:val="both"/>
        <w:textAlignment w:val="auto"/>
      </w:pPr>
      <w:r>
        <w:rPr>
          <w:spacing w:val="-1"/>
        </w:rPr>
        <w:t>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w:t>
      </w:r>
      <w:r>
        <w:rPr>
          <w:spacing w:val="-5"/>
        </w:rPr>
        <w:t xml:space="preserve">行政处罚罚款听证标准金额 </w:t>
      </w:r>
      <w:r>
        <w:t>20000</w:t>
      </w:r>
      <w:r>
        <w:rPr>
          <w:spacing w:val="-22"/>
        </w:rPr>
        <w:t xml:space="preserve"> 元。</w:t>
      </w:r>
    </w:p>
    <w:p>
      <w:pPr>
        <w:pStyle w:val="6"/>
        <w:spacing w:before="159" w:line="364" w:lineRule="auto"/>
        <w:ind w:right="1141" w:firstLine="480"/>
      </w:pPr>
      <w:r>
        <w:t>2</w:t>
      </w:r>
      <w:r>
        <w:rPr>
          <w:spacing w:val="-1"/>
        </w:rPr>
        <w:t>、供应商在参加政府采购活动前，被纳入法院、工商行政管理部门、税务</w:t>
      </w:r>
      <w:r>
        <w:t>部门、银行认定的失信名单且在有效期内，或者在前三年政府采购合同履约过程中及其他经营活动履约过程中未依法履约被有关行政部门处罚（处理）的， 本项目不认定其具有良好的商业信誉。</w:t>
      </w:r>
    </w:p>
    <w:p>
      <w:pPr>
        <w:spacing w:line="364" w:lineRule="auto"/>
        <w:sectPr>
          <w:pgSz w:w="11910" w:h="16840"/>
          <w:pgMar w:top="1600" w:right="660" w:bottom="1160" w:left="720" w:header="949" w:footer="975" w:gutter="0"/>
          <w:pgBorders>
            <w:top w:val="none" w:sz="0" w:space="0"/>
            <w:left w:val="none" w:sz="0" w:space="0"/>
            <w:bottom w:val="none" w:sz="0" w:space="0"/>
            <w:right w:val="none" w:sz="0" w:space="0"/>
          </w:pgBorders>
          <w:cols w:space="720" w:num="1"/>
        </w:sectPr>
      </w:pPr>
    </w:p>
    <w:p>
      <w:pPr>
        <w:pStyle w:val="3"/>
        <w:ind w:left="2661"/>
      </w:pPr>
      <w:r>
        <w:t>第四章 供应商资格证明材料</w:t>
      </w:r>
    </w:p>
    <w:p>
      <w:pPr>
        <w:pStyle w:val="7"/>
        <w:spacing w:before="12"/>
        <w:rPr>
          <w:b/>
          <w:sz w:val="34"/>
        </w:rPr>
      </w:pPr>
    </w:p>
    <w:p>
      <w:pPr>
        <w:pStyle w:val="6"/>
        <w:ind w:left="0" w:right="657"/>
        <w:jc w:val="center"/>
      </w:pPr>
      <w:r>
        <w:t>一、应当提供的供应商资格、资质性及其他类似效力要求的相关证明材料</w:t>
      </w:r>
    </w:p>
    <w:p>
      <w:pPr>
        <w:pStyle w:val="7"/>
        <w:spacing w:before="160" w:line="364" w:lineRule="auto"/>
        <w:ind w:left="1080" w:right="1137" w:firstLine="480"/>
        <w:jc w:val="both"/>
      </w:pPr>
      <w:r>
        <w:t>1、具有独立承担民事责任的能力（</w:t>
      </w:r>
      <w:r>
        <w:rPr>
          <w:spacing w:val="-1"/>
        </w:rPr>
        <w:t>企业提供营业执照副本复印件，事业单</w:t>
      </w:r>
      <w:r>
        <w:rPr>
          <w:spacing w:val="-7"/>
        </w:rPr>
        <w:t>位提供事业单位法人证书复印件，其他组织提供营业执照等证明文件复印件，自</w:t>
      </w:r>
      <w:r>
        <w:t>然人提供身份证明复印件加盖公章）。</w:t>
      </w:r>
    </w:p>
    <w:p>
      <w:pPr>
        <w:pStyle w:val="7"/>
        <w:spacing w:before="2" w:line="364" w:lineRule="auto"/>
        <w:ind w:left="1080" w:right="1137" w:firstLine="480"/>
        <w:jc w:val="both"/>
      </w:pPr>
      <w:r>
        <w:t>2、具有良好的商业信誉和健全的财务会计制度（①</w:t>
      </w:r>
      <w:r>
        <w:rPr>
          <w:spacing w:val="-15"/>
        </w:rPr>
        <w:t>提供</w:t>
      </w:r>
      <w:r>
        <w:rPr>
          <w:rFonts w:hint="eastAsia"/>
          <w:spacing w:val="-15"/>
          <w:lang w:val="en-US" w:eastAsia="zh-CN"/>
        </w:rPr>
        <w:t>2019</w:t>
      </w:r>
      <w:r>
        <w:rPr>
          <w:spacing w:val="-19"/>
        </w:rPr>
        <w:t>年度或</w:t>
      </w:r>
      <w:r>
        <w:rPr>
          <w:rFonts w:hint="eastAsia"/>
          <w:spacing w:val="-19"/>
          <w:lang w:val="en-US" w:eastAsia="zh-CN"/>
        </w:rPr>
        <w:t>2020</w:t>
      </w:r>
      <w:r>
        <w:t xml:space="preserve"> </w:t>
      </w:r>
      <w:r>
        <w:rPr>
          <w:spacing w:val="-8"/>
        </w:rPr>
        <w:t>年度经审计的财务报告复印件，包含审计报告和审计报告中所涉及的财务报表和</w:t>
      </w:r>
      <w:r>
        <w:rPr>
          <w:spacing w:val="-13"/>
        </w:rPr>
        <w:t xml:space="preserve">报表附注；②提供 </w:t>
      </w:r>
      <w:r>
        <w:rPr>
          <w:rFonts w:hint="eastAsia"/>
          <w:lang w:val="en-US" w:eastAsia="zh-CN"/>
        </w:rPr>
        <w:t>2019</w:t>
      </w:r>
      <w:r>
        <w:rPr>
          <w:spacing w:val="-24"/>
        </w:rPr>
        <w:t xml:space="preserve">年度或 </w:t>
      </w:r>
      <w:r>
        <w:rPr>
          <w:rFonts w:hint="eastAsia"/>
          <w:lang w:val="en-US" w:eastAsia="zh-CN"/>
        </w:rPr>
        <w:t>2020</w:t>
      </w:r>
      <w:r>
        <w:rPr>
          <w:spacing w:val="-12"/>
        </w:rPr>
        <w:t xml:space="preserve">年度供应商内部有效的财务报表复印件；③ </w:t>
      </w:r>
      <w:r>
        <w:rPr>
          <w:spacing w:val="-7"/>
        </w:rPr>
        <w:t>提供基本开户银行出具的资信证明；④供应商注册时间至响应文件递交截止日不</w:t>
      </w:r>
      <w:r>
        <w:rPr>
          <w:spacing w:val="-10"/>
        </w:rPr>
        <w:t>足一年的，也可提供在工商备案的公司章程；⑤如果供应商为事业单位，根据实</w:t>
      </w:r>
      <w:r>
        <w:t>际情况提供证明材料）</w:t>
      </w:r>
    </w:p>
    <w:p>
      <w:pPr>
        <w:pStyle w:val="7"/>
        <w:spacing w:before="124"/>
        <w:ind w:right="685"/>
        <w:jc w:val="center"/>
      </w:pPr>
      <w:r>
        <w:t>注：以上①②③④⑤项具有同等的投标效力，提供任一项均可。</w:t>
      </w:r>
    </w:p>
    <w:p>
      <w:pPr>
        <w:pStyle w:val="7"/>
        <w:spacing w:before="11"/>
        <w:rPr>
          <w:sz w:val="21"/>
        </w:rPr>
      </w:pPr>
    </w:p>
    <w:p>
      <w:pPr>
        <w:pStyle w:val="7"/>
        <w:spacing w:line="364" w:lineRule="auto"/>
        <w:ind w:left="1080" w:right="1140" w:firstLine="480"/>
        <w:rPr>
          <w:color w:val="auto"/>
        </w:rPr>
      </w:pPr>
      <w:r>
        <w:t>3、提供具有履行合同所必需的设备和专业技术能力的承诺函或其他证明材料。</w:t>
      </w:r>
    </w:p>
    <w:p>
      <w:pPr>
        <w:pStyle w:val="7"/>
        <w:spacing w:before="1" w:line="364" w:lineRule="auto"/>
        <w:ind w:left="1080" w:right="1137" w:firstLine="480"/>
      </w:pPr>
      <w:r>
        <w:rPr>
          <w:color w:val="auto"/>
        </w:rPr>
        <w:t>4</w:t>
      </w:r>
      <w:r>
        <w:rPr>
          <w:color w:val="auto"/>
          <w:spacing w:val="-8"/>
        </w:rPr>
        <w:t>、提供具有依法缴纳税收和社会保障资金的良好记录；（附20</w:t>
      </w:r>
      <w:r>
        <w:rPr>
          <w:rFonts w:hint="eastAsia"/>
          <w:color w:val="auto"/>
          <w:spacing w:val="-8"/>
          <w:lang w:val="en-US" w:eastAsia="zh-CN"/>
        </w:rPr>
        <w:t>20</w:t>
      </w:r>
      <w:r>
        <w:rPr>
          <w:color w:val="auto"/>
          <w:spacing w:val="-8"/>
        </w:rPr>
        <w:t>年</w:t>
      </w:r>
      <w:r>
        <w:rPr>
          <w:rFonts w:hint="eastAsia"/>
          <w:color w:val="auto"/>
          <w:spacing w:val="-8"/>
        </w:rPr>
        <w:t>以来</w:t>
      </w:r>
      <w:r>
        <w:rPr>
          <w:color w:val="auto"/>
          <w:spacing w:val="-8"/>
        </w:rPr>
        <w:t>任意</w:t>
      </w:r>
      <w:r>
        <w:rPr>
          <w:spacing w:val="-15"/>
        </w:rPr>
        <w:t>一</w:t>
      </w:r>
      <w:r>
        <w:t>个月的纳税缴纳凭证和社保缴纳凭证的复印件）。</w:t>
      </w:r>
    </w:p>
    <w:p>
      <w:pPr>
        <w:pStyle w:val="6"/>
        <w:spacing w:before="2" w:line="364" w:lineRule="auto"/>
        <w:ind w:right="1110" w:firstLine="480"/>
      </w:pPr>
      <w:r>
        <w:rPr>
          <w:spacing w:val="3"/>
          <w:w w:val="95"/>
        </w:rPr>
        <w:t xml:space="preserve">注：依法免税或不需要缴纳社会保障资金的供应商，应提供相应文件证明  </w:t>
      </w:r>
      <w:r>
        <w:rPr>
          <w:spacing w:val="3"/>
        </w:rPr>
        <w:t>其依法免税或不需要缴纳社会保障资金。</w:t>
      </w:r>
    </w:p>
    <w:p>
      <w:pPr>
        <w:pStyle w:val="7"/>
        <w:spacing w:before="1" w:line="364" w:lineRule="auto"/>
        <w:ind w:left="1080" w:right="1137" w:firstLine="480"/>
        <w:jc w:val="both"/>
      </w:pPr>
      <w:r>
        <w:t>5</w:t>
      </w:r>
      <w:r>
        <w:rPr>
          <w:spacing w:val="-1"/>
        </w:rPr>
        <w:t>、供应商须提供供应商及其现任法定代表人、主要负责人在参加本项目政</w:t>
      </w:r>
      <w:r>
        <w:rPr>
          <w:spacing w:val="-3"/>
        </w:rPr>
        <w:t>府采购活动前三年内无行贿犯罪记录的承诺函。</w:t>
      </w:r>
      <w:r>
        <w:t>（</w:t>
      </w:r>
      <w:r>
        <w:rPr>
          <w:spacing w:val="-6"/>
        </w:rPr>
        <w:t>成立不足三年的，从成立之日</w:t>
      </w:r>
      <w:r>
        <w:t>起计算）。</w:t>
      </w:r>
    </w:p>
    <w:p>
      <w:pPr>
        <w:pStyle w:val="7"/>
        <w:spacing w:before="2"/>
        <w:ind w:left="1548"/>
      </w:pPr>
      <w:r>
        <w:t>6、提供具有法律、行政法规规定的其他条件的承诺函。</w:t>
      </w:r>
    </w:p>
    <w:p>
      <w:pPr>
        <w:pStyle w:val="16"/>
        <w:numPr>
          <w:ilvl w:val="0"/>
          <w:numId w:val="0"/>
        </w:numPr>
        <w:tabs>
          <w:tab w:val="left" w:pos="1920"/>
        </w:tabs>
        <w:spacing w:before="81" w:line="364" w:lineRule="auto"/>
        <w:ind w:left="1560" w:leftChars="0" w:right="1137" w:rightChars="0"/>
        <w:jc w:val="both"/>
        <w:rPr>
          <w:sz w:val="24"/>
        </w:rPr>
      </w:pPr>
      <w:r>
        <w:rPr>
          <w:rFonts w:hint="eastAsia"/>
          <w:spacing w:val="-1"/>
          <w:sz w:val="24"/>
          <w:lang w:val="en-US" w:eastAsia="zh-CN"/>
        </w:rPr>
        <w:t>7、</w:t>
      </w:r>
      <w:r>
        <w:rPr>
          <w:spacing w:val="-1"/>
          <w:sz w:val="24"/>
        </w:rPr>
        <w:t>供应商须提供参加本次招标采购活动，不存在与单位负责人为同一人或</w:t>
      </w:r>
      <w:r>
        <w:rPr>
          <w:spacing w:val="-11"/>
          <w:sz w:val="24"/>
        </w:rPr>
        <w:t>者存在直接控股、管理关系的其他供应商参与同一合同项下的政府采购活动的行</w:t>
      </w:r>
      <w:r>
        <w:rPr>
          <w:sz w:val="24"/>
        </w:rPr>
        <w:t>为的承诺函。</w:t>
      </w:r>
    </w:p>
    <w:p>
      <w:pPr>
        <w:pStyle w:val="16"/>
        <w:numPr>
          <w:ilvl w:val="0"/>
          <w:numId w:val="0"/>
        </w:numPr>
        <w:tabs>
          <w:tab w:val="left" w:pos="1801"/>
        </w:tabs>
        <w:spacing w:before="0" w:line="364" w:lineRule="auto"/>
        <w:ind w:left="1560" w:leftChars="0" w:right="1137" w:rightChars="0"/>
        <w:jc w:val="both"/>
        <w:rPr>
          <w:sz w:val="24"/>
        </w:rPr>
      </w:pPr>
      <w:r>
        <w:rPr>
          <w:rFonts w:hint="eastAsia"/>
          <w:spacing w:val="-7"/>
          <w:sz w:val="24"/>
          <w:lang w:val="en-US" w:eastAsia="zh-CN"/>
        </w:rPr>
        <w:t>8、</w:t>
      </w:r>
      <w:r>
        <w:rPr>
          <w:spacing w:val="-7"/>
          <w:sz w:val="24"/>
        </w:rPr>
        <w:t>供应商须提供参加本次招标采购活动，不存在和其他供应商在同一合同项</w:t>
      </w:r>
      <w:r>
        <w:rPr>
          <w:spacing w:val="-8"/>
          <w:sz w:val="24"/>
        </w:rPr>
        <w:t>下的采购项目中，同时委托同一个自然人、同一家庭的人员、同一单位的人员作</w:t>
      </w:r>
      <w:r>
        <w:rPr>
          <w:sz w:val="24"/>
        </w:rPr>
        <w:t>为代理人的行为的承诺函。</w:t>
      </w:r>
    </w:p>
    <w:p>
      <w:pPr>
        <w:spacing w:line="364" w:lineRule="auto"/>
        <w:jc w:val="both"/>
        <w:rPr>
          <w:sz w:val="24"/>
        </w:rPr>
        <w:sectPr>
          <w:pgSz w:w="11910" w:h="16840"/>
          <w:pgMar w:top="1600" w:right="660" w:bottom="1160" w:left="720" w:header="949" w:footer="975" w:gutter="0"/>
          <w:pgBorders>
            <w:top w:val="none" w:sz="0" w:space="0"/>
            <w:left w:val="none" w:sz="0" w:space="0"/>
            <w:bottom w:val="none" w:sz="0" w:space="0"/>
            <w:right w:val="none" w:sz="0" w:space="0"/>
          </w:pgBorders>
          <w:cols w:space="720" w:num="1"/>
        </w:sectPr>
      </w:pPr>
    </w:p>
    <w:p>
      <w:pPr>
        <w:pStyle w:val="16"/>
        <w:numPr>
          <w:ilvl w:val="0"/>
          <w:numId w:val="0"/>
        </w:numPr>
        <w:tabs>
          <w:tab w:val="left" w:pos="1801"/>
        </w:tabs>
        <w:spacing w:before="123" w:line="364" w:lineRule="auto"/>
        <w:ind w:left="1560" w:leftChars="0" w:right="1285" w:rightChars="0"/>
        <w:jc w:val="left"/>
        <w:rPr>
          <w:sz w:val="24"/>
        </w:rPr>
      </w:pPr>
      <w:r>
        <w:rPr>
          <w:rFonts w:hint="eastAsia"/>
          <w:spacing w:val="-1"/>
          <w:sz w:val="24"/>
          <w:lang w:val="en-US" w:eastAsia="zh-CN"/>
        </w:rPr>
        <w:t>9、</w:t>
      </w:r>
      <w:r>
        <w:rPr>
          <w:spacing w:val="-1"/>
          <w:sz w:val="24"/>
        </w:rPr>
        <w:t>供应商须提供未对本次采购项目提供过整体设计、规范编制或者项目管</w:t>
      </w:r>
      <w:r>
        <w:rPr>
          <w:sz w:val="24"/>
        </w:rPr>
        <w:t>理、监理、检测等服务的承诺函。</w:t>
      </w:r>
    </w:p>
    <w:p>
      <w:pPr>
        <w:pStyle w:val="16"/>
        <w:numPr>
          <w:ilvl w:val="0"/>
          <w:numId w:val="0"/>
        </w:numPr>
        <w:tabs>
          <w:tab w:val="left" w:pos="2008"/>
        </w:tabs>
        <w:spacing w:before="0" w:line="229" w:lineRule="exact"/>
        <w:ind w:left="1645" w:leftChars="0"/>
        <w:jc w:val="left"/>
        <w:rPr>
          <w:sz w:val="24"/>
        </w:rPr>
      </w:pPr>
      <w:r>
        <w:rPr>
          <w:rFonts w:hint="eastAsia"/>
          <w:spacing w:val="-3"/>
          <w:sz w:val="24"/>
          <w:lang w:val="en-US" w:eastAsia="zh-CN"/>
        </w:rPr>
        <w:t>10、</w:t>
      </w:r>
      <w:r>
        <w:rPr>
          <w:spacing w:val="-3"/>
          <w:sz w:val="24"/>
        </w:rPr>
        <w:t>供应商须提供对是否存在受到财政部门或有关部门认定的失信行为</w:t>
      </w:r>
      <w:r>
        <w:rPr>
          <w:sz w:val="24"/>
        </w:rPr>
        <w:t>（有</w:t>
      </w:r>
    </w:p>
    <w:p>
      <w:pPr>
        <w:pStyle w:val="7"/>
        <w:spacing w:before="158"/>
        <w:ind w:left="1080"/>
      </w:pPr>
      <w:r>
        <w:t>效期内）以及认定次数进行承诺的承诺函。</w:t>
      </w:r>
    </w:p>
    <w:p>
      <w:pPr>
        <w:pStyle w:val="7"/>
        <w:spacing w:before="7"/>
        <w:rPr>
          <w:sz w:val="18"/>
        </w:rPr>
      </w:pPr>
    </w:p>
    <w:p>
      <w:pPr>
        <w:pStyle w:val="16"/>
        <w:numPr>
          <w:ilvl w:val="0"/>
          <w:numId w:val="0"/>
        </w:numPr>
        <w:tabs>
          <w:tab w:val="left" w:pos="1921"/>
        </w:tabs>
        <w:spacing w:before="0" w:line="364" w:lineRule="auto"/>
        <w:ind w:left="1560" w:leftChars="0" w:right="1165" w:rightChars="0"/>
        <w:jc w:val="left"/>
        <w:rPr>
          <w:sz w:val="24"/>
        </w:rPr>
      </w:pPr>
      <w:r>
        <w:rPr>
          <w:rFonts w:hint="eastAsia"/>
          <w:spacing w:val="-1"/>
          <w:sz w:val="24"/>
          <w:lang w:val="en-US" w:eastAsia="zh-CN"/>
        </w:rPr>
        <w:t>11、</w:t>
      </w:r>
      <w:r>
        <w:rPr>
          <w:spacing w:val="-1"/>
          <w:sz w:val="24"/>
        </w:rPr>
        <w:t>供应商须提供“截至磋商截止日未被列入失信被执行人、重大税收违法</w:t>
      </w:r>
      <w:r>
        <w:rPr>
          <w:sz w:val="24"/>
        </w:rPr>
        <w:t>案件当事人名单、政府采购严重违法失信行为记录名单”的承诺函；</w:t>
      </w:r>
    </w:p>
    <w:p>
      <w:pPr>
        <w:pStyle w:val="7"/>
        <w:spacing w:before="1" w:line="364" w:lineRule="auto"/>
        <w:ind w:left="1080" w:right="1137" w:firstLine="480"/>
        <w:rPr>
          <w:highlight w:val="none"/>
        </w:rPr>
      </w:pPr>
      <w:r>
        <w:t>12</w:t>
      </w:r>
      <w:r>
        <w:rPr>
          <w:spacing w:val="-12"/>
        </w:rPr>
        <w:t>、供应商代</w:t>
      </w:r>
      <w:r>
        <w:rPr>
          <w:spacing w:val="-12"/>
          <w:highlight w:val="none"/>
        </w:rPr>
        <w:t>表不是法定代表人时提供针对本次磋商的法定代表人授权书和</w:t>
      </w:r>
      <w:r>
        <w:rPr>
          <w:highlight w:val="none"/>
        </w:rPr>
        <w:t>法定代表人证明书原件。</w:t>
      </w:r>
    </w:p>
    <w:p>
      <w:pPr>
        <w:pStyle w:val="18"/>
        <w:ind w:left="959" w:leftChars="436" w:firstLine="720" w:firstLineChars="300"/>
        <w:rPr>
          <w:rFonts w:hint="eastAsia" w:ascii="宋体" w:hAnsi="宋体" w:cs="宋体"/>
          <w:color w:val="auto"/>
          <w:sz w:val="24"/>
          <w:highlight w:val="none"/>
          <w:lang w:val="en-US" w:eastAsia="zh-CN"/>
        </w:rPr>
      </w:pPr>
      <w:r>
        <w:rPr>
          <w:rFonts w:hint="eastAsia" w:cs="宋体"/>
          <w:color w:val="auto"/>
          <w:sz w:val="24"/>
          <w:highlight w:val="none"/>
          <w:lang w:val="en-US" w:eastAsia="zh-CN"/>
        </w:rPr>
        <w:t>13</w:t>
      </w:r>
      <w:r>
        <w:rPr>
          <w:rFonts w:hint="eastAsia" w:ascii="宋体" w:hAnsi="宋体" w:cs="宋体"/>
          <w:color w:val="auto"/>
          <w:sz w:val="24"/>
          <w:highlight w:val="none"/>
        </w:rPr>
        <w:t>、根据采购项目提出的特殊条件：</w:t>
      </w:r>
      <w:r>
        <w:rPr>
          <w:rFonts w:hint="eastAsia"/>
          <w:sz w:val="24"/>
          <w:lang w:eastAsia="zh-CN"/>
        </w:rPr>
        <w:t>供应商</w:t>
      </w:r>
      <w:r>
        <w:rPr>
          <w:rFonts w:hint="eastAsia" w:cs="宋体"/>
          <w:color w:val="auto"/>
          <w:sz w:val="24"/>
          <w:lang w:val="en-US" w:eastAsia="zh-CN"/>
        </w:rPr>
        <w:t>应取得国家认可的省级及以上合法机构颁发的《计量认证证书》（CMA）</w:t>
      </w:r>
      <w:r>
        <w:rPr>
          <w:rFonts w:hint="eastAsia" w:ascii="宋体" w:hAnsi="宋体" w:cs="宋体"/>
          <w:color w:val="auto"/>
          <w:sz w:val="24"/>
          <w:lang w:val="en-US" w:eastAsia="zh-CN"/>
        </w:rPr>
        <w:t>，</w:t>
      </w:r>
      <w:r>
        <w:rPr>
          <w:rFonts w:hint="eastAsia" w:ascii="宋体" w:hAnsi="宋体" w:cs="宋体"/>
          <w:color w:val="auto"/>
          <w:sz w:val="24"/>
          <w:highlight w:val="none"/>
          <w:lang w:val="en-US" w:eastAsia="zh-CN"/>
        </w:rPr>
        <w:t>所持证书须在认证有效期内。</w:t>
      </w:r>
    </w:p>
    <w:p>
      <w:pPr>
        <w:pStyle w:val="18"/>
        <w:ind w:left="959" w:leftChars="436" w:firstLine="723" w:firstLineChars="300"/>
        <w:rPr>
          <w:rFonts w:hint="eastAsia" w:ascii="宋体" w:hAnsi="宋体" w:cs="宋体"/>
          <w:b/>
          <w:bCs/>
          <w:color w:val="auto"/>
          <w:sz w:val="24"/>
        </w:rPr>
      </w:pPr>
      <w:r>
        <w:rPr>
          <w:rFonts w:hint="eastAsia" w:ascii="宋体" w:hAnsi="宋体" w:cs="宋体"/>
          <w:b/>
          <w:bCs/>
          <w:color w:val="auto"/>
          <w:sz w:val="24"/>
        </w:rPr>
        <w:t>注：①附法定代表人和被授权人身份证复印件正反面；②法定代表人亲自参与磋商时只需提供法定代表人证明书原件。</w:t>
      </w:r>
    </w:p>
    <w:p>
      <w:pPr>
        <w:pStyle w:val="18"/>
        <w:ind w:left="959" w:leftChars="436" w:firstLine="723" w:firstLineChars="300"/>
        <w:rPr>
          <w:rFonts w:hint="eastAsia" w:ascii="宋体" w:hAnsi="宋体" w:cs="宋体"/>
          <w:b/>
          <w:bCs/>
          <w:color w:val="auto"/>
          <w:sz w:val="24"/>
        </w:rPr>
      </w:pPr>
      <w:r>
        <w:rPr>
          <w:rFonts w:hint="eastAsia" w:ascii="宋体" w:hAnsi="宋体" w:cs="宋体"/>
          <w:b/>
          <w:bCs/>
          <w:color w:val="auto"/>
          <w:sz w:val="24"/>
        </w:rPr>
        <w:t>注：1.本章要求提供的相关证明材料应当与第三章的规定要求对应，除供应商  自愿以外，不能要求供应商提供额外的证明材料。如果要求提供额外的证明材料，供应商有权拒绝提供，且不影响响应文件的有效性和完整性。</w:t>
      </w:r>
    </w:p>
    <w:p>
      <w:pPr>
        <w:pStyle w:val="18"/>
        <w:ind w:left="959" w:leftChars="436" w:firstLine="723" w:firstLineChars="300"/>
        <w:rPr>
          <w:rFonts w:hint="eastAsia" w:ascii="宋体" w:hAnsi="宋体" w:cs="宋体"/>
          <w:b/>
          <w:bCs/>
          <w:color w:val="auto"/>
          <w:sz w:val="24"/>
        </w:rPr>
      </w:pPr>
      <w:r>
        <w:rPr>
          <w:rFonts w:hint="eastAsia" w:ascii="宋体" w:hAnsi="宋体" w:cs="宋体"/>
          <w:b/>
          <w:bCs/>
          <w:color w:val="auto"/>
          <w:sz w:val="24"/>
        </w:rPr>
        <w:t>供应商应对其所提供的资格证明材料来源的合法性、真实性承担法律责任。以上材料均须加盖公章。</w:t>
      </w:r>
    </w:p>
    <w:p>
      <w:pPr>
        <w:spacing w:line="364" w:lineRule="auto"/>
        <w:jc w:val="both"/>
        <w:rPr>
          <w:b/>
          <w:bCs/>
        </w:rPr>
        <w:sectPr>
          <w:pgSz w:w="11910" w:h="16840"/>
          <w:pgMar w:top="1600" w:right="660" w:bottom="1160" w:left="720" w:header="949" w:footer="975" w:gutter="0"/>
          <w:pgBorders>
            <w:top w:val="none" w:sz="0" w:space="0"/>
            <w:left w:val="none" w:sz="0" w:space="0"/>
            <w:bottom w:val="none" w:sz="0" w:space="0"/>
            <w:right w:val="none" w:sz="0" w:space="0"/>
          </w:pgBorders>
          <w:cols w:space="720" w:num="1"/>
        </w:sectPr>
      </w:pPr>
    </w:p>
    <w:p>
      <w:pPr>
        <w:pStyle w:val="3"/>
        <w:spacing w:line="364" w:lineRule="auto"/>
        <w:ind w:left="4430" w:right="1195" w:hanging="3291"/>
        <w:jc w:val="left"/>
      </w:pPr>
      <w:r>
        <w:t>第五章 采购项目技术、服务、政府采购合同内容条款及其他商务要求</w:t>
      </w:r>
    </w:p>
    <w:p>
      <w:pPr>
        <w:pStyle w:val="7"/>
        <w:numPr>
          <w:ilvl w:val="0"/>
          <w:numId w:val="0"/>
        </w:numPr>
        <w:spacing w:before="161" w:line="364" w:lineRule="auto"/>
        <w:ind w:right="3205" w:rightChars="0" w:firstLine="964" w:firstLineChars="400"/>
        <w:rPr>
          <w:b/>
        </w:rPr>
      </w:pPr>
      <w:r>
        <w:rPr>
          <w:b/>
        </w:rPr>
        <w:t>一、项目概况</w:t>
      </w:r>
    </w:p>
    <w:p>
      <w:pPr>
        <w:pStyle w:val="7"/>
        <w:keepNext w:val="0"/>
        <w:keepLines w:val="0"/>
        <w:pageBreakBefore w:val="0"/>
        <w:widowControl w:val="0"/>
        <w:kinsoku/>
        <w:wordWrap/>
        <w:overflowPunct/>
        <w:topLinePunct w:val="0"/>
        <w:autoSpaceDE w:val="0"/>
        <w:autoSpaceDN w:val="0"/>
        <w:bidi w:val="0"/>
        <w:adjustRightInd/>
        <w:snapToGrid/>
        <w:spacing w:before="161" w:line="365" w:lineRule="auto"/>
        <w:ind w:left="1320" w:leftChars="600" w:right="0" w:firstLine="0" w:firstLineChars="0"/>
        <w:textAlignment w:val="auto"/>
        <w:rPr>
          <w:rFonts w:hint="eastAsia"/>
          <w:spacing w:val="-1"/>
          <w:lang w:val="en-US" w:eastAsia="zh-CN"/>
        </w:rPr>
      </w:pPr>
      <w:r>
        <w:rPr>
          <w:rFonts w:hint="eastAsia"/>
          <w:lang w:eastAsia="zh-CN"/>
        </w:rPr>
        <w:t>金堂县 2021年工业产品检验检测服务采购项目(第二次）</w:t>
      </w:r>
      <w:r>
        <w:rPr>
          <w:color w:val="auto"/>
          <w:spacing w:val="-1"/>
        </w:rPr>
        <w:t>。</w:t>
      </w:r>
      <w:r>
        <w:rPr>
          <w:rFonts w:hint="eastAsia"/>
          <w:color w:val="auto"/>
          <w:lang w:eastAsia="zh-CN"/>
        </w:rPr>
        <w:t>共计</w:t>
      </w:r>
      <w:r>
        <w:rPr>
          <w:rFonts w:hint="eastAsia"/>
          <w:color w:val="auto"/>
          <w:lang w:val="en-US" w:eastAsia="zh-CN"/>
        </w:rPr>
        <w:t>127批次，</w:t>
      </w:r>
      <w:r>
        <w:rPr>
          <w:rFonts w:hint="eastAsia"/>
          <w:lang w:eastAsia="zh-CN"/>
        </w:rPr>
        <w:t>总预</w:t>
      </w:r>
      <w:r>
        <w:rPr>
          <w:rFonts w:hint="eastAsia"/>
          <w:spacing w:val="-1"/>
          <w:lang w:eastAsia="zh-CN"/>
        </w:rPr>
        <w:t>算</w:t>
      </w:r>
      <w:r>
        <w:rPr>
          <w:rFonts w:hint="eastAsia"/>
          <w:spacing w:val="-1"/>
          <w:lang w:val="en-US" w:eastAsia="zh-CN"/>
        </w:rPr>
        <w:t xml:space="preserve">50万元。项目共一个包。    </w:t>
      </w:r>
    </w:p>
    <w:p>
      <w:pPr>
        <w:pStyle w:val="7"/>
        <w:numPr>
          <w:ilvl w:val="0"/>
          <w:numId w:val="0"/>
        </w:numPr>
        <w:spacing w:before="161" w:line="364" w:lineRule="auto"/>
        <w:ind w:right="3205" w:rightChars="0" w:firstLine="964" w:firstLineChars="400"/>
        <w:rPr>
          <w:b/>
        </w:rPr>
      </w:pPr>
      <w:r>
        <w:rPr>
          <w:rFonts w:hint="eastAsia"/>
          <w:b/>
          <w:lang w:eastAsia="zh-CN"/>
        </w:rPr>
        <w:t>二、</w:t>
      </w:r>
      <w:r>
        <w:rPr>
          <w:b/>
        </w:rPr>
        <w:t>项目清单</w:t>
      </w:r>
    </w:p>
    <w:tbl>
      <w:tblPr>
        <w:tblStyle w:val="13"/>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300"/>
        <w:gridCol w:w="966"/>
        <w:gridCol w:w="5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300"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产品类别</w:t>
            </w:r>
          </w:p>
        </w:tc>
        <w:tc>
          <w:tcPr>
            <w:tcW w:w="966"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批次</w:t>
            </w:r>
          </w:p>
        </w:tc>
        <w:tc>
          <w:tcPr>
            <w:tcW w:w="5432"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300"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电线电缆、电力电缆</w:t>
            </w:r>
          </w:p>
        </w:tc>
        <w:tc>
          <w:tcPr>
            <w:tcW w:w="966"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w:t>
            </w:r>
          </w:p>
        </w:tc>
        <w:tc>
          <w:tcPr>
            <w:tcW w:w="5432" w:type="dxa"/>
          </w:tcPr>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Cs/>
                <w:color w:val="000000" w:themeColor="text1"/>
                <w:kern w:val="0"/>
                <w:sz w:val="24"/>
                <w:szCs w:val="24"/>
                <w14:textFill>
                  <w14:solidFill>
                    <w14:schemeClr w14:val="tx1"/>
                  </w14:solidFill>
                </w14:textFill>
              </w:rPr>
              <w:t>绝缘平均厚度、绝缘最薄处厚度、护套厚度、导体电阻、绝缘老化前抗张强度、绝缘老化前断裂伸长率(%)、绝缘老化后抗张强度、绝缘老化前后抗张强度变化率(%)、绝缘老化后断裂伸长率(%)、绝缘老化前后断裂伸长率变化率(%)、护套老化前抗张强度、护套老化前断裂伸长率(%)、护套老化后抗张强度、护套老化前后抗张强度变化率(%)、护套老化后断裂伸长率(%)、护套老化前后断裂伸长率变化率(%)、绝缘热收缩、绝缘热延伸、护套热延伸、曲挠试验(</w:t>
            </w:r>
            <w:r>
              <w:rPr>
                <w:rFonts w:hint="eastAsia" w:ascii="宋体" w:hAnsi="宋体" w:eastAsia="宋体" w:cs="宋体"/>
                <w:bCs/>
                <w:color w:val="000000" w:themeColor="text1"/>
                <w:sz w:val="24"/>
                <w:szCs w:val="24"/>
                <w14:textFill>
                  <w14:solidFill>
                    <w14:schemeClr w14:val="tx1"/>
                  </w14:solidFill>
                </w14:textFill>
              </w:rPr>
              <w:t>按抽取样品的实际类型选取对应项目）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300"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玻璃</w:t>
            </w:r>
          </w:p>
        </w:tc>
        <w:tc>
          <w:tcPr>
            <w:tcW w:w="966"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5432" w:type="dxa"/>
          </w:tcPr>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碎片状态、抗冲击性、表面应力、霰弹袋冲击性能、露点、耐紫外线辐照、性能、厚度偏差、耐热性、耐湿性、耐辐照性、落球冲击剥离性能（根据实际产品标准选择相应检验项目）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300"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食品相关产品</w:t>
            </w:r>
          </w:p>
        </w:tc>
        <w:tc>
          <w:tcPr>
            <w:tcW w:w="966"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w:t>
            </w:r>
          </w:p>
        </w:tc>
        <w:tc>
          <w:tcPr>
            <w:tcW w:w="5432" w:type="dxa"/>
          </w:tcPr>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食品接触用容器工具：</w:t>
            </w:r>
            <w:r>
              <w:rPr>
                <w:rFonts w:hint="eastAsia" w:ascii="宋体" w:hAnsi="宋体" w:eastAsia="宋体" w:cs="宋体"/>
                <w:sz w:val="24"/>
                <w:szCs w:val="24"/>
                <w:vertAlign w:val="baseline"/>
                <w:lang w:val="en-US" w:eastAsia="zh-CN"/>
              </w:rPr>
              <w:t>感官指标、总迁移量、高锰酸钾消耗量、重金属（以Pb计）、脱色试验 （仅限含着色剂产品）及产品对应的以下指标：</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①锑迁移量（以Sb计）、对苯二甲酸迁移量、乙二醇迁移量（限PET材质）</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②游离酚(蒸馏水)、双酚A迁移量（限PC材质）</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③己内酰胺迁移量（限PA材质）</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④氯乙烯迁移量（限PVC材质）</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⑤苯乙烯和乙苯、1,3-丁二烯迁移量(限PS材质)</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⑥丙烯腈迁移量（限AS和ABS材质）</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⑦三聚氰胺迁移量、甲醛迁移量（限MF材质）</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⑧大肠杆菌、致病菌（沙门氏菌）、霉菌计数（限塑料一次性餐饮具）</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⑨耐干热性、耐低温性、耐湿热性、耐污染性、翘曲（地部）、跌落</w:t>
            </w:r>
          </w:p>
          <w:p>
            <w:pPr>
              <w:spacing w:line="360" w:lineRule="auto"/>
              <w:jc w:val="left"/>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食品接触用纸：</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纸杯：</w:t>
            </w:r>
            <w:r>
              <w:rPr>
                <w:rFonts w:hint="eastAsia" w:ascii="宋体" w:hAnsi="宋体" w:eastAsia="宋体" w:cs="宋体"/>
                <w:sz w:val="24"/>
                <w:szCs w:val="24"/>
                <w:vertAlign w:val="baseline"/>
                <w:lang w:val="en-US" w:eastAsia="zh-CN"/>
              </w:rPr>
              <w:t>感官要求、铅、砷、甲醛、荧光性物质、总迁移量、高锰酸钾消耗量、重金属（以Pb计）、大肠菌群、沙门氏菌、霉菌、感官指标、渗漏性能、杯身挺度</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纸碗：</w:t>
            </w:r>
            <w:r>
              <w:rPr>
                <w:rFonts w:hint="eastAsia" w:ascii="宋体" w:hAnsi="宋体" w:eastAsia="宋体" w:cs="宋体"/>
                <w:sz w:val="24"/>
                <w:szCs w:val="24"/>
                <w:vertAlign w:val="baseline"/>
                <w:lang w:val="en-US" w:eastAsia="zh-CN"/>
              </w:rPr>
              <w:t>感官要求、铅、砷、甲醛、荧光性物质、总迁移量、高锰酸钾消耗量、重金属（以Pb计）、大肠菌群、沙门氏菌、霉菌、渗漏性能、抗压强度</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纸浆模塑餐具：</w:t>
            </w:r>
            <w:r>
              <w:rPr>
                <w:rFonts w:hint="eastAsia" w:ascii="宋体" w:hAnsi="宋体" w:eastAsia="宋体" w:cs="宋体"/>
                <w:sz w:val="24"/>
                <w:szCs w:val="24"/>
                <w:vertAlign w:val="baseline"/>
                <w:lang w:val="en-US" w:eastAsia="zh-CN"/>
              </w:rPr>
              <w:t>感官要求、铅、砷、甲醛、荧光性物质、总迁移量、高锰酸钾消耗量、重金属（以Pb计）、大肠菌群、沙门氏菌、霉菌、漏水性、耐温性能</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纸盒：</w:t>
            </w:r>
            <w:r>
              <w:rPr>
                <w:rFonts w:hint="eastAsia" w:ascii="宋体" w:hAnsi="宋体" w:eastAsia="宋体" w:cs="宋体"/>
                <w:sz w:val="24"/>
                <w:szCs w:val="24"/>
                <w:vertAlign w:val="baseline"/>
                <w:lang w:val="en-US" w:eastAsia="zh-CN"/>
              </w:rPr>
              <w:t>感官要求、铅、砷、甲醛、荧光性物质、总迁移量、高锰酸钾消耗量、重金属（以Pb计）、大肠菌群、沙门氏菌、霉菌</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食品包装用纸、纸板类：</w:t>
            </w:r>
            <w:r>
              <w:rPr>
                <w:rFonts w:hint="eastAsia" w:ascii="宋体" w:hAnsi="宋体" w:eastAsia="宋体" w:cs="宋体"/>
                <w:sz w:val="24"/>
                <w:szCs w:val="24"/>
                <w:vertAlign w:val="baseline"/>
                <w:lang w:val="en-US" w:eastAsia="zh-CN"/>
              </w:rPr>
              <w:t>感官要求、铅、砷、甲醛、荧光性物质、总迁移量、高锰酸钾消耗量、重金属（以Pb计）、大肠菌群、沙门氏菌、霉菌</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圆柱形复合罐</w:t>
            </w:r>
            <w:r>
              <w:rPr>
                <w:rFonts w:hint="eastAsia" w:ascii="宋体" w:hAnsi="宋体" w:eastAsia="宋体" w:cs="宋体"/>
                <w:sz w:val="24"/>
                <w:szCs w:val="24"/>
                <w:vertAlign w:val="baseline"/>
                <w:lang w:val="en-US" w:eastAsia="zh-CN"/>
              </w:rPr>
              <w:t>：感官、大肠菌群、沙门氏菌、霉菌、盖端脱离力、轴向压溃力、快速泄漏试验</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非复合膜袋：</w:t>
            </w:r>
            <w:r>
              <w:rPr>
                <w:rFonts w:hint="eastAsia" w:ascii="宋体" w:hAnsi="宋体" w:eastAsia="宋体" w:cs="宋体"/>
                <w:sz w:val="24"/>
                <w:szCs w:val="24"/>
                <w:vertAlign w:val="baseline"/>
                <w:lang w:val="en-US" w:eastAsia="zh-CN"/>
              </w:rPr>
              <w:t>感官要求、总迁移量、高锰酸钾消耗量、重金属（以Pb计）、脱色试验（限添加了着色剂的产品）、己内酰胺（限PA材质）、氯乙烯（限PVC材质）、阻隔性能（氧气）、阻隔性能（水蒸气）、热封强度（限袋类产品）</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复合膜袋：</w:t>
            </w:r>
            <w:r>
              <w:rPr>
                <w:rFonts w:hint="eastAsia" w:ascii="宋体" w:hAnsi="宋体" w:eastAsia="宋体" w:cs="宋体"/>
                <w:sz w:val="24"/>
                <w:szCs w:val="24"/>
                <w:vertAlign w:val="baseline"/>
                <w:lang w:val="en-US" w:eastAsia="zh-CN"/>
              </w:rPr>
              <w:t>感官指标、蒸发残渣、高锰酸钾消耗量、重金属（以Pb计）、溶剂残留量总量、苯类溶剂、甲苯二胺（4%乙酸）、微生物总数、菌落总数、大肠菌群、致病菌（系指肠道致病菌、致病性球菌）、霉菌、阻隔性能（氧气）、阻隔性能（水蒸气）、热封强度（限袋类产品）</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注：根据实际产品标准选择相应检验项目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300"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纸制品</w:t>
            </w:r>
          </w:p>
        </w:tc>
        <w:tc>
          <w:tcPr>
            <w:tcW w:w="966"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5432" w:type="dxa"/>
          </w:tcPr>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瓦楞纸箱：</w:t>
            </w:r>
            <w:r>
              <w:rPr>
                <w:rFonts w:hint="eastAsia" w:ascii="宋体" w:hAnsi="宋体" w:eastAsia="宋体" w:cs="宋体"/>
                <w:sz w:val="24"/>
                <w:szCs w:val="24"/>
                <w:vertAlign w:val="baseline"/>
                <w:lang w:val="en-US" w:eastAsia="zh-CN"/>
              </w:rPr>
              <w:t>尺寸偏差、质量与结构、耐破强度、边压强度、厚度、空箱抗压强度</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纸巾纸：</w:t>
            </w:r>
            <w:r>
              <w:rPr>
                <w:rFonts w:hint="eastAsia" w:ascii="宋体" w:hAnsi="宋体" w:eastAsia="宋体" w:cs="宋体"/>
                <w:sz w:val="24"/>
                <w:szCs w:val="24"/>
                <w:vertAlign w:val="baseline"/>
                <w:lang w:val="en-US" w:eastAsia="zh-CN"/>
              </w:rPr>
              <w:t>细菌菌落总数、绿脓杆菌、金黄色葡萄球菌、溶血性链球菌、大肠菌群、真菌菌落总数、可迁移性荧光增白剂、灰分、亮度（白度）、横向吸液高度、柔软度、横向抗张指数、纵向湿抗张强度</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卫生纸：</w:t>
            </w:r>
            <w:r>
              <w:rPr>
                <w:rFonts w:hint="eastAsia" w:ascii="宋体" w:hAnsi="宋体" w:eastAsia="宋体" w:cs="宋体"/>
                <w:sz w:val="24"/>
                <w:szCs w:val="24"/>
                <w:vertAlign w:val="baseline"/>
                <w:lang w:val="en-US" w:eastAsia="zh-CN"/>
              </w:rPr>
              <w:t>细菌菌落总数、大肠菌群、金黄色葡萄球菌、溶血性链球菌、D65亮度、横向吸液高度、抗张指数、柔软度、可迁移性荧光物质、球形耐破度（成品层）、恒温恒湿</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厨房纸：</w:t>
            </w:r>
            <w:r>
              <w:rPr>
                <w:rFonts w:hint="eastAsia" w:ascii="宋体" w:hAnsi="宋体" w:eastAsia="宋体" w:cs="宋体"/>
                <w:sz w:val="24"/>
                <w:szCs w:val="24"/>
                <w:vertAlign w:val="baseline"/>
                <w:lang w:val="en-US" w:eastAsia="zh-CN"/>
              </w:rPr>
              <w:t>细菌菌落总数、大肠菌群、绿脓杆菌、溶血性链球菌、金黄色葡萄球菌、真菌菌落总数、亮度、横向吸液高度、横向抗张指数纵向湿抗张指数、洞眼、尘埃度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300"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成品油</w:t>
            </w:r>
          </w:p>
        </w:tc>
        <w:tc>
          <w:tcPr>
            <w:tcW w:w="966"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5432" w:type="dxa"/>
          </w:tcPr>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车用柴油：</w:t>
            </w:r>
            <w:r>
              <w:rPr>
                <w:rFonts w:hint="eastAsia" w:ascii="宋体" w:hAnsi="宋体" w:eastAsia="宋体" w:cs="宋体"/>
                <w:sz w:val="24"/>
                <w:szCs w:val="24"/>
                <w:vertAlign w:val="baseline"/>
                <w:lang w:val="en-US" w:eastAsia="zh-CN"/>
              </w:rPr>
              <w:t>闪点、硫含量、馏程、十六烷指数、十六烷值、铜片腐蚀、酸度</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车用汽油：</w:t>
            </w:r>
            <w:r>
              <w:rPr>
                <w:rFonts w:hint="eastAsia" w:ascii="宋体" w:hAnsi="宋体" w:eastAsia="宋体" w:cs="宋体"/>
                <w:sz w:val="24"/>
                <w:szCs w:val="24"/>
                <w:vertAlign w:val="baseline"/>
                <w:lang w:val="en-US" w:eastAsia="zh-CN"/>
              </w:rPr>
              <w:t>研究法辛烷值、铅含量、馏程、胶质（实际胶质+未洗胶质）、硫含量、甲醇含量、氧含量、苯含量、芳烃含量、烯烃含量、锰含量、密度、铁含量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300"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管材管件</w:t>
            </w:r>
          </w:p>
        </w:tc>
        <w:tc>
          <w:tcPr>
            <w:tcW w:w="966"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5432" w:type="dxa"/>
          </w:tcPr>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给水用聚乙烯（PE）管件：</w:t>
            </w:r>
            <w:r>
              <w:rPr>
                <w:rFonts w:hint="eastAsia" w:ascii="宋体" w:hAnsi="宋体" w:eastAsia="宋体" w:cs="宋体"/>
                <w:sz w:val="24"/>
                <w:szCs w:val="24"/>
                <w:vertAlign w:val="baseline"/>
                <w:lang w:val="en-US" w:eastAsia="zh-CN"/>
              </w:rPr>
              <w:t>几何尺寸、静液压强度（20℃，100h）、氧化诱导时间、纵向回缩率、炭黑含量、灰分、断裂伸长率、卫生要求</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燃气用埋地聚乙烯（PE）管材</w:t>
            </w:r>
            <w:r>
              <w:rPr>
                <w:rFonts w:hint="eastAsia" w:ascii="宋体" w:hAnsi="宋体" w:eastAsia="宋体" w:cs="宋体"/>
                <w:sz w:val="24"/>
                <w:szCs w:val="24"/>
                <w:vertAlign w:val="baseline"/>
                <w:lang w:val="en-US" w:eastAsia="zh-CN"/>
              </w:rPr>
              <w:t>：几何尺寸、静液压强度（20℃，100h）、断裂伸长率、氧化诱导时间、纵向回缩率</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冷热水用聚丙烯(PP-R)管件</w:t>
            </w:r>
            <w:r>
              <w:rPr>
                <w:rFonts w:hint="eastAsia" w:ascii="宋体" w:hAnsi="宋体" w:eastAsia="宋体" w:cs="宋体"/>
                <w:sz w:val="24"/>
                <w:szCs w:val="24"/>
                <w:vertAlign w:val="baseline"/>
                <w:lang w:val="en-US" w:eastAsia="zh-CN"/>
              </w:rPr>
              <w:t>：静液压强度（1h）、灰分、熔融温度、氧化诱导时间、卫生要求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300"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家具</w:t>
            </w:r>
          </w:p>
        </w:tc>
        <w:tc>
          <w:tcPr>
            <w:tcW w:w="966"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5432" w:type="dxa"/>
          </w:tcPr>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卫浴家具</w:t>
            </w:r>
            <w:r>
              <w:rPr>
                <w:rFonts w:hint="eastAsia" w:ascii="宋体" w:hAnsi="宋体" w:eastAsia="宋体" w:cs="宋体"/>
                <w:sz w:val="24"/>
                <w:szCs w:val="24"/>
                <w:vertAlign w:val="baseline"/>
                <w:lang w:val="en-US" w:eastAsia="zh-CN"/>
              </w:rPr>
              <w:t>：木制部件表面漆膜/软硬质覆面抗冲击、木制部件表面漆膜/软硬质覆面耐液、产品外表木质部件24h吸水厚度膨胀率、落地式柜台面垂直冲击、结构和底架强度试验、拉门垂直加载试验、木制件甲醛释放量、木制件涂层可溶性重金属含量（限色漆）、石材放射性核素限量、部件及配件安全</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金属家具</w:t>
            </w:r>
            <w:r>
              <w:rPr>
                <w:rFonts w:hint="eastAsia" w:ascii="宋体" w:hAnsi="宋体" w:eastAsia="宋体" w:cs="宋体"/>
                <w:sz w:val="24"/>
                <w:szCs w:val="24"/>
                <w:vertAlign w:val="baseline"/>
                <w:lang w:val="en-US" w:eastAsia="zh-CN"/>
              </w:rPr>
              <w:t>：安全性能要求、人造板部件甲醛释放量（气候箱法）、金属涂层硬度、金属涂层冲击强度、金属涂层附着力、木制件表面涂层耐液、木制件表面贴面层耐污染性能、稳定性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1300"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低压产品</w:t>
            </w:r>
          </w:p>
        </w:tc>
        <w:tc>
          <w:tcPr>
            <w:tcW w:w="966"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5432" w:type="dxa"/>
          </w:tcPr>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低压成套开关设备和控制设备</w:t>
            </w:r>
            <w:r>
              <w:rPr>
                <w:rFonts w:hint="eastAsia" w:ascii="宋体" w:hAnsi="宋体" w:eastAsia="宋体" w:cs="宋体"/>
                <w:sz w:val="24"/>
                <w:szCs w:val="24"/>
                <w:vertAlign w:val="baseline"/>
                <w:lang w:val="en-US" w:eastAsia="zh-CN"/>
              </w:rPr>
              <w:t>：连接线、通电操作；结构和标志；介电性能验证；成套设备的裸露导电部件和保护电路之间的有效连接验证；防护等级验证；电气间隙和爬电距离验证；绝缘材料对内部电作用引起的非正常热和着火的耐受能力验证。</w:t>
            </w:r>
          </w:p>
          <w:p>
            <w:pPr>
              <w:spacing w:line="360" w:lineRule="auto"/>
              <w:jc w:val="left"/>
              <w:rPr>
                <w:rFonts w:hint="eastAsia" w:ascii="宋体" w:hAnsi="宋体" w:eastAsia="宋体" w:cs="宋体"/>
                <w:sz w:val="24"/>
                <w:szCs w:val="24"/>
                <w:lang w:eastAsia="zh-CN"/>
              </w:rPr>
            </w:pPr>
            <w:r>
              <w:rPr>
                <w:rFonts w:hint="eastAsia" w:ascii="宋体" w:hAnsi="宋体" w:eastAsia="宋体" w:cs="宋体"/>
                <w:b/>
                <w:bCs/>
                <w:sz w:val="24"/>
                <w:szCs w:val="24"/>
              </w:rPr>
              <w:t>配电板</w:t>
            </w:r>
            <w:r>
              <w:rPr>
                <w:rFonts w:hint="eastAsia" w:ascii="宋体" w:hAnsi="宋体" w:eastAsia="宋体" w:cs="宋体"/>
                <w:b/>
                <w:bCs/>
                <w:sz w:val="24"/>
                <w:szCs w:val="24"/>
                <w:lang w:eastAsia="zh-CN"/>
              </w:rPr>
              <w:t>：</w:t>
            </w:r>
            <w:r>
              <w:rPr>
                <w:rFonts w:hint="eastAsia" w:ascii="宋体" w:hAnsi="宋体" w:eastAsia="宋体" w:cs="宋体"/>
                <w:sz w:val="24"/>
                <w:szCs w:val="24"/>
                <w:lang w:eastAsia="zh-CN"/>
              </w:rPr>
              <w:t>成套设备外露可导电部分与保护电路之间的有效接地的连续性、电气间隙和爬电距离、成套设备的防护等级、开关器件和元件的组合、内部电路和连接、外接导线端子</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注：根据企业使用的标准不同，选择适用的检验项目。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1300"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消防及相关产品</w:t>
            </w:r>
          </w:p>
        </w:tc>
        <w:tc>
          <w:tcPr>
            <w:tcW w:w="966"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5432" w:type="dxa"/>
          </w:tcPr>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手提式灭火器：2</w:t>
            </w:r>
            <w:r>
              <w:rPr>
                <w:rFonts w:hint="eastAsia" w:ascii="宋体" w:hAnsi="宋体" w:eastAsia="宋体" w:cs="宋体"/>
                <w:sz w:val="24"/>
                <w:szCs w:val="24"/>
                <w:vertAlign w:val="baseline"/>
                <w:lang w:val="en-US" w:eastAsia="zh-CN"/>
              </w:rPr>
              <w:t>0℃喷射性能检查(有效喷射时间)、20℃喷射性能检查(喷射距离)、20℃喷射性能检查(喷射滞后时间)、20℃喷射性能检查(喷射剩余率)、灭火剂充装量检查、超压保护装置动作压力检查（适用时）、水压试验、结构检查、爆破试验（适用时）(筒体爆破压力)、爆破试验（适用时）(筒体容积膨胀率)、爆破试验（适用时）(筒体爆破口状况)、爆破试验（适用时）(筒体壁厚测量)、灭火剂检验(ABC 干粉灭火剂主要组分含量)、灭火剂检验(BC 干粉灭火剂主要组分含量)</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维修的手提式干粉灭火器：</w:t>
            </w:r>
            <w:r>
              <w:rPr>
                <w:rFonts w:hint="eastAsia" w:ascii="宋体" w:hAnsi="宋体" w:eastAsia="宋体" w:cs="宋体"/>
                <w:sz w:val="24"/>
                <w:szCs w:val="24"/>
                <w:vertAlign w:val="baseline"/>
                <w:lang w:val="en-US" w:eastAsia="zh-CN"/>
              </w:rPr>
              <w:t>外观、外部结构及总质量检查、灭火器气密性试验、20℃喷射性能试验、操作机构检查、灭火剂充装量检查、水压试验、灭火剂质量检查（主要组分含量）</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消防应急照明和疏散指示系统产品：</w:t>
            </w:r>
            <w:r>
              <w:rPr>
                <w:rFonts w:hint="eastAsia" w:ascii="宋体" w:hAnsi="宋体" w:eastAsia="宋体" w:cs="宋体"/>
                <w:sz w:val="24"/>
                <w:szCs w:val="24"/>
                <w:vertAlign w:val="baseline"/>
                <w:lang w:val="en-US" w:eastAsia="zh-CN"/>
              </w:rPr>
              <w:t>基本功能试验、充、放电试验、重复转换试验、电压波动试验、转换电压试验、绝缘电阻试验、接地电阻试验、耐压试验</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消防排烟风机（轴流式）</w:t>
            </w:r>
            <w:r>
              <w:rPr>
                <w:rFonts w:hint="eastAsia" w:ascii="宋体" w:hAnsi="宋体" w:eastAsia="宋体" w:cs="宋体"/>
                <w:sz w:val="24"/>
                <w:szCs w:val="24"/>
                <w:vertAlign w:val="baseline"/>
                <w:lang w:val="en-US" w:eastAsia="zh-CN"/>
              </w:rPr>
              <w:t>：机壳、仪表、安全要求、主要零件材料、外观与清洁度、装配要求、成套性、标志</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消防排烟风机（离心式）：</w:t>
            </w:r>
            <w:r>
              <w:rPr>
                <w:rFonts w:hint="eastAsia" w:ascii="宋体" w:hAnsi="宋体" w:eastAsia="宋体" w:cs="宋体"/>
                <w:sz w:val="24"/>
                <w:szCs w:val="24"/>
                <w:vertAlign w:val="baseline"/>
                <w:lang w:val="en-US" w:eastAsia="zh-CN"/>
              </w:rPr>
              <w:t>外观及清洁度、成套性、机械运转试验、轴承温升、振动速度有效值、叶轮径向单侧间隙</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钢板风管:</w:t>
            </w:r>
            <w:r>
              <w:rPr>
                <w:rFonts w:hint="eastAsia" w:ascii="宋体" w:hAnsi="宋体" w:eastAsia="宋体" w:cs="宋体"/>
                <w:sz w:val="24"/>
                <w:szCs w:val="24"/>
                <w:vertAlign w:val="baseline"/>
                <w:lang w:val="en-US" w:eastAsia="zh-CN"/>
              </w:rPr>
              <w:t>锌层厚度(镀锌钢板风管适用)、板材厚度、拼接、法兰螺栓孔距</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建筑用绝缘电工套管：</w:t>
            </w:r>
            <w:r>
              <w:rPr>
                <w:rFonts w:hint="eastAsia" w:ascii="宋体" w:hAnsi="宋体" w:eastAsia="宋体" w:cs="宋体"/>
                <w:sz w:val="24"/>
                <w:szCs w:val="24"/>
                <w:vertAlign w:val="baseline"/>
                <w:lang w:val="en-US" w:eastAsia="zh-CN"/>
              </w:rPr>
              <w:t>抗压性能、氧指数、自熄时间、水平燃烧性能、烟密度等级</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点型感烟火灾探测器</w:t>
            </w:r>
            <w:r>
              <w:rPr>
                <w:rFonts w:hint="eastAsia" w:ascii="宋体" w:hAnsi="宋体" w:eastAsia="宋体" w:cs="宋体"/>
                <w:sz w:val="24"/>
                <w:szCs w:val="24"/>
                <w:vertAlign w:val="baseline"/>
                <w:lang w:val="en-US" w:eastAsia="zh-CN"/>
              </w:rPr>
              <w:t>：气流试验、环境光线试验、高温试验、低温（运行）试验</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点型感温火灾探测器：</w:t>
            </w:r>
            <w:r>
              <w:rPr>
                <w:rFonts w:hint="eastAsia" w:ascii="宋体" w:hAnsi="宋体" w:eastAsia="宋体" w:cs="宋体"/>
                <w:sz w:val="24"/>
                <w:szCs w:val="24"/>
                <w:vertAlign w:val="baseline"/>
                <w:lang w:val="en-US" w:eastAsia="zh-CN"/>
              </w:rPr>
              <w:t>动作温度试验</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高温响应试验</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室内消火栓：</w:t>
            </w:r>
            <w:r>
              <w:rPr>
                <w:rFonts w:hint="eastAsia" w:ascii="宋体" w:hAnsi="宋体" w:eastAsia="宋体" w:cs="宋体"/>
                <w:sz w:val="24"/>
                <w:szCs w:val="24"/>
                <w:vertAlign w:val="baseline"/>
                <w:lang w:val="en-US" w:eastAsia="zh-CN"/>
              </w:rPr>
              <w:t>手轮、阀杆升降性能、开启高度、水压强度、密封性能</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室外消火栓：</w:t>
            </w:r>
            <w:r>
              <w:rPr>
                <w:rFonts w:hint="eastAsia" w:ascii="宋体" w:hAnsi="宋体" w:eastAsia="宋体" w:cs="宋体"/>
                <w:sz w:val="24"/>
                <w:szCs w:val="24"/>
                <w:vertAlign w:val="baseline"/>
                <w:lang w:val="en-US" w:eastAsia="zh-CN"/>
              </w:rPr>
              <w:t>排放余水装置、法兰尺寸、开启高度、密封性能、水压强度</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消防水枪：</w:t>
            </w:r>
            <w:r>
              <w:rPr>
                <w:rFonts w:hint="eastAsia" w:ascii="宋体" w:hAnsi="宋体" w:eastAsia="宋体" w:cs="宋体"/>
                <w:sz w:val="24"/>
                <w:szCs w:val="24"/>
                <w:vertAlign w:val="baseline"/>
                <w:lang w:val="en-US" w:eastAsia="zh-CN"/>
              </w:rPr>
              <w:t>表面质量、抗跌落性能、密封性能、耐水压强度、耐高温试验、耐低温试验、耐腐蚀性能</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消火栓箱：</w:t>
            </w:r>
            <w:r>
              <w:rPr>
                <w:rFonts w:hint="eastAsia" w:ascii="宋体" w:hAnsi="宋体" w:eastAsia="宋体" w:cs="宋体"/>
                <w:sz w:val="24"/>
                <w:szCs w:val="24"/>
                <w:vertAlign w:val="baseline"/>
                <w:lang w:val="en-US" w:eastAsia="zh-CN"/>
              </w:rPr>
              <w:t>外形尺寸、箱体材料厚度、箱体刚度、箱门</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饰面型防火涂料：</w:t>
            </w:r>
            <w:r>
              <w:rPr>
                <w:rFonts w:hint="eastAsia" w:ascii="宋体" w:hAnsi="宋体" w:eastAsia="宋体" w:cs="宋体"/>
                <w:sz w:val="24"/>
                <w:szCs w:val="24"/>
                <w:vertAlign w:val="baseline"/>
                <w:lang w:val="en-US" w:eastAsia="zh-CN"/>
              </w:rPr>
              <w:t>容器中的状态、细度、干燥时间、附着力、柔韧性、耐冲击性、耐水性、耐湿热性、耐燃时间、难燃性、质量损失、碳化体积</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防火密封胶：</w:t>
            </w:r>
            <w:r>
              <w:rPr>
                <w:rFonts w:hint="eastAsia" w:ascii="宋体" w:hAnsi="宋体" w:eastAsia="宋体" w:cs="宋体"/>
                <w:sz w:val="24"/>
                <w:szCs w:val="24"/>
                <w:vertAlign w:val="baseline"/>
                <w:lang w:val="en-US" w:eastAsia="zh-CN"/>
              </w:rPr>
              <w:t>耐火性能、燃烧性能、外观、表观密度、腐蚀性、耐水性、耐碱性、耐酸性</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消防水带：</w:t>
            </w:r>
            <w:r>
              <w:rPr>
                <w:rFonts w:hint="eastAsia" w:ascii="宋体" w:hAnsi="宋体" w:eastAsia="宋体" w:cs="宋体"/>
                <w:sz w:val="24"/>
                <w:szCs w:val="24"/>
                <w:vertAlign w:val="baseline"/>
                <w:lang w:val="en-US" w:eastAsia="zh-CN"/>
              </w:rPr>
              <w:t>长度、单位长度质量、水压试验、爆破试验、延伸率、膨胀率、扭转方向、可弯曲性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1300"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服装、纺织品</w:t>
            </w:r>
          </w:p>
        </w:tc>
        <w:tc>
          <w:tcPr>
            <w:tcW w:w="966"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5432" w:type="dxa"/>
          </w:tcPr>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甲醛、pH值、耐水色牢度、耐酸汗渍色牢度、耐碱汗渍色牢度、耐摩擦色牢度、纤维成分含</w:t>
            </w: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按抽取样品的实际类型选取对应项目）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1300"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车用压缩天然气</w:t>
            </w:r>
          </w:p>
        </w:tc>
        <w:tc>
          <w:tcPr>
            <w:tcW w:w="966"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5432" w:type="dxa"/>
          </w:tcPr>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水(水露点)、硫化氢、总硫、高位发热量、二氧化碳、氧气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1300"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肥料</w:t>
            </w:r>
          </w:p>
        </w:tc>
        <w:tc>
          <w:tcPr>
            <w:tcW w:w="966"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5432" w:type="dxa"/>
          </w:tcPr>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总养分、氮、磷、钾、水溶性磷占有效磷百分率、氯离子、有机质、缩二脲、亚甲基二脲、水分、水不溶物、砷、镉、铅、铬、汞、pH、游离酸、大量元素、中量元素、微量元素、腐植酸、蛔虫卵死亡率、粪大肠菌群数、外观、密度、细度、粒度、包装标识</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注：根据产品的不同，选择适用的检验项目。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c>
          <w:tcPr>
            <w:tcW w:w="1300"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涂料、油漆等涉环产品</w:t>
            </w:r>
          </w:p>
        </w:tc>
        <w:tc>
          <w:tcPr>
            <w:tcW w:w="966"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w:t>
            </w:r>
          </w:p>
        </w:tc>
        <w:tc>
          <w:tcPr>
            <w:tcW w:w="5432" w:type="dxa"/>
          </w:tcPr>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水性木器漆</w:t>
            </w:r>
            <w:r>
              <w:rPr>
                <w:rFonts w:hint="eastAsia" w:ascii="宋体" w:hAnsi="宋体" w:eastAsia="宋体" w:cs="宋体"/>
                <w:sz w:val="24"/>
                <w:szCs w:val="24"/>
                <w:vertAlign w:val="baseline"/>
                <w:lang w:val="en-US" w:eastAsia="zh-CN"/>
              </w:rPr>
              <w:t>：VOC、VOC、</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内外墙涂料：</w:t>
            </w:r>
            <w:r>
              <w:rPr>
                <w:rFonts w:hint="eastAsia" w:ascii="宋体" w:hAnsi="宋体" w:eastAsia="宋体" w:cs="宋体"/>
                <w:sz w:val="24"/>
                <w:szCs w:val="24"/>
                <w:vertAlign w:val="baseline"/>
                <w:lang w:val="en-US" w:eastAsia="zh-CN"/>
              </w:rPr>
              <w:t>苯、甲苯、乙苯、二甲苯、乙二醇醚及其酯类、甲醛、重金属、不挥发物、打磨性、硬度、附着力、耐冲击性、抗粘连性、耐磨性、耐划伤性、耐水性、耐碱性、耐醇性；</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内外墙涂料：</w:t>
            </w:r>
            <w:r>
              <w:rPr>
                <w:rFonts w:hint="eastAsia" w:ascii="宋体" w:hAnsi="宋体" w:eastAsia="宋体" w:cs="宋体"/>
                <w:sz w:val="24"/>
                <w:szCs w:val="24"/>
                <w:vertAlign w:val="baseline"/>
                <w:lang w:val="en-US" w:eastAsia="zh-CN"/>
              </w:rPr>
              <w:t>苯、甲苯、乙苯、二甲苯、乙二醇醚及醚酯、重金属、VOC、甲醛、对比率、耐洗刷性、耐水性、耐碱性、耐沾污性、低温稳定性；</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内外墙腻子：</w:t>
            </w:r>
            <w:r>
              <w:rPr>
                <w:rFonts w:hint="eastAsia" w:ascii="宋体" w:hAnsi="宋体" w:eastAsia="宋体" w:cs="宋体"/>
                <w:sz w:val="24"/>
                <w:szCs w:val="24"/>
                <w:vertAlign w:val="baseline"/>
                <w:lang w:val="en-US" w:eastAsia="zh-CN"/>
              </w:rPr>
              <w:t>苯、甲苯、乙苯、二甲苯、乙二醇醚及醚酯、重金属、VOC、低温贮存稳定性、干燥时间、初期干燥抗裂性、打磨性、耐水性、粘接强度、柔韧性、吸水量、耐碱性、动态抗开裂性；</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胶粘剂：</w:t>
            </w:r>
            <w:r>
              <w:rPr>
                <w:rFonts w:hint="eastAsia" w:ascii="宋体" w:hAnsi="宋体" w:eastAsia="宋体" w:cs="宋体"/>
                <w:sz w:val="24"/>
                <w:szCs w:val="24"/>
                <w:vertAlign w:val="baseline"/>
                <w:lang w:val="en-US" w:eastAsia="zh-CN"/>
              </w:rPr>
              <w:t>VOC、苯、甲苯＋二甲苯、甲醛、压缩剪切强度</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溶剂型木器漆</w:t>
            </w:r>
            <w:r>
              <w:rPr>
                <w:rFonts w:hint="eastAsia" w:ascii="宋体" w:hAnsi="宋体" w:eastAsia="宋体" w:cs="宋体"/>
                <w:sz w:val="24"/>
                <w:szCs w:val="24"/>
                <w:vertAlign w:val="baseline"/>
                <w:lang w:val="en-US" w:eastAsia="zh-CN"/>
              </w:rPr>
              <w:t>：挥发性有机化合物含量，苯含量，甲苯、二甲苯、乙苯含量总和，卤代烃含量，游离二异氰酸酯含量总和，可溶性重金属含量（限色漆），干燥时间，铅笔硬度，附着力，耐干热性，耐水性，耐碱性，耐醇性，耐磨性，划格试验，回粘性，弯曲试验，遮盖力；</w:t>
            </w: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溶剂型工业漆：</w:t>
            </w:r>
            <w:r>
              <w:rPr>
                <w:rFonts w:hint="eastAsia" w:ascii="宋体" w:hAnsi="宋体" w:eastAsia="宋体" w:cs="宋体"/>
                <w:sz w:val="24"/>
                <w:szCs w:val="24"/>
                <w:vertAlign w:val="baseline"/>
                <w:lang w:val="en-US" w:eastAsia="zh-CN"/>
              </w:rPr>
              <w:t>细度、遮盖力、不挥发物、漆膜外观、干燥时间、弯曲试验、耐盐水性、耐碱性、划格试验、附着力、光泽、耐挥发油性、耐湿热性、耐盐雾性、冷热交替试验、耐冲击性、流出时间、结皮性、遮盖力、柔韧性铅笔硬度、耐酸性、渗色性、耐热性、耐汽油性、粘度、VOC、甲醛、苯、甲苯、二甲苯、TDI、重金属、酸值、吸水率、耐湿热循环性、耐沾污性、流挂性、适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w:t>
            </w:r>
          </w:p>
        </w:tc>
        <w:tc>
          <w:tcPr>
            <w:tcW w:w="1300"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危险化学品包装物</w:t>
            </w:r>
          </w:p>
        </w:tc>
        <w:tc>
          <w:tcPr>
            <w:tcW w:w="966" w:type="dxa"/>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5432" w:type="dxa"/>
          </w:tcPr>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气密试验、液压试验、堆码试验、跌落试验、提环拉力试验</w:t>
            </w: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按抽取样品的实际类型选取对应项目）</w:t>
            </w:r>
          </w:p>
        </w:tc>
      </w:tr>
    </w:tbl>
    <w:p>
      <w:pPr>
        <w:widowControl w:val="0"/>
        <w:numPr>
          <w:ilvl w:val="0"/>
          <w:numId w:val="0"/>
        </w:numPr>
        <w:autoSpaceDE w:val="0"/>
        <w:autoSpaceDN w:val="0"/>
      </w:pPr>
    </w:p>
    <w:p>
      <w:pPr>
        <w:pStyle w:val="7"/>
        <w:spacing w:before="3"/>
        <w:rPr>
          <w:b/>
          <w:sz w:val="3"/>
        </w:rPr>
      </w:pPr>
    </w:p>
    <w:p>
      <w:pPr>
        <w:pStyle w:val="6"/>
        <w:spacing w:before="14"/>
      </w:pPr>
      <w:r>
        <w:t>三、</w:t>
      </w:r>
      <w:r>
        <w:rPr>
          <w:rFonts w:hint="eastAsia"/>
          <w:b/>
          <w:color w:val="auto"/>
          <w:sz w:val="24"/>
          <w:szCs w:val="24"/>
        </w:rPr>
        <w:t>商务要求</w:t>
      </w:r>
    </w:p>
    <w:p>
      <w:pPr>
        <w:spacing w:line="480" w:lineRule="auto"/>
        <w:ind w:firstLine="1205" w:firstLineChars="500"/>
        <w:rPr>
          <w:b/>
          <w:color w:val="auto"/>
          <w:sz w:val="24"/>
          <w:szCs w:val="24"/>
        </w:rPr>
      </w:pPr>
      <w:r>
        <w:rPr>
          <w:rFonts w:hint="eastAsia"/>
          <w:b/>
          <w:color w:val="auto"/>
          <w:sz w:val="24"/>
          <w:szCs w:val="24"/>
        </w:rPr>
        <w:t>（一）检验依据：</w:t>
      </w:r>
    </w:p>
    <w:p>
      <w:pPr>
        <w:spacing w:line="360" w:lineRule="auto"/>
        <w:ind w:firstLine="1200" w:firstLineChars="500"/>
        <w:rPr>
          <w:color w:val="auto"/>
          <w:sz w:val="24"/>
          <w:szCs w:val="24"/>
        </w:rPr>
      </w:pPr>
      <w:r>
        <w:rPr>
          <w:rFonts w:hint="eastAsia"/>
          <w:color w:val="auto"/>
          <w:sz w:val="24"/>
          <w:szCs w:val="24"/>
        </w:rPr>
        <w:t>1.抽样产品所执行的相关标准规定、并按照抽样检验实施方案进行判定。</w:t>
      </w:r>
    </w:p>
    <w:p>
      <w:pPr>
        <w:spacing w:line="360" w:lineRule="auto"/>
        <w:ind w:left="959" w:leftChars="436" w:firstLine="240" w:firstLineChars="100"/>
        <w:rPr>
          <w:rFonts w:hint="eastAsia" w:asciiTheme="minorHAnsi" w:hAnsiTheme="minorHAnsi" w:eastAsiaTheme="minorEastAsia" w:cstheme="minorBidi"/>
          <w:color w:val="auto"/>
          <w:kern w:val="2"/>
          <w:sz w:val="24"/>
          <w:szCs w:val="24"/>
          <w:lang w:val="en-US" w:eastAsia="zh-CN" w:bidi="ar-SA"/>
        </w:rPr>
      </w:pPr>
      <w:r>
        <w:rPr>
          <w:rFonts w:hint="eastAsia"/>
          <w:color w:val="auto"/>
          <w:sz w:val="24"/>
          <w:szCs w:val="24"/>
        </w:rPr>
        <w:t>2.检验批次数：</w:t>
      </w:r>
      <w:r>
        <w:rPr>
          <w:rFonts w:hint="eastAsia"/>
          <w:color w:val="auto"/>
          <w:sz w:val="24"/>
          <w:szCs w:val="24"/>
          <w:lang w:val="en-US" w:eastAsia="zh-CN"/>
        </w:rPr>
        <w:t>127</w:t>
      </w:r>
      <w:r>
        <w:rPr>
          <w:rFonts w:hint="eastAsia"/>
          <w:color w:val="auto"/>
          <w:sz w:val="24"/>
          <w:szCs w:val="24"/>
        </w:rPr>
        <w:t>批次；检验批次数可由金堂县市场监管部门根据被抽检企业生产情况或当地安全状况变化临时调整抽样计划等原因进行调整。</w:t>
      </w:r>
    </w:p>
    <w:p>
      <w:pPr>
        <w:spacing w:line="480" w:lineRule="auto"/>
        <w:ind w:firstLine="964" w:firstLineChars="400"/>
        <w:rPr>
          <w:b/>
          <w:color w:val="auto"/>
          <w:sz w:val="24"/>
          <w:szCs w:val="24"/>
        </w:rPr>
      </w:pPr>
      <w:r>
        <w:rPr>
          <w:rFonts w:hint="eastAsia"/>
          <w:b/>
          <w:color w:val="auto"/>
          <w:sz w:val="24"/>
          <w:szCs w:val="24"/>
        </w:rPr>
        <w:t>（二）检验时间：</w:t>
      </w:r>
    </w:p>
    <w:p>
      <w:pPr>
        <w:spacing w:line="360" w:lineRule="auto"/>
        <w:ind w:left="719" w:leftChars="327" w:firstLine="240" w:firstLineChars="100"/>
        <w:rPr>
          <w:color w:val="auto"/>
          <w:sz w:val="24"/>
          <w:szCs w:val="24"/>
        </w:rPr>
      </w:pPr>
      <w:r>
        <w:rPr>
          <w:rFonts w:hint="eastAsia"/>
          <w:color w:val="auto"/>
          <w:sz w:val="24"/>
          <w:szCs w:val="24"/>
        </w:rPr>
        <w:t>1.从实验室接收样品起20个工作日内出具检验报告，在委托方与第三方同等的条件下，承检机构应优先完成委托方的检测任务。如有特殊情况导致不能按时出具检验报告的，承检机构应书面告知采购人并征得采购人书面同意。</w:t>
      </w:r>
    </w:p>
    <w:p>
      <w:pPr>
        <w:spacing w:line="360" w:lineRule="auto"/>
        <w:ind w:firstLine="960" w:firstLineChars="400"/>
        <w:rPr>
          <w:color w:val="auto"/>
          <w:sz w:val="24"/>
          <w:szCs w:val="24"/>
        </w:rPr>
      </w:pPr>
      <w:r>
        <w:rPr>
          <w:rFonts w:hint="eastAsia"/>
          <w:color w:val="auto"/>
          <w:sz w:val="24"/>
          <w:szCs w:val="24"/>
        </w:rPr>
        <w:t>2.承检机构对其抽取的样品负责。</w:t>
      </w:r>
    </w:p>
    <w:p>
      <w:pPr>
        <w:spacing w:line="360" w:lineRule="auto"/>
        <w:ind w:firstLine="960" w:firstLineChars="400"/>
        <w:rPr>
          <w:color w:val="auto"/>
          <w:sz w:val="24"/>
          <w:szCs w:val="24"/>
        </w:rPr>
      </w:pPr>
      <w:r>
        <w:rPr>
          <w:rFonts w:hint="eastAsia"/>
          <w:color w:val="auto"/>
          <w:sz w:val="24"/>
          <w:szCs w:val="24"/>
        </w:rPr>
        <w:t>3.承检机构要按照委托方要求做好样品复检工作。</w:t>
      </w:r>
    </w:p>
    <w:p>
      <w:pPr>
        <w:spacing w:line="480" w:lineRule="auto"/>
        <w:ind w:firstLine="964" w:firstLineChars="400"/>
        <w:rPr>
          <w:rFonts w:hint="eastAsia"/>
          <w:b/>
          <w:color w:val="auto"/>
          <w:sz w:val="24"/>
          <w:szCs w:val="24"/>
        </w:rPr>
      </w:pPr>
      <w:r>
        <w:rPr>
          <w:rFonts w:hint="eastAsia"/>
          <w:b/>
          <w:color w:val="auto"/>
          <w:sz w:val="24"/>
          <w:szCs w:val="24"/>
        </w:rPr>
        <w:t>（三）</w:t>
      </w:r>
      <w:r>
        <w:rPr>
          <w:rFonts w:hint="eastAsia"/>
          <w:b/>
          <w:color w:val="auto"/>
          <w:sz w:val="24"/>
          <w:szCs w:val="24"/>
          <w:lang w:eastAsia="zh-CN"/>
        </w:rPr>
        <w:t>支付方式</w:t>
      </w:r>
      <w:r>
        <w:rPr>
          <w:rFonts w:hint="eastAsia"/>
          <w:b/>
          <w:color w:val="auto"/>
          <w:sz w:val="24"/>
          <w:szCs w:val="24"/>
        </w:rPr>
        <w:t>：</w:t>
      </w:r>
    </w:p>
    <w:p>
      <w:pPr>
        <w:spacing w:line="360" w:lineRule="auto"/>
        <w:ind w:left="719" w:leftChars="327" w:firstLine="240" w:firstLineChars="100"/>
        <w:rPr>
          <w:rFonts w:hint="eastAsia"/>
          <w:color w:val="auto"/>
          <w:sz w:val="24"/>
          <w:szCs w:val="24"/>
          <w:lang w:val="en-US" w:eastAsia="zh-CN"/>
        </w:rPr>
      </w:pPr>
      <w:r>
        <w:rPr>
          <w:rFonts w:hint="eastAsia"/>
          <w:color w:val="auto"/>
          <w:sz w:val="24"/>
          <w:szCs w:val="24"/>
          <w:lang w:val="en-US" w:eastAsia="zh-CN"/>
        </w:rPr>
        <w:t>支付方式：本项目为先服务后付费，在</w:t>
      </w:r>
      <w:r>
        <w:rPr>
          <w:rFonts w:hint="eastAsia" w:cs="宋体"/>
          <w:color w:val="auto"/>
          <w:sz w:val="24"/>
          <w:lang w:eastAsia="zh-CN"/>
        </w:rPr>
        <w:t>供应商</w:t>
      </w:r>
      <w:r>
        <w:rPr>
          <w:rFonts w:hint="eastAsia"/>
          <w:color w:val="auto"/>
          <w:sz w:val="24"/>
          <w:szCs w:val="24"/>
          <w:lang w:val="en-US" w:eastAsia="zh-CN"/>
        </w:rPr>
        <w:t>完成所有抽检项目并提供检测报告后，经采购人验收合格后，支付合同金额的 100%。</w:t>
      </w:r>
    </w:p>
    <w:p>
      <w:pPr>
        <w:spacing w:line="480" w:lineRule="auto"/>
        <w:ind w:firstLine="964" w:firstLineChars="400"/>
        <w:rPr>
          <w:rFonts w:hint="eastAsia"/>
          <w:b/>
          <w:color w:val="auto"/>
          <w:sz w:val="24"/>
          <w:szCs w:val="24"/>
        </w:rPr>
      </w:pPr>
      <w:r>
        <w:rPr>
          <w:rFonts w:hint="eastAsia"/>
          <w:b/>
          <w:color w:val="auto"/>
          <w:sz w:val="24"/>
          <w:szCs w:val="24"/>
        </w:rPr>
        <w:t>（</w:t>
      </w:r>
      <w:r>
        <w:rPr>
          <w:rFonts w:hint="eastAsia"/>
          <w:b/>
          <w:color w:val="auto"/>
          <w:sz w:val="24"/>
          <w:szCs w:val="24"/>
          <w:lang w:eastAsia="zh-CN"/>
        </w:rPr>
        <w:t>四</w:t>
      </w:r>
      <w:r>
        <w:rPr>
          <w:rFonts w:hint="eastAsia"/>
          <w:b/>
          <w:color w:val="auto"/>
          <w:sz w:val="24"/>
          <w:szCs w:val="24"/>
        </w:rPr>
        <w:t>）验收办法：</w:t>
      </w:r>
    </w:p>
    <w:p>
      <w:pPr>
        <w:spacing w:line="360" w:lineRule="auto"/>
        <w:ind w:left="480" w:leftChars="218" w:firstLine="0" w:firstLineChars="0"/>
        <w:rPr>
          <w:color w:val="auto"/>
          <w:sz w:val="24"/>
          <w:szCs w:val="24"/>
        </w:rPr>
      </w:pPr>
      <w:r>
        <w:rPr>
          <w:rFonts w:hint="eastAsia"/>
          <w:color w:val="FF0000"/>
          <w:sz w:val="24"/>
          <w:szCs w:val="24"/>
          <w:lang w:val="en-US" w:eastAsia="zh-CN"/>
        </w:rPr>
        <w:t xml:space="preserve">    </w:t>
      </w:r>
      <w:r>
        <w:rPr>
          <w:rFonts w:hint="eastAsia"/>
          <w:color w:val="auto"/>
          <w:sz w:val="24"/>
          <w:szCs w:val="24"/>
        </w:rPr>
        <w:t>1.中标人与招标人应严格按照《财政部关于进一步加强政府采购需求和履约验收管理的指导意见》(财库〔2016〕205号)以及主管部门的相关要求进行验收。</w:t>
      </w:r>
    </w:p>
    <w:p>
      <w:pPr>
        <w:spacing w:line="360" w:lineRule="auto"/>
        <w:ind w:firstLine="960" w:firstLineChars="400"/>
        <w:rPr>
          <w:rFonts w:hint="eastAsia" w:eastAsiaTheme="minorEastAsia"/>
          <w:b/>
          <w:bCs/>
          <w:color w:val="FF0000"/>
          <w:sz w:val="24"/>
          <w:szCs w:val="24"/>
          <w:lang w:val="en-US" w:eastAsia="zh-CN"/>
        </w:rPr>
      </w:pPr>
      <w:r>
        <w:rPr>
          <w:rFonts w:hint="eastAsia"/>
          <w:color w:val="auto"/>
          <w:sz w:val="24"/>
          <w:szCs w:val="24"/>
        </w:rPr>
        <w:t>2.服务期限以实际签订服务时间开始</w:t>
      </w:r>
      <w:r>
        <w:rPr>
          <w:rFonts w:hint="eastAsia"/>
          <w:color w:val="auto"/>
          <w:sz w:val="24"/>
          <w:szCs w:val="24"/>
          <w:lang w:eastAsia="zh-CN"/>
        </w:rPr>
        <w:t>。</w:t>
      </w:r>
    </w:p>
    <w:p>
      <w:pPr>
        <w:spacing w:line="268" w:lineRule="auto"/>
        <w:rPr>
          <w:sz w:val="24"/>
        </w:rPr>
      </w:pPr>
    </w:p>
    <w:p>
      <w:pPr>
        <w:spacing w:line="480" w:lineRule="auto"/>
        <w:ind w:firstLine="964" w:firstLineChars="400"/>
        <w:rPr>
          <w:rFonts w:hint="eastAsia"/>
          <w:b/>
          <w:color w:val="auto"/>
          <w:sz w:val="24"/>
          <w:szCs w:val="24"/>
          <w:lang w:eastAsia="zh-CN"/>
        </w:rPr>
      </w:pPr>
      <w:r>
        <w:rPr>
          <w:rFonts w:hint="eastAsia"/>
          <w:b/>
          <w:color w:val="auto"/>
          <w:sz w:val="24"/>
          <w:szCs w:val="24"/>
          <w:lang w:eastAsia="zh-CN"/>
        </w:rPr>
        <w:t>（五）其他要求</w:t>
      </w:r>
    </w:p>
    <w:p>
      <w:pPr>
        <w:widowControl/>
        <w:spacing w:line="360" w:lineRule="auto"/>
        <w:ind w:firstLine="960" w:firstLineChars="400"/>
        <w:jc w:val="both"/>
        <w:rPr>
          <w:rFonts w:hint="eastAsia" w:eastAsia="宋体"/>
          <w:lang w:eastAsia="zh-CN"/>
        </w:rPr>
        <w:sectPr>
          <w:footerReference r:id="rId7" w:type="default"/>
          <w:pgSz w:w="11910" w:h="16840"/>
          <w:pgMar w:top="1600" w:right="660" w:bottom="1160" w:left="720" w:header="949" w:footer="975" w:gutter="0"/>
          <w:pgBorders>
            <w:top w:val="none" w:sz="0" w:space="0"/>
            <w:left w:val="none" w:sz="0" w:space="0"/>
            <w:bottom w:val="none" w:sz="0" w:space="0"/>
            <w:right w:val="none" w:sz="0" w:space="0"/>
          </w:pgBorders>
          <w:cols w:space="720" w:num="1"/>
        </w:sectPr>
      </w:pPr>
      <w:r>
        <w:rPr>
          <w:rFonts w:hint="eastAsia" w:cs="宋体"/>
          <w:color w:val="auto"/>
          <w:sz w:val="24"/>
          <w:szCs w:val="24"/>
          <w:highlight w:val="none"/>
          <w:lang w:val="en-US" w:eastAsia="zh-CN"/>
        </w:rPr>
        <w:t>供应商需根据本项目特点和实际情况拟定合理且完善的</w:t>
      </w:r>
      <w:r>
        <w:rPr>
          <w:rFonts w:hint="eastAsia" w:hAnsi="宋体" w:cs="宋体"/>
          <w:color w:val="auto"/>
          <w:sz w:val="24"/>
          <w:szCs w:val="24"/>
          <w:highlight w:val="none"/>
        </w:rPr>
        <w:t>项目技术服务方案（包含但不限于任务部署</w:t>
      </w:r>
      <w:r>
        <w:rPr>
          <w:rFonts w:hint="eastAsia" w:cs="宋体"/>
          <w:color w:val="auto"/>
          <w:sz w:val="24"/>
          <w:szCs w:val="24"/>
          <w:highlight w:val="none"/>
          <w:lang w:eastAsia="zh-CN"/>
        </w:rPr>
        <w:t>、</w:t>
      </w:r>
      <w:r>
        <w:rPr>
          <w:rFonts w:hint="eastAsia" w:hAnsi="宋体" w:cs="仿宋"/>
          <w:color w:val="auto"/>
          <w:sz w:val="24"/>
          <w:szCs w:val="24"/>
          <w:highlight w:val="none"/>
        </w:rPr>
        <w:t>抽样管理</w:t>
      </w:r>
      <w:r>
        <w:rPr>
          <w:rFonts w:hint="eastAsia" w:cs="仿宋"/>
          <w:color w:val="auto"/>
          <w:sz w:val="24"/>
          <w:szCs w:val="24"/>
          <w:highlight w:val="none"/>
          <w:lang w:eastAsia="zh-CN"/>
        </w:rPr>
        <w:t>、</w:t>
      </w:r>
      <w:r>
        <w:rPr>
          <w:rFonts w:hint="eastAsia" w:hAnsi="宋体" w:cs="宋体"/>
          <w:color w:val="auto"/>
          <w:sz w:val="24"/>
          <w:szCs w:val="24"/>
          <w:highlight w:val="none"/>
        </w:rPr>
        <w:t>质量保障</w:t>
      </w:r>
      <w:r>
        <w:rPr>
          <w:rFonts w:hint="eastAsia" w:cs="宋体"/>
          <w:color w:val="auto"/>
          <w:sz w:val="24"/>
          <w:szCs w:val="24"/>
          <w:highlight w:val="none"/>
          <w:lang w:eastAsia="zh-CN"/>
        </w:rPr>
        <w:t>、</w:t>
      </w:r>
      <w:r>
        <w:rPr>
          <w:rFonts w:hint="eastAsia" w:hAnsi="宋体" w:cs="仿宋"/>
          <w:color w:val="auto"/>
          <w:sz w:val="24"/>
          <w:szCs w:val="24"/>
          <w:highlight w:val="none"/>
        </w:rPr>
        <w:t>数据的统计与上传</w:t>
      </w:r>
      <w:r>
        <w:rPr>
          <w:rFonts w:hint="eastAsia" w:cs="仿宋"/>
          <w:color w:val="auto"/>
          <w:sz w:val="24"/>
          <w:szCs w:val="24"/>
          <w:highlight w:val="none"/>
          <w:lang w:eastAsia="zh-CN"/>
        </w:rPr>
        <w:t>、</w:t>
      </w:r>
      <w:r>
        <w:rPr>
          <w:rFonts w:hint="eastAsia" w:hAnsi="宋体" w:cs="宋体"/>
          <w:color w:val="auto"/>
          <w:sz w:val="24"/>
          <w:szCs w:val="24"/>
          <w:highlight w:val="none"/>
        </w:rPr>
        <w:t>汇总资料的编制等</w:t>
      </w:r>
      <w:r>
        <w:rPr>
          <w:rFonts w:hint="eastAsia" w:cs="宋体"/>
          <w:color w:val="auto"/>
          <w:sz w:val="24"/>
          <w:szCs w:val="24"/>
          <w:highlight w:val="none"/>
          <w:lang w:eastAsia="zh-CN"/>
        </w:rPr>
        <w:t>）</w:t>
      </w:r>
      <w:r>
        <w:rPr>
          <w:rFonts w:hint="eastAsia" w:cs="宋体"/>
          <w:color w:val="auto"/>
          <w:sz w:val="24"/>
          <w:szCs w:val="24"/>
          <w:highlight w:val="none"/>
          <w:lang w:val="en-US" w:eastAsia="zh-CN"/>
        </w:rPr>
        <w:t>、</w:t>
      </w:r>
      <w:r>
        <w:rPr>
          <w:rFonts w:hint="eastAsia" w:hAnsi="宋体" w:cs="宋体"/>
          <w:color w:val="auto"/>
          <w:sz w:val="24"/>
          <w:szCs w:val="24"/>
          <w:highlight w:val="none"/>
        </w:rPr>
        <w:t>项目保障措施</w:t>
      </w:r>
      <w:r>
        <w:rPr>
          <w:rFonts w:hint="eastAsia" w:cs="宋体"/>
          <w:color w:val="auto"/>
          <w:sz w:val="24"/>
          <w:szCs w:val="24"/>
          <w:highlight w:val="none"/>
          <w:lang w:eastAsia="zh-CN"/>
        </w:rPr>
        <w:t>（包括</w:t>
      </w:r>
      <w:r>
        <w:rPr>
          <w:rFonts w:hint="eastAsia" w:hAnsi="宋体" w:cs="宋体"/>
          <w:color w:val="auto"/>
          <w:sz w:val="24"/>
          <w:szCs w:val="24"/>
          <w:highlight w:val="none"/>
        </w:rPr>
        <w:t>但</w:t>
      </w:r>
      <w:r>
        <w:rPr>
          <w:rFonts w:hint="eastAsia" w:cs="宋体"/>
          <w:color w:val="auto"/>
          <w:sz w:val="24"/>
          <w:szCs w:val="24"/>
          <w:highlight w:val="none"/>
          <w:lang w:eastAsia="zh-CN"/>
        </w:rPr>
        <w:t>不限</w:t>
      </w:r>
      <w:r>
        <w:rPr>
          <w:rFonts w:hint="eastAsia" w:hAnsi="宋体" w:cs="宋体"/>
          <w:color w:val="auto"/>
          <w:sz w:val="24"/>
          <w:szCs w:val="24"/>
          <w:highlight w:val="none"/>
        </w:rPr>
        <w:t>人员安排</w:t>
      </w:r>
      <w:r>
        <w:rPr>
          <w:rFonts w:hint="eastAsia" w:cs="宋体"/>
          <w:color w:val="auto"/>
          <w:sz w:val="24"/>
          <w:szCs w:val="24"/>
          <w:highlight w:val="none"/>
          <w:lang w:eastAsia="zh-CN"/>
        </w:rPr>
        <w:t>、</w:t>
      </w:r>
      <w:r>
        <w:rPr>
          <w:rFonts w:hint="eastAsia" w:hAnsi="宋体" w:cs="宋体"/>
          <w:color w:val="auto"/>
          <w:sz w:val="24"/>
          <w:szCs w:val="24"/>
          <w:highlight w:val="none"/>
        </w:rPr>
        <w:t>安全保障措施、抽样管理制度、应急预案等）</w:t>
      </w:r>
      <w:r>
        <w:rPr>
          <w:rFonts w:hint="eastAsia" w:cs="宋体"/>
          <w:color w:val="auto"/>
          <w:sz w:val="24"/>
          <w:szCs w:val="24"/>
          <w:highlight w:val="none"/>
          <w:lang w:eastAsia="zh-CN"/>
        </w:rPr>
        <w:t>和后续</w:t>
      </w:r>
      <w:r>
        <w:rPr>
          <w:rFonts w:hint="eastAsia" w:hAnsi="宋体" w:cs="宋体"/>
          <w:color w:val="auto"/>
          <w:sz w:val="24"/>
          <w:szCs w:val="24"/>
          <w:highlight w:val="none"/>
        </w:rPr>
        <w:t>服务</w:t>
      </w:r>
      <w:r>
        <w:rPr>
          <w:rFonts w:hint="eastAsia" w:cs="宋体"/>
          <w:color w:val="auto"/>
          <w:sz w:val="24"/>
          <w:szCs w:val="24"/>
          <w:highlight w:val="none"/>
          <w:lang w:eastAsia="zh-CN"/>
        </w:rPr>
        <w:t>保障措施</w:t>
      </w:r>
      <w:r>
        <w:rPr>
          <w:rFonts w:hint="eastAsia"/>
          <w:color w:val="auto"/>
          <w:sz w:val="24"/>
          <w:szCs w:val="24"/>
          <w:highlight w:val="none"/>
        </w:rPr>
        <w:t>（包括但不限于</w:t>
      </w:r>
      <w:r>
        <w:rPr>
          <w:rFonts w:hint="eastAsia" w:hAnsi="宋体" w:cs="仿宋"/>
          <w:color w:val="auto"/>
          <w:sz w:val="24"/>
          <w:szCs w:val="24"/>
          <w:highlight w:val="none"/>
        </w:rPr>
        <w:t>配合异议处理</w:t>
      </w:r>
      <w:r>
        <w:rPr>
          <w:rFonts w:hint="eastAsia" w:hAnsi="宋体" w:cs="宋体"/>
          <w:color w:val="auto"/>
          <w:sz w:val="24"/>
          <w:szCs w:val="24"/>
          <w:highlight w:val="none"/>
        </w:rPr>
        <w:t>、</w:t>
      </w:r>
      <w:r>
        <w:rPr>
          <w:rFonts w:hint="eastAsia" w:hAnsi="宋体" w:cs="仿宋"/>
          <w:color w:val="auto"/>
          <w:sz w:val="24"/>
          <w:szCs w:val="24"/>
          <w:highlight w:val="none"/>
        </w:rPr>
        <w:t>复检的工作内容和安排</w:t>
      </w:r>
      <w:r>
        <w:rPr>
          <w:rFonts w:hint="eastAsia" w:hAnsi="宋体" w:cs="宋体"/>
          <w:color w:val="auto"/>
          <w:sz w:val="24"/>
          <w:szCs w:val="24"/>
          <w:highlight w:val="none"/>
        </w:rPr>
        <w:t>、</w:t>
      </w:r>
      <w:r>
        <w:rPr>
          <w:rFonts w:hint="eastAsia" w:hAnsi="宋体" w:cs="仿宋"/>
          <w:color w:val="auto"/>
          <w:sz w:val="24"/>
          <w:szCs w:val="24"/>
          <w:highlight w:val="none"/>
        </w:rPr>
        <w:t>检验结果的处理</w:t>
      </w:r>
      <w:r>
        <w:rPr>
          <w:rFonts w:hint="eastAsia" w:hAnsi="宋体" w:cs="宋体"/>
          <w:color w:val="auto"/>
          <w:sz w:val="24"/>
          <w:szCs w:val="24"/>
          <w:highlight w:val="none"/>
        </w:rPr>
        <w:t>等</w:t>
      </w:r>
      <w:r>
        <w:rPr>
          <w:rFonts w:hint="eastAsia"/>
          <w:color w:val="auto"/>
          <w:sz w:val="24"/>
          <w:szCs w:val="24"/>
          <w:highlight w:val="none"/>
        </w:rPr>
        <w:t>）</w:t>
      </w:r>
      <w:r>
        <w:rPr>
          <w:rFonts w:hint="eastAsia"/>
          <w:color w:val="auto"/>
          <w:sz w:val="24"/>
          <w:szCs w:val="24"/>
          <w:highlight w:val="none"/>
          <w:lang w:eastAsia="zh-CN"/>
        </w:rPr>
        <w:t>。</w:t>
      </w:r>
    </w:p>
    <w:p>
      <w:pPr>
        <w:pStyle w:val="3"/>
        <w:tabs>
          <w:tab w:val="left" w:pos="1283"/>
        </w:tabs>
        <w:ind w:right="57"/>
      </w:pPr>
      <w:bookmarkStart w:id="46" w:name="第六章__响应文件格式"/>
      <w:bookmarkEnd w:id="46"/>
      <w:r>
        <w:t>第六章</w:t>
      </w:r>
      <w:r>
        <w:tab/>
      </w:r>
      <w:r>
        <w:t>响应文件格式</w:t>
      </w:r>
    </w:p>
    <w:p>
      <w:pPr>
        <w:pStyle w:val="7"/>
        <w:rPr>
          <w:b/>
          <w:sz w:val="32"/>
        </w:rPr>
      </w:pPr>
    </w:p>
    <w:p>
      <w:pPr>
        <w:pStyle w:val="7"/>
        <w:spacing w:before="6"/>
        <w:rPr>
          <w:b/>
          <w:sz w:val="39"/>
        </w:rPr>
      </w:pPr>
    </w:p>
    <w:p>
      <w:pPr>
        <w:pStyle w:val="7"/>
        <w:spacing w:line="364" w:lineRule="auto"/>
        <w:ind w:left="1080" w:right="1137"/>
        <w:jc w:val="both"/>
      </w:pPr>
      <w:r>
        <w:rPr>
          <w:spacing w:val="-10"/>
        </w:rPr>
        <w:t>一、本章所制响应文件格式，除格式中明确将该格式作为实质性要求的，一律不</w:t>
      </w:r>
      <w:r>
        <w:rPr>
          <w:spacing w:val="-11"/>
        </w:rPr>
        <w:t>具有强制性，但是，供应商响应文件相关资料和本章所制格式不一致的，磋商小</w:t>
      </w:r>
      <w:r>
        <w:t>组将在评分时以响应文件不规范予以扣分处理。</w:t>
      </w:r>
    </w:p>
    <w:p>
      <w:pPr>
        <w:pStyle w:val="7"/>
        <w:spacing w:before="2" w:line="364" w:lineRule="auto"/>
        <w:ind w:left="1080" w:right="1137" w:firstLine="480"/>
      </w:pPr>
      <w:r>
        <w:rPr>
          <w:spacing w:val="-10"/>
        </w:rPr>
        <w:t>二、本章所制响应文件格式有关表格中的备注栏，由供应商根据自身响应情</w:t>
      </w:r>
      <w:r>
        <w:t>况作解释性说明，不作为必填项。</w:t>
      </w:r>
    </w:p>
    <w:p>
      <w:pPr>
        <w:pStyle w:val="7"/>
        <w:spacing w:before="1" w:line="364" w:lineRule="auto"/>
        <w:ind w:left="1080" w:right="1137" w:firstLine="480"/>
        <w:jc w:val="both"/>
      </w:pPr>
      <w:r>
        <w:rPr>
          <w:spacing w:val="-10"/>
        </w:rPr>
        <w:t>三、本章所制响应文件格式中需要填写的相关内容事项，可能会与本采购项目无关，在不改变响应文件原义、不影响本项目采购需求的情况下，供应商可以</w:t>
      </w:r>
      <w:r>
        <w:t>不予填写，但应当注明。</w:t>
      </w:r>
    </w:p>
    <w:p>
      <w:pPr>
        <w:pStyle w:val="7"/>
        <w:spacing w:before="2" w:line="364" w:lineRule="auto"/>
        <w:ind w:left="1080" w:right="1137" w:firstLine="480"/>
      </w:pPr>
      <w:r>
        <w:rPr>
          <w:spacing w:val="-10"/>
        </w:rPr>
        <w:t>四、响应文件分资格性响应文件、其他响应文件、电子文档三部分，应分册</w:t>
      </w:r>
      <w:r>
        <w:t>装订密封分。</w:t>
      </w:r>
    </w:p>
    <w:p>
      <w:pPr>
        <w:spacing w:line="364" w:lineRule="auto"/>
        <w:sectPr>
          <w:footerReference r:id="rId8" w:type="default"/>
          <w:pgSz w:w="11910" w:h="16840"/>
          <w:pgMar w:top="1600" w:right="660" w:bottom="1160" w:left="720" w:header="949" w:footer="975" w:gutter="0"/>
          <w:pgBorders>
            <w:top w:val="none" w:sz="0" w:space="0"/>
            <w:left w:val="none" w:sz="0" w:space="0"/>
            <w:bottom w:val="none" w:sz="0" w:space="0"/>
            <w:right w:val="none" w:sz="0" w:space="0"/>
          </w:pgBorders>
          <w:cols w:space="720" w:num="1"/>
        </w:sectPr>
      </w:pPr>
    </w:p>
    <w:p>
      <w:pPr>
        <w:pStyle w:val="6"/>
        <w:tabs>
          <w:tab w:val="left" w:pos="4636"/>
        </w:tabs>
        <w:spacing w:before="123" w:line="364" w:lineRule="auto"/>
        <w:ind w:left="4032" w:right="3477" w:hanging="600"/>
      </w:pPr>
      <w:r>
        <w:t>第一部分</w:t>
      </w:r>
      <w:r>
        <w:tab/>
      </w:r>
      <w:r>
        <w:t>资格性响应文件(格式</w:t>
      </w:r>
      <w:r>
        <w:rPr>
          <w:spacing w:val="-15"/>
        </w:rPr>
        <w:t xml:space="preserve">) </w:t>
      </w:r>
      <w:r>
        <w:t>一、法定代表人授权书</w:t>
      </w:r>
    </w:p>
    <w:p>
      <w:pPr>
        <w:pStyle w:val="7"/>
        <w:spacing w:before="2"/>
        <w:ind w:left="1080"/>
      </w:pPr>
      <w:r>
        <w:rPr>
          <w:rFonts w:hint="eastAsia"/>
        </w:rPr>
        <w:t>四川仁恒工程建设管理有限公司</w:t>
      </w:r>
      <w:r>
        <w:t>：</w:t>
      </w:r>
    </w:p>
    <w:p>
      <w:pPr>
        <w:pStyle w:val="7"/>
        <w:spacing w:before="160" w:line="364" w:lineRule="auto"/>
        <w:ind w:left="1080" w:right="1165" w:firstLine="480"/>
        <w:jc w:val="both"/>
      </w:pPr>
      <w:r>
        <w:t>本授权声明：(</w:t>
      </w:r>
      <w:r>
        <w:rPr>
          <w:u w:val="single"/>
        </w:rPr>
        <w:t>磋商供应商名称</w:t>
      </w:r>
      <w:r>
        <w:t>)(</w:t>
      </w:r>
      <w:r>
        <w:rPr>
          <w:u w:val="single"/>
        </w:rPr>
        <w:t>法定代表人姓名、职务</w:t>
      </w:r>
      <w:r>
        <w:t>)授权(</w:t>
      </w:r>
      <w:r>
        <w:rPr>
          <w:spacing w:val="-4"/>
          <w:u w:val="single"/>
        </w:rPr>
        <w:t>被授权人姓</w:t>
      </w:r>
      <w:r>
        <w:rPr>
          <w:spacing w:val="-220"/>
          <w:u w:val="single"/>
        </w:rPr>
        <w:t>名</w:t>
      </w:r>
      <w:r>
        <w:rPr>
          <w:u w:val="single"/>
        </w:rPr>
        <w:t>、职务、身份证号码</w:t>
      </w:r>
      <w:r>
        <w:t>)为我方参加“（</w:t>
      </w:r>
      <w:r>
        <w:rPr>
          <w:u w:val="single"/>
        </w:rPr>
        <w:t>项目名称</w:t>
      </w:r>
      <w:r>
        <w:t>）”磋商活动的合法代表，以我方名义全权处理该项目有关磋商、签订合同以及执行合同等一切事宜。</w:t>
      </w:r>
    </w:p>
    <w:p>
      <w:pPr>
        <w:pStyle w:val="7"/>
        <w:spacing w:before="2"/>
        <w:ind w:left="1560"/>
      </w:pPr>
      <w:r>
        <w:t>特此声明。</w:t>
      </w:r>
    </w:p>
    <w:p>
      <w:pPr>
        <w:pStyle w:val="7"/>
        <w:spacing w:before="160" w:line="364" w:lineRule="auto"/>
        <w:ind w:left="1080" w:right="4405"/>
      </w:pPr>
      <w:r>
        <w:t>附：法定代表人和被授权人身份证复印件正反面法定代表人签字（签字或加盖个人名章）：</w:t>
      </w:r>
    </w:p>
    <w:p>
      <w:pPr>
        <w:pStyle w:val="7"/>
        <w:spacing w:before="2" w:line="364" w:lineRule="auto"/>
        <w:ind w:left="1080" w:right="5125"/>
      </w:pPr>
      <w:r>
        <w:t>授权代表签字（签字或加盖个人名章）： 磋商供应商名称： (加盖公章)</w:t>
      </w:r>
    </w:p>
    <w:p>
      <w:pPr>
        <w:pStyle w:val="7"/>
        <w:spacing w:before="1"/>
        <w:ind w:left="1080"/>
      </w:pPr>
      <w:r>
        <w:t>磋商日期：</w:t>
      </w:r>
    </w:p>
    <w:p>
      <w:pPr>
        <w:pStyle w:val="7"/>
        <w:spacing w:before="160"/>
        <w:ind w:left="1080"/>
      </w:pPr>
      <w:r>
        <w:t>注：法定代表人不亲自参加磋商，而授权代表参加磋商的适用。</w:t>
      </w:r>
    </w:p>
    <w:p>
      <w:pPr>
        <w:sectPr>
          <w:pgSz w:w="11910" w:h="16840"/>
          <w:pgMar w:top="1600" w:right="660" w:bottom="1160" w:left="720" w:header="949" w:footer="975" w:gutter="0"/>
          <w:pgBorders>
            <w:top w:val="none" w:sz="0" w:space="0"/>
            <w:left w:val="none" w:sz="0" w:space="0"/>
            <w:bottom w:val="none" w:sz="0" w:space="0"/>
            <w:right w:val="none" w:sz="0" w:space="0"/>
          </w:pgBorders>
          <w:cols w:space="720" w:num="1"/>
        </w:sectPr>
      </w:pPr>
    </w:p>
    <w:p>
      <w:pPr>
        <w:tabs>
          <w:tab w:val="left" w:pos="5579"/>
        </w:tabs>
        <w:spacing w:before="123" w:line="364" w:lineRule="auto"/>
        <w:ind w:left="1080" w:right="4082" w:firstLine="2952"/>
        <w:rPr>
          <w:rFonts w:ascii="Times New Roman" w:eastAsia="Times New Roman"/>
          <w:sz w:val="24"/>
        </w:rPr>
      </w:pPr>
      <w:r>
        <w:rPr>
          <w:b/>
          <w:sz w:val="24"/>
        </w:rPr>
        <w:t>二、法定代表人证明</w:t>
      </w:r>
      <w:r>
        <w:rPr>
          <w:b/>
          <w:spacing w:val="-16"/>
          <w:sz w:val="24"/>
        </w:rPr>
        <w:t>书</w:t>
      </w:r>
      <w:r>
        <w:rPr>
          <w:sz w:val="24"/>
        </w:rPr>
        <w:t>单位名称：</w:t>
      </w:r>
      <w:r>
        <w:rPr>
          <w:rFonts w:ascii="Times New Roman" w:eastAsia="Times New Roman"/>
          <w:sz w:val="24"/>
          <w:u w:val="single"/>
        </w:rPr>
        <w:t xml:space="preserve"> </w:t>
      </w:r>
      <w:r>
        <w:rPr>
          <w:rFonts w:ascii="Times New Roman" w:eastAsia="Times New Roman"/>
          <w:sz w:val="24"/>
          <w:u w:val="single"/>
        </w:rPr>
        <w:tab/>
      </w:r>
    </w:p>
    <w:p>
      <w:pPr>
        <w:pStyle w:val="7"/>
        <w:tabs>
          <w:tab w:val="left" w:pos="5579"/>
        </w:tabs>
        <w:spacing w:before="2"/>
        <w:ind w:left="1080"/>
        <w:rPr>
          <w:rFonts w:ascii="Times New Roman" w:eastAsia="Times New Roman"/>
        </w:rPr>
      </w:pPr>
      <w:r>
        <w:t>地 址：</w:t>
      </w:r>
      <w:r>
        <w:rPr>
          <w:rFonts w:ascii="Times New Roman" w:eastAsia="Times New Roman"/>
          <w:u w:val="single"/>
        </w:rPr>
        <w:t xml:space="preserve"> </w:t>
      </w:r>
      <w:r>
        <w:rPr>
          <w:rFonts w:ascii="Times New Roman" w:eastAsia="Times New Roman"/>
          <w:u w:val="single"/>
        </w:rPr>
        <w:tab/>
      </w:r>
    </w:p>
    <w:p>
      <w:pPr>
        <w:pStyle w:val="7"/>
        <w:tabs>
          <w:tab w:val="left" w:pos="2879"/>
          <w:tab w:val="left" w:pos="4679"/>
          <w:tab w:val="left" w:pos="6479"/>
          <w:tab w:val="left" w:pos="8099"/>
        </w:tabs>
        <w:spacing w:before="160"/>
        <w:ind w:left="1080"/>
        <w:jc w:val="both"/>
        <w:rPr>
          <w:rFonts w:ascii="Times New Roman" w:eastAsia="Times New Roman"/>
        </w:rPr>
      </w:pPr>
      <w:r>
        <w:t>姓 名：</w:t>
      </w:r>
      <w:r>
        <w:rPr>
          <w:u w:val="single"/>
        </w:rPr>
        <w:t xml:space="preserve"> </w:t>
      </w:r>
      <w:r>
        <w:rPr>
          <w:u w:val="single"/>
        </w:rPr>
        <w:tab/>
      </w:r>
      <w:r>
        <w:t>性别：</w:t>
      </w:r>
      <w:r>
        <w:rPr>
          <w:u w:val="single"/>
        </w:rPr>
        <w:t xml:space="preserve"> </w:t>
      </w:r>
      <w:r>
        <w:rPr>
          <w:u w:val="single"/>
        </w:rPr>
        <w:tab/>
      </w:r>
      <w:r>
        <w:t>年龄：</w:t>
      </w:r>
      <w:r>
        <w:rPr>
          <w:u w:val="single"/>
        </w:rPr>
        <w:t xml:space="preserve"> </w:t>
      </w:r>
      <w:r>
        <w:rPr>
          <w:u w:val="single"/>
        </w:rPr>
        <w:tab/>
      </w:r>
      <w:r>
        <w:t>职务：</w:t>
      </w:r>
      <w:r>
        <w:rPr>
          <w:rFonts w:ascii="Times New Roman" w:eastAsia="Times New Roman"/>
          <w:u w:val="single"/>
        </w:rPr>
        <w:t xml:space="preserve"> </w:t>
      </w:r>
      <w:r>
        <w:rPr>
          <w:rFonts w:ascii="Times New Roman" w:eastAsia="Times New Roman"/>
          <w:u w:val="single"/>
        </w:rPr>
        <w:tab/>
      </w:r>
    </w:p>
    <w:p>
      <w:pPr>
        <w:pStyle w:val="7"/>
        <w:tabs>
          <w:tab w:val="left" w:pos="2999"/>
        </w:tabs>
        <w:spacing w:before="161" w:line="364" w:lineRule="auto"/>
        <w:ind w:left="1080" w:right="1137" w:firstLine="480"/>
        <w:jc w:val="both"/>
      </w:pPr>
      <w:r>
        <w:rPr>
          <w:spacing w:val="24"/>
        </w:rPr>
        <w:t>本</w:t>
      </w:r>
      <w:r>
        <w:rPr>
          <w:spacing w:val="21"/>
        </w:rPr>
        <w:t>人</w:t>
      </w:r>
      <w:r>
        <w:rPr>
          <w:spacing w:val="24"/>
        </w:rPr>
        <w:t>系</w:t>
      </w:r>
      <w:r>
        <w:t>（</w:t>
      </w:r>
      <w:r>
        <w:rPr>
          <w:u w:val="single"/>
        </w:rPr>
        <w:t xml:space="preserve">  </w:t>
      </w:r>
      <w:r>
        <w:rPr>
          <w:spacing w:val="114"/>
          <w:u w:val="single"/>
        </w:rPr>
        <w:t xml:space="preserve"> </w:t>
      </w:r>
      <w:r>
        <w:rPr>
          <w:spacing w:val="24"/>
          <w:u w:val="single"/>
        </w:rPr>
        <w:t>供</w:t>
      </w:r>
      <w:r>
        <w:rPr>
          <w:spacing w:val="21"/>
          <w:u w:val="single"/>
        </w:rPr>
        <w:t>应</w:t>
      </w:r>
      <w:r>
        <w:rPr>
          <w:spacing w:val="24"/>
          <w:u w:val="single"/>
        </w:rPr>
        <w:t>商名</w:t>
      </w:r>
      <w:r>
        <w:rPr>
          <w:u w:val="single"/>
        </w:rPr>
        <w:t xml:space="preserve">称  </w:t>
      </w:r>
      <w:r>
        <w:rPr>
          <w:spacing w:val="93"/>
          <w:u w:val="single"/>
        </w:rPr>
        <w:t xml:space="preserve"> </w:t>
      </w:r>
      <w:r>
        <w:t>）</w:t>
      </w:r>
      <w:r>
        <w:rPr>
          <w:spacing w:val="-96"/>
        </w:rPr>
        <w:t xml:space="preserve"> </w:t>
      </w:r>
      <w:r>
        <w:rPr>
          <w:spacing w:val="21"/>
        </w:rPr>
        <w:t>的</w:t>
      </w:r>
      <w:r>
        <w:rPr>
          <w:spacing w:val="24"/>
        </w:rPr>
        <w:t>法定代</w:t>
      </w:r>
      <w:r>
        <w:rPr>
          <w:spacing w:val="21"/>
        </w:rPr>
        <w:t>表</w:t>
      </w:r>
      <w:r>
        <w:rPr>
          <w:spacing w:val="24"/>
        </w:rPr>
        <w:t>人。</w:t>
      </w:r>
      <w:r>
        <w:rPr>
          <w:spacing w:val="21"/>
        </w:rPr>
        <w:t>就</w:t>
      </w:r>
      <w:r>
        <w:rPr>
          <w:spacing w:val="24"/>
        </w:rPr>
        <w:t>参加你</w:t>
      </w:r>
      <w:r>
        <w:rPr>
          <w:spacing w:val="21"/>
        </w:rPr>
        <w:t>单</w:t>
      </w:r>
      <w:r>
        <w:rPr>
          <w:spacing w:val="24"/>
        </w:rPr>
        <w:t>位组</w:t>
      </w:r>
      <w:r>
        <w:rPr>
          <w:spacing w:val="21"/>
        </w:rPr>
        <w:t>织</w:t>
      </w:r>
      <w:r>
        <w:t>的</w:t>
      </w:r>
      <w:r>
        <w:rPr>
          <w:u w:val="single"/>
        </w:rPr>
        <w:t>“</w:t>
      </w:r>
      <w:r>
        <w:rPr>
          <w:u w:val="single"/>
        </w:rPr>
        <w:tab/>
      </w:r>
      <w:r>
        <w:rPr>
          <w:u w:val="single"/>
        </w:rPr>
        <w:t xml:space="preserve">项目(       项目编号    </w:t>
      </w:r>
      <w:r>
        <w:rPr>
          <w:spacing w:val="-24"/>
          <w:u w:val="single"/>
        </w:rPr>
        <w:t>)”</w:t>
      </w:r>
      <w:r>
        <w:t>的磋商活动</w:t>
      </w:r>
      <w:r>
        <w:rPr>
          <w:spacing w:val="-46"/>
        </w:rPr>
        <w:t>、</w:t>
      </w:r>
      <w:r>
        <w:t>并参与项目的</w:t>
      </w:r>
      <w:r>
        <w:rPr>
          <w:spacing w:val="-16"/>
        </w:rPr>
        <w:t>磋</w:t>
      </w:r>
      <w:r>
        <w:t>商、签订合同以及执行合同等一切事宜。</w:t>
      </w:r>
    </w:p>
    <w:p>
      <w:pPr>
        <w:pStyle w:val="7"/>
        <w:spacing w:before="1"/>
        <w:ind w:left="1560"/>
      </w:pPr>
      <w:r>
        <w:t>特此证明。</w:t>
      </w:r>
    </w:p>
    <w:p>
      <w:pPr>
        <w:pStyle w:val="7"/>
        <w:spacing w:before="161" w:line="364" w:lineRule="auto"/>
        <w:ind w:left="1080" w:right="5605"/>
      </w:pPr>
      <w:r>
        <w:t>附：法定代表人身份证复印件正反面磋商供应商名称：(加盖公章)</w:t>
      </w:r>
    </w:p>
    <w:p>
      <w:pPr>
        <w:pStyle w:val="7"/>
        <w:spacing w:before="1" w:line="364" w:lineRule="auto"/>
        <w:ind w:left="1080" w:right="5365"/>
      </w:pPr>
      <w:r>
        <w:t>法定代表人（签字或加盖个人名章）： 磋商日期：</w:t>
      </w:r>
    </w:p>
    <w:p>
      <w:pPr>
        <w:spacing w:line="364" w:lineRule="auto"/>
        <w:sectPr>
          <w:pgSz w:w="11910" w:h="16840"/>
          <w:pgMar w:top="1600" w:right="660" w:bottom="1160" w:left="720" w:header="949" w:footer="975" w:gutter="0"/>
          <w:pgBorders>
            <w:top w:val="none" w:sz="0" w:space="0"/>
            <w:left w:val="none" w:sz="0" w:space="0"/>
            <w:bottom w:val="none" w:sz="0" w:space="0"/>
            <w:right w:val="none" w:sz="0" w:space="0"/>
          </w:pgBorders>
          <w:cols w:space="720" w:num="1"/>
        </w:sectPr>
      </w:pPr>
    </w:p>
    <w:p>
      <w:pPr>
        <w:spacing w:before="123" w:line="364" w:lineRule="auto"/>
        <w:ind w:left="1080" w:right="4689" w:firstLine="3552"/>
        <w:rPr>
          <w:sz w:val="24"/>
        </w:rPr>
      </w:pPr>
      <w:r>
        <w:rPr>
          <w:b/>
          <w:sz w:val="24"/>
        </w:rPr>
        <w:t>三、承诺函</w:t>
      </w:r>
      <w:r>
        <w:rPr>
          <w:rFonts w:hint="eastAsia"/>
          <w:sz w:val="24"/>
        </w:rPr>
        <w:t>四川仁恒工程建设管理有限公司</w:t>
      </w:r>
      <w:r>
        <w:rPr>
          <w:sz w:val="24"/>
        </w:rPr>
        <w:t>：</w:t>
      </w:r>
    </w:p>
    <w:p>
      <w:pPr>
        <w:pStyle w:val="7"/>
        <w:spacing w:before="2" w:line="364" w:lineRule="auto"/>
        <w:ind w:left="1080" w:right="1137" w:firstLine="480"/>
      </w:pPr>
      <w:r>
        <w:rPr>
          <w:spacing w:val="-6"/>
        </w:rPr>
        <w:t>我公司作为本次采购项目的磋商供应商，根据采购文件要求，现郑重承诺如</w:t>
      </w:r>
      <w:r>
        <w:t>下：</w:t>
      </w:r>
    </w:p>
    <w:p>
      <w:pPr>
        <w:pStyle w:val="7"/>
        <w:spacing w:before="1" w:line="364" w:lineRule="auto"/>
        <w:ind w:left="1080" w:right="1017"/>
      </w:pPr>
      <w:r>
        <w:rPr>
          <w:spacing w:val="-17"/>
        </w:rPr>
        <w:t xml:space="preserve">一、具备《中华人民共和国政府采购法》第二十二条第一款和本项目规定的条件： </w:t>
      </w:r>
      <w:r>
        <w:t>1.具有独立承担民事责任的能力；</w:t>
      </w:r>
    </w:p>
    <w:p>
      <w:pPr>
        <w:pStyle w:val="16"/>
        <w:numPr>
          <w:ilvl w:val="0"/>
          <w:numId w:val="14"/>
        </w:numPr>
        <w:tabs>
          <w:tab w:val="left" w:pos="1321"/>
        </w:tabs>
        <w:spacing w:before="1"/>
        <w:rPr>
          <w:sz w:val="24"/>
        </w:rPr>
      </w:pPr>
      <w:r>
        <w:rPr>
          <w:sz w:val="24"/>
        </w:rPr>
        <w:t>具有良好的商业信誉和健全的财务会计制度；</w:t>
      </w:r>
    </w:p>
    <w:p>
      <w:pPr>
        <w:pStyle w:val="16"/>
        <w:numPr>
          <w:ilvl w:val="0"/>
          <w:numId w:val="14"/>
        </w:numPr>
        <w:tabs>
          <w:tab w:val="left" w:pos="1321"/>
        </w:tabs>
        <w:spacing w:before="160"/>
        <w:rPr>
          <w:sz w:val="24"/>
        </w:rPr>
      </w:pPr>
      <w:r>
        <w:rPr>
          <w:sz w:val="24"/>
        </w:rPr>
        <w:t>具有履行合同所必需的设备和专业技术能力；</w:t>
      </w:r>
    </w:p>
    <w:p>
      <w:pPr>
        <w:pStyle w:val="16"/>
        <w:numPr>
          <w:ilvl w:val="0"/>
          <w:numId w:val="14"/>
        </w:numPr>
        <w:tabs>
          <w:tab w:val="left" w:pos="1321"/>
        </w:tabs>
        <w:rPr>
          <w:sz w:val="24"/>
        </w:rPr>
      </w:pPr>
      <w:r>
        <w:rPr>
          <w:sz w:val="24"/>
        </w:rPr>
        <w:t>有依法缴纳税收和社会保障资金的良好记录；</w:t>
      </w:r>
    </w:p>
    <w:p>
      <w:pPr>
        <w:pStyle w:val="16"/>
        <w:numPr>
          <w:ilvl w:val="0"/>
          <w:numId w:val="14"/>
        </w:numPr>
        <w:tabs>
          <w:tab w:val="left" w:pos="1321"/>
        </w:tabs>
        <w:spacing w:before="160"/>
        <w:rPr>
          <w:sz w:val="24"/>
        </w:rPr>
      </w:pPr>
      <w:r>
        <w:rPr>
          <w:sz w:val="24"/>
        </w:rPr>
        <w:t>参加政府采购活动前三年内，在经营活动中没有重大违法记录；</w:t>
      </w:r>
    </w:p>
    <w:p>
      <w:pPr>
        <w:pStyle w:val="16"/>
        <w:numPr>
          <w:ilvl w:val="0"/>
          <w:numId w:val="14"/>
        </w:numPr>
        <w:tabs>
          <w:tab w:val="left" w:pos="1321"/>
        </w:tabs>
        <w:rPr>
          <w:sz w:val="24"/>
        </w:rPr>
      </w:pPr>
      <w:r>
        <w:rPr>
          <w:sz w:val="24"/>
        </w:rPr>
        <w:t>法律、行政法规规定的其他条件。</w:t>
      </w:r>
    </w:p>
    <w:p>
      <w:pPr>
        <w:pStyle w:val="7"/>
        <w:spacing w:before="160" w:line="364" w:lineRule="auto"/>
        <w:ind w:left="1080" w:right="1017"/>
      </w:pPr>
      <w:r>
        <w:rPr>
          <w:spacing w:val="-16"/>
        </w:rPr>
        <w:t xml:space="preserve">二、完全接受和满足本项目采购文件中规定的实质性要求，如对采购文件有异议， </w:t>
      </w:r>
      <w:r>
        <w:rPr>
          <w:spacing w:val="-5"/>
        </w:rPr>
        <w:t>已经在磋商截止时间届满前依法进行维权救济，不存在对采购文件有异议的同时又参加磋商以求侥幸成交或者为实现其他非法目的的行为。</w:t>
      </w:r>
    </w:p>
    <w:p>
      <w:pPr>
        <w:pStyle w:val="7"/>
        <w:spacing w:before="2" w:line="364" w:lineRule="auto"/>
        <w:ind w:left="1080" w:right="1045"/>
      </w:pPr>
      <w:r>
        <w:t>三、参加本次招标采购活动，不存在与单位负责人为同一人或者存在直接控股、管理关系的其他供应商参与同一合同项下的政府采购活动的行为；</w:t>
      </w:r>
    </w:p>
    <w:p>
      <w:pPr>
        <w:pStyle w:val="7"/>
        <w:spacing w:before="1" w:line="364" w:lineRule="auto"/>
        <w:ind w:left="1080" w:right="1017"/>
      </w:pPr>
      <w:r>
        <w:rPr>
          <w:spacing w:val="-16"/>
        </w:rPr>
        <w:t xml:space="preserve">四、参加本次招标采购活动，不存在和其他供应商在同一合同项下的采购项目中， </w:t>
      </w:r>
      <w:r>
        <w:t xml:space="preserve">同时委托同一个自然人、同一家庭的人员、同一单位的人员作为代理人的行为； </w:t>
      </w:r>
      <w:r>
        <w:rPr>
          <w:spacing w:val="-9"/>
        </w:rPr>
        <w:t>五、参加本次招标采购活动前本单位未对本次采购项目提供过整体设计、规范编制或者项目管理、监理、检测等服务；</w:t>
      </w:r>
    </w:p>
    <w:p>
      <w:pPr>
        <w:pStyle w:val="7"/>
        <w:spacing w:before="3" w:line="364" w:lineRule="auto"/>
        <w:ind w:left="1080" w:right="1137"/>
      </w:pPr>
      <w:r>
        <w:t>六、如果有《四川省政府采购当事人诚信管理办法》（川财采[2015]33 号）规定的记入诚信档案的失信行为，将在响应文件中全面如实反映；</w:t>
      </w:r>
    </w:p>
    <w:p>
      <w:pPr>
        <w:pStyle w:val="7"/>
        <w:spacing w:before="1" w:line="364" w:lineRule="auto"/>
        <w:ind w:left="1080" w:right="1045"/>
      </w:pPr>
      <w:r>
        <w:t>七、响应文件中提供的能够给予我公司带来优惠、好处的任何材料资料和服务、商务等响应承诺情况都是真实的、有效的、合法的。</w:t>
      </w:r>
    </w:p>
    <w:p>
      <w:pPr>
        <w:pStyle w:val="7"/>
        <w:tabs>
          <w:tab w:val="left" w:pos="3239"/>
        </w:tabs>
        <w:spacing w:before="1" w:line="364" w:lineRule="auto"/>
        <w:ind w:left="1080" w:right="1045"/>
      </w:pPr>
      <w:bookmarkStart w:id="47" w:name="八、我单位________（单位名称）承诺截至磋商截止日未被列入失信被执行人、重"/>
      <w:bookmarkEnd w:id="47"/>
      <w:r>
        <w:t>八、我单位</w:t>
      </w:r>
      <w:r>
        <w:rPr>
          <w:u w:val="single"/>
        </w:rPr>
        <w:t xml:space="preserve"> </w:t>
      </w:r>
      <w:r>
        <w:rPr>
          <w:u w:val="single"/>
        </w:rPr>
        <w:tab/>
      </w:r>
      <w:r>
        <w:rPr>
          <w:u w:val="single"/>
        </w:rPr>
        <w:t>（单位名称）</w:t>
      </w:r>
      <w:r>
        <w:t>承诺截至磋商截止日未被列入失信被执行人</w:t>
      </w:r>
      <w:r>
        <w:rPr>
          <w:spacing w:val="-18"/>
        </w:rPr>
        <w:t>、</w:t>
      </w:r>
      <w:r>
        <w:t>重大税收违法案件当事人名单、政府采购严重违法失信行为记录名单。</w:t>
      </w:r>
    </w:p>
    <w:p>
      <w:pPr>
        <w:pStyle w:val="7"/>
        <w:tabs>
          <w:tab w:val="left" w:pos="3215"/>
          <w:tab w:val="left" w:pos="5822"/>
          <w:tab w:val="left" w:pos="8666"/>
        </w:tabs>
        <w:spacing w:before="1" w:line="364" w:lineRule="auto"/>
        <w:ind w:left="1080" w:right="1137"/>
      </w:pPr>
      <w:bookmarkStart w:id="48" w:name="九、我单位________（单位名称）、________（法定代表人）、____"/>
      <w:bookmarkEnd w:id="48"/>
      <w:r>
        <w:t>九</w:t>
      </w:r>
      <w:r>
        <w:rPr>
          <w:spacing w:val="-12"/>
        </w:rPr>
        <w:t>、</w:t>
      </w:r>
      <w:r>
        <w:t>我单位</w:t>
      </w:r>
      <w:r>
        <w:rPr>
          <w:u w:val="single"/>
        </w:rPr>
        <w:t xml:space="preserve"> </w:t>
      </w:r>
      <w:r>
        <w:rPr>
          <w:u w:val="single"/>
        </w:rPr>
        <w:tab/>
      </w:r>
      <w:r>
        <w:rPr>
          <w:u w:val="single"/>
        </w:rPr>
        <w:t>（单位名称</w:t>
      </w:r>
      <w:r>
        <w:rPr>
          <w:spacing w:val="-12"/>
          <w:u w:val="single"/>
        </w:rPr>
        <w:t>）</w:t>
      </w:r>
      <w:r>
        <w:rPr>
          <w:spacing w:val="-12"/>
        </w:rPr>
        <w:t>、</w:t>
      </w:r>
      <w:r>
        <w:rPr>
          <w:spacing w:val="-12"/>
          <w:u w:val="single"/>
        </w:rPr>
        <w:t xml:space="preserve"> </w:t>
      </w:r>
      <w:r>
        <w:rPr>
          <w:spacing w:val="-12"/>
          <w:u w:val="single"/>
        </w:rPr>
        <w:tab/>
      </w:r>
      <w:r>
        <w:rPr>
          <w:spacing w:val="-3"/>
          <w:u w:val="single"/>
        </w:rPr>
        <w:t>（</w:t>
      </w:r>
      <w:r>
        <w:rPr>
          <w:u w:val="single"/>
        </w:rPr>
        <w:t>法定代表人</w:t>
      </w:r>
      <w:r>
        <w:rPr>
          <w:spacing w:val="-12"/>
          <w:u w:val="single"/>
        </w:rPr>
        <w:t>）</w:t>
      </w:r>
      <w:r>
        <w:rPr>
          <w:spacing w:val="-12"/>
        </w:rPr>
        <w:t>、</w:t>
      </w:r>
      <w:r>
        <w:rPr>
          <w:spacing w:val="-12"/>
          <w:u w:val="single"/>
        </w:rPr>
        <w:t xml:space="preserve"> </w:t>
      </w:r>
      <w:r>
        <w:rPr>
          <w:spacing w:val="-12"/>
          <w:u w:val="single"/>
        </w:rPr>
        <w:tab/>
      </w:r>
      <w:r>
        <w:rPr>
          <w:u w:val="single"/>
        </w:rPr>
        <w:t>（主</w:t>
      </w:r>
      <w:r>
        <w:rPr>
          <w:spacing w:val="-17"/>
          <w:u w:val="single"/>
        </w:rPr>
        <w:t>要</w:t>
      </w:r>
      <w:r>
        <w:rPr>
          <w:spacing w:val="-220"/>
          <w:u w:val="single"/>
        </w:rPr>
        <w:t>负</w:t>
      </w:r>
      <w:r>
        <w:rPr>
          <w:u w:val="single"/>
        </w:rPr>
        <w:t>责人）</w:t>
      </w:r>
      <w:r>
        <w:t>在参加本项目政府采购活动前三年内没有行贿犯罪记录。</w:t>
      </w:r>
    </w:p>
    <w:p>
      <w:pPr>
        <w:spacing w:line="364" w:lineRule="auto"/>
        <w:sectPr>
          <w:pgSz w:w="11910" w:h="16840"/>
          <w:pgMar w:top="1600" w:right="660" w:bottom="1160" w:left="720" w:header="949" w:footer="975" w:gutter="0"/>
          <w:pgBorders>
            <w:top w:val="none" w:sz="0" w:space="0"/>
            <w:left w:val="none" w:sz="0" w:space="0"/>
            <w:bottom w:val="none" w:sz="0" w:space="0"/>
            <w:right w:val="none" w:sz="0" w:space="0"/>
          </w:pgBorders>
          <w:cols w:space="720" w:num="1"/>
        </w:sectPr>
      </w:pPr>
    </w:p>
    <w:p>
      <w:pPr>
        <w:pStyle w:val="7"/>
        <w:spacing w:before="123" w:line="364" w:lineRule="auto"/>
        <w:ind w:left="1080" w:right="1137" w:firstLine="480"/>
        <w:jc w:val="both"/>
      </w:pPr>
      <w:r>
        <w:rPr>
          <w:spacing w:val="-6"/>
        </w:rPr>
        <w:t>十、我单位承诺在本项目中使用的任何产品和服务</w:t>
      </w:r>
      <w:r>
        <w:t>（包括部分使用</w:t>
      </w:r>
      <w:r>
        <w:rPr>
          <w:spacing w:val="-25"/>
        </w:rPr>
        <w:t>）</w:t>
      </w:r>
      <w:r>
        <w:rPr>
          <w:spacing w:val="-14"/>
        </w:rPr>
        <w:t>，不会</w:t>
      </w:r>
      <w:r>
        <w:rPr>
          <w:spacing w:val="-8"/>
        </w:rPr>
        <w:t>产生因第三方提出侵犯其专利权、商标权或其它知识产权而引起的法律和经济纠</w:t>
      </w:r>
      <w:r>
        <w:rPr>
          <w:spacing w:val="-11"/>
        </w:rPr>
        <w:t>纷，如因专利权、商标权或其它知识产权而引起法律和经济纠纷，由我单位承担</w:t>
      </w:r>
      <w:r>
        <w:t>所有相关责任。</w:t>
      </w:r>
    </w:p>
    <w:p>
      <w:pPr>
        <w:pStyle w:val="7"/>
        <w:spacing w:before="3" w:line="364" w:lineRule="auto"/>
        <w:ind w:left="1080" w:right="1137" w:firstLine="480"/>
      </w:pPr>
      <w:r>
        <w:rPr>
          <w:spacing w:val="-6"/>
        </w:rPr>
        <w:t>本公司对上述承诺的内容事项真实性负责。如经查实上述承诺的内容事项存</w:t>
      </w:r>
      <w:r>
        <w:t>在虚假，我公司愿意接受以提供虚假材料谋取成交追究法律责任。</w:t>
      </w:r>
    </w:p>
    <w:p>
      <w:pPr>
        <w:pStyle w:val="7"/>
      </w:pPr>
    </w:p>
    <w:p>
      <w:pPr>
        <w:pStyle w:val="7"/>
        <w:spacing w:before="161"/>
        <w:ind w:left="1080"/>
      </w:pPr>
      <w:r>
        <w:t>磋商供应商名称：(加盖公章)</w:t>
      </w:r>
    </w:p>
    <w:p>
      <w:pPr>
        <w:pStyle w:val="7"/>
        <w:spacing w:before="161" w:line="364" w:lineRule="auto"/>
        <w:ind w:left="1080" w:right="4165"/>
      </w:pPr>
      <w:r>
        <w:t>法定代表人或授权代表（签字或加盖个人名章）： 磋商日期：</w:t>
      </w:r>
    </w:p>
    <w:p>
      <w:pPr>
        <w:pStyle w:val="7"/>
      </w:pPr>
    </w:p>
    <w:p>
      <w:pPr>
        <w:pStyle w:val="7"/>
      </w:pPr>
    </w:p>
    <w:p>
      <w:pPr>
        <w:pStyle w:val="7"/>
        <w:spacing w:before="2"/>
        <w:rPr>
          <w:sz w:val="25"/>
        </w:rPr>
      </w:pPr>
    </w:p>
    <w:p>
      <w:pPr>
        <w:pStyle w:val="6"/>
        <w:spacing w:line="364" w:lineRule="auto"/>
        <w:ind w:right="1099"/>
      </w:pPr>
      <w: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 20000 元。</w:t>
      </w:r>
    </w:p>
    <w:p>
      <w:pPr>
        <w:pStyle w:val="6"/>
        <w:spacing w:before="3"/>
        <w:ind w:left="1185"/>
      </w:pPr>
      <w:r>
        <w:t>2、供应商在参加政府采购活动前，被纳入法院、工商行政管理部门、税务</w:t>
      </w:r>
    </w:p>
    <w:p>
      <w:pPr>
        <w:pStyle w:val="6"/>
        <w:spacing w:before="160" w:line="364" w:lineRule="auto"/>
        <w:ind w:left="1185" w:right="1106"/>
        <w:jc w:val="both"/>
      </w:pPr>
      <w:r>
        <w:t>部门、银行认定的失信名单且在有效期内，或者在前三年政府采购合同履约过程中及其他经营活动履约过程中未依法履约被有关行政部门处罚（处理）的， 本项目不认定其具有良好的商业信誉。</w:t>
      </w:r>
    </w:p>
    <w:p>
      <w:pPr>
        <w:pStyle w:val="6"/>
        <w:spacing w:before="2"/>
        <w:ind w:left="1185"/>
      </w:pPr>
      <w:r>
        <w:t>3、法定代表人与主要负责人为同一人的，需另提供相关事声明，格式自拟。</w:t>
      </w:r>
    </w:p>
    <w:p>
      <w:pPr>
        <w:sectPr>
          <w:pgSz w:w="11910" w:h="16840"/>
          <w:pgMar w:top="1600" w:right="660" w:bottom="1160" w:left="720" w:header="949" w:footer="975" w:gutter="0"/>
          <w:pgBorders>
            <w:top w:val="none" w:sz="0" w:space="0"/>
            <w:left w:val="none" w:sz="0" w:space="0"/>
            <w:bottom w:val="none" w:sz="0" w:space="0"/>
            <w:right w:val="none" w:sz="0" w:space="0"/>
          </w:pgBorders>
          <w:cols w:space="720" w:num="1"/>
        </w:sectPr>
      </w:pPr>
    </w:p>
    <w:p>
      <w:pPr>
        <w:pStyle w:val="6"/>
        <w:spacing w:before="123" w:line="364" w:lineRule="auto"/>
        <w:ind w:left="4032" w:right="1180" w:hanging="2880"/>
      </w:pPr>
      <w:r>
        <w:t>四、供应商对是否存在受到财政部门或有关部门认定的失信行为（有效期内） 以及认定次数的承诺函</w:t>
      </w:r>
    </w:p>
    <w:p>
      <w:pPr>
        <w:pStyle w:val="7"/>
        <w:spacing w:before="2"/>
        <w:ind w:left="1080"/>
      </w:pPr>
      <w:r>
        <w:t>致</w:t>
      </w:r>
      <w:r>
        <w:rPr>
          <w:rFonts w:hint="eastAsia"/>
        </w:rPr>
        <w:t>四川仁恒工程建设管理有限公司</w:t>
      </w:r>
      <w:r>
        <w:t>：</w:t>
      </w:r>
    </w:p>
    <w:p>
      <w:pPr>
        <w:pStyle w:val="7"/>
        <w:tabs>
          <w:tab w:val="left" w:pos="2999"/>
          <w:tab w:val="left" w:pos="5039"/>
          <w:tab w:val="left" w:pos="6119"/>
          <w:tab w:val="left" w:pos="7679"/>
        </w:tabs>
        <w:spacing w:before="160" w:line="364" w:lineRule="auto"/>
        <w:ind w:left="1080" w:right="1165" w:firstLine="480"/>
      </w:pPr>
      <w:r>
        <w:t>本单位</w:t>
      </w:r>
      <w:r>
        <w:rPr>
          <w:u w:val="single"/>
        </w:rPr>
        <w:t xml:space="preserve"> </w:t>
      </w:r>
      <w:r>
        <w:rPr>
          <w:u w:val="single"/>
        </w:rPr>
        <w:tab/>
      </w:r>
      <w:r>
        <w:rPr>
          <w:u w:val="single"/>
        </w:rPr>
        <w:t>(供应商名称)</w:t>
      </w:r>
      <w:r>
        <w:rPr>
          <w:u w:val="single"/>
        </w:rPr>
        <w:tab/>
      </w:r>
      <w:r>
        <w:t>参加</w:t>
      </w:r>
      <w:r>
        <w:rPr>
          <w:u w:val="single"/>
        </w:rPr>
        <w:t xml:space="preserve"> </w:t>
      </w:r>
      <w:r>
        <w:rPr>
          <w:u w:val="single"/>
        </w:rPr>
        <w:tab/>
      </w:r>
      <w:r>
        <w:rPr>
          <w:u w:val="single"/>
        </w:rPr>
        <w:t>(项目名称)</w:t>
      </w:r>
      <w:r>
        <w:rPr>
          <w:u w:val="single"/>
        </w:rPr>
        <w:tab/>
      </w:r>
      <w:r>
        <w:t>的磋商活动，</w:t>
      </w:r>
      <w:r>
        <w:rPr>
          <w:spacing w:val="-18"/>
        </w:rPr>
        <w:t>现</w:t>
      </w:r>
      <w:r>
        <w:t>本单位做出如下承诺：</w:t>
      </w:r>
    </w:p>
    <w:p>
      <w:pPr>
        <w:pStyle w:val="7"/>
        <w:tabs>
          <w:tab w:val="left" w:pos="2879"/>
        </w:tabs>
        <w:spacing w:before="1" w:line="364" w:lineRule="auto"/>
        <w:ind w:left="1080" w:right="1140"/>
      </w:pPr>
      <w:r>
        <w:rPr>
          <w:spacing w:val="4"/>
        </w:rPr>
        <w:t>(</w:t>
      </w:r>
      <w:r>
        <w:t>一</w:t>
      </w:r>
      <w:r>
        <w:rPr>
          <w:spacing w:val="4"/>
        </w:rPr>
        <w:t>)本单</w:t>
      </w:r>
      <w:r>
        <w:t>位</w:t>
      </w:r>
      <w:r>
        <w:rPr>
          <w:spacing w:val="4"/>
        </w:rPr>
        <w:t>在磋商截</w:t>
      </w:r>
      <w:r>
        <w:t>止</w:t>
      </w:r>
      <w:r>
        <w:rPr>
          <w:spacing w:val="4"/>
        </w:rPr>
        <w:t>日前被</w:t>
      </w:r>
      <w:r>
        <w:t>财</w:t>
      </w:r>
      <w:r>
        <w:rPr>
          <w:spacing w:val="4"/>
        </w:rPr>
        <w:t>政部门记</w:t>
      </w:r>
      <w:r>
        <w:t>入</w:t>
      </w:r>
      <w:r>
        <w:rPr>
          <w:spacing w:val="4"/>
        </w:rPr>
        <w:t>诚信档案</w:t>
      </w:r>
      <w:r>
        <w:t>的</w:t>
      </w:r>
      <w:r>
        <w:rPr>
          <w:spacing w:val="4"/>
        </w:rPr>
        <w:t>且在有效</w:t>
      </w:r>
      <w:r>
        <w:t>期</w:t>
      </w:r>
      <w:r>
        <w:rPr>
          <w:spacing w:val="4"/>
        </w:rPr>
        <w:t>内的失</w:t>
      </w:r>
      <w:r>
        <w:t>信行为的有</w:t>
      </w:r>
      <w:r>
        <w:rPr>
          <w:u w:val="single"/>
        </w:rPr>
        <w:t xml:space="preserve"> </w:t>
      </w:r>
      <w:r>
        <w:rPr>
          <w:u w:val="single"/>
        </w:rPr>
        <w:tab/>
      </w:r>
      <w:r>
        <w:t>次。</w:t>
      </w:r>
    </w:p>
    <w:p>
      <w:pPr>
        <w:pStyle w:val="7"/>
        <w:tabs>
          <w:tab w:val="left" w:pos="6479"/>
        </w:tabs>
        <w:spacing w:before="1" w:line="364" w:lineRule="auto"/>
        <w:ind w:left="1080" w:right="1137"/>
      </w:pPr>
      <w:r>
        <w:t>(二)本单位在磋商截止日前被工商部门</w:t>
      </w:r>
      <w:r>
        <w:rPr>
          <w:spacing w:val="-48"/>
        </w:rPr>
        <w:t>、</w:t>
      </w:r>
      <w:r>
        <w:t>税务部门</w:t>
      </w:r>
      <w:r>
        <w:rPr>
          <w:spacing w:val="-46"/>
        </w:rPr>
        <w:t>、</w:t>
      </w:r>
      <w:r>
        <w:t>审判机关及其他有关部门</w:t>
      </w:r>
      <w:r>
        <w:rPr>
          <w:spacing w:val="-17"/>
        </w:rPr>
        <w:t>单</w:t>
      </w:r>
      <w:r>
        <w:t>位认定且处于有效期内的失信行为的有</w:t>
      </w:r>
      <w:r>
        <w:rPr>
          <w:u w:val="single"/>
        </w:rPr>
        <w:t xml:space="preserve"> </w:t>
      </w:r>
      <w:r>
        <w:rPr>
          <w:u w:val="single"/>
        </w:rPr>
        <w:tab/>
      </w:r>
      <w:r>
        <w:t>次。</w:t>
      </w:r>
    </w:p>
    <w:p>
      <w:pPr>
        <w:pStyle w:val="7"/>
        <w:spacing w:before="2"/>
        <w:ind w:left="1560"/>
      </w:pPr>
      <w:r>
        <w:t>如违反以上承诺，本单位愿承担一切法律责任。</w:t>
      </w:r>
    </w:p>
    <w:p>
      <w:pPr>
        <w:pStyle w:val="7"/>
      </w:pPr>
    </w:p>
    <w:p>
      <w:pPr>
        <w:pStyle w:val="7"/>
        <w:rPr>
          <w:sz w:val="25"/>
        </w:rPr>
      </w:pPr>
    </w:p>
    <w:p>
      <w:pPr>
        <w:pStyle w:val="7"/>
        <w:ind w:left="1080"/>
      </w:pPr>
      <w:r>
        <w:t>磋商供应商名称：(加盖公章)</w:t>
      </w:r>
    </w:p>
    <w:p>
      <w:pPr>
        <w:pStyle w:val="7"/>
        <w:spacing w:before="161" w:line="364" w:lineRule="auto"/>
        <w:ind w:left="1080" w:right="4165"/>
      </w:pPr>
      <w:r>
        <w:t>法定代表人或授权代表（签字或加盖个人名章</w:t>
      </w:r>
      <w:r>
        <w:rPr>
          <w:spacing w:val="-10"/>
        </w:rPr>
        <w:t xml:space="preserve">）： </w:t>
      </w:r>
      <w:r>
        <w:t>磋商日期:</w:t>
      </w:r>
    </w:p>
    <w:p>
      <w:pPr>
        <w:pStyle w:val="7"/>
      </w:pPr>
    </w:p>
    <w:p>
      <w:pPr>
        <w:pStyle w:val="7"/>
        <w:spacing w:before="162" w:line="364" w:lineRule="auto"/>
        <w:ind w:left="1080" w:right="1137"/>
      </w:pPr>
      <w:r>
        <w:rPr>
          <w:spacing w:val="-10"/>
        </w:rPr>
        <w:t>注：供应商的失信行为受到行政处罚或司法惩处的，评审时不再对其以价格加成</w:t>
      </w:r>
      <w:r>
        <w:t>进行惩戒。</w:t>
      </w:r>
    </w:p>
    <w:p>
      <w:pPr>
        <w:spacing w:line="364" w:lineRule="auto"/>
        <w:sectPr>
          <w:pgSz w:w="11910" w:h="16840"/>
          <w:pgMar w:top="1600" w:right="660" w:bottom="1160" w:left="720" w:header="949" w:footer="975" w:gutter="0"/>
          <w:pgBorders>
            <w:top w:val="none" w:sz="0" w:space="0"/>
            <w:left w:val="none" w:sz="0" w:space="0"/>
            <w:bottom w:val="none" w:sz="0" w:space="0"/>
            <w:right w:val="none" w:sz="0" w:space="0"/>
          </w:pgBorders>
          <w:cols w:space="720" w:num="1"/>
        </w:sectPr>
      </w:pPr>
    </w:p>
    <w:p>
      <w:pPr>
        <w:pStyle w:val="7"/>
      </w:pPr>
    </w:p>
    <w:p>
      <w:pPr>
        <w:pStyle w:val="7"/>
      </w:pPr>
    </w:p>
    <w:p>
      <w:pPr>
        <w:pStyle w:val="7"/>
        <w:spacing w:before="9"/>
        <w:rPr>
          <w:sz w:val="34"/>
        </w:rPr>
      </w:pPr>
    </w:p>
    <w:p>
      <w:pPr>
        <w:pStyle w:val="7"/>
        <w:ind w:left="1080"/>
      </w:pPr>
      <w:r>
        <w:rPr>
          <w:u w:val="single"/>
        </w:rPr>
        <w:t>(采购代理机构名称)</w:t>
      </w:r>
      <w:r>
        <w:t>：</w:t>
      </w:r>
    </w:p>
    <w:p>
      <w:pPr>
        <w:pStyle w:val="6"/>
        <w:spacing w:before="123" w:line="364" w:lineRule="auto"/>
        <w:ind w:left="1111" w:right="3537" w:hanging="1140"/>
      </w:pPr>
      <w:r>
        <w:rPr>
          <w:b w:val="0"/>
        </w:rPr>
        <w:br w:type="column"/>
      </w:r>
      <w:r>
        <w:t>第二部分 其他响应文件（格式） 一、磋商函</w:t>
      </w:r>
    </w:p>
    <w:p>
      <w:pPr>
        <w:spacing w:line="364" w:lineRule="auto"/>
        <w:sectPr>
          <w:footerReference r:id="rId9" w:type="default"/>
          <w:pgSz w:w="11910" w:h="16840"/>
          <w:pgMar w:top="1600" w:right="660" w:bottom="1160" w:left="720" w:header="949" w:footer="975" w:gutter="0"/>
          <w:pgBorders>
            <w:top w:val="none" w:sz="0" w:space="0"/>
            <w:left w:val="none" w:sz="0" w:space="0"/>
            <w:bottom w:val="none" w:sz="0" w:space="0"/>
            <w:right w:val="none" w:sz="0" w:space="0"/>
          </w:pgBorders>
          <w:pgNumType w:start="40"/>
          <w:cols w:equalWidth="0" w:num="2">
            <w:col w:w="3481" w:space="40"/>
            <w:col w:w="7009"/>
          </w:cols>
        </w:sectPr>
      </w:pPr>
    </w:p>
    <w:p>
      <w:pPr>
        <w:pStyle w:val="7"/>
        <w:tabs>
          <w:tab w:val="left" w:pos="4768"/>
        </w:tabs>
        <w:spacing w:before="160" w:line="364" w:lineRule="auto"/>
        <w:ind w:left="1080" w:right="1137" w:firstLine="480"/>
        <w:jc w:val="both"/>
      </w:pPr>
      <w:r>
        <w:t>我方全面研究</w:t>
      </w:r>
      <w:r>
        <w:rPr>
          <w:spacing w:val="-32"/>
        </w:rPr>
        <w:t>了</w:t>
      </w:r>
      <w:r>
        <w:t>“</w:t>
      </w:r>
      <w:r>
        <w:rPr>
          <w:u w:val="single"/>
        </w:rPr>
        <w:t xml:space="preserve"> </w:t>
      </w:r>
      <w:r>
        <w:rPr>
          <w:u w:val="single"/>
        </w:rPr>
        <w:tab/>
      </w:r>
      <w:r>
        <w:rPr>
          <w:spacing w:val="-32"/>
        </w:rPr>
        <w:t>”</w:t>
      </w:r>
      <w:r>
        <w:t>项目磋商文件</w:t>
      </w:r>
      <w:r>
        <w:rPr>
          <w:u w:val="single"/>
        </w:rPr>
        <w:t xml:space="preserve">(    项目编号   </w:t>
      </w:r>
      <w:r>
        <w:rPr>
          <w:spacing w:val="2"/>
          <w:u w:val="single"/>
        </w:rPr>
        <w:t xml:space="preserve"> </w:t>
      </w:r>
      <w:r>
        <w:rPr>
          <w:spacing w:val="-17"/>
          <w:u w:val="single"/>
        </w:rPr>
        <w:t>)</w:t>
      </w:r>
      <w:r>
        <w:rPr>
          <w:spacing w:val="-17"/>
        </w:rPr>
        <w:t>，</w:t>
      </w:r>
      <w:r>
        <w:t>决</w:t>
      </w:r>
      <w:r>
        <w:rPr>
          <w:spacing w:val="-15"/>
        </w:rPr>
        <w:t>定</w:t>
      </w:r>
      <w:r>
        <w:t>参加贵单位组织的本项目磋商</w:t>
      </w:r>
      <w:r>
        <w:rPr>
          <w:spacing w:val="-48"/>
        </w:rPr>
        <w:t>。</w:t>
      </w:r>
      <w:r>
        <w:t>我方授权</w:t>
      </w:r>
      <w:r>
        <w:rPr>
          <w:spacing w:val="-1"/>
        </w:rPr>
        <w:t xml:space="preserve"> </w:t>
      </w:r>
      <w:r>
        <w:t>(姓名</w:t>
      </w:r>
      <w:r>
        <w:rPr>
          <w:spacing w:val="-46"/>
        </w:rPr>
        <w:t>、</w:t>
      </w:r>
      <w:r>
        <w:t>职务)代表我方</w:t>
      </w:r>
      <w:r>
        <w:rPr>
          <w:u w:val="single"/>
        </w:rPr>
        <w:t xml:space="preserve">   (磋商单</w:t>
      </w:r>
      <w:r>
        <w:rPr>
          <w:spacing w:val="-16"/>
          <w:u w:val="single"/>
        </w:rPr>
        <w:t>位</w:t>
      </w:r>
      <w:r>
        <w:rPr>
          <w:spacing w:val="-220"/>
          <w:u w:val="single"/>
        </w:rPr>
        <w:t>的</w:t>
      </w:r>
      <w:r>
        <w:rPr>
          <w:u w:val="single"/>
        </w:rPr>
        <w:t xml:space="preserve">名称) </w:t>
      </w:r>
      <w:r>
        <w:t>全权处理本项目磋商的有关事宜。</w:t>
      </w:r>
    </w:p>
    <w:p>
      <w:pPr>
        <w:pStyle w:val="7"/>
        <w:spacing w:before="2"/>
        <w:ind w:left="1080"/>
      </w:pPr>
      <w:r>
        <w:t>1、我方自愿按照磋商文件规定的各项要求向采购人提供所需服务。</w:t>
      </w:r>
    </w:p>
    <w:p>
      <w:pPr>
        <w:pStyle w:val="7"/>
        <w:spacing w:before="161" w:line="364" w:lineRule="auto"/>
        <w:ind w:left="1080" w:right="1140"/>
      </w:pPr>
      <w:r>
        <w:t>2、一旦我方成交，我方保证于合同签字生效后将严格履行合同规定的责任和义务。</w:t>
      </w:r>
    </w:p>
    <w:p>
      <w:pPr>
        <w:pStyle w:val="7"/>
        <w:spacing w:before="1" w:line="364" w:lineRule="auto"/>
        <w:ind w:left="1080" w:right="1015"/>
      </w:pPr>
      <w:r>
        <w:rPr>
          <w:rFonts w:hint="eastAsia"/>
          <w:lang w:val="en-US" w:eastAsia="zh-CN"/>
        </w:rPr>
        <w:t>3</w:t>
      </w:r>
      <w:r>
        <w:rPr>
          <w:spacing w:val="-9"/>
        </w:rPr>
        <w:t xml:space="preserve">、我方为本项目提交的资格性响应文件、其他响应文件、正本 </w:t>
      </w:r>
      <w:r>
        <w:t>1</w:t>
      </w:r>
      <w:r>
        <w:rPr>
          <w:spacing w:val="-25"/>
        </w:rPr>
        <w:t xml:space="preserve"> 份，副本 </w:t>
      </w:r>
      <w:r>
        <w:t>2</w:t>
      </w:r>
      <w:r>
        <w:rPr>
          <w:spacing w:val="-26"/>
        </w:rPr>
        <w:t xml:space="preserve"> 份， </w:t>
      </w:r>
      <w:r>
        <w:rPr>
          <w:spacing w:val="-12"/>
        </w:rPr>
        <w:t xml:space="preserve">电子文档 </w:t>
      </w:r>
      <w:r>
        <w:t>U</w:t>
      </w:r>
      <w:r>
        <w:rPr>
          <w:spacing w:val="-30"/>
        </w:rPr>
        <w:t xml:space="preserve"> 盘</w:t>
      </w:r>
      <w:r>
        <w:t>（或光盘）1</w:t>
      </w:r>
      <w:r>
        <w:rPr>
          <w:spacing w:val="-20"/>
        </w:rPr>
        <w:t xml:space="preserve"> 份。</w:t>
      </w:r>
    </w:p>
    <w:p>
      <w:pPr>
        <w:pStyle w:val="7"/>
        <w:spacing w:before="2"/>
        <w:ind w:left="1080"/>
      </w:pPr>
      <w:r>
        <w:rPr>
          <w:rFonts w:hint="eastAsia"/>
          <w:lang w:val="en-US" w:eastAsia="zh-CN"/>
        </w:rPr>
        <w:t>4</w:t>
      </w:r>
      <w:r>
        <w:t xml:space="preserve">、我方承诺，响应文件有效期为递交磋商响应文件截止之日起 </w:t>
      </w:r>
      <w:r>
        <w:rPr>
          <w:u w:val="single"/>
        </w:rPr>
        <w:t>90</w:t>
      </w:r>
      <w:r>
        <w:t xml:space="preserve"> 天。</w:t>
      </w:r>
    </w:p>
    <w:p>
      <w:pPr>
        <w:pStyle w:val="7"/>
        <w:spacing w:before="160" w:line="364" w:lineRule="auto"/>
        <w:ind w:left="1080" w:right="1137"/>
      </w:pPr>
      <w:r>
        <w:rPr>
          <w:rFonts w:hint="eastAsia"/>
          <w:lang w:val="en-US" w:eastAsia="zh-CN"/>
        </w:rPr>
        <w:t>5</w:t>
      </w:r>
      <w:r>
        <w:t>、我方愿意提供贵单位可能另外要求的，与磋商有关的文件资料，并保证我方已提供和将要提供的文件资料是真实、准确的。</w:t>
      </w:r>
    </w:p>
    <w:p>
      <w:pPr>
        <w:pStyle w:val="7"/>
        <w:spacing w:before="1" w:line="364" w:lineRule="auto"/>
        <w:ind w:left="1080" w:right="3805"/>
      </w:pPr>
      <w:r>
        <w:rPr>
          <w:rFonts w:hint="eastAsia"/>
          <w:lang w:val="en-US" w:eastAsia="zh-CN"/>
        </w:rPr>
        <w:t>6</w:t>
      </w:r>
      <w:r>
        <w:t>、我们完全理解贵方不一定要接受最低报价的报价。磋商供应商名称：(加盖公章)</w:t>
      </w:r>
    </w:p>
    <w:p>
      <w:pPr>
        <w:pStyle w:val="7"/>
        <w:spacing w:before="2" w:line="364" w:lineRule="auto"/>
        <w:ind w:left="1080" w:right="4165"/>
      </w:pPr>
      <w:r>
        <w:t>法定代表人或授权代表（签字或加盖个人名章</w:t>
      </w:r>
      <w:r>
        <w:rPr>
          <w:spacing w:val="-10"/>
        </w:rPr>
        <w:t xml:space="preserve">）： </w:t>
      </w:r>
      <w:r>
        <w:t>通讯地址：</w:t>
      </w:r>
    </w:p>
    <w:p>
      <w:pPr>
        <w:pStyle w:val="7"/>
        <w:spacing w:before="1" w:line="364" w:lineRule="auto"/>
        <w:ind w:left="1080" w:right="8245"/>
        <w:jc w:val="both"/>
      </w:pPr>
      <w:r>
        <w:rPr>
          <w:spacing w:val="-4"/>
        </w:rPr>
        <w:t>邮政编码： 联系电话： 磋商日期：</w:t>
      </w:r>
    </w:p>
    <w:p>
      <w:pPr>
        <w:spacing w:line="364" w:lineRule="auto"/>
        <w:jc w:val="both"/>
        <w:sectPr>
          <w:type w:val="continuous"/>
          <w:pgSz w:w="11910" w:h="16840"/>
          <w:pgMar w:top="1500" w:right="660" w:bottom="280" w:left="720" w:header="720" w:footer="720" w:gutter="0"/>
          <w:pgBorders>
            <w:top w:val="none" w:sz="0" w:space="0"/>
            <w:left w:val="none" w:sz="0" w:space="0"/>
            <w:bottom w:val="none" w:sz="0" w:space="0"/>
            <w:right w:val="none" w:sz="0" w:space="0"/>
          </w:pgBorders>
          <w:cols w:space="720" w:num="1"/>
        </w:sectPr>
      </w:pPr>
    </w:p>
    <w:p>
      <w:pPr>
        <w:pStyle w:val="6"/>
        <w:spacing w:before="123"/>
        <w:ind w:left="2664" w:right="2716"/>
        <w:jc w:val="center"/>
      </w:pPr>
      <w:r>
        <w:t>一、供应商基本情况表</w:t>
      </w:r>
    </w:p>
    <w:p>
      <w:pPr>
        <w:pStyle w:val="7"/>
        <w:spacing w:before="2"/>
        <w:rPr>
          <w:b/>
          <w:sz w:val="6"/>
        </w:rPr>
      </w:pPr>
    </w:p>
    <w:tbl>
      <w:tblPr>
        <w:tblStyle w:val="12"/>
        <w:tblW w:w="10215"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81"/>
        <w:gridCol w:w="1338"/>
        <w:gridCol w:w="1141"/>
        <w:gridCol w:w="1229"/>
        <w:gridCol w:w="246"/>
        <w:gridCol w:w="1533"/>
        <w:gridCol w:w="131"/>
        <w:gridCol w:w="1108"/>
        <w:gridCol w:w="14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081" w:type="dxa"/>
          </w:tcPr>
          <w:p>
            <w:pPr>
              <w:pStyle w:val="17"/>
              <w:spacing w:before="82"/>
              <w:ind w:left="298" w:right="292"/>
              <w:jc w:val="center"/>
              <w:rPr>
                <w:sz w:val="24"/>
              </w:rPr>
            </w:pPr>
            <w:r>
              <w:rPr>
                <w:sz w:val="24"/>
              </w:rPr>
              <w:t>供应商名称</w:t>
            </w:r>
          </w:p>
        </w:tc>
        <w:tc>
          <w:tcPr>
            <w:tcW w:w="8134" w:type="dxa"/>
            <w:gridSpan w:val="8"/>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081" w:type="dxa"/>
          </w:tcPr>
          <w:p>
            <w:pPr>
              <w:pStyle w:val="17"/>
              <w:spacing w:before="81"/>
              <w:ind w:left="298" w:right="292"/>
              <w:jc w:val="center"/>
              <w:rPr>
                <w:sz w:val="24"/>
              </w:rPr>
            </w:pPr>
            <w:r>
              <w:rPr>
                <w:sz w:val="24"/>
              </w:rPr>
              <w:t>注册地址</w:t>
            </w:r>
          </w:p>
        </w:tc>
        <w:tc>
          <w:tcPr>
            <w:tcW w:w="3708" w:type="dxa"/>
            <w:gridSpan w:val="3"/>
          </w:tcPr>
          <w:p>
            <w:pPr>
              <w:pStyle w:val="17"/>
              <w:rPr>
                <w:rFonts w:ascii="Times New Roman"/>
                <w:sz w:val="24"/>
              </w:rPr>
            </w:pPr>
          </w:p>
        </w:tc>
        <w:tc>
          <w:tcPr>
            <w:tcW w:w="1779" w:type="dxa"/>
            <w:gridSpan w:val="2"/>
          </w:tcPr>
          <w:p>
            <w:pPr>
              <w:pStyle w:val="17"/>
              <w:spacing w:before="81"/>
              <w:ind w:left="409"/>
              <w:rPr>
                <w:sz w:val="24"/>
              </w:rPr>
            </w:pPr>
            <w:r>
              <w:rPr>
                <w:sz w:val="24"/>
              </w:rPr>
              <w:t>邮政编码</w:t>
            </w:r>
          </w:p>
        </w:tc>
        <w:tc>
          <w:tcPr>
            <w:tcW w:w="2647" w:type="dxa"/>
            <w:gridSpan w:val="3"/>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081" w:type="dxa"/>
            <w:vMerge w:val="restart"/>
          </w:tcPr>
          <w:p>
            <w:pPr>
              <w:pStyle w:val="17"/>
              <w:rPr>
                <w:b/>
                <w:sz w:val="25"/>
              </w:rPr>
            </w:pPr>
          </w:p>
          <w:p>
            <w:pPr>
              <w:pStyle w:val="17"/>
              <w:ind w:left="558"/>
              <w:rPr>
                <w:sz w:val="24"/>
              </w:rPr>
            </w:pPr>
            <w:r>
              <w:rPr>
                <w:sz w:val="24"/>
              </w:rPr>
              <w:t>联系方式</w:t>
            </w:r>
          </w:p>
        </w:tc>
        <w:tc>
          <w:tcPr>
            <w:tcW w:w="1338" w:type="dxa"/>
          </w:tcPr>
          <w:p>
            <w:pPr>
              <w:pStyle w:val="17"/>
              <w:spacing w:before="81"/>
              <w:ind w:left="288" w:right="279"/>
              <w:jc w:val="center"/>
              <w:rPr>
                <w:sz w:val="24"/>
              </w:rPr>
            </w:pPr>
            <w:r>
              <w:rPr>
                <w:sz w:val="24"/>
              </w:rPr>
              <w:t>联系人</w:t>
            </w:r>
          </w:p>
        </w:tc>
        <w:tc>
          <w:tcPr>
            <w:tcW w:w="2370" w:type="dxa"/>
            <w:gridSpan w:val="2"/>
          </w:tcPr>
          <w:p>
            <w:pPr>
              <w:pStyle w:val="17"/>
              <w:rPr>
                <w:rFonts w:ascii="Times New Roman"/>
                <w:sz w:val="24"/>
              </w:rPr>
            </w:pPr>
          </w:p>
        </w:tc>
        <w:tc>
          <w:tcPr>
            <w:tcW w:w="1779" w:type="dxa"/>
            <w:gridSpan w:val="2"/>
          </w:tcPr>
          <w:p>
            <w:pPr>
              <w:pStyle w:val="17"/>
              <w:spacing w:before="81"/>
              <w:ind w:left="629" w:right="619"/>
              <w:jc w:val="center"/>
              <w:rPr>
                <w:sz w:val="24"/>
              </w:rPr>
            </w:pPr>
            <w:r>
              <w:rPr>
                <w:sz w:val="24"/>
              </w:rPr>
              <w:t>电话</w:t>
            </w:r>
          </w:p>
        </w:tc>
        <w:tc>
          <w:tcPr>
            <w:tcW w:w="2647" w:type="dxa"/>
            <w:gridSpan w:val="3"/>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081" w:type="dxa"/>
            <w:vMerge w:val="continue"/>
            <w:tcBorders>
              <w:top w:val="nil"/>
            </w:tcBorders>
          </w:tcPr>
          <w:p>
            <w:pPr>
              <w:rPr>
                <w:sz w:val="2"/>
                <w:szCs w:val="2"/>
              </w:rPr>
            </w:pPr>
          </w:p>
        </w:tc>
        <w:tc>
          <w:tcPr>
            <w:tcW w:w="1338" w:type="dxa"/>
          </w:tcPr>
          <w:p>
            <w:pPr>
              <w:pStyle w:val="17"/>
              <w:spacing w:before="80"/>
              <w:ind w:left="288" w:right="279"/>
              <w:jc w:val="center"/>
              <w:rPr>
                <w:sz w:val="24"/>
              </w:rPr>
            </w:pPr>
            <w:r>
              <w:rPr>
                <w:sz w:val="24"/>
              </w:rPr>
              <w:t>传真</w:t>
            </w:r>
          </w:p>
        </w:tc>
        <w:tc>
          <w:tcPr>
            <w:tcW w:w="2370" w:type="dxa"/>
            <w:gridSpan w:val="2"/>
          </w:tcPr>
          <w:p>
            <w:pPr>
              <w:pStyle w:val="17"/>
              <w:rPr>
                <w:rFonts w:ascii="Times New Roman"/>
                <w:sz w:val="24"/>
              </w:rPr>
            </w:pPr>
          </w:p>
        </w:tc>
        <w:tc>
          <w:tcPr>
            <w:tcW w:w="1779" w:type="dxa"/>
            <w:gridSpan w:val="2"/>
          </w:tcPr>
          <w:p>
            <w:pPr>
              <w:pStyle w:val="17"/>
              <w:spacing w:before="80"/>
              <w:ind w:left="629" w:right="619"/>
              <w:jc w:val="center"/>
              <w:rPr>
                <w:sz w:val="24"/>
              </w:rPr>
            </w:pPr>
            <w:r>
              <w:rPr>
                <w:sz w:val="24"/>
              </w:rPr>
              <w:t>网址</w:t>
            </w:r>
          </w:p>
        </w:tc>
        <w:tc>
          <w:tcPr>
            <w:tcW w:w="2647" w:type="dxa"/>
            <w:gridSpan w:val="3"/>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2081" w:type="dxa"/>
          </w:tcPr>
          <w:p>
            <w:pPr>
              <w:pStyle w:val="17"/>
              <w:spacing w:before="80"/>
              <w:ind w:left="298" w:right="292"/>
              <w:jc w:val="center"/>
              <w:rPr>
                <w:sz w:val="24"/>
              </w:rPr>
            </w:pPr>
            <w:r>
              <w:rPr>
                <w:sz w:val="24"/>
              </w:rPr>
              <w:t>组织结构</w:t>
            </w:r>
          </w:p>
        </w:tc>
        <w:tc>
          <w:tcPr>
            <w:tcW w:w="8134" w:type="dxa"/>
            <w:gridSpan w:val="8"/>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2081" w:type="dxa"/>
          </w:tcPr>
          <w:p>
            <w:pPr>
              <w:pStyle w:val="17"/>
              <w:spacing w:before="8"/>
              <w:rPr>
                <w:b/>
                <w:sz w:val="20"/>
              </w:rPr>
            </w:pPr>
          </w:p>
          <w:p>
            <w:pPr>
              <w:pStyle w:val="17"/>
              <w:ind w:left="298" w:right="292"/>
              <w:jc w:val="center"/>
              <w:rPr>
                <w:sz w:val="24"/>
              </w:rPr>
            </w:pPr>
            <w:r>
              <w:rPr>
                <w:sz w:val="24"/>
              </w:rPr>
              <w:t>法定代表人</w:t>
            </w:r>
          </w:p>
        </w:tc>
        <w:tc>
          <w:tcPr>
            <w:tcW w:w="1338" w:type="dxa"/>
          </w:tcPr>
          <w:p>
            <w:pPr>
              <w:pStyle w:val="17"/>
              <w:spacing w:before="8"/>
              <w:rPr>
                <w:b/>
                <w:sz w:val="20"/>
              </w:rPr>
            </w:pPr>
          </w:p>
          <w:p>
            <w:pPr>
              <w:pStyle w:val="17"/>
              <w:ind w:left="288" w:right="279"/>
              <w:jc w:val="center"/>
              <w:rPr>
                <w:sz w:val="24"/>
              </w:rPr>
            </w:pPr>
            <w:r>
              <w:rPr>
                <w:sz w:val="24"/>
              </w:rPr>
              <w:t>姓名</w:t>
            </w:r>
          </w:p>
        </w:tc>
        <w:tc>
          <w:tcPr>
            <w:tcW w:w="1141" w:type="dxa"/>
          </w:tcPr>
          <w:p>
            <w:pPr>
              <w:pStyle w:val="17"/>
              <w:rPr>
                <w:rFonts w:ascii="Times New Roman"/>
                <w:sz w:val="24"/>
              </w:rPr>
            </w:pPr>
          </w:p>
        </w:tc>
        <w:tc>
          <w:tcPr>
            <w:tcW w:w="1475" w:type="dxa"/>
            <w:gridSpan w:val="2"/>
          </w:tcPr>
          <w:p>
            <w:pPr>
              <w:pStyle w:val="17"/>
              <w:spacing w:before="8"/>
              <w:rPr>
                <w:b/>
                <w:sz w:val="20"/>
              </w:rPr>
            </w:pPr>
          </w:p>
          <w:p>
            <w:pPr>
              <w:pStyle w:val="17"/>
              <w:ind w:left="256"/>
              <w:rPr>
                <w:sz w:val="24"/>
              </w:rPr>
            </w:pPr>
            <w:r>
              <w:rPr>
                <w:sz w:val="24"/>
              </w:rPr>
              <w:t>技术职称</w:t>
            </w:r>
          </w:p>
        </w:tc>
        <w:tc>
          <w:tcPr>
            <w:tcW w:w="1533" w:type="dxa"/>
          </w:tcPr>
          <w:p>
            <w:pPr>
              <w:pStyle w:val="17"/>
              <w:rPr>
                <w:rFonts w:ascii="Times New Roman"/>
                <w:sz w:val="24"/>
              </w:rPr>
            </w:pPr>
          </w:p>
        </w:tc>
        <w:tc>
          <w:tcPr>
            <w:tcW w:w="1239" w:type="dxa"/>
            <w:gridSpan w:val="2"/>
          </w:tcPr>
          <w:p>
            <w:pPr>
              <w:pStyle w:val="17"/>
              <w:spacing w:before="8"/>
              <w:rPr>
                <w:b/>
                <w:sz w:val="20"/>
              </w:rPr>
            </w:pPr>
          </w:p>
          <w:p>
            <w:pPr>
              <w:pStyle w:val="17"/>
              <w:ind w:left="377"/>
              <w:rPr>
                <w:sz w:val="24"/>
              </w:rPr>
            </w:pPr>
            <w:r>
              <w:rPr>
                <w:sz w:val="24"/>
              </w:rPr>
              <w:t>电话</w:t>
            </w:r>
          </w:p>
        </w:tc>
        <w:tc>
          <w:tcPr>
            <w:tcW w:w="1408"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2081" w:type="dxa"/>
          </w:tcPr>
          <w:p>
            <w:pPr>
              <w:pStyle w:val="17"/>
              <w:spacing w:before="81"/>
              <w:ind w:left="298" w:right="292"/>
              <w:jc w:val="center"/>
              <w:rPr>
                <w:sz w:val="24"/>
              </w:rPr>
            </w:pPr>
            <w:r>
              <w:rPr>
                <w:sz w:val="24"/>
              </w:rPr>
              <w:t>主要负责人</w:t>
            </w:r>
          </w:p>
        </w:tc>
        <w:tc>
          <w:tcPr>
            <w:tcW w:w="1338" w:type="dxa"/>
          </w:tcPr>
          <w:p>
            <w:pPr>
              <w:pStyle w:val="17"/>
              <w:spacing w:before="81"/>
              <w:ind w:left="288" w:right="279"/>
              <w:jc w:val="center"/>
              <w:rPr>
                <w:sz w:val="24"/>
              </w:rPr>
            </w:pPr>
            <w:r>
              <w:rPr>
                <w:sz w:val="24"/>
              </w:rPr>
              <w:t>姓名</w:t>
            </w:r>
          </w:p>
        </w:tc>
        <w:tc>
          <w:tcPr>
            <w:tcW w:w="1141" w:type="dxa"/>
          </w:tcPr>
          <w:p>
            <w:pPr>
              <w:pStyle w:val="17"/>
              <w:rPr>
                <w:rFonts w:ascii="Times New Roman"/>
                <w:sz w:val="24"/>
              </w:rPr>
            </w:pPr>
          </w:p>
        </w:tc>
        <w:tc>
          <w:tcPr>
            <w:tcW w:w="1475" w:type="dxa"/>
            <w:gridSpan w:val="2"/>
          </w:tcPr>
          <w:p>
            <w:pPr>
              <w:pStyle w:val="17"/>
              <w:spacing w:before="81"/>
              <w:ind w:left="256"/>
              <w:rPr>
                <w:sz w:val="24"/>
              </w:rPr>
            </w:pPr>
            <w:r>
              <w:rPr>
                <w:sz w:val="24"/>
              </w:rPr>
              <w:t>技术职称</w:t>
            </w:r>
          </w:p>
        </w:tc>
        <w:tc>
          <w:tcPr>
            <w:tcW w:w="1533" w:type="dxa"/>
          </w:tcPr>
          <w:p>
            <w:pPr>
              <w:pStyle w:val="17"/>
              <w:rPr>
                <w:rFonts w:ascii="Times New Roman"/>
                <w:sz w:val="24"/>
              </w:rPr>
            </w:pPr>
          </w:p>
        </w:tc>
        <w:tc>
          <w:tcPr>
            <w:tcW w:w="1239" w:type="dxa"/>
            <w:gridSpan w:val="2"/>
          </w:tcPr>
          <w:p>
            <w:pPr>
              <w:pStyle w:val="17"/>
              <w:spacing w:before="81"/>
              <w:ind w:left="377"/>
              <w:rPr>
                <w:sz w:val="24"/>
              </w:rPr>
            </w:pPr>
            <w:r>
              <w:rPr>
                <w:sz w:val="24"/>
              </w:rPr>
              <w:t>电话</w:t>
            </w:r>
          </w:p>
        </w:tc>
        <w:tc>
          <w:tcPr>
            <w:tcW w:w="1408"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081" w:type="dxa"/>
          </w:tcPr>
          <w:p>
            <w:pPr>
              <w:pStyle w:val="17"/>
              <w:spacing w:before="80"/>
              <w:ind w:left="298" w:right="292"/>
              <w:jc w:val="center"/>
              <w:rPr>
                <w:sz w:val="24"/>
              </w:rPr>
            </w:pPr>
            <w:r>
              <w:rPr>
                <w:sz w:val="24"/>
              </w:rPr>
              <w:t>成立时间</w:t>
            </w:r>
          </w:p>
        </w:tc>
        <w:tc>
          <w:tcPr>
            <w:tcW w:w="2479" w:type="dxa"/>
            <w:gridSpan w:val="2"/>
          </w:tcPr>
          <w:p>
            <w:pPr>
              <w:pStyle w:val="17"/>
              <w:rPr>
                <w:rFonts w:ascii="Times New Roman"/>
                <w:sz w:val="24"/>
              </w:rPr>
            </w:pPr>
          </w:p>
        </w:tc>
        <w:tc>
          <w:tcPr>
            <w:tcW w:w="5655" w:type="dxa"/>
            <w:gridSpan w:val="6"/>
          </w:tcPr>
          <w:p>
            <w:pPr>
              <w:pStyle w:val="17"/>
              <w:spacing w:before="80"/>
              <w:ind w:left="107"/>
              <w:rPr>
                <w:sz w:val="24"/>
              </w:rPr>
            </w:pPr>
            <w:r>
              <w:rPr>
                <w:sz w:val="24"/>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2081" w:type="dxa"/>
          </w:tcPr>
          <w:p>
            <w:pPr>
              <w:pStyle w:val="17"/>
              <w:spacing w:before="157"/>
              <w:ind w:left="298" w:right="292"/>
              <w:jc w:val="center"/>
              <w:rPr>
                <w:sz w:val="24"/>
              </w:rPr>
            </w:pPr>
            <w:r>
              <w:rPr>
                <w:sz w:val="24"/>
              </w:rPr>
              <w:t>企业资质等级</w:t>
            </w:r>
          </w:p>
        </w:tc>
        <w:tc>
          <w:tcPr>
            <w:tcW w:w="2479" w:type="dxa"/>
            <w:gridSpan w:val="2"/>
          </w:tcPr>
          <w:p>
            <w:pPr>
              <w:pStyle w:val="17"/>
              <w:rPr>
                <w:rFonts w:ascii="Times New Roman"/>
                <w:sz w:val="24"/>
              </w:rPr>
            </w:pPr>
          </w:p>
        </w:tc>
        <w:tc>
          <w:tcPr>
            <w:tcW w:w="1229" w:type="dxa"/>
            <w:vMerge w:val="restart"/>
          </w:tcPr>
          <w:p>
            <w:pPr>
              <w:pStyle w:val="17"/>
              <w:rPr>
                <w:b/>
                <w:sz w:val="24"/>
              </w:rPr>
            </w:pPr>
          </w:p>
          <w:p>
            <w:pPr>
              <w:pStyle w:val="17"/>
              <w:rPr>
                <w:b/>
                <w:sz w:val="24"/>
              </w:rPr>
            </w:pPr>
          </w:p>
          <w:p>
            <w:pPr>
              <w:pStyle w:val="17"/>
              <w:rPr>
                <w:b/>
                <w:sz w:val="24"/>
              </w:rPr>
            </w:pPr>
          </w:p>
          <w:p>
            <w:pPr>
              <w:pStyle w:val="17"/>
              <w:spacing w:before="6"/>
              <w:rPr>
                <w:b/>
                <w:sz w:val="31"/>
              </w:rPr>
            </w:pPr>
          </w:p>
          <w:p>
            <w:pPr>
              <w:pStyle w:val="17"/>
              <w:ind w:left="373"/>
              <w:rPr>
                <w:sz w:val="24"/>
              </w:rPr>
            </w:pPr>
            <w:r>
              <w:rPr>
                <w:sz w:val="24"/>
              </w:rPr>
              <w:t>其中</w:t>
            </w:r>
          </w:p>
        </w:tc>
        <w:tc>
          <w:tcPr>
            <w:tcW w:w="1910" w:type="dxa"/>
            <w:gridSpan w:val="3"/>
          </w:tcPr>
          <w:p>
            <w:pPr>
              <w:pStyle w:val="17"/>
              <w:spacing w:before="157"/>
              <w:ind w:left="474"/>
              <w:rPr>
                <w:sz w:val="24"/>
              </w:rPr>
            </w:pPr>
            <w:r>
              <w:rPr>
                <w:sz w:val="24"/>
              </w:rPr>
              <w:t>项目经理</w:t>
            </w:r>
          </w:p>
        </w:tc>
        <w:tc>
          <w:tcPr>
            <w:tcW w:w="2516" w:type="dxa"/>
            <w:gridSpan w:val="2"/>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2081" w:type="dxa"/>
          </w:tcPr>
          <w:p>
            <w:pPr>
              <w:pStyle w:val="17"/>
              <w:spacing w:before="144"/>
              <w:ind w:left="298" w:right="292"/>
              <w:jc w:val="center"/>
              <w:rPr>
                <w:sz w:val="24"/>
              </w:rPr>
            </w:pPr>
            <w:r>
              <w:rPr>
                <w:sz w:val="24"/>
              </w:rPr>
              <w:t>营业执照号</w:t>
            </w:r>
          </w:p>
        </w:tc>
        <w:tc>
          <w:tcPr>
            <w:tcW w:w="2479" w:type="dxa"/>
            <w:gridSpan w:val="2"/>
          </w:tcPr>
          <w:p>
            <w:pPr>
              <w:pStyle w:val="17"/>
              <w:rPr>
                <w:rFonts w:ascii="Times New Roman"/>
                <w:sz w:val="24"/>
              </w:rPr>
            </w:pPr>
          </w:p>
        </w:tc>
        <w:tc>
          <w:tcPr>
            <w:tcW w:w="1229" w:type="dxa"/>
            <w:vMerge w:val="continue"/>
            <w:tcBorders>
              <w:top w:val="nil"/>
            </w:tcBorders>
          </w:tcPr>
          <w:p>
            <w:pPr>
              <w:rPr>
                <w:sz w:val="2"/>
                <w:szCs w:val="2"/>
              </w:rPr>
            </w:pPr>
          </w:p>
        </w:tc>
        <w:tc>
          <w:tcPr>
            <w:tcW w:w="1910" w:type="dxa"/>
            <w:gridSpan w:val="3"/>
          </w:tcPr>
          <w:p>
            <w:pPr>
              <w:pStyle w:val="17"/>
              <w:spacing w:before="144"/>
              <w:ind w:left="234"/>
              <w:rPr>
                <w:sz w:val="24"/>
              </w:rPr>
            </w:pPr>
            <w:r>
              <w:rPr>
                <w:sz w:val="24"/>
              </w:rPr>
              <w:t>高级职称人员</w:t>
            </w:r>
          </w:p>
        </w:tc>
        <w:tc>
          <w:tcPr>
            <w:tcW w:w="2516" w:type="dxa"/>
            <w:gridSpan w:val="2"/>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2081" w:type="dxa"/>
          </w:tcPr>
          <w:p>
            <w:pPr>
              <w:pStyle w:val="17"/>
              <w:spacing w:before="154"/>
              <w:ind w:left="298" w:right="292"/>
              <w:jc w:val="center"/>
              <w:rPr>
                <w:sz w:val="24"/>
              </w:rPr>
            </w:pPr>
            <w:r>
              <w:rPr>
                <w:sz w:val="24"/>
              </w:rPr>
              <w:t>注册资金</w:t>
            </w:r>
          </w:p>
        </w:tc>
        <w:tc>
          <w:tcPr>
            <w:tcW w:w="2479" w:type="dxa"/>
            <w:gridSpan w:val="2"/>
          </w:tcPr>
          <w:p>
            <w:pPr>
              <w:pStyle w:val="17"/>
              <w:rPr>
                <w:rFonts w:ascii="Times New Roman"/>
                <w:sz w:val="24"/>
              </w:rPr>
            </w:pPr>
          </w:p>
        </w:tc>
        <w:tc>
          <w:tcPr>
            <w:tcW w:w="1229" w:type="dxa"/>
            <w:vMerge w:val="continue"/>
            <w:tcBorders>
              <w:top w:val="nil"/>
            </w:tcBorders>
          </w:tcPr>
          <w:p>
            <w:pPr>
              <w:rPr>
                <w:sz w:val="2"/>
                <w:szCs w:val="2"/>
              </w:rPr>
            </w:pPr>
          </w:p>
        </w:tc>
        <w:tc>
          <w:tcPr>
            <w:tcW w:w="1910" w:type="dxa"/>
            <w:gridSpan w:val="3"/>
          </w:tcPr>
          <w:p>
            <w:pPr>
              <w:pStyle w:val="17"/>
              <w:spacing w:before="154"/>
              <w:ind w:left="234"/>
              <w:rPr>
                <w:sz w:val="24"/>
              </w:rPr>
            </w:pPr>
            <w:r>
              <w:rPr>
                <w:sz w:val="24"/>
              </w:rPr>
              <w:t>中级职称人员</w:t>
            </w:r>
          </w:p>
        </w:tc>
        <w:tc>
          <w:tcPr>
            <w:tcW w:w="2516" w:type="dxa"/>
            <w:gridSpan w:val="2"/>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081" w:type="dxa"/>
          </w:tcPr>
          <w:p>
            <w:pPr>
              <w:pStyle w:val="17"/>
              <w:spacing w:before="156"/>
              <w:ind w:left="298" w:right="292"/>
              <w:jc w:val="center"/>
              <w:rPr>
                <w:sz w:val="24"/>
              </w:rPr>
            </w:pPr>
            <w:r>
              <w:rPr>
                <w:sz w:val="24"/>
              </w:rPr>
              <w:t>开户银行</w:t>
            </w:r>
          </w:p>
        </w:tc>
        <w:tc>
          <w:tcPr>
            <w:tcW w:w="2479" w:type="dxa"/>
            <w:gridSpan w:val="2"/>
          </w:tcPr>
          <w:p>
            <w:pPr>
              <w:pStyle w:val="17"/>
              <w:rPr>
                <w:rFonts w:ascii="Times New Roman"/>
                <w:sz w:val="24"/>
              </w:rPr>
            </w:pPr>
          </w:p>
        </w:tc>
        <w:tc>
          <w:tcPr>
            <w:tcW w:w="1229" w:type="dxa"/>
            <w:vMerge w:val="continue"/>
            <w:tcBorders>
              <w:top w:val="nil"/>
            </w:tcBorders>
          </w:tcPr>
          <w:p>
            <w:pPr>
              <w:rPr>
                <w:sz w:val="2"/>
                <w:szCs w:val="2"/>
              </w:rPr>
            </w:pPr>
          </w:p>
        </w:tc>
        <w:tc>
          <w:tcPr>
            <w:tcW w:w="1910" w:type="dxa"/>
            <w:gridSpan w:val="3"/>
          </w:tcPr>
          <w:p>
            <w:pPr>
              <w:pStyle w:val="17"/>
              <w:spacing w:before="156"/>
              <w:ind w:left="234"/>
              <w:rPr>
                <w:sz w:val="24"/>
              </w:rPr>
            </w:pPr>
            <w:r>
              <w:rPr>
                <w:sz w:val="24"/>
              </w:rPr>
              <w:t>初级职称人员</w:t>
            </w:r>
          </w:p>
        </w:tc>
        <w:tc>
          <w:tcPr>
            <w:tcW w:w="2516" w:type="dxa"/>
            <w:gridSpan w:val="2"/>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2081" w:type="dxa"/>
          </w:tcPr>
          <w:p>
            <w:pPr>
              <w:pStyle w:val="17"/>
              <w:spacing w:before="81"/>
              <w:ind w:left="298" w:right="292"/>
              <w:jc w:val="center"/>
              <w:rPr>
                <w:sz w:val="24"/>
              </w:rPr>
            </w:pPr>
            <w:r>
              <w:rPr>
                <w:sz w:val="24"/>
              </w:rPr>
              <w:t>账号</w:t>
            </w:r>
          </w:p>
        </w:tc>
        <w:tc>
          <w:tcPr>
            <w:tcW w:w="2479" w:type="dxa"/>
            <w:gridSpan w:val="2"/>
          </w:tcPr>
          <w:p>
            <w:pPr>
              <w:pStyle w:val="17"/>
              <w:rPr>
                <w:rFonts w:ascii="Times New Roman"/>
                <w:sz w:val="24"/>
              </w:rPr>
            </w:pPr>
          </w:p>
        </w:tc>
        <w:tc>
          <w:tcPr>
            <w:tcW w:w="1229" w:type="dxa"/>
            <w:vMerge w:val="continue"/>
            <w:tcBorders>
              <w:top w:val="nil"/>
            </w:tcBorders>
          </w:tcPr>
          <w:p>
            <w:pPr>
              <w:rPr>
                <w:sz w:val="2"/>
                <w:szCs w:val="2"/>
              </w:rPr>
            </w:pPr>
          </w:p>
        </w:tc>
        <w:tc>
          <w:tcPr>
            <w:tcW w:w="1910" w:type="dxa"/>
            <w:gridSpan w:val="3"/>
          </w:tcPr>
          <w:p>
            <w:pPr>
              <w:pStyle w:val="17"/>
              <w:spacing w:before="81"/>
              <w:ind w:left="694" w:right="685"/>
              <w:jc w:val="center"/>
              <w:rPr>
                <w:sz w:val="24"/>
              </w:rPr>
            </w:pPr>
            <w:r>
              <w:rPr>
                <w:sz w:val="24"/>
              </w:rPr>
              <w:t>技工</w:t>
            </w:r>
          </w:p>
        </w:tc>
        <w:tc>
          <w:tcPr>
            <w:tcW w:w="2516" w:type="dxa"/>
            <w:gridSpan w:val="2"/>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2" w:hRule="atLeast"/>
        </w:trPr>
        <w:tc>
          <w:tcPr>
            <w:tcW w:w="2081" w:type="dxa"/>
          </w:tcPr>
          <w:p>
            <w:pPr>
              <w:pStyle w:val="17"/>
              <w:rPr>
                <w:b/>
                <w:sz w:val="24"/>
              </w:rPr>
            </w:pPr>
          </w:p>
          <w:p>
            <w:pPr>
              <w:pStyle w:val="17"/>
              <w:rPr>
                <w:b/>
                <w:sz w:val="24"/>
              </w:rPr>
            </w:pPr>
          </w:p>
          <w:p>
            <w:pPr>
              <w:pStyle w:val="17"/>
              <w:spacing w:before="11"/>
              <w:rPr>
                <w:b/>
                <w:sz w:val="34"/>
              </w:rPr>
            </w:pPr>
          </w:p>
          <w:p>
            <w:pPr>
              <w:pStyle w:val="17"/>
              <w:ind w:left="298" w:right="292"/>
              <w:jc w:val="center"/>
              <w:rPr>
                <w:sz w:val="24"/>
              </w:rPr>
            </w:pPr>
            <w:r>
              <w:rPr>
                <w:sz w:val="24"/>
              </w:rPr>
              <w:t>经营范围</w:t>
            </w:r>
          </w:p>
        </w:tc>
        <w:tc>
          <w:tcPr>
            <w:tcW w:w="8134" w:type="dxa"/>
            <w:gridSpan w:val="8"/>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081" w:type="dxa"/>
          </w:tcPr>
          <w:p>
            <w:pPr>
              <w:pStyle w:val="17"/>
              <w:spacing w:before="81"/>
              <w:ind w:left="298" w:right="292"/>
              <w:jc w:val="center"/>
              <w:rPr>
                <w:sz w:val="24"/>
              </w:rPr>
            </w:pPr>
            <w:r>
              <w:rPr>
                <w:sz w:val="24"/>
              </w:rPr>
              <w:t>备注</w:t>
            </w:r>
          </w:p>
        </w:tc>
        <w:tc>
          <w:tcPr>
            <w:tcW w:w="8134" w:type="dxa"/>
            <w:gridSpan w:val="8"/>
          </w:tcPr>
          <w:p>
            <w:pPr>
              <w:pStyle w:val="17"/>
              <w:rPr>
                <w:rFonts w:ascii="Times New Roman"/>
                <w:sz w:val="24"/>
              </w:rPr>
            </w:pPr>
          </w:p>
        </w:tc>
      </w:tr>
    </w:tbl>
    <w:p>
      <w:pPr>
        <w:pStyle w:val="7"/>
        <w:rPr>
          <w:b/>
        </w:rPr>
      </w:pPr>
    </w:p>
    <w:p>
      <w:pPr>
        <w:pStyle w:val="7"/>
        <w:spacing w:before="11"/>
        <w:rPr>
          <w:b/>
          <w:sz w:val="18"/>
        </w:rPr>
      </w:pPr>
    </w:p>
    <w:p>
      <w:pPr>
        <w:pStyle w:val="7"/>
        <w:ind w:left="1080"/>
      </w:pPr>
      <w:r>
        <w:t>磋商供应商名称：(加盖公章)</w:t>
      </w:r>
    </w:p>
    <w:p>
      <w:pPr>
        <w:pStyle w:val="7"/>
        <w:spacing w:before="161" w:line="364" w:lineRule="auto"/>
        <w:ind w:left="1080" w:right="4165"/>
      </w:pPr>
      <w:r>
        <w:t>法定代表人或授权代表（签字或加盖个人名章）： 磋商日期:</w:t>
      </w:r>
    </w:p>
    <w:p>
      <w:pPr>
        <w:spacing w:line="364" w:lineRule="auto"/>
        <w:sectPr>
          <w:pgSz w:w="11910" w:h="16840"/>
          <w:pgMar w:top="1600" w:right="660" w:bottom="1160" w:left="720" w:header="949" w:footer="975" w:gutter="0"/>
          <w:pgBorders>
            <w:top w:val="none" w:sz="0" w:space="0"/>
            <w:left w:val="none" w:sz="0" w:space="0"/>
            <w:bottom w:val="none" w:sz="0" w:space="0"/>
            <w:right w:val="none" w:sz="0" w:space="0"/>
          </w:pgBorders>
          <w:cols w:space="720" w:num="1"/>
        </w:sectPr>
      </w:pPr>
    </w:p>
    <w:p>
      <w:pPr>
        <w:pStyle w:val="6"/>
        <w:spacing w:before="123"/>
        <w:ind w:left="2664" w:right="2719"/>
        <w:jc w:val="center"/>
      </w:pPr>
      <w:r>
        <w:t>二、商务应答表</w:t>
      </w:r>
    </w:p>
    <w:p>
      <w:pPr>
        <w:pStyle w:val="7"/>
        <w:tabs>
          <w:tab w:val="left" w:pos="6839"/>
        </w:tabs>
        <w:spacing w:before="161"/>
        <w:ind w:left="1560"/>
      </w:pPr>
      <w:r>
        <w:t>项目编号：</w:t>
      </w:r>
      <w:r>
        <w:tab/>
      </w:r>
      <w:r>
        <w:t>包件号：</w:t>
      </w:r>
    </w:p>
    <w:p>
      <w:pPr>
        <w:pStyle w:val="7"/>
        <w:spacing w:before="1"/>
        <w:rPr>
          <w:sz w:val="6"/>
        </w:rPr>
      </w:pPr>
    </w:p>
    <w:tbl>
      <w:tblPr>
        <w:tblStyle w:val="12"/>
        <w:tblW w:w="7522" w:type="dxa"/>
        <w:tblInd w:w="14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1"/>
        <w:gridCol w:w="3476"/>
        <w:gridCol w:w="31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881" w:type="dxa"/>
          </w:tcPr>
          <w:p>
            <w:pPr>
              <w:pStyle w:val="17"/>
              <w:spacing w:before="149"/>
              <w:ind w:left="200"/>
              <w:rPr>
                <w:sz w:val="24"/>
              </w:rPr>
            </w:pPr>
            <w:bookmarkStart w:id="49" w:name="序号"/>
            <w:bookmarkEnd w:id="49"/>
            <w:r>
              <w:rPr>
                <w:sz w:val="24"/>
              </w:rPr>
              <w:t>序号</w:t>
            </w:r>
          </w:p>
        </w:tc>
        <w:tc>
          <w:tcPr>
            <w:tcW w:w="3476" w:type="dxa"/>
          </w:tcPr>
          <w:p>
            <w:pPr>
              <w:pStyle w:val="17"/>
              <w:spacing w:before="149"/>
              <w:ind w:left="658"/>
              <w:rPr>
                <w:sz w:val="24"/>
              </w:rPr>
            </w:pPr>
            <w:bookmarkStart w:id="50" w:name="竞争性磋商文件要求"/>
            <w:bookmarkEnd w:id="50"/>
            <w:r>
              <w:rPr>
                <w:sz w:val="24"/>
              </w:rPr>
              <w:t>竞争性磋商文件要求</w:t>
            </w:r>
          </w:p>
        </w:tc>
        <w:tc>
          <w:tcPr>
            <w:tcW w:w="3165" w:type="dxa"/>
          </w:tcPr>
          <w:p>
            <w:pPr>
              <w:pStyle w:val="17"/>
              <w:spacing w:before="149"/>
              <w:ind w:left="621"/>
              <w:rPr>
                <w:sz w:val="24"/>
              </w:rPr>
            </w:pPr>
            <w:bookmarkStart w:id="51" w:name="响应文件响应说明"/>
            <w:bookmarkEnd w:id="51"/>
            <w:r>
              <w:rPr>
                <w:sz w:val="24"/>
              </w:rPr>
              <w:t>响应文件响应说明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881" w:type="dxa"/>
          </w:tcPr>
          <w:p>
            <w:pPr>
              <w:pStyle w:val="17"/>
              <w:rPr>
                <w:rFonts w:ascii="Times New Roman"/>
                <w:sz w:val="24"/>
              </w:rPr>
            </w:pPr>
          </w:p>
        </w:tc>
        <w:tc>
          <w:tcPr>
            <w:tcW w:w="3476" w:type="dxa"/>
          </w:tcPr>
          <w:p>
            <w:pPr>
              <w:pStyle w:val="17"/>
              <w:rPr>
                <w:rFonts w:ascii="Times New Roman"/>
                <w:sz w:val="24"/>
              </w:rPr>
            </w:pPr>
          </w:p>
        </w:tc>
        <w:tc>
          <w:tcPr>
            <w:tcW w:w="316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881" w:type="dxa"/>
          </w:tcPr>
          <w:p>
            <w:pPr>
              <w:pStyle w:val="17"/>
              <w:rPr>
                <w:rFonts w:ascii="Times New Roman"/>
                <w:sz w:val="24"/>
              </w:rPr>
            </w:pPr>
          </w:p>
        </w:tc>
        <w:tc>
          <w:tcPr>
            <w:tcW w:w="3476" w:type="dxa"/>
          </w:tcPr>
          <w:p>
            <w:pPr>
              <w:pStyle w:val="17"/>
              <w:rPr>
                <w:rFonts w:ascii="Times New Roman"/>
                <w:sz w:val="24"/>
              </w:rPr>
            </w:pPr>
          </w:p>
        </w:tc>
        <w:tc>
          <w:tcPr>
            <w:tcW w:w="316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881" w:type="dxa"/>
          </w:tcPr>
          <w:p>
            <w:pPr>
              <w:pStyle w:val="17"/>
              <w:rPr>
                <w:rFonts w:ascii="Times New Roman"/>
                <w:sz w:val="24"/>
              </w:rPr>
            </w:pPr>
          </w:p>
        </w:tc>
        <w:tc>
          <w:tcPr>
            <w:tcW w:w="3476" w:type="dxa"/>
          </w:tcPr>
          <w:p>
            <w:pPr>
              <w:pStyle w:val="17"/>
              <w:rPr>
                <w:rFonts w:ascii="Times New Roman"/>
                <w:sz w:val="24"/>
              </w:rPr>
            </w:pPr>
          </w:p>
        </w:tc>
        <w:tc>
          <w:tcPr>
            <w:tcW w:w="316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881" w:type="dxa"/>
          </w:tcPr>
          <w:p>
            <w:pPr>
              <w:pStyle w:val="17"/>
              <w:rPr>
                <w:rFonts w:ascii="Times New Roman"/>
                <w:sz w:val="24"/>
              </w:rPr>
            </w:pPr>
          </w:p>
        </w:tc>
        <w:tc>
          <w:tcPr>
            <w:tcW w:w="3476" w:type="dxa"/>
          </w:tcPr>
          <w:p>
            <w:pPr>
              <w:pStyle w:val="17"/>
              <w:rPr>
                <w:rFonts w:ascii="Times New Roman"/>
                <w:sz w:val="24"/>
              </w:rPr>
            </w:pPr>
          </w:p>
        </w:tc>
        <w:tc>
          <w:tcPr>
            <w:tcW w:w="3165" w:type="dxa"/>
          </w:tcPr>
          <w:p>
            <w:pPr>
              <w:pStyle w:val="17"/>
              <w:rPr>
                <w:rFonts w:ascii="Times New Roman"/>
                <w:sz w:val="24"/>
              </w:rPr>
            </w:pPr>
          </w:p>
        </w:tc>
      </w:tr>
    </w:tbl>
    <w:p>
      <w:pPr>
        <w:pStyle w:val="7"/>
        <w:spacing w:before="82" w:line="364" w:lineRule="auto"/>
        <w:ind w:left="1080" w:right="1058" w:firstLine="470"/>
      </w:pPr>
      <w:bookmarkStart w:id="52" w:name="注：本表只填写响应文件中与磋商文件有偏离（包括正偏离和负偏离）的内容，响应文件中"/>
      <w:bookmarkEnd w:id="52"/>
      <w:r>
        <w:t>注：本表只填写响应文件中与磋商文件有偏离（包括正偏离和负偏离）的内容，响应文件中商务响应与磋商文件要求完全一致的，不用在此表中列出。</w:t>
      </w:r>
    </w:p>
    <w:p>
      <w:pPr>
        <w:pStyle w:val="7"/>
      </w:pPr>
    </w:p>
    <w:p>
      <w:pPr>
        <w:pStyle w:val="7"/>
        <w:spacing w:before="161"/>
        <w:ind w:left="1080"/>
      </w:pPr>
      <w:r>
        <w:t>磋商供应商名称：(加盖公章)</w:t>
      </w:r>
    </w:p>
    <w:p>
      <w:pPr>
        <w:pStyle w:val="7"/>
        <w:spacing w:before="161" w:line="364" w:lineRule="auto"/>
        <w:ind w:left="1080" w:right="4165"/>
      </w:pPr>
      <w:r>
        <w:t>法定代表人或授权代表（签字或加盖个人名章）： 磋商日期:</w:t>
      </w:r>
    </w:p>
    <w:p>
      <w:pPr>
        <w:spacing w:line="364" w:lineRule="auto"/>
        <w:sectPr>
          <w:pgSz w:w="11910" w:h="16840"/>
          <w:pgMar w:top="1600" w:right="660" w:bottom="1160" w:left="720" w:header="949" w:footer="975" w:gutter="0"/>
          <w:pgBorders>
            <w:top w:val="none" w:sz="0" w:space="0"/>
            <w:left w:val="none" w:sz="0" w:space="0"/>
            <w:bottom w:val="none" w:sz="0" w:space="0"/>
            <w:right w:val="none" w:sz="0" w:space="0"/>
          </w:pgBorders>
          <w:cols w:space="720" w:num="1"/>
        </w:sectPr>
      </w:pPr>
    </w:p>
    <w:p>
      <w:pPr>
        <w:pStyle w:val="6"/>
        <w:spacing w:before="123"/>
        <w:ind w:left="2664" w:right="2719"/>
        <w:jc w:val="center"/>
      </w:pPr>
      <w:r>
        <w:t>三、服务要求偏离表</w:t>
      </w:r>
    </w:p>
    <w:p>
      <w:pPr>
        <w:pStyle w:val="7"/>
        <w:tabs>
          <w:tab w:val="left" w:pos="7919"/>
        </w:tabs>
        <w:spacing w:before="161"/>
        <w:ind w:left="1080"/>
      </w:pPr>
      <w:r>
        <w:t>项目编号：</w:t>
      </w:r>
      <w:r>
        <w:tab/>
      </w:r>
      <w:r>
        <w:t>包件号：</w:t>
      </w:r>
    </w:p>
    <w:p>
      <w:pPr>
        <w:pStyle w:val="7"/>
        <w:spacing w:before="1"/>
        <w:rPr>
          <w:sz w:val="6"/>
        </w:rPr>
      </w:pPr>
    </w:p>
    <w:tbl>
      <w:tblPr>
        <w:tblStyle w:val="12"/>
        <w:tblW w:w="9482" w:type="dxa"/>
        <w:tblInd w:w="4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0"/>
        <w:gridCol w:w="3000"/>
        <w:gridCol w:w="2867"/>
        <w:gridCol w:w="2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70" w:type="dxa"/>
          </w:tcPr>
          <w:p>
            <w:pPr>
              <w:pStyle w:val="17"/>
              <w:spacing w:before="81"/>
              <w:ind w:left="244"/>
              <w:rPr>
                <w:sz w:val="24"/>
              </w:rPr>
            </w:pPr>
            <w:r>
              <w:rPr>
                <w:sz w:val="24"/>
              </w:rPr>
              <w:t>序号</w:t>
            </w:r>
          </w:p>
        </w:tc>
        <w:tc>
          <w:tcPr>
            <w:tcW w:w="3000" w:type="dxa"/>
          </w:tcPr>
          <w:p>
            <w:pPr>
              <w:pStyle w:val="17"/>
              <w:spacing w:before="81"/>
              <w:ind w:left="419"/>
              <w:rPr>
                <w:sz w:val="24"/>
              </w:rPr>
            </w:pPr>
            <w:r>
              <w:rPr>
                <w:sz w:val="24"/>
              </w:rPr>
              <w:t>竞争性磋商文件要求</w:t>
            </w:r>
          </w:p>
        </w:tc>
        <w:tc>
          <w:tcPr>
            <w:tcW w:w="2867" w:type="dxa"/>
          </w:tcPr>
          <w:p>
            <w:pPr>
              <w:pStyle w:val="17"/>
              <w:spacing w:before="81"/>
              <w:ind w:left="472"/>
              <w:rPr>
                <w:sz w:val="24"/>
              </w:rPr>
            </w:pPr>
            <w:r>
              <w:rPr>
                <w:sz w:val="24"/>
              </w:rPr>
              <w:t>响应文件响应说明</w:t>
            </w:r>
          </w:p>
        </w:tc>
        <w:tc>
          <w:tcPr>
            <w:tcW w:w="2645" w:type="dxa"/>
          </w:tcPr>
          <w:p>
            <w:pPr>
              <w:pStyle w:val="17"/>
              <w:spacing w:before="81"/>
              <w:ind w:left="842"/>
              <w:rPr>
                <w:sz w:val="24"/>
              </w:rPr>
            </w:pPr>
            <w:r>
              <w:rPr>
                <w:sz w:val="24"/>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970" w:type="dxa"/>
          </w:tcPr>
          <w:p>
            <w:pPr>
              <w:pStyle w:val="17"/>
              <w:rPr>
                <w:rFonts w:ascii="Times New Roman"/>
                <w:sz w:val="24"/>
              </w:rPr>
            </w:pPr>
          </w:p>
        </w:tc>
        <w:tc>
          <w:tcPr>
            <w:tcW w:w="3000" w:type="dxa"/>
          </w:tcPr>
          <w:p>
            <w:pPr>
              <w:pStyle w:val="17"/>
              <w:rPr>
                <w:rFonts w:ascii="Times New Roman"/>
                <w:sz w:val="24"/>
              </w:rPr>
            </w:pPr>
          </w:p>
        </w:tc>
        <w:tc>
          <w:tcPr>
            <w:tcW w:w="2867" w:type="dxa"/>
          </w:tcPr>
          <w:p>
            <w:pPr>
              <w:pStyle w:val="17"/>
              <w:rPr>
                <w:rFonts w:ascii="Times New Roman"/>
                <w:sz w:val="24"/>
              </w:rPr>
            </w:pPr>
          </w:p>
        </w:tc>
        <w:tc>
          <w:tcPr>
            <w:tcW w:w="264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970" w:type="dxa"/>
          </w:tcPr>
          <w:p>
            <w:pPr>
              <w:pStyle w:val="17"/>
              <w:rPr>
                <w:rFonts w:ascii="Times New Roman"/>
                <w:sz w:val="24"/>
              </w:rPr>
            </w:pPr>
          </w:p>
        </w:tc>
        <w:tc>
          <w:tcPr>
            <w:tcW w:w="3000" w:type="dxa"/>
          </w:tcPr>
          <w:p>
            <w:pPr>
              <w:pStyle w:val="17"/>
              <w:rPr>
                <w:rFonts w:ascii="Times New Roman"/>
                <w:sz w:val="24"/>
              </w:rPr>
            </w:pPr>
          </w:p>
        </w:tc>
        <w:tc>
          <w:tcPr>
            <w:tcW w:w="2867" w:type="dxa"/>
          </w:tcPr>
          <w:p>
            <w:pPr>
              <w:pStyle w:val="17"/>
              <w:rPr>
                <w:rFonts w:ascii="Times New Roman"/>
                <w:sz w:val="24"/>
              </w:rPr>
            </w:pPr>
          </w:p>
        </w:tc>
        <w:tc>
          <w:tcPr>
            <w:tcW w:w="264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970" w:type="dxa"/>
          </w:tcPr>
          <w:p>
            <w:pPr>
              <w:pStyle w:val="17"/>
              <w:rPr>
                <w:rFonts w:ascii="Times New Roman"/>
                <w:sz w:val="24"/>
              </w:rPr>
            </w:pPr>
          </w:p>
        </w:tc>
        <w:tc>
          <w:tcPr>
            <w:tcW w:w="3000" w:type="dxa"/>
          </w:tcPr>
          <w:p>
            <w:pPr>
              <w:pStyle w:val="17"/>
              <w:rPr>
                <w:rFonts w:ascii="Times New Roman"/>
                <w:sz w:val="24"/>
              </w:rPr>
            </w:pPr>
          </w:p>
        </w:tc>
        <w:tc>
          <w:tcPr>
            <w:tcW w:w="2867" w:type="dxa"/>
          </w:tcPr>
          <w:p>
            <w:pPr>
              <w:pStyle w:val="17"/>
              <w:rPr>
                <w:rFonts w:ascii="Times New Roman"/>
                <w:sz w:val="24"/>
              </w:rPr>
            </w:pPr>
          </w:p>
        </w:tc>
        <w:tc>
          <w:tcPr>
            <w:tcW w:w="264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970" w:type="dxa"/>
          </w:tcPr>
          <w:p>
            <w:pPr>
              <w:pStyle w:val="17"/>
              <w:rPr>
                <w:rFonts w:ascii="Times New Roman"/>
                <w:sz w:val="24"/>
              </w:rPr>
            </w:pPr>
          </w:p>
        </w:tc>
        <w:tc>
          <w:tcPr>
            <w:tcW w:w="3000" w:type="dxa"/>
          </w:tcPr>
          <w:p>
            <w:pPr>
              <w:pStyle w:val="17"/>
              <w:rPr>
                <w:rFonts w:ascii="Times New Roman"/>
                <w:sz w:val="24"/>
              </w:rPr>
            </w:pPr>
          </w:p>
        </w:tc>
        <w:tc>
          <w:tcPr>
            <w:tcW w:w="2867" w:type="dxa"/>
          </w:tcPr>
          <w:p>
            <w:pPr>
              <w:pStyle w:val="17"/>
              <w:rPr>
                <w:rFonts w:ascii="Times New Roman"/>
                <w:sz w:val="24"/>
              </w:rPr>
            </w:pPr>
          </w:p>
        </w:tc>
        <w:tc>
          <w:tcPr>
            <w:tcW w:w="2645" w:type="dxa"/>
          </w:tcPr>
          <w:p>
            <w:pPr>
              <w:pStyle w:val="17"/>
              <w:rPr>
                <w:rFonts w:ascii="Times New Roman"/>
                <w:sz w:val="24"/>
              </w:rPr>
            </w:pPr>
          </w:p>
        </w:tc>
      </w:tr>
    </w:tbl>
    <w:p>
      <w:pPr>
        <w:pStyle w:val="7"/>
      </w:pPr>
    </w:p>
    <w:p>
      <w:pPr>
        <w:pStyle w:val="7"/>
        <w:spacing w:before="12"/>
        <w:rPr>
          <w:sz w:val="18"/>
        </w:rPr>
      </w:pPr>
    </w:p>
    <w:p>
      <w:pPr>
        <w:pStyle w:val="7"/>
        <w:spacing w:line="364" w:lineRule="auto"/>
        <w:ind w:left="1080" w:right="1017"/>
      </w:pPr>
      <w:r>
        <w:rPr>
          <w:spacing w:val="-9"/>
        </w:rPr>
        <w:t>注：供应商必须据实填写，不得虚假应答，否则将取消其报价或成交资格。本表</w:t>
      </w:r>
      <w:r>
        <w:rPr>
          <w:spacing w:val="-11"/>
        </w:rPr>
        <w:t>只填写响应文件中与磋商文件有偏离</w:t>
      </w:r>
      <w:r>
        <w:t>（包括正偏离和负偏离</w:t>
      </w:r>
      <w:r>
        <w:rPr>
          <w:spacing w:val="-32"/>
        </w:rPr>
        <w:t>）</w:t>
      </w:r>
      <w:r>
        <w:rPr>
          <w:spacing w:val="-6"/>
        </w:rPr>
        <w:t>的内容，响应文件</w:t>
      </w:r>
      <w:r>
        <w:rPr>
          <w:spacing w:val="-16"/>
        </w:rPr>
        <w:t xml:space="preserve">中服务响应与磋商文件要求完全一致的，不用在此表中列出。未明确偏离的条款， </w:t>
      </w:r>
      <w:r>
        <w:t>视为默认接受，供应商不得籍未作应答而拒不接受。</w:t>
      </w:r>
    </w:p>
    <w:p>
      <w:pPr>
        <w:pStyle w:val="7"/>
      </w:pPr>
    </w:p>
    <w:p>
      <w:pPr>
        <w:pStyle w:val="7"/>
        <w:spacing w:before="163"/>
        <w:ind w:left="1080"/>
      </w:pPr>
      <w:r>
        <w:t>磋商供应商名称：(加盖公章)</w:t>
      </w:r>
    </w:p>
    <w:p>
      <w:pPr>
        <w:pStyle w:val="7"/>
        <w:spacing w:before="160" w:line="364" w:lineRule="auto"/>
        <w:ind w:left="1080" w:right="4165"/>
      </w:pPr>
      <w:r>
        <w:t>法定代表人或授权代表（签字或加盖个人名章）： 磋商日期:</w:t>
      </w:r>
    </w:p>
    <w:p>
      <w:pPr>
        <w:spacing w:line="364" w:lineRule="auto"/>
        <w:sectPr>
          <w:pgSz w:w="11910" w:h="16840"/>
          <w:pgMar w:top="1600" w:right="660" w:bottom="1160" w:left="720" w:header="949" w:footer="975" w:gutter="0"/>
          <w:pgBorders>
            <w:top w:val="none" w:sz="0" w:space="0"/>
            <w:left w:val="none" w:sz="0" w:space="0"/>
            <w:bottom w:val="none" w:sz="0" w:space="0"/>
            <w:right w:val="none" w:sz="0" w:space="0"/>
          </w:pgBorders>
          <w:cols w:space="720" w:num="1"/>
        </w:sectPr>
      </w:pPr>
    </w:p>
    <w:p>
      <w:pPr>
        <w:pStyle w:val="6"/>
        <w:spacing w:before="123"/>
        <w:ind w:left="2664" w:right="2719"/>
        <w:jc w:val="center"/>
      </w:pPr>
      <w:r>
        <w:t>四、项目服务方案</w:t>
      </w:r>
    </w:p>
    <w:p>
      <w:pPr>
        <w:pStyle w:val="7"/>
        <w:rPr>
          <w:b/>
        </w:rPr>
      </w:pPr>
    </w:p>
    <w:p>
      <w:pPr>
        <w:pStyle w:val="7"/>
        <w:rPr>
          <w:b/>
        </w:rPr>
      </w:pPr>
    </w:p>
    <w:p>
      <w:pPr>
        <w:pStyle w:val="7"/>
        <w:rPr>
          <w:b/>
        </w:rPr>
      </w:pPr>
    </w:p>
    <w:p>
      <w:pPr>
        <w:pStyle w:val="7"/>
        <w:rPr>
          <w:b/>
        </w:rPr>
      </w:pPr>
    </w:p>
    <w:p>
      <w:pPr>
        <w:pStyle w:val="7"/>
        <w:rPr>
          <w:b/>
        </w:rPr>
      </w:pPr>
    </w:p>
    <w:p>
      <w:pPr>
        <w:pStyle w:val="7"/>
        <w:rPr>
          <w:b/>
        </w:rPr>
      </w:pPr>
    </w:p>
    <w:p>
      <w:pPr>
        <w:pStyle w:val="7"/>
        <w:rPr>
          <w:b/>
        </w:rPr>
      </w:pPr>
    </w:p>
    <w:p>
      <w:pPr>
        <w:pStyle w:val="7"/>
        <w:spacing w:before="2"/>
        <w:rPr>
          <w:b/>
          <w:sz w:val="27"/>
        </w:rPr>
      </w:pPr>
    </w:p>
    <w:p>
      <w:pPr>
        <w:pStyle w:val="7"/>
        <w:ind w:left="1080"/>
      </w:pPr>
      <w:r>
        <w:t>注：由供应商自行编写（格式不限）。</w:t>
      </w: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spacing w:before="6"/>
        <w:rPr>
          <w:sz w:val="32"/>
        </w:rPr>
      </w:pPr>
    </w:p>
    <w:p>
      <w:pPr>
        <w:pStyle w:val="7"/>
        <w:ind w:left="1080"/>
      </w:pPr>
      <w:r>
        <w:t>磋商供应商名称：(加盖公章)</w:t>
      </w:r>
    </w:p>
    <w:p>
      <w:pPr>
        <w:pStyle w:val="7"/>
        <w:spacing w:before="160" w:line="364" w:lineRule="auto"/>
        <w:ind w:left="1080" w:right="4165"/>
      </w:pPr>
      <w:r>
        <w:t>法定代表人或授权代表（签字或加盖个人名章）： 磋商日期:</w:t>
      </w:r>
    </w:p>
    <w:p>
      <w:pPr>
        <w:spacing w:line="364" w:lineRule="auto"/>
        <w:sectPr>
          <w:pgSz w:w="11910" w:h="16840"/>
          <w:pgMar w:top="1600" w:right="660" w:bottom="1160" w:left="720" w:header="949" w:footer="975" w:gutter="0"/>
          <w:pgBorders>
            <w:top w:val="none" w:sz="0" w:space="0"/>
            <w:left w:val="none" w:sz="0" w:space="0"/>
            <w:bottom w:val="none" w:sz="0" w:space="0"/>
            <w:right w:val="none" w:sz="0" w:space="0"/>
          </w:pgBorders>
          <w:cols w:space="720" w:num="1"/>
        </w:sectPr>
      </w:pPr>
    </w:p>
    <w:p>
      <w:pPr>
        <w:spacing w:before="123" w:line="364" w:lineRule="auto"/>
        <w:ind w:left="1080" w:right="4084" w:firstLine="2952"/>
        <w:rPr>
          <w:sz w:val="24"/>
        </w:rPr>
      </w:pPr>
      <w:r>
        <w:rPr>
          <w:b/>
          <w:sz w:val="24"/>
        </w:rPr>
        <w:t>五、成交服务费承诺函</w:t>
      </w:r>
      <w:r>
        <w:rPr>
          <w:rFonts w:hint="eastAsia"/>
          <w:sz w:val="24"/>
        </w:rPr>
        <w:t>四川仁恒工程建设管理有限公司</w:t>
      </w:r>
      <w:r>
        <w:rPr>
          <w:sz w:val="24"/>
        </w:rPr>
        <w:t>：</w:t>
      </w:r>
    </w:p>
    <w:p>
      <w:pPr>
        <w:pStyle w:val="7"/>
        <w:tabs>
          <w:tab w:val="left" w:pos="5039"/>
          <w:tab w:val="left" w:pos="7826"/>
          <w:tab w:val="left" w:pos="8605"/>
        </w:tabs>
        <w:spacing w:before="2" w:line="364" w:lineRule="auto"/>
        <w:ind w:left="1080" w:right="1045" w:firstLine="480"/>
      </w:pPr>
      <w:r>
        <w:t>我公司在贵公司代理的</w:t>
      </w:r>
      <w:r>
        <w:rPr>
          <w:u w:val="single"/>
        </w:rPr>
        <w:t xml:space="preserve"> </w:t>
      </w:r>
      <w:r>
        <w:rPr>
          <w:u w:val="single"/>
        </w:rPr>
        <w:tab/>
      </w:r>
      <w:r>
        <w:t>项目(项目编号：</w:t>
      </w:r>
      <w:r>
        <w:tab/>
      </w:r>
      <w:r>
        <w:t>)第</w:t>
      </w:r>
      <w:r>
        <w:rPr>
          <w:u w:val="single"/>
        </w:rPr>
        <w:t xml:space="preserve"> </w:t>
      </w:r>
      <w:r>
        <w:rPr>
          <w:u w:val="single"/>
        </w:rPr>
        <w:tab/>
      </w:r>
      <w:r>
        <w:t>包竞争性磋商中若获成交，我们保证在收到成交通知后</w:t>
      </w:r>
      <w:r>
        <w:rPr>
          <w:spacing w:val="-60"/>
        </w:rPr>
        <w:t xml:space="preserve"> </w:t>
      </w:r>
      <w:r>
        <w:t>2</w:t>
      </w:r>
      <w:r>
        <w:rPr>
          <w:spacing w:val="-60"/>
        </w:rPr>
        <w:t xml:space="preserve"> </w:t>
      </w:r>
      <w:r>
        <w:t>个工作日内按要求，以支票</w:t>
      </w:r>
      <w:r>
        <w:rPr>
          <w:spacing w:val="-19"/>
        </w:rPr>
        <w:t>、</w:t>
      </w:r>
      <w:r>
        <w:t>银行汇票</w:t>
      </w:r>
      <w:r>
        <w:rPr>
          <w:spacing w:val="-32"/>
        </w:rPr>
        <w:t>、</w:t>
      </w:r>
      <w:r>
        <w:t>电汇</w:t>
      </w:r>
      <w:r>
        <w:rPr>
          <w:spacing w:val="-32"/>
        </w:rPr>
        <w:t>、</w:t>
      </w:r>
      <w:r>
        <w:t>现金或经贵公司认可的一种方式</w:t>
      </w:r>
      <w:r>
        <w:rPr>
          <w:spacing w:val="-32"/>
        </w:rPr>
        <w:t>，</w:t>
      </w:r>
      <w:r>
        <w:t>向贵公司即</w:t>
      </w:r>
      <w:r>
        <w:rPr>
          <w:rFonts w:hint="eastAsia"/>
        </w:rPr>
        <w:t>四川仁恒工程建设管理有限公司</w:t>
      </w:r>
      <w:r>
        <w:t>指定的银行帐号</w:t>
      </w:r>
      <w:r>
        <w:rPr>
          <w:spacing w:val="-94"/>
        </w:rPr>
        <w:t>，</w:t>
      </w:r>
      <w:r>
        <w:t>按照磋商文件中成交服务费收取标准一次性支付合同全额的成交服务费。</w:t>
      </w:r>
    </w:p>
    <w:p>
      <w:pPr>
        <w:pStyle w:val="7"/>
        <w:spacing w:before="3"/>
        <w:ind w:left="1560"/>
      </w:pPr>
      <w:r>
        <w:t>特此承诺。</w:t>
      </w:r>
    </w:p>
    <w:p>
      <w:pPr>
        <w:pStyle w:val="7"/>
      </w:pPr>
    </w:p>
    <w:p>
      <w:pPr>
        <w:pStyle w:val="7"/>
        <w:rPr>
          <w:sz w:val="25"/>
        </w:rPr>
      </w:pPr>
    </w:p>
    <w:p>
      <w:pPr>
        <w:pStyle w:val="7"/>
        <w:spacing w:line="364" w:lineRule="auto"/>
        <w:ind w:left="1080" w:right="6325"/>
        <w:jc w:val="both"/>
      </w:pPr>
      <w:r>
        <w:rPr>
          <w:spacing w:val="-2"/>
        </w:rPr>
        <w:t xml:space="preserve">磋商供应商名称：(加盖公章) </w:t>
      </w:r>
      <w:r>
        <w:t>地 址：</w:t>
      </w:r>
    </w:p>
    <w:p>
      <w:pPr>
        <w:pStyle w:val="7"/>
        <w:spacing w:before="1" w:line="364" w:lineRule="auto"/>
        <w:ind w:left="1080" w:right="8605"/>
        <w:jc w:val="both"/>
      </w:pPr>
      <w:r>
        <w:rPr>
          <w:spacing w:val="-5"/>
        </w:rPr>
        <w:t>电 话： 传 真： 邮 编：</w:t>
      </w:r>
    </w:p>
    <w:p>
      <w:pPr>
        <w:pStyle w:val="7"/>
        <w:spacing w:before="2" w:line="364" w:lineRule="auto"/>
        <w:ind w:left="1080" w:right="4165"/>
      </w:pPr>
      <w:r>
        <w:t>法定代表人或授权代表（签字或加盖个人名章）： 磋商日期：</w:t>
      </w:r>
    </w:p>
    <w:p>
      <w:pPr>
        <w:spacing w:line="364" w:lineRule="auto"/>
        <w:sectPr>
          <w:pgSz w:w="11910" w:h="16840"/>
          <w:pgMar w:top="1600" w:right="660" w:bottom="1160" w:left="720" w:header="949" w:footer="975" w:gutter="0"/>
          <w:pgBorders>
            <w:top w:val="none" w:sz="0" w:space="0"/>
            <w:left w:val="none" w:sz="0" w:space="0"/>
            <w:bottom w:val="none" w:sz="0" w:space="0"/>
            <w:right w:val="none" w:sz="0" w:space="0"/>
          </w:pgBorders>
          <w:cols w:space="720" w:num="1"/>
        </w:sectPr>
      </w:pPr>
    </w:p>
    <w:p>
      <w:pPr>
        <w:pStyle w:val="6"/>
        <w:spacing w:before="123"/>
        <w:ind w:left="2664" w:right="2712"/>
        <w:jc w:val="center"/>
      </w:pPr>
      <w:r>
        <w:t>六、项目管理、服务人员情况表</w:t>
      </w:r>
    </w:p>
    <w:p>
      <w:pPr>
        <w:pStyle w:val="7"/>
        <w:tabs>
          <w:tab w:val="left" w:pos="4353"/>
        </w:tabs>
        <w:spacing w:before="161"/>
        <w:ind w:left="154"/>
        <w:jc w:val="center"/>
      </w:pPr>
      <w:r>
        <w:t>项目编号：</w:t>
      </w:r>
      <w:r>
        <w:tab/>
      </w:r>
      <w:r>
        <w:t>本表后须附资格证明(附复印件)</w:t>
      </w:r>
    </w:p>
    <w:p>
      <w:pPr>
        <w:pStyle w:val="7"/>
        <w:spacing w:before="1"/>
        <w:rPr>
          <w:sz w:val="6"/>
        </w:rPr>
      </w:pPr>
    </w:p>
    <w:tbl>
      <w:tblPr>
        <w:tblStyle w:val="12"/>
        <w:tblW w:w="7650" w:type="dxa"/>
        <w:tblInd w:w="14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850"/>
        <w:gridCol w:w="850"/>
        <w:gridCol w:w="850"/>
        <w:gridCol w:w="850"/>
        <w:gridCol w:w="850"/>
        <w:gridCol w:w="850"/>
        <w:gridCol w:w="850"/>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850" w:type="dxa"/>
          </w:tcPr>
          <w:p>
            <w:pPr>
              <w:pStyle w:val="17"/>
              <w:rPr>
                <w:sz w:val="24"/>
              </w:rPr>
            </w:pPr>
          </w:p>
          <w:p>
            <w:pPr>
              <w:pStyle w:val="17"/>
              <w:spacing w:before="10"/>
              <w:rPr>
                <w:sz w:val="20"/>
              </w:rPr>
            </w:pPr>
          </w:p>
          <w:p>
            <w:pPr>
              <w:pStyle w:val="17"/>
              <w:ind w:left="185"/>
              <w:rPr>
                <w:sz w:val="24"/>
              </w:rPr>
            </w:pPr>
            <w:r>
              <w:rPr>
                <w:sz w:val="24"/>
              </w:rPr>
              <w:t>类别</w:t>
            </w:r>
          </w:p>
        </w:tc>
        <w:tc>
          <w:tcPr>
            <w:tcW w:w="850" w:type="dxa"/>
          </w:tcPr>
          <w:p>
            <w:pPr>
              <w:pStyle w:val="17"/>
              <w:rPr>
                <w:sz w:val="24"/>
              </w:rPr>
            </w:pPr>
          </w:p>
          <w:p>
            <w:pPr>
              <w:pStyle w:val="17"/>
              <w:spacing w:before="10"/>
              <w:rPr>
                <w:sz w:val="20"/>
              </w:rPr>
            </w:pPr>
          </w:p>
          <w:p>
            <w:pPr>
              <w:pStyle w:val="17"/>
              <w:ind w:left="184"/>
              <w:rPr>
                <w:sz w:val="24"/>
              </w:rPr>
            </w:pPr>
            <w:r>
              <w:rPr>
                <w:sz w:val="24"/>
              </w:rPr>
              <w:t>职务</w:t>
            </w:r>
          </w:p>
        </w:tc>
        <w:tc>
          <w:tcPr>
            <w:tcW w:w="850" w:type="dxa"/>
          </w:tcPr>
          <w:p>
            <w:pPr>
              <w:pStyle w:val="17"/>
              <w:rPr>
                <w:sz w:val="24"/>
              </w:rPr>
            </w:pPr>
          </w:p>
          <w:p>
            <w:pPr>
              <w:pStyle w:val="17"/>
              <w:spacing w:before="10"/>
              <w:rPr>
                <w:sz w:val="20"/>
              </w:rPr>
            </w:pPr>
          </w:p>
          <w:p>
            <w:pPr>
              <w:pStyle w:val="17"/>
              <w:ind w:left="184"/>
              <w:rPr>
                <w:sz w:val="24"/>
              </w:rPr>
            </w:pPr>
            <w:r>
              <w:rPr>
                <w:sz w:val="24"/>
              </w:rPr>
              <w:t>姓名</w:t>
            </w:r>
          </w:p>
        </w:tc>
        <w:tc>
          <w:tcPr>
            <w:tcW w:w="850" w:type="dxa"/>
          </w:tcPr>
          <w:p>
            <w:pPr>
              <w:pStyle w:val="17"/>
              <w:rPr>
                <w:sz w:val="24"/>
              </w:rPr>
            </w:pPr>
          </w:p>
          <w:p>
            <w:pPr>
              <w:pStyle w:val="17"/>
              <w:spacing w:before="10"/>
              <w:rPr>
                <w:sz w:val="20"/>
              </w:rPr>
            </w:pPr>
          </w:p>
          <w:p>
            <w:pPr>
              <w:pStyle w:val="17"/>
              <w:ind w:left="184"/>
              <w:rPr>
                <w:sz w:val="24"/>
              </w:rPr>
            </w:pPr>
            <w:r>
              <w:rPr>
                <w:sz w:val="24"/>
              </w:rPr>
              <w:t>职称</w:t>
            </w:r>
          </w:p>
        </w:tc>
        <w:tc>
          <w:tcPr>
            <w:tcW w:w="850" w:type="dxa"/>
          </w:tcPr>
          <w:p>
            <w:pPr>
              <w:pStyle w:val="17"/>
              <w:spacing w:before="7"/>
              <w:rPr>
                <w:sz w:val="26"/>
              </w:rPr>
            </w:pPr>
          </w:p>
          <w:p>
            <w:pPr>
              <w:pStyle w:val="17"/>
              <w:spacing w:before="1" w:line="364" w:lineRule="auto"/>
              <w:ind w:left="303" w:right="174" w:hanging="120"/>
              <w:rPr>
                <w:sz w:val="24"/>
              </w:rPr>
            </w:pPr>
            <w:r>
              <w:rPr>
                <w:sz w:val="24"/>
              </w:rPr>
              <w:t>常住地</w:t>
            </w:r>
          </w:p>
        </w:tc>
        <w:tc>
          <w:tcPr>
            <w:tcW w:w="850" w:type="dxa"/>
          </w:tcPr>
          <w:p>
            <w:pPr>
              <w:pStyle w:val="17"/>
              <w:spacing w:before="7"/>
              <w:rPr>
                <w:sz w:val="26"/>
              </w:rPr>
            </w:pPr>
          </w:p>
          <w:p>
            <w:pPr>
              <w:pStyle w:val="17"/>
              <w:spacing w:before="1" w:line="364" w:lineRule="auto"/>
              <w:ind w:left="185" w:right="172"/>
              <w:rPr>
                <w:sz w:val="24"/>
              </w:rPr>
            </w:pPr>
            <w:r>
              <w:rPr>
                <w:sz w:val="24"/>
              </w:rPr>
              <w:t>证书名称</w:t>
            </w:r>
          </w:p>
        </w:tc>
        <w:tc>
          <w:tcPr>
            <w:tcW w:w="850" w:type="dxa"/>
          </w:tcPr>
          <w:p>
            <w:pPr>
              <w:pStyle w:val="17"/>
              <w:rPr>
                <w:sz w:val="24"/>
              </w:rPr>
            </w:pPr>
          </w:p>
          <w:p>
            <w:pPr>
              <w:pStyle w:val="17"/>
              <w:spacing w:before="10"/>
              <w:rPr>
                <w:sz w:val="20"/>
              </w:rPr>
            </w:pPr>
          </w:p>
          <w:p>
            <w:pPr>
              <w:pStyle w:val="17"/>
              <w:ind w:left="185"/>
              <w:rPr>
                <w:sz w:val="24"/>
              </w:rPr>
            </w:pPr>
            <w:r>
              <w:rPr>
                <w:sz w:val="24"/>
              </w:rPr>
              <w:t>级别</w:t>
            </w:r>
          </w:p>
        </w:tc>
        <w:tc>
          <w:tcPr>
            <w:tcW w:w="850" w:type="dxa"/>
          </w:tcPr>
          <w:p>
            <w:pPr>
              <w:pStyle w:val="17"/>
              <w:rPr>
                <w:sz w:val="24"/>
              </w:rPr>
            </w:pPr>
          </w:p>
          <w:p>
            <w:pPr>
              <w:pStyle w:val="17"/>
              <w:spacing w:before="10"/>
              <w:rPr>
                <w:sz w:val="20"/>
              </w:rPr>
            </w:pPr>
          </w:p>
          <w:p>
            <w:pPr>
              <w:pStyle w:val="17"/>
              <w:ind w:left="184"/>
              <w:rPr>
                <w:sz w:val="24"/>
              </w:rPr>
            </w:pPr>
            <w:r>
              <w:rPr>
                <w:sz w:val="24"/>
              </w:rPr>
              <w:t>证号</w:t>
            </w:r>
          </w:p>
        </w:tc>
        <w:tc>
          <w:tcPr>
            <w:tcW w:w="850" w:type="dxa"/>
          </w:tcPr>
          <w:p>
            <w:pPr>
              <w:pStyle w:val="17"/>
              <w:rPr>
                <w:sz w:val="24"/>
              </w:rPr>
            </w:pPr>
          </w:p>
          <w:p>
            <w:pPr>
              <w:pStyle w:val="17"/>
              <w:spacing w:before="10"/>
              <w:rPr>
                <w:sz w:val="20"/>
              </w:rPr>
            </w:pPr>
          </w:p>
          <w:p>
            <w:pPr>
              <w:pStyle w:val="17"/>
              <w:ind w:left="184"/>
              <w:rPr>
                <w:sz w:val="24"/>
              </w:rPr>
            </w:pPr>
            <w:r>
              <w:rPr>
                <w:sz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0" w:hRule="atLeast"/>
        </w:trPr>
        <w:tc>
          <w:tcPr>
            <w:tcW w:w="850" w:type="dxa"/>
          </w:tcPr>
          <w:p>
            <w:pPr>
              <w:pStyle w:val="17"/>
              <w:spacing w:before="82" w:line="364" w:lineRule="auto"/>
              <w:ind w:left="305" w:right="292"/>
              <w:jc w:val="both"/>
              <w:rPr>
                <w:sz w:val="24"/>
              </w:rPr>
            </w:pPr>
            <w:r>
              <w:rPr>
                <w:sz w:val="24"/>
              </w:rPr>
              <w:t>管理人员</w:t>
            </w:r>
          </w:p>
        </w:tc>
        <w:tc>
          <w:tcPr>
            <w:tcW w:w="850" w:type="dxa"/>
          </w:tcPr>
          <w:p>
            <w:pPr>
              <w:pStyle w:val="17"/>
              <w:rPr>
                <w:rFonts w:ascii="Times New Roman"/>
                <w:sz w:val="24"/>
              </w:rPr>
            </w:pPr>
          </w:p>
        </w:tc>
        <w:tc>
          <w:tcPr>
            <w:tcW w:w="850" w:type="dxa"/>
          </w:tcPr>
          <w:p>
            <w:pPr>
              <w:pStyle w:val="17"/>
              <w:rPr>
                <w:rFonts w:ascii="Times New Roman"/>
                <w:sz w:val="24"/>
              </w:rPr>
            </w:pPr>
          </w:p>
        </w:tc>
        <w:tc>
          <w:tcPr>
            <w:tcW w:w="850" w:type="dxa"/>
          </w:tcPr>
          <w:p>
            <w:pPr>
              <w:pStyle w:val="17"/>
              <w:rPr>
                <w:rFonts w:ascii="Times New Roman"/>
                <w:sz w:val="24"/>
              </w:rPr>
            </w:pPr>
          </w:p>
        </w:tc>
        <w:tc>
          <w:tcPr>
            <w:tcW w:w="850" w:type="dxa"/>
          </w:tcPr>
          <w:p>
            <w:pPr>
              <w:pStyle w:val="17"/>
              <w:rPr>
                <w:rFonts w:ascii="Times New Roman"/>
                <w:sz w:val="24"/>
              </w:rPr>
            </w:pPr>
          </w:p>
        </w:tc>
        <w:tc>
          <w:tcPr>
            <w:tcW w:w="850" w:type="dxa"/>
          </w:tcPr>
          <w:p>
            <w:pPr>
              <w:pStyle w:val="17"/>
              <w:rPr>
                <w:rFonts w:ascii="Times New Roman"/>
                <w:sz w:val="24"/>
              </w:rPr>
            </w:pPr>
          </w:p>
        </w:tc>
        <w:tc>
          <w:tcPr>
            <w:tcW w:w="850" w:type="dxa"/>
          </w:tcPr>
          <w:p>
            <w:pPr>
              <w:pStyle w:val="17"/>
              <w:rPr>
                <w:rFonts w:ascii="Times New Roman"/>
                <w:sz w:val="24"/>
              </w:rPr>
            </w:pPr>
          </w:p>
        </w:tc>
        <w:tc>
          <w:tcPr>
            <w:tcW w:w="850" w:type="dxa"/>
          </w:tcPr>
          <w:p>
            <w:pPr>
              <w:pStyle w:val="17"/>
              <w:rPr>
                <w:rFonts w:ascii="Times New Roman"/>
                <w:sz w:val="24"/>
              </w:rPr>
            </w:pPr>
          </w:p>
        </w:tc>
        <w:tc>
          <w:tcPr>
            <w:tcW w:w="850"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0" w:hRule="atLeast"/>
        </w:trPr>
        <w:tc>
          <w:tcPr>
            <w:tcW w:w="850" w:type="dxa"/>
          </w:tcPr>
          <w:p>
            <w:pPr>
              <w:pStyle w:val="17"/>
              <w:spacing w:before="81" w:line="364" w:lineRule="auto"/>
              <w:ind w:left="305" w:right="292"/>
              <w:jc w:val="both"/>
              <w:rPr>
                <w:sz w:val="24"/>
              </w:rPr>
            </w:pPr>
            <w:r>
              <w:rPr>
                <w:sz w:val="24"/>
              </w:rPr>
              <w:t>技术人员</w:t>
            </w:r>
          </w:p>
        </w:tc>
        <w:tc>
          <w:tcPr>
            <w:tcW w:w="850" w:type="dxa"/>
          </w:tcPr>
          <w:p>
            <w:pPr>
              <w:pStyle w:val="17"/>
              <w:rPr>
                <w:rFonts w:ascii="Times New Roman"/>
                <w:sz w:val="24"/>
              </w:rPr>
            </w:pPr>
          </w:p>
        </w:tc>
        <w:tc>
          <w:tcPr>
            <w:tcW w:w="850" w:type="dxa"/>
          </w:tcPr>
          <w:p>
            <w:pPr>
              <w:pStyle w:val="17"/>
              <w:rPr>
                <w:rFonts w:ascii="Times New Roman"/>
                <w:sz w:val="24"/>
              </w:rPr>
            </w:pPr>
          </w:p>
        </w:tc>
        <w:tc>
          <w:tcPr>
            <w:tcW w:w="850" w:type="dxa"/>
          </w:tcPr>
          <w:p>
            <w:pPr>
              <w:pStyle w:val="17"/>
              <w:rPr>
                <w:rFonts w:ascii="Times New Roman"/>
                <w:sz w:val="24"/>
              </w:rPr>
            </w:pPr>
          </w:p>
        </w:tc>
        <w:tc>
          <w:tcPr>
            <w:tcW w:w="850" w:type="dxa"/>
          </w:tcPr>
          <w:p>
            <w:pPr>
              <w:pStyle w:val="17"/>
              <w:rPr>
                <w:rFonts w:ascii="Times New Roman"/>
                <w:sz w:val="24"/>
              </w:rPr>
            </w:pPr>
          </w:p>
        </w:tc>
        <w:tc>
          <w:tcPr>
            <w:tcW w:w="850" w:type="dxa"/>
          </w:tcPr>
          <w:p>
            <w:pPr>
              <w:pStyle w:val="17"/>
              <w:rPr>
                <w:rFonts w:ascii="Times New Roman"/>
                <w:sz w:val="24"/>
              </w:rPr>
            </w:pPr>
          </w:p>
        </w:tc>
        <w:tc>
          <w:tcPr>
            <w:tcW w:w="850" w:type="dxa"/>
          </w:tcPr>
          <w:p>
            <w:pPr>
              <w:pStyle w:val="17"/>
              <w:rPr>
                <w:rFonts w:ascii="Times New Roman"/>
                <w:sz w:val="24"/>
              </w:rPr>
            </w:pPr>
          </w:p>
        </w:tc>
        <w:tc>
          <w:tcPr>
            <w:tcW w:w="850" w:type="dxa"/>
          </w:tcPr>
          <w:p>
            <w:pPr>
              <w:pStyle w:val="17"/>
              <w:rPr>
                <w:rFonts w:ascii="Times New Roman"/>
                <w:sz w:val="24"/>
              </w:rPr>
            </w:pPr>
          </w:p>
        </w:tc>
        <w:tc>
          <w:tcPr>
            <w:tcW w:w="850"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0" w:hRule="atLeast"/>
        </w:trPr>
        <w:tc>
          <w:tcPr>
            <w:tcW w:w="850" w:type="dxa"/>
          </w:tcPr>
          <w:p>
            <w:pPr>
              <w:pStyle w:val="17"/>
              <w:spacing w:before="81" w:line="364" w:lineRule="auto"/>
              <w:ind w:left="305" w:right="292"/>
              <w:jc w:val="both"/>
              <w:rPr>
                <w:sz w:val="24"/>
              </w:rPr>
            </w:pPr>
            <w:r>
              <w:rPr>
                <w:sz w:val="24"/>
              </w:rPr>
              <w:t>其他人员</w:t>
            </w:r>
          </w:p>
        </w:tc>
        <w:tc>
          <w:tcPr>
            <w:tcW w:w="850" w:type="dxa"/>
          </w:tcPr>
          <w:p>
            <w:pPr>
              <w:pStyle w:val="17"/>
              <w:rPr>
                <w:rFonts w:ascii="Times New Roman"/>
                <w:sz w:val="24"/>
              </w:rPr>
            </w:pPr>
          </w:p>
        </w:tc>
        <w:tc>
          <w:tcPr>
            <w:tcW w:w="850" w:type="dxa"/>
          </w:tcPr>
          <w:p>
            <w:pPr>
              <w:pStyle w:val="17"/>
              <w:rPr>
                <w:rFonts w:ascii="Times New Roman"/>
                <w:sz w:val="24"/>
              </w:rPr>
            </w:pPr>
          </w:p>
        </w:tc>
        <w:tc>
          <w:tcPr>
            <w:tcW w:w="850" w:type="dxa"/>
          </w:tcPr>
          <w:p>
            <w:pPr>
              <w:pStyle w:val="17"/>
              <w:rPr>
                <w:rFonts w:ascii="Times New Roman"/>
                <w:sz w:val="24"/>
              </w:rPr>
            </w:pPr>
          </w:p>
        </w:tc>
        <w:tc>
          <w:tcPr>
            <w:tcW w:w="850" w:type="dxa"/>
          </w:tcPr>
          <w:p>
            <w:pPr>
              <w:pStyle w:val="17"/>
              <w:rPr>
                <w:rFonts w:ascii="Times New Roman"/>
                <w:sz w:val="24"/>
              </w:rPr>
            </w:pPr>
          </w:p>
        </w:tc>
        <w:tc>
          <w:tcPr>
            <w:tcW w:w="850" w:type="dxa"/>
          </w:tcPr>
          <w:p>
            <w:pPr>
              <w:pStyle w:val="17"/>
              <w:rPr>
                <w:rFonts w:ascii="Times New Roman"/>
                <w:sz w:val="24"/>
              </w:rPr>
            </w:pPr>
          </w:p>
        </w:tc>
        <w:tc>
          <w:tcPr>
            <w:tcW w:w="850" w:type="dxa"/>
          </w:tcPr>
          <w:p>
            <w:pPr>
              <w:pStyle w:val="17"/>
              <w:rPr>
                <w:rFonts w:ascii="Times New Roman"/>
                <w:sz w:val="24"/>
              </w:rPr>
            </w:pPr>
          </w:p>
        </w:tc>
        <w:tc>
          <w:tcPr>
            <w:tcW w:w="850" w:type="dxa"/>
          </w:tcPr>
          <w:p>
            <w:pPr>
              <w:pStyle w:val="17"/>
              <w:rPr>
                <w:rFonts w:ascii="Times New Roman"/>
                <w:sz w:val="24"/>
              </w:rPr>
            </w:pPr>
          </w:p>
        </w:tc>
        <w:tc>
          <w:tcPr>
            <w:tcW w:w="850" w:type="dxa"/>
          </w:tcPr>
          <w:p>
            <w:pPr>
              <w:pStyle w:val="17"/>
              <w:rPr>
                <w:rFonts w:ascii="Times New Roman"/>
                <w:sz w:val="24"/>
              </w:rPr>
            </w:pPr>
          </w:p>
        </w:tc>
      </w:tr>
    </w:tbl>
    <w:p>
      <w:pPr>
        <w:pStyle w:val="7"/>
        <w:spacing w:before="81"/>
        <w:ind w:left="1080"/>
      </w:pPr>
    </w:p>
    <w:p>
      <w:pPr>
        <w:pStyle w:val="7"/>
        <w:spacing w:before="81"/>
        <w:ind w:left="1080"/>
      </w:pPr>
      <w:r>
        <w:t>磋商供应商名称：(加盖公章)</w:t>
      </w:r>
    </w:p>
    <w:p>
      <w:pPr>
        <w:pStyle w:val="7"/>
        <w:spacing w:before="161" w:line="364" w:lineRule="auto"/>
        <w:ind w:left="1080" w:right="4165"/>
      </w:pPr>
      <w:r>
        <w:t>法定代表人或授权代表（签字或加盖个人名章）： 磋商日期:</w:t>
      </w:r>
    </w:p>
    <w:p>
      <w:pPr>
        <w:spacing w:line="364" w:lineRule="auto"/>
        <w:sectPr>
          <w:pgSz w:w="11910" w:h="16840"/>
          <w:pgMar w:top="1600" w:right="660" w:bottom="1160" w:left="720" w:header="949" w:footer="975" w:gutter="0"/>
          <w:pgBorders>
            <w:top w:val="none" w:sz="0" w:space="0"/>
            <w:left w:val="none" w:sz="0" w:space="0"/>
            <w:bottom w:val="none" w:sz="0" w:space="0"/>
            <w:right w:val="none" w:sz="0" w:space="0"/>
          </w:pgBorders>
          <w:cols w:space="720" w:num="1"/>
        </w:sectPr>
      </w:pPr>
    </w:p>
    <w:p>
      <w:pPr>
        <w:pStyle w:val="6"/>
        <w:spacing w:before="123"/>
        <w:ind w:left="0" w:right="3602"/>
        <w:jc w:val="right"/>
      </w:pPr>
      <w:r>
        <w:rPr>
          <w:w w:val="95"/>
        </w:rPr>
        <w:t>七、供应商类似项目业绩一览表</w:t>
      </w:r>
    </w:p>
    <w:p>
      <w:pPr>
        <w:pStyle w:val="7"/>
        <w:tabs>
          <w:tab w:val="left" w:pos="4919"/>
        </w:tabs>
        <w:spacing w:before="161"/>
        <w:ind w:right="3565"/>
        <w:jc w:val="right"/>
      </w:pPr>
      <w:r>
        <w:t>项目编号：</w:t>
      </w:r>
      <w:r>
        <w:tab/>
      </w:r>
      <w:r>
        <w:t>包件号：</w:t>
      </w:r>
    </w:p>
    <w:p>
      <w:pPr>
        <w:pStyle w:val="7"/>
        <w:spacing w:before="1"/>
        <w:rPr>
          <w:sz w:val="6"/>
        </w:rPr>
      </w:pPr>
    </w:p>
    <w:tbl>
      <w:tblPr>
        <w:tblStyle w:val="12"/>
        <w:tblW w:w="8966" w:type="dxa"/>
        <w:tblInd w:w="7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1"/>
        <w:gridCol w:w="1377"/>
        <w:gridCol w:w="1353"/>
        <w:gridCol w:w="1374"/>
        <w:gridCol w:w="1391"/>
        <w:gridCol w:w="1241"/>
        <w:gridCol w:w="13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21" w:type="dxa"/>
          </w:tcPr>
          <w:p>
            <w:pPr>
              <w:pStyle w:val="17"/>
              <w:spacing w:before="7"/>
              <w:rPr>
                <w:sz w:val="24"/>
              </w:rPr>
            </w:pPr>
          </w:p>
          <w:p>
            <w:pPr>
              <w:pStyle w:val="17"/>
              <w:ind w:left="219"/>
              <w:rPr>
                <w:sz w:val="24"/>
              </w:rPr>
            </w:pPr>
            <w:r>
              <w:rPr>
                <w:sz w:val="24"/>
              </w:rPr>
              <w:t>年份</w:t>
            </w:r>
          </w:p>
        </w:tc>
        <w:tc>
          <w:tcPr>
            <w:tcW w:w="1377" w:type="dxa"/>
          </w:tcPr>
          <w:p>
            <w:pPr>
              <w:pStyle w:val="17"/>
              <w:spacing w:before="7"/>
              <w:rPr>
                <w:sz w:val="24"/>
              </w:rPr>
            </w:pPr>
          </w:p>
          <w:p>
            <w:pPr>
              <w:pStyle w:val="17"/>
              <w:ind w:left="207"/>
              <w:rPr>
                <w:sz w:val="24"/>
              </w:rPr>
            </w:pPr>
            <w:r>
              <w:rPr>
                <w:sz w:val="24"/>
              </w:rPr>
              <w:t>用户名称</w:t>
            </w:r>
          </w:p>
        </w:tc>
        <w:tc>
          <w:tcPr>
            <w:tcW w:w="1353" w:type="dxa"/>
          </w:tcPr>
          <w:p>
            <w:pPr>
              <w:pStyle w:val="17"/>
              <w:spacing w:before="7"/>
              <w:rPr>
                <w:sz w:val="24"/>
              </w:rPr>
            </w:pPr>
          </w:p>
          <w:p>
            <w:pPr>
              <w:pStyle w:val="17"/>
              <w:ind w:left="196"/>
              <w:rPr>
                <w:sz w:val="24"/>
              </w:rPr>
            </w:pPr>
            <w:r>
              <w:rPr>
                <w:sz w:val="24"/>
              </w:rPr>
              <w:t>项目名称</w:t>
            </w:r>
          </w:p>
        </w:tc>
        <w:tc>
          <w:tcPr>
            <w:tcW w:w="1374" w:type="dxa"/>
          </w:tcPr>
          <w:p>
            <w:pPr>
              <w:pStyle w:val="17"/>
              <w:spacing w:before="7"/>
              <w:rPr>
                <w:sz w:val="24"/>
              </w:rPr>
            </w:pPr>
          </w:p>
          <w:p>
            <w:pPr>
              <w:pStyle w:val="17"/>
              <w:ind w:left="206"/>
              <w:rPr>
                <w:sz w:val="24"/>
              </w:rPr>
            </w:pPr>
            <w:r>
              <w:rPr>
                <w:sz w:val="24"/>
              </w:rPr>
              <w:t>完成时间</w:t>
            </w:r>
          </w:p>
        </w:tc>
        <w:tc>
          <w:tcPr>
            <w:tcW w:w="1391" w:type="dxa"/>
          </w:tcPr>
          <w:p>
            <w:pPr>
              <w:pStyle w:val="17"/>
              <w:spacing w:before="7"/>
              <w:rPr>
                <w:sz w:val="24"/>
              </w:rPr>
            </w:pPr>
          </w:p>
          <w:p>
            <w:pPr>
              <w:pStyle w:val="17"/>
              <w:ind w:left="215"/>
              <w:rPr>
                <w:sz w:val="24"/>
              </w:rPr>
            </w:pPr>
            <w:r>
              <w:rPr>
                <w:sz w:val="24"/>
              </w:rPr>
              <w:t>合同金额</w:t>
            </w:r>
          </w:p>
        </w:tc>
        <w:tc>
          <w:tcPr>
            <w:tcW w:w="1241" w:type="dxa"/>
          </w:tcPr>
          <w:p>
            <w:pPr>
              <w:pStyle w:val="17"/>
              <w:spacing w:before="81"/>
              <w:ind w:left="119" w:right="112"/>
              <w:jc w:val="center"/>
              <w:rPr>
                <w:sz w:val="24"/>
              </w:rPr>
            </w:pPr>
            <w:r>
              <w:rPr>
                <w:sz w:val="24"/>
              </w:rPr>
              <w:t>完成项目</w:t>
            </w:r>
          </w:p>
          <w:p>
            <w:pPr>
              <w:pStyle w:val="17"/>
              <w:spacing w:before="161"/>
              <w:ind w:left="119" w:right="112"/>
              <w:jc w:val="center"/>
              <w:rPr>
                <w:sz w:val="24"/>
              </w:rPr>
            </w:pPr>
            <w:r>
              <w:rPr>
                <w:sz w:val="24"/>
              </w:rPr>
              <w:t>质量</w:t>
            </w:r>
          </w:p>
        </w:tc>
        <w:tc>
          <w:tcPr>
            <w:tcW w:w="1309" w:type="dxa"/>
          </w:tcPr>
          <w:p>
            <w:pPr>
              <w:pStyle w:val="17"/>
              <w:spacing w:before="7"/>
              <w:rPr>
                <w:sz w:val="24"/>
              </w:rPr>
            </w:pPr>
          </w:p>
          <w:p>
            <w:pPr>
              <w:pStyle w:val="17"/>
              <w:ind w:left="412"/>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21" w:type="dxa"/>
          </w:tcPr>
          <w:p>
            <w:pPr>
              <w:pStyle w:val="17"/>
              <w:rPr>
                <w:rFonts w:ascii="Times New Roman"/>
                <w:sz w:val="24"/>
              </w:rPr>
            </w:pPr>
          </w:p>
        </w:tc>
        <w:tc>
          <w:tcPr>
            <w:tcW w:w="1377" w:type="dxa"/>
          </w:tcPr>
          <w:p>
            <w:pPr>
              <w:pStyle w:val="17"/>
              <w:rPr>
                <w:rFonts w:ascii="Times New Roman"/>
                <w:sz w:val="24"/>
              </w:rPr>
            </w:pPr>
          </w:p>
        </w:tc>
        <w:tc>
          <w:tcPr>
            <w:tcW w:w="1353" w:type="dxa"/>
          </w:tcPr>
          <w:p>
            <w:pPr>
              <w:pStyle w:val="17"/>
              <w:rPr>
                <w:rFonts w:ascii="Times New Roman"/>
                <w:sz w:val="24"/>
              </w:rPr>
            </w:pPr>
          </w:p>
        </w:tc>
        <w:tc>
          <w:tcPr>
            <w:tcW w:w="1374" w:type="dxa"/>
          </w:tcPr>
          <w:p>
            <w:pPr>
              <w:pStyle w:val="17"/>
              <w:rPr>
                <w:rFonts w:ascii="Times New Roman"/>
                <w:sz w:val="24"/>
              </w:rPr>
            </w:pPr>
          </w:p>
        </w:tc>
        <w:tc>
          <w:tcPr>
            <w:tcW w:w="1391" w:type="dxa"/>
          </w:tcPr>
          <w:p>
            <w:pPr>
              <w:pStyle w:val="17"/>
              <w:rPr>
                <w:rFonts w:ascii="Times New Roman"/>
                <w:sz w:val="24"/>
              </w:rPr>
            </w:pPr>
          </w:p>
        </w:tc>
        <w:tc>
          <w:tcPr>
            <w:tcW w:w="1241" w:type="dxa"/>
          </w:tcPr>
          <w:p>
            <w:pPr>
              <w:pStyle w:val="17"/>
              <w:rPr>
                <w:rFonts w:ascii="Times New Roman"/>
                <w:sz w:val="24"/>
              </w:rPr>
            </w:pPr>
          </w:p>
        </w:tc>
        <w:tc>
          <w:tcPr>
            <w:tcW w:w="1309" w:type="dxa"/>
          </w:tcPr>
          <w:p>
            <w:pPr>
              <w:pStyle w:val="17"/>
              <w:rPr>
                <w:rFonts w:ascii="Times New Roman"/>
                <w:sz w:val="24"/>
              </w:rPr>
            </w:pPr>
          </w:p>
        </w:tc>
      </w:tr>
      <w:tr>
        <w:tblPrEx>
          <w:tblCellMar>
            <w:top w:w="0" w:type="dxa"/>
            <w:left w:w="0" w:type="dxa"/>
            <w:bottom w:w="0" w:type="dxa"/>
            <w:right w:w="0" w:type="dxa"/>
          </w:tblCellMar>
        </w:tblPrEx>
        <w:trPr>
          <w:trHeight w:val="468" w:hRule="atLeast"/>
        </w:trPr>
        <w:tc>
          <w:tcPr>
            <w:tcW w:w="921" w:type="dxa"/>
          </w:tcPr>
          <w:p>
            <w:pPr>
              <w:pStyle w:val="17"/>
              <w:rPr>
                <w:rFonts w:ascii="Times New Roman"/>
                <w:sz w:val="24"/>
              </w:rPr>
            </w:pPr>
          </w:p>
        </w:tc>
        <w:tc>
          <w:tcPr>
            <w:tcW w:w="1377" w:type="dxa"/>
          </w:tcPr>
          <w:p>
            <w:pPr>
              <w:pStyle w:val="17"/>
              <w:rPr>
                <w:rFonts w:ascii="Times New Roman"/>
                <w:sz w:val="24"/>
              </w:rPr>
            </w:pPr>
          </w:p>
        </w:tc>
        <w:tc>
          <w:tcPr>
            <w:tcW w:w="1353" w:type="dxa"/>
          </w:tcPr>
          <w:p>
            <w:pPr>
              <w:pStyle w:val="17"/>
              <w:rPr>
                <w:rFonts w:ascii="Times New Roman"/>
                <w:sz w:val="24"/>
              </w:rPr>
            </w:pPr>
          </w:p>
        </w:tc>
        <w:tc>
          <w:tcPr>
            <w:tcW w:w="1374" w:type="dxa"/>
          </w:tcPr>
          <w:p>
            <w:pPr>
              <w:pStyle w:val="17"/>
              <w:rPr>
                <w:rFonts w:ascii="Times New Roman"/>
                <w:sz w:val="24"/>
              </w:rPr>
            </w:pPr>
          </w:p>
        </w:tc>
        <w:tc>
          <w:tcPr>
            <w:tcW w:w="1391" w:type="dxa"/>
          </w:tcPr>
          <w:p>
            <w:pPr>
              <w:pStyle w:val="17"/>
              <w:rPr>
                <w:rFonts w:ascii="Times New Roman"/>
                <w:sz w:val="24"/>
              </w:rPr>
            </w:pPr>
          </w:p>
        </w:tc>
        <w:tc>
          <w:tcPr>
            <w:tcW w:w="1241" w:type="dxa"/>
          </w:tcPr>
          <w:p>
            <w:pPr>
              <w:pStyle w:val="17"/>
              <w:rPr>
                <w:rFonts w:ascii="Times New Roman"/>
                <w:sz w:val="24"/>
              </w:rPr>
            </w:pPr>
          </w:p>
        </w:tc>
        <w:tc>
          <w:tcPr>
            <w:tcW w:w="1309"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21" w:type="dxa"/>
          </w:tcPr>
          <w:p>
            <w:pPr>
              <w:pStyle w:val="17"/>
              <w:rPr>
                <w:rFonts w:ascii="Times New Roman"/>
                <w:sz w:val="24"/>
              </w:rPr>
            </w:pPr>
          </w:p>
        </w:tc>
        <w:tc>
          <w:tcPr>
            <w:tcW w:w="1377" w:type="dxa"/>
          </w:tcPr>
          <w:p>
            <w:pPr>
              <w:pStyle w:val="17"/>
              <w:rPr>
                <w:rFonts w:ascii="Times New Roman"/>
                <w:sz w:val="24"/>
              </w:rPr>
            </w:pPr>
          </w:p>
        </w:tc>
        <w:tc>
          <w:tcPr>
            <w:tcW w:w="1353" w:type="dxa"/>
          </w:tcPr>
          <w:p>
            <w:pPr>
              <w:pStyle w:val="17"/>
              <w:rPr>
                <w:rFonts w:ascii="Times New Roman"/>
                <w:sz w:val="24"/>
              </w:rPr>
            </w:pPr>
          </w:p>
        </w:tc>
        <w:tc>
          <w:tcPr>
            <w:tcW w:w="1374" w:type="dxa"/>
          </w:tcPr>
          <w:p>
            <w:pPr>
              <w:pStyle w:val="17"/>
              <w:rPr>
                <w:rFonts w:ascii="Times New Roman"/>
                <w:sz w:val="24"/>
              </w:rPr>
            </w:pPr>
          </w:p>
        </w:tc>
        <w:tc>
          <w:tcPr>
            <w:tcW w:w="1391" w:type="dxa"/>
          </w:tcPr>
          <w:p>
            <w:pPr>
              <w:pStyle w:val="17"/>
              <w:rPr>
                <w:rFonts w:ascii="Times New Roman"/>
                <w:sz w:val="24"/>
              </w:rPr>
            </w:pPr>
          </w:p>
        </w:tc>
        <w:tc>
          <w:tcPr>
            <w:tcW w:w="1241" w:type="dxa"/>
          </w:tcPr>
          <w:p>
            <w:pPr>
              <w:pStyle w:val="17"/>
              <w:rPr>
                <w:rFonts w:ascii="Times New Roman"/>
                <w:sz w:val="24"/>
              </w:rPr>
            </w:pPr>
          </w:p>
        </w:tc>
        <w:tc>
          <w:tcPr>
            <w:tcW w:w="1309" w:type="dxa"/>
          </w:tcPr>
          <w:p>
            <w:pPr>
              <w:pStyle w:val="17"/>
              <w:rPr>
                <w:rFonts w:ascii="Times New Roman"/>
                <w:sz w:val="24"/>
              </w:rPr>
            </w:pPr>
          </w:p>
        </w:tc>
      </w:tr>
      <w:tr>
        <w:tblPrEx>
          <w:tblCellMar>
            <w:top w:w="0" w:type="dxa"/>
            <w:left w:w="0" w:type="dxa"/>
            <w:bottom w:w="0" w:type="dxa"/>
            <w:right w:w="0" w:type="dxa"/>
          </w:tblCellMar>
        </w:tblPrEx>
        <w:trPr>
          <w:trHeight w:val="467" w:hRule="atLeast"/>
        </w:trPr>
        <w:tc>
          <w:tcPr>
            <w:tcW w:w="921" w:type="dxa"/>
          </w:tcPr>
          <w:p>
            <w:pPr>
              <w:pStyle w:val="17"/>
              <w:rPr>
                <w:rFonts w:ascii="Times New Roman"/>
                <w:sz w:val="24"/>
              </w:rPr>
            </w:pPr>
          </w:p>
        </w:tc>
        <w:tc>
          <w:tcPr>
            <w:tcW w:w="1377" w:type="dxa"/>
          </w:tcPr>
          <w:p>
            <w:pPr>
              <w:pStyle w:val="17"/>
              <w:rPr>
                <w:rFonts w:ascii="Times New Roman"/>
                <w:sz w:val="24"/>
              </w:rPr>
            </w:pPr>
          </w:p>
        </w:tc>
        <w:tc>
          <w:tcPr>
            <w:tcW w:w="1353" w:type="dxa"/>
          </w:tcPr>
          <w:p>
            <w:pPr>
              <w:pStyle w:val="17"/>
              <w:rPr>
                <w:rFonts w:ascii="Times New Roman"/>
                <w:sz w:val="24"/>
              </w:rPr>
            </w:pPr>
          </w:p>
        </w:tc>
        <w:tc>
          <w:tcPr>
            <w:tcW w:w="1374" w:type="dxa"/>
          </w:tcPr>
          <w:p>
            <w:pPr>
              <w:pStyle w:val="17"/>
              <w:rPr>
                <w:rFonts w:ascii="Times New Roman"/>
                <w:sz w:val="24"/>
              </w:rPr>
            </w:pPr>
          </w:p>
        </w:tc>
        <w:tc>
          <w:tcPr>
            <w:tcW w:w="1391" w:type="dxa"/>
          </w:tcPr>
          <w:p>
            <w:pPr>
              <w:pStyle w:val="17"/>
              <w:rPr>
                <w:rFonts w:ascii="Times New Roman"/>
                <w:sz w:val="24"/>
              </w:rPr>
            </w:pPr>
          </w:p>
        </w:tc>
        <w:tc>
          <w:tcPr>
            <w:tcW w:w="1241" w:type="dxa"/>
          </w:tcPr>
          <w:p>
            <w:pPr>
              <w:pStyle w:val="17"/>
              <w:rPr>
                <w:rFonts w:ascii="Times New Roman"/>
                <w:sz w:val="24"/>
              </w:rPr>
            </w:pPr>
          </w:p>
        </w:tc>
        <w:tc>
          <w:tcPr>
            <w:tcW w:w="1309"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21" w:type="dxa"/>
          </w:tcPr>
          <w:p>
            <w:pPr>
              <w:pStyle w:val="17"/>
              <w:rPr>
                <w:rFonts w:ascii="Times New Roman"/>
                <w:sz w:val="24"/>
              </w:rPr>
            </w:pPr>
          </w:p>
        </w:tc>
        <w:tc>
          <w:tcPr>
            <w:tcW w:w="1377" w:type="dxa"/>
          </w:tcPr>
          <w:p>
            <w:pPr>
              <w:pStyle w:val="17"/>
              <w:rPr>
                <w:rFonts w:ascii="Times New Roman"/>
                <w:sz w:val="24"/>
              </w:rPr>
            </w:pPr>
          </w:p>
        </w:tc>
        <w:tc>
          <w:tcPr>
            <w:tcW w:w="1353" w:type="dxa"/>
          </w:tcPr>
          <w:p>
            <w:pPr>
              <w:pStyle w:val="17"/>
              <w:rPr>
                <w:rFonts w:ascii="Times New Roman"/>
                <w:sz w:val="24"/>
              </w:rPr>
            </w:pPr>
          </w:p>
        </w:tc>
        <w:tc>
          <w:tcPr>
            <w:tcW w:w="1374" w:type="dxa"/>
          </w:tcPr>
          <w:p>
            <w:pPr>
              <w:pStyle w:val="17"/>
              <w:rPr>
                <w:rFonts w:ascii="Times New Roman"/>
                <w:sz w:val="24"/>
              </w:rPr>
            </w:pPr>
          </w:p>
        </w:tc>
        <w:tc>
          <w:tcPr>
            <w:tcW w:w="1391" w:type="dxa"/>
          </w:tcPr>
          <w:p>
            <w:pPr>
              <w:pStyle w:val="17"/>
              <w:rPr>
                <w:rFonts w:ascii="Times New Roman"/>
                <w:sz w:val="24"/>
              </w:rPr>
            </w:pPr>
          </w:p>
        </w:tc>
        <w:tc>
          <w:tcPr>
            <w:tcW w:w="1241" w:type="dxa"/>
          </w:tcPr>
          <w:p>
            <w:pPr>
              <w:pStyle w:val="17"/>
              <w:rPr>
                <w:rFonts w:ascii="Times New Roman"/>
                <w:sz w:val="24"/>
              </w:rPr>
            </w:pPr>
          </w:p>
        </w:tc>
        <w:tc>
          <w:tcPr>
            <w:tcW w:w="1309"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21" w:type="dxa"/>
          </w:tcPr>
          <w:p>
            <w:pPr>
              <w:pStyle w:val="17"/>
              <w:rPr>
                <w:rFonts w:ascii="Times New Roman"/>
                <w:sz w:val="24"/>
              </w:rPr>
            </w:pPr>
          </w:p>
        </w:tc>
        <w:tc>
          <w:tcPr>
            <w:tcW w:w="1377" w:type="dxa"/>
          </w:tcPr>
          <w:p>
            <w:pPr>
              <w:pStyle w:val="17"/>
              <w:rPr>
                <w:rFonts w:ascii="Times New Roman"/>
                <w:sz w:val="24"/>
              </w:rPr>
            </w:pPr>
          </w:p>
        </w:tc>
        <w:tc>
          <w:tcPr>
            <w:tcW w:w="1353" w:type="dxa"/>
          </w:tcPr>
          <w:p>
            <w:pPr>
              <w:pStyle w:val="17"/>
              <w:rPr>
                <w:rFonts w:ascii="Times New Roman"/>
                <w:sz w:val="24"/>
              </w:rPr>
            </w:pPr>
          </w:p>
        </w:tc>
        <w:tc>
          <w:tcPr>
            <w:tcW w:w="1374" w:type="dxa"/>
          </w:tcPr>
          <w:p>
            <w:pPr>
              <w:pStyle w:val="17"/>
              <w:rPr>
                <w:rFonts w:ascii="Times New Roman"/>
                <w:sz w:val="24"/>
              </w:rPr>
            </w:pPr>
          </w:p>
        </w:tc>
        <w:tc>
          <w:tcPr>
            <w:tcW w:w="1391" w:type="dxa"/>
          </w:tcPr>
          <w:p>
            <w:pPr>
              <w:pStyle w:val="17"/>
              <w:rPr>
                <w:rFonts w:ascii="Times New Roman"/>
                <w:sz w:val="24"/>
              </w:rPr>
            </w:pPr>
          </w:p>
        </w:tc>
        <w:tc>
          <w:tcPr>
            <w:tcW w:w="1241" w:type="dxa"/>
          </w:tcPr>
          <w:p>
            <w:pPr>
              <w:pStyle w:val="17"/>
              <w:rPr>
                <w:rFonts w:ascii="Times New Roman"/>
                <w:sz w:val="24"/>
              </w:rPr>
            </w:pPr>
          </w:p>
        </w:tc>
        <w:tc>
          <w:tcPr>
            <w:tcW w:w="1309" w:type="dxa"/>
          </w:tcPr>
          <w:p>
            <w:pPr>
              <w:pStyle w:val="17"/>
              <w:rPr>
                <w:rFonts w:ascii="Times New Roman"/>
                <w:sz w:val="24"/>
              </w:rPr>
            </w:pPr>
          </w:p>
        </w:tc>
      </w:tr>
      <w:tr>
        <w:tblPrEx>
          <w:tblCellMar>
            <w:top w:w="0" w:type="dxa"/>
            <w:left w:w="0" w:type="dxa"/>
            <w:bottom w:w="0" w:type="dxa"/>
            <w:right w:w="0" w:type="dxa"/>
          </w:tblCellMar>
        </w:tblPrEx>
        <w:trPr>
          <w:trHeight w:val="468" w:hRule="atLeast"/>
        </w:trPr>
        <w:tc>
          <w:tcPr>
            <w:tcW w:w="921" w:type="dxa"/>
          </w:tcPr>
          <w:p>
            <w:pPr>
              <w:pStyle w:val="17"/>
              <w:rPr>
                <w:rFonts w:ascii="Times New Roman"/>
                <w:sz w:val="24"/>
              </w:rPr>
            </w:pPr>
          </w:p>
        </w:tc>
        <w:tc>
          <w:tcPr>
            <w:tcW w:w="1377" w:type="dxa"/>
          </w:tcPr>
          <w:p>
            <w:pPr>
              <w:pStyle w:val="17"/>
              <w:rPr>
                <w:rFonts w:ascii="Times New Roman"/>
                <w:sz w:val="24"/>
              </w:rPr>
            </w:pPr>
          </w:p>
        </w:tc>
        <w:tc>
          <w:tcPr>
            <w:tcW w:w="1353" w:type="dxa"/>
          </w:tcPr>
          <w:p>
            <w:pPr>
              <w:pStyle w:val="17"/>
              <w:rPr>
                <w:rFonts w:ascii="Times New Roman"/>
                <w:sz w:val="24"/>
              </w:rPr>
            </w:pPr>
          </w:p>
        </w:tc>
        <w:tc>
          <w:tcPr>
            <w:tcW w:w="1374" w:type="dxa"/>
          </w:tcPr>
          <w:p>
            <w:pPr>
              <w:pStyle w:val="17"/>
              <w:rPr>
                <w:rFonts w:ascii="Times New Roman"/>
                <w:sz w:val="24"/>
              </w:rPr>
            </w:pPr>
          </w:p>
        </w:tc>
        <w:tc>
          <w:tcPr>
            <w:tcW w:w="1391" w:type="dxa"/>
          </w:tcPr>
          <w:p>
            <w:pPr>
              <w:pStyle w:val="17"/>
              <w:rPr>
                <w:rFonts w:ascii="Times New Roman"/>
                <w:sz w:val="24"/>
              </w:rPr>
            </w:pPr>
          </w:p>
        </w:tc>
        <w:tc>
          <w:tcPr>
            <w:tcW w:w="1241" w:type="dxa"/>
          </w:tcPr>
          <w:p>
            <w:pPr>
              <w:pStyle w:val="17"/>
              <w:rPr>
                <w:rFonts w:ascii="Times New Roman"/>
                <w:sz w:val="24"/>
              </w:rPr>
            </w:pPr>
          </w:p>
        </w:tc>
        <w:tc>
          <w:tcPr>
            <w:tcW w:w="1309"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21" w:type="dxa"/>
          </w:tcPr>
          <w:p>
            <w:pPr>
              <w:pStyle w:val="17"/>
              <w:rPr>
                <w:rFonts w:ascii="Times New Roman"/>
                <w:sz w:val="24"/>
              </w:rPr>
            </w:pPr>
          </w:p>
        </w:tc>
        <w:tc>
          <w:tcPr>
            <w:tcW w:w="1377" w:type="dxa"/>
          </w:tcPr>
          <w:p>
            <w:pPr>
              <w:pStyle w:val="17"/>
              <w:rPr>
                <w:rFonts w:ascii="Times New Roman"/>
                <w:sz w:val="24"/>
              </w:rPr>
            </w:pPr>
          </w:p>
        </w:tc>
        <w:tc>
          <w:tcPr>
            <w:tcW w:w="1353" w:type="dxa"/>
          </w:tcPr>
          <w:p>
            <w:pPr>
              <w:pStyle w:val="17"/>
              <w:rPr>
                <w:rFonts w:ascii="Times New Roman"/>
                <w:sz w:val="24"/>
              </w:rPr>
            </w:pPr>
          </w:p>
        </w:tc>
        <w:tc>
          <w:tcPr>
            <w:tcW w:w="1374" w:type="dxa"/>
          </w:tcPr>
          <w:p>
            <w:pPr>
              <w:pStyle w:val="17"/>
              <w:rPr>
                <w:rFonts w:ascii="Times New Roman"/>
                <w:sz w:val="24"/>
              </w:rPr>
            </w:pPr>
          </w:p>
        </w:tc>
        <w:tc>
          <w:tcPr>
            <w:tcW w:w="1391" w:type="dxa"/>
          </w:tcPr>
          <w:p>
            <w:pPr>
              <w:pStyle w:val="17"/>
              <w:rPr>
                <w:rFonts w:ascii="Times New Roman"/>
                <w:sz w:val="24"/>
              </w:rPr>
            </w:pPr>
          </w:p>
        </w:tc>
        <w:tc>
          <w:tcPr>
            <w:tcW w:w="1241" w:type="dxa"/>
          </w:tcPr>
          <w:p>
            <w:pPr>
              <w:pStyle w:val="17"/>
              <w:rPr>
                <w:rFonts w:ascii="Times New Roman"/>
                <w:sz w:val="24"/>
              </w:rPr>
            </w:pPr>
          </w:p>
        </w:tc>
        <w:tc>
          <w:tcPr>
            <w:tcW w:w="1309"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21" w:type="dxa"/>
          </w:tcPr>
          <w:p>
            <w:pPr>
              <w:pStyle w:val="17"/>
              <w:rPr>
                <w:rFonts w:ascii="Times New Roman"/>
                <w:sz w:val="24"/>
              </w:rPr>
            </w:pPr>
          </w:p>
        </w:tc>
        <w:tc>
          <w:tcPr>
            <w:tcW w:w="1377" w:type="dxa"/>
          </w:tcPr>
          <w:p>
            <w:pPr>
              <w:pStyle w:val="17"/>
              <w:rPr>
                <w:rFonts w:ascii="Times New Roman"/>
                <w:sz w:val="24"/>
              </w:rPr>
            </w:pPr>
          </w:p>
        </w:tc>
        <w:tc>
          <w:tcPr>
            <w:tcW w:w="1353" w:type="dxa"/>
          </w:tcPr>
          <w:p>
            <w:pPr>
              <w:pStyle w:val="17"/>
              <w:rPr>
                <w:rFonts w:ascii="Times New Roman"/>
                <w:sz w:val="24"/>
              </w:rPr>
            </w:pPr>
          </w:p>
        </w:tc>
        <w:tc>
          <w:tcPr>
            <w:tcW w:w="1374" w:type="dxa"/>
          </w:tcPr>
          <w:p>
            <w:pPr>
              <w:pStyle w:val="17"/>
              <w:rPr>
                <w:rFonts w:ascii="Times New Roman"/>
                <w:sz w:val="24"/>
              </w:rPr>
            </w:pPr>
          </w:p>
        </w:tc>
        <w:tc>
          <w:tcPr>
            <w:tcW w:w="1391" w:type="dxa"/>
          </w:tcPr>
          <w:p>
            <w:pPr>
              <w:pStyle w:val="17"/>
              <w:rPr>
                <w:rFonts w:ascii="Times New Roman"/>
                <w:sz w:val="24"/>
              </w:rPr>
            </w:pPr>
          </w:p>
        </w:tc>
        <w:tc>
          <w:tcPr>
            <w:tcW w:w="1241" w:type="dxa"/>
          </w:tcPr>
          <w:p>
            <w:pPr>
              <w:pStyle w:val="17"/>
              <w:rPr>
                <w:rFonts w:ascii="Times New Roman"/>
                <w:sz w:val="24"/>
              </w:rPr>
            </w:pPr>
          </w:p>
        </w:tc>
        <w:tc>
          <w:tcPr>
            <w:tcW w:w="1309"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21" w:type="dxa"/>
          </w:tcPr>
          <w:p>
            <w:pPr>
              <w:pStyle w:val="17"/>
              <w:rPr>
                <w:rFonts w:ascii="Times New Roman"/>
                <w:sz w:val="24"/>
              </w:rPr>
            </w:pPr>
          </w:p>
        </w:tc>
        <w:tc>
          <w:tcPr>
            <w:tcW w:w="1377" w:type="dxa"/>
          </w:tcPr>
          <w:p>
            <w:pPr>
              <w:pStyle w:val="17"/>
              <w:rPr>
                <w:rFonts w:ascii="Times New Roman"/>
                <w:sz w:val="24"/>
              </w:rPr>
            </w:pPr>
          </w:p>
        </w:tc>
        <w:tc>
          <w:tcPr>
            <w:tcW w:w="1353" w:type="dxa"/>
          </w:tcPr>
          <w:p>
            <w:pPr>
              <w:pStyle w:val="17"/>
              <w:rPr>
                <w:rFonts w:ascii="Times New Roman"/>
                <w:sz w:val="24"/>
              </w:rPr>
            </w:pPr>
          </w:p>
        </w:tc>
        <w:tc>
          <w:tcPr>
            <w:tcW w:w="1374" w:type="dxa"/>
          </w:tcPr>
          <w:p>
            <w:pPr>
              <w:pStyle w:val="17"/>
              <w:rPr>
                <w:rFonts w:ascii="Times New Roman"/>
                <w:sz w:val="24"/>
              </w:rPr>
            </w:pPr>
          </w:p>
        </w:tc>
        <w:tc>
          <w:tcPr>
            <w:tcW w:w="1391" w:type="dxa"/>
          </w:tcPr>
          <w:p>
            <w:pPr>
              <w:pStyle w:val="17"/>
              <w:rPr>
                <w:rFonts w:ascii="Times New Roman"/>
                <w:sz w:val="24"/>
              </w:rPr>
            </w:pPr>
          </w:p>
        </w:tc>
        <w:tc>
          <w:tcPr>
            <w:tcW w:w="1241" w:type="dxa"/>
          </w:tcPr>
          <w:p>
            <w:pPr>
              <w:pStyle w:val="17"/>
              <w:rPr>
                <w:rFonts w:ascii="Times New Roman"/>
                <w:sz w:val="24"/>
              </w:rPr>
            </w:pPr>
          </w:p>
        </w:tc>
        <w:tc>
          <w:tcPr>
            <w:tcW w:w="1309"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21" w:type="dxa"/>
          </w:tcPr>
          <w:p>
            <w:pPr>
              <w:pStyle w:val="17"/>
              <w:rPr>
                <w:rFonts w:ascii="Times New Roman"/>
                <w:sz w:val="24"/>
              </w:rPr>
            </w:pPr>
          </w:p>
        </w:tc>
        <w:tc>
          <w:tcPr>
            <w:tcW w:w="1377" w:type="dxa"/>
          </w:tcPr>
          <w:p>
            <w:pPr>
              <w:pStyle w:val="17"/>
              <w:rPr>
                <w:rFonts w:ascii="Times New Roman"/>
                <w:sz w:val="24"/>
              </w:rPr>
            </w:pPr>
          </w:p>
        </w:tc>
        <w:tc>
          <w:tcPr>
            <w:tcW w:w="1353" w:type="dxa"/>
          </w:tcPr>
          <w:p>
            <w:pPr>
              <w:pStyle w:val="17"/>
              <w:rPr>
                <w:rFonts w:ascii="Times New Roman"/>
                <w:sz w:val="24"/>
              </w:rPr>
            </w:pPr>
          </w:p>
        </w:tc>
        <w:tc>
          <w:tcPr>
            <w:tcW w:w="1374" w:type="dxa"/>
          </w:tcPr>
          <w:p>
            <w:pPr>
              <w:pStyle w:val="17"/>
              <w:rPr>
                <w:rFonts w:ascii="Times New Roman"/>
                <w:sz w:val="24"/>
              </w:rPr>
            </w:pPr>
          </w:p>
        </w:tc>
        <w:tc>
          <w:tcPr>
            <w:tcW w:w="1391" w:type="dxa"/>
          </w:tcPr>
          <w:p>
            <w:pPr>
              <w:pStyle w:val="17"/>
              <w:rPr>
                <w:rFonts w:ascii="Times New Roman"/>
                <w:sz w:val="24"/>
              </w:rPr>
            </w:pPr>
          </w:p>
        </w:tc>
        <w:tc>
          <w:tcPr>
            <w:tcW w:w="1241" w:type="dxa"/>
          </w:tcPr>
          <w:p>
            <w:pPr>
              <w:pStyle w:val="17"/>
              <w:rPr>
                <w:rFonts w:ascii="Times New Roman"/>
                <w:sz w:val="24"/>
              </w:rPr>
            </w:pPr>
          </w:p>
        </w:tc>
        <w:tc>
          <w:tcPr>
            <w:tcW w:w="1309"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21" w:type="dxa"/>
          </w:tcPr>
          <w:p>
            <w:pPr>
              <w:pStyle w:val="17"/>
              <w:rPr>
                <w:rFonts w:ascii="Times New Roman"/>
                <w:sz w:val="24"/>
              </w:rPr>
            </w:pPr>
          </w:p>
        </w:tc>
        <w:tc>
          <w:tcPr>
            <w:tcW w:w="1377" w:type="dxa"/>
          </w:tcPr>
          <w:p>
            <w:pPr>
              <w:pStyle w:val="17"/>
              <w:rPr>
                <w:rFonts w:ascii="Times New Roman"/>
                <w:sz w:val="24"/>
              </w:rPr>
            </w:pPr>
          </w:p>
        </w:tc>
        <w:tc>
          <w:tcPr>
            <w:tcW w:w="1353" w:type="dxa"/>
          </w:tcPr>
          <w:p>
            <w:pPr>
              <w:pStyle w:val="17"/>
              <w:rPr>
                <w:rFonts w:ascii="Times New Roman"/>
                <w:sz w:val="24"/>
              </w:rPr>
            </w:pPr>
          </w:p>
        </w:tc>
        <w:tc>
          <w:tcPr>
            <w:tcW w:w="1374" w:type="dxa"/>
          </w:tcPr>
          <w:p>
            <w:pPr>
              <w:pStyle w:val="17"/>
              <w:rPr>
                <w:rFonts w:ascii="Times New Roman"/>
                <w:sz w:val="24"/>
              </w:rPr>
            </w:pPr>
          </w:p>
        </w:tc>
        <w:tc>
          <w:tcPr>
            <w:tcW w:w="1391" w:type="dxa"/>
          </w:tcPr>
          <w:p>
            <w:pPr>
              <w:pStyle w:val="17"/>
              <w:rPr>
                <w:rFonts w:ascii="Times New Roman"/>
                <w:sz w:val="24"/>
              </w:rPr>
            </w:pPr>
          </w:p>
        </w:tc>
        <w:tc>
          <w:tcPr>
            <w:tcW w:w="1241" w:type="dxa"/>
          </w:tcPr>
          <w:p>
            <w:pPr>
              <w:pStyle w:val="17"/>
              <w:rPr>
                <w:rFonts w:ascii="Times New Roman"/>
                <w:sz w:val="24"/>
              </w:rPr>
            </w:pPr>
          </w:p>
        </w:tc>
        <w:tc>
          <w:tcPr>
            <w:tcW w:w="1309"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21" w:type="dxa"/>
          </w:tcPr>
          <w:p>
            <w:pPr>
              <w:pStyle w:val="17"/>
              <w:rPr>
                <w:rFonts w:ascii="Times New Roman"/>
                <w:sz w:val="24"/>
              </w:rPr>
            </w:pPr>
          </w:p>
        </w:tc>
        <w:tc>
          <w:tcPr>
            <w:tcW w:w="1377" w:type="dxa"/>
          </w:tcPr>
          <w:p>
            <w:pPr>
              <w:pStyle w:val="17"/>
              <w:rPr>
                <w:rFonts w:ascii="Times New Roman"/>
                <w:sz w:val="24"/>
              </w:rPr>
            </w:pPr>
          </w:p>
        </w:tc>
        <w:tc>
          <w:tcPr>
            <w:tcW w:w="1353" w:type="dxa"/>
          </w:tcPr>
          <w:p>
            <w:pPr>
              <w:pStyle w:val="17"/>
              <w:rPr>
                <w:rFonts w:ascii="Times New Roman"/>
                <w:sz w:val="24"/>
              </w:rPr>
            </w:pPr>
          </w:p>
        </w:tc>
        <w:tc>
          <w:tcPr>
            <w:tcW w:w="1374" w:type="dxa"/>
          </w:tcPr>
          <w:p>
            <w:pPr>
              <w:pStyle w:val="17"/>
              <w:rPr>
                <w:rFonts w:ascii="Times New Roman"/>
                <w:sz w:val="24"/>
              </w:rPr>
            </w:pPr>
          </w:p>
        </w:tc>
        <w:tc>
          <w:tcPr>
            <w:tcW w:w="1391" w:type="dxa"/>
          </w:tcPr>
          <w:p>
            <w:pPr>
              <w:pStyle w:val="17"/>
              <w:rPr>
                <w:rFonts w:ascii="Times New Roman"/>
                <w:sz w:val="24"/>
              </w:rPr>
            </w:pPr>
          </w:p>
        </w:tc>
        <w:tc>
          <w:tcPr>
            <w:tcW w:w="1241" w:type="dxa"/>
          </w:tcPr>
          <w:p>
            <w:pPr>
              <w:pStyle w:val="17"/>
              <w:rPr>
                <w:rFonts w:ascii="Times New Roman"/>
                <w:sz w:val="24"/>
              </w:rPr>
            </w:pPr>
          </w:p>
        </w:tc>
        <w:tc>
          <w:tcPr>
            <w:tcW w:w="1309" w:type="dxa"/>
          </w:tcPr>
          <w:p>
            <w:pPr>
              <w:pStyle w:val="17"/>
              <w:rPr>
                <w:rFonts w:ascii="Times New Roman"/>
                <w:sz w:val="24"/>
              </w:rPr>
            </w:pPr>
          </w:p>
        </w:tc>
      </w:tr>
    </w:tbl>
    <w:p>
      <w:pPr>
        <w:pStyle w:val="7"/>
        <w:spacing w:before="82" w:line="364" w:lineRule="auto"/>
        <w:ind w:left="1080" w:right="1137"/>
      </w:pPr>
      <w:r>
        <w:rPr>
          <w:spacing w:val="-14"/>
        </w:rPr>
        <w:t>注：供应商</w:t>
      </w:r>
      <w:r>
        <w:t>（仅限于供应商以自身名义实施的</w:t>
      </w:r>
      <w:r>
        <w:rPr>
          <w:spacing w:val="-32"/>
        </w:rPr>
        <w:t>）</w:t>
      </w:r>
      <w:r>
        <w:rPr>
          <w:spacing w:val="-2"/>
        </w:rPr>
        <w:t>以上业绩需提供有关书面证明材</w:t>
      </w:r>
      <w:r>
        <w:t>料复印件。</w:t>
      </w:r>
    </w:p>
    <w:p>
      <w:pPr>
        <w:pStyle w:val="7"/>
      </w:pPr>
    </w:p>
    <w:p>
      <w:pPr>
        <w:pStyle w:val="7"/>
        <w:spacing w:before="161"/>
        <w:ind w:left="1080"/>
      </w:pPr>
      <w:r>
        <w:t>磋商供应商名称：(加盖公章)</w:t>
      </w:r>
    </w:p>
    <w:p>
      <w:pPr>
        <w:pStyle w:val="7"/>
        <w:spacing w:before="161" w:line="364" w:lineRule="auto"/>
        <w:ind w:left="1080" w:right="4165"/>
      </w:pPr>
      <w:r>
        <w:t>法定代表人或授权代表（签字或加盖个人名章）： 磋商日期:</w:t>
      </w:r>
    </w:p>
    <w:p>
      <w:pPr>
        <w:spacing w:line="364" w:lineRule="auto"/>
        <w:sectPr>
          <w:pgSz w:w="11910" w:h="16840"/>
          <w:pgMar w:top="1600" w:right="660" w:bottom="1160" w:left="720" w:header="949" w:footer="975" w:gutter="0"/>
          <w:pgBorders>
            <w:top w:val="none" w:sz="0" w:space="0"/>
            <w:left w:val="none" w:sz="0" w:space="0"/>
            <w:bottom w:val="none" w:sz="0" w:space="0"/>
            <w:right w:val="none" w:sz="0" w:space="0"/>
          </w:pgBorders>
          <w:cols w:space="720" w:num="1"/>
        </w:sectPr>
      </w:pPr>
    </w:p>
    <w:p>
      <w:pPr>
        <w:pStyle w:val="7"/>
        <w:spacing w:before="9"/>
      </w:pPr>
    </w:p>
    <w:p>
      <w:pPr>
        <w:pStyle w:val="6"/>
        <w:spacing w:before="66"/>
        <w:ind w:left="2664" w:right="2719"/>
        <w:jc w:val="center"/>
      </w:pPr>
      <w:bookmarkStart w:id="53" w:name="八、服务承诺"/>
      <w:bookmarkEnd w:id="53"/>
      <w:r>
        <w:t>八、服务承诺</w:t>
      </w:r>
    </w:p>
    <w:p>
      <w:pPr>
        <w:pStyle w:val="7"/>
        <w:rPr>
          <w:b/>
        </w:rPr>
      </w:pPr>
    </w:p>
    <w:p>
      <w:pPr>
        <w:pStyle w:val="7"/>
        <w:rPr>
          <w:b/>
        </w:rPr>
      </w:pPr>
    </w:p>
    <w:p>
      <w:pPr>
        <w:pStyle w:val="7"/>
        <w:rPr>
          <w:b/>
        </w:rPr>
      </w:pPr>
    </w:p>
    <w:p>
      <w:pPr>
        <w:pStyle w:val="7"/>
        <w:rPr>
          <w:b/>
        </w:rPr>
      </w:pPr>
    </w:p>
    <w:p>
      <w:pPr>
        <w:pStyle w:val="7"/>
        <w:rPr>
          <w:b/>
        </w:rPr>
      </w:pPr>
    </w:p>
    <w:p>
      <w:pPr>
        <w:pStyle w:val="7"/>
        <w:rPr>
          <w:b/>
        </w:rPr>
      </w:pPr>
    </w:p>
    <w:p>
      <w:pPr>
        <w:pStyle w:val="7"/>
        <w:rPr>
          <w:b/>
        </w:rPr>
      </w:pPr>
    </w:p>
    <w:p>
      <w:pPr>
        <w:spacing w:before="167"/>
        <w:ind w:left="2040"/>
        <w:rPr>
          <w:b/>
          <w:sz w:val="32"/>
        </w:rPr>
      </w:pPr>
      <w:r>
        <w:rPr>
          <w:b/>
          <w:sz w:val="32"/>
        </w:rPr>
        <w:t>（服务承诺具体内容由各供应商自拟）</w:t>
      </w:r>
    </w:p>
    <w:p>
      <w:pPr>
        <w:pStyle w:val="7"/>
        <w:rPr>
          <w:b/>
          <w:sz w:val="32"/>
        </w:rPr>
      </w:pPr>
    </w:p>
    <w:p>
      <w:pPr>
        <w:pStyle w:val="7"/>
        <w:rPr>
          <w:b/>
          <w:sz w:val="32"/>
        </w:rPr>
      </w:pPr>
    </w:p>
    <w:p>
      <w:pPr>
        <w:pStyle w:val="7"/>
        <w:rPr>
          <w:b/>
          <w:sz w:val="32"/>
        </w:rPr>
      </w:pPr>
    </w:p>
    <w:p>
      <w:pPr>
        <w:pStyle w:val="7"/>
        <w:rPr>
          <w:b/>
          <w:sz w:val="32"/>
        </w:rPr>
      </w:pPr>
    </w:p>
    <w:p>
      <w:pPr>
        <w:pStyle w:val="7"/>
        <w:rPr>
          <w:b/>
          <w:sz w:val="32"/>
        </w:rPr>
      </w:pPr>
    </w:p>
    <w:p>
      <w:pPr>
        <w:pStyle w:val="7"/>
        <w:rPr>
          <w:b/>
          <w:sz w:val="32"/>
        </w:rPr>
      </w:pPr>
    </w:p>
    <w:p>
      <w:pPr>
        <w:pStyle w:val="7"/>
        <w:rPr>
          <w:b/>
          <w:sz w:val="32"/>
        </w:rPr>
      </w:pPr>
    </w:p>
    <w:p>
      <w:pPr>
        <w:pStyle w:val="7"/>
        <w:rPr>
          <w:b/>
          <w:sz w:val="32"/>
        </w:rPr>
      </w:pPr>
    </w:p>
    <w:p>
      <w:pPr>
        <w:pStyle w:val="7"/>
        <w:rPr>
          <w:b/>
          <w:sz w:val="32"/>
        </w:rPr>
      </w:pPr>
    </w:p>
    <w:p>
      <w:pPr>
        <w:pStyle w:val="7"/>
        <w:rPr>
          <w:b/>
          <w:sz w:val="32"/>
        </w:rPr>
      </w:pPr>
    </w:p>
    <w:p>
      <w:pPr>
        <w:pStyle w:val="7"/>
        <w:rPr>
          <w:b/>
          <w:sz w:val="32"/>
        </w:rPr>
      </w:pPr>
    </w:p>
    <w:p>
      <w:pPr>
        <w:pStyle w:val="7"/>
        <w:rPr>
          <w:b/>
          <w:sz w:val="32"/>
        </w:rPr>
      </w:pPr>
    </w:p>
    <w:p>
      <w:pPr>
        <w:pStyle w:val="7"/>
        <w:spacing w:before="4"/>
        <w:rPr>
          <w:b/>
          <w:sz w:val="32"/>
        </w:rPr>
      </w:pPr>
    </w:p>
    <w:p>
      <w:pPr>
        <w:pStyle w:val="7"/>
        <w:ind w:left="1077"/>
      </w:pPr>
      <w:r>
        <w:t>磋商供应商名称：(加盖公章)</w:t>
      </w:r>
    </w:p>
    <w:p>
      <w:pPr>
        <w:pStyle w:val="7"/>
        <w:spacing w:before="161" w:line="364" w:lineRule="auto"/>
        <w:ind w:left="1077" w:right="4166"/>
      </w:pPr>
      <w:r>
        <w:t>法定代表人或授权代表（签字或加盖个人名章）： 磋商日期:</w:t>
      </w:r>
    </w:p>
    <w:p>
      <w:pPr>
        <w:spacing w:line="364" w:lineRule="auto"/>
        <w:sectPr>
          <w:pgSz w:w="11910" w:h="16840"/>
          <w:pgMar w:top="1600" w:right="660" w:bottom="1160" w:left="720" w:header="949" w:footer="975" w:gutter="0"/>
          <w:pgBorders>
            <w:top w:val="none" w:sz="0" w:space="0"/>
            <w:left w:val="none" w:sz="0" w:space="0"/>
            <w:bottom w:val="none" w:sz="0" w:space="0"/>
            <w:right w:val="none" w:sz="0" w:space="0"/>
          </w:pgBorders>
          <w:cols w:space="720" w:num="1"/>
        </w:sectPr>
      </w:pPr>
    </w:p>
    <w:p>
      <w:pPr>
        <w:pStyle w:val="7"/>
        <w:spacing w:before="9"/>
      </w:pPr>
    </w:p>
    <w:p>
      <w:pPr>
        <w:widowControl/>
        <w:spacing w:line="360" w:lineRule="atLeast"/>
        <w:jc w:val="center"/>
        <w:outlineLvl w:val="1"/>
        <w:rPr>
          <w:rFonts w:ascii="黑体" w:eastAsia="黑体"/>
          <w:b/>
          <w:sz w:val="32"/>
          <w:szCs w:val="32"/>
        </w:rPr>
      </w:pPr>
      <w:bookmarkStart w:id="54" w:name="九、中小企业声明函"/>
      <w:bookmarkEnd w:id="54"/>
      <w:r>
        <w:rPr>
          <w:rFonts w:hint="eastAsia" w:ascii="Times New Roman" w:hAnsi="Times New Roman" w:eastAsia="宋体" w:cs="Times New Roman"/>
          <w:b/>
          <w:bCs/>
          <w:color w:val="auto"/>
          <w:kern w:val="0"/>
          <w:sz w:val="28"/>
          <w:szCs w:val="32"/>
          <w:lang w:val="en-US" w:eastAsia="zh-CN" w:bidi="ar-SA"/>
        </w:rPr>
        <w:t>九、</w:t>
      </w:r>
      <w:bookmarkStart w:id="55" w:name="十、监狱企业证明材料"/>
      <w:bookmarkEnd w:id="55"/>
      <w:r>
        <w:rPr>
          <w:rFonts w:hint="eastAsia" w:ascii="Times New Roman" w:hAnsi="Times New Roman" w:eastAsia="宋体" w:cs="Times New Roman"/>
          <w:b/>
          <w:bCs/>
          <w:color w:val="auto"/>
          <w:kern w:val="0"/>
          <w:sz w:val="28"/>
          <w:szCs w:val="32"/>
          <w:lang w:val="en-US" w:eastAsia="zh-CN" w:bidi="ar-SA"/>
        </w:rPr>
        <w:t>中小企业（监狱企业）声明函</w:t>
      </w:r>
    </w:p>
    <w:p>
      <w:pPr>
        <w:spacing w:after="0"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本公司郑重声明，根据《政府采购促进中小企业发展管理办法》（财库〔2020</w:t>
      </w:r>
      <w:r>
        <w:rPr>
          <w:rFonts w:asciiTheme="minorEastAsia" w:hAnsiTheme="minorEastAsia" w:eastAsiaTheme="minorEastAsia"/>
          <w:sz w:val="24"/>
        </w:rPr>
        <w:t>〕</w:t>
      </w:r>
      <w:r>
        <w:rPr>
          <w:rFonts w:hint="eastAsia" w:asciiTheme="minorEastAsia" w:hAnsiTheme="minorEastAsia" w:eastAsiaTheme="minorEastAsia"/>
          <w:sz w:val="24"/>
        </w:rPr>
        <w:t>46 号）</w:t>
      </w:r>
      <w:r>
        <w:rPr>
          <w:rFonts w:asciiTheme="minorEastAsia" w:hAnsiTheme="minorEastAsia" w:eastAsiaTheme="minorEastAsia"/>
          <w:sz w:val="24"/>
        </w:rPr>
        <w:t>或</w:t>
      </w:r>
      <w:r>
        <w:rPr>
          <w:rFonts w:hint="eastAsia" w:cs="仿宋" w:asciiTheme="minorEastAsia" w:hAnsiTheme="minorEastAsia" w:eastAsiaTheme="minorEastAsia"/>
          <w:sz w:val="24"/>
        </w:rPr>
        <w:t>《政府采购支持监狱企业发展有关问题的通知》</w:t>
      </w:r>
      <w:r>
        <w:rPr>
          <w:rFonts w:hint="eastAsia" w:asciiTheme="minorEastAsia" w:hAnsiTheme="minorEastAsia" w:eastAsiaTheme="minorEastAsia"/>
          <w:sz w:val="24"/>
        </w:rPr>
        <w:t>（财库〔</w:t>
      </w:r>
      <w:r>
        <w:rPr>
          <w:rFonts w:asciiTheme="minorEastAsia" w:hAnsiTheme="minorEastAsia" w:eastAsiaTheme="minorEastAsia"/>
          <w:sz w:val="24"/>
        </w:rPr>
        <w:t>2014〕68号）的规定，</w:t>
      </w:r>
      <w:r>
        <w:rPr>
          <w:rFonts w:hint="eastAsia" w:asciiTheme="minorEastAsia" w:hAnsiTheme="minorEastAsia" w:eastAsiaTheme="minorEastAsia"/>
          <w:sz w:val="24"/>
        </w:rPr>
        <w:t xml:space="preserve">本公司（联合体）参加 </w:t>
      </w:r>
      <w:r>
        <w:rPr>
          <w:rFonts w:hint="eastAsia" w:asciiTheme="minorEastAsia" w:hAnsiTheme="minorEastAsia" w:eastAsiaTheme="minorEastAsia"/>
          <w:sz w:val="24"/>
          <w:u w:val="single"/>
        </w:rPr>
        <w:t xml:space="preserve">（单位名称） </w:t>
      </w:r>
      <w:r>
        <w:rPr>
          <w:rFonts w:hint="eastAsia" w:asciiTheme="minorEastAsia" w:hAnsiTheme="minorEastAsia" w:eastAsiaTheme="minorEastAsia"/>
          <w:sz w:val="24"/>
        </w:rPr>
        <w:t xml:space="preserve">的 </w:t>
      </w:r>
      <w:r>
        <w:rPr>
          <w:rFonts w:hint="eastAsia" w:asciiTheme="minorEastAsia" w:hAnsiTheme="minorEastAsia" w:eastAsiaTheme="minorEastAsia"/>
          <w:sz w:val="24"/>
          <w:u w:val="single"/>
        </w:rPr>
        <w:t xml:space="preserve">（项目名称） </w:t>
      </w:r>
      <w:r>
        <w:rPr>
          <w:rFonts w:hint="eastAsia" w:asciiTheme="minorEastAsia" w:hAnsiTheme="minorEastAsia" w:eastAsiaTheme="minorEastAsia"/>
          <w:sz w:val="24"/>
        </w:rPr>
        <w:t>采购活动，</w:t>
      </w:r>
      <w:r>
        <w:rPr>
          <w:rFonts w:hint="eastAsia" w:ascii="宋体" w:hAnsi="宋体" w:cs="宋体"/>
          <w:color w:val="000000"/>
          <w:sz w:val="24"/>
        </w:rPr>
        <w:t>服务全部由符合政策要求的中小企业承接</w:t>
      </w:r>
      <w:r>
        <w:rPr>
          <w:rFonts w:hint="eastAsia" w:asciiTheme="minorEastAsia" w:hAnsiTheme="minorEastAsia" w:eastAsiaTheme="minorEastAsia"/>
          <w:sz w:val="24"/>
        </w:rPr>
        <w:t>。相关企业（含联合体中的中小企业、签订分包意向协议的中小企业）的具体情况如下：</w:t>
      </w:r>
      <w:r>
        <w:rPr>
          <w:rFonts w:asciiTheme="minorEastAsia" w:hAnsiTheme="minorEastAsia" w:eastAsiaTheme="minorEastAsia"/>
          <w:sz w:val="24"/>
        </w:rPr>
        <w:br w:type="textWrapping"/>
      </w:r>
      <w:r>
        <w:rPr>
          <w:rFonts w:hint="eastAsia" w:asciiTheme="minorEastAsia" w:hAnsiTheme="minorEastAsia" w:eastAsiaTheme="minorEastAsia"/>
          <w:sz w:val="24"/>
        </w:rPr>
        <w:t>　　</w:t>
      </w:r>
      <w:bookmarkStart w:id="56" w:name="_Toc413748654"/>
      <w:bookmarkStart w:id="57" w:name="_Toc419811733"/>
      <w:bookmarkStart w:id="58" w:name="_Toc387658050"/>
      <w:bookmarkStart w:id="59" w:name="_Toc387147344"/>
      <w:bookmarkStart w:id="60" w:name="_Toc417911732"/>
      <w:r>
        <w:rPr>
          <w:rFonts w:hint="eastAsia" w:asciiTheme="minorEastAsia" w:hAnsiTheme="minorEastAsia" w:eastAsiaTheme="minorEastAsia"/>
          <w:sz w:val="24"/>
        </w:rPr>
        <w:t xml:space="preserve">1. </w:t>
      </w:r>
      <w:r>
        <w:rPr>
          <w:rFonts w:hint="eastAsia" w:asciiTheme="minorEastAsia" w:hAnsiTheme="minorEastAsia" w:eastAsiaTheme="minorEastAsia"/>
          <w:sz w:val="24"/>
          <w:u w:val="single"/>
        </w:rPr>
        <w:t xml:space="preserve">（标的名称） </w:t>
      </w:r>
      <w:r>
        <w:rPr>
          <w:rFonts w:hint="eastAsia" w:asciiTheme="minorEastAsia" w:hAnsiTheme="minorEastAsia" w:eastAsiaTheme="minorEastAsia"/>
          <w:sz w:val="24"/>
        </w:rPr>
        <w:t>，属于</w:t>
      </w:r>
      <w:r>
        <w:rPr>
          <w:rFonts w:hint="eastAsia" w:asciiTheme="minorEastAsia" w:hAnsiTheme="minorEastAsia" w:eastAsiaTheme="minorEastAsia"/>
          <w:sz w:val="24"/>
          <w:u w:val="single"/>
        </w:rPr>
        <w:t xml:space="preserve"> （采购文件中明确的所属行业） </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供应商</w:t>
      </w:r>
      <w:r>
        <w:rPr>
          <w:rFonts w:hint="eastAsia" w:asciiTheme="minorEastAsia" w:hAnsiTheme="minorEastAsia" w:eastAsiaTheme="minorEastAsia"/>
          <w:sz w:val="24"/>
        </w:rPr>
        <w:t>为</w:t>
      </w:r>
      <w:r>
        <w:rPr>
          <w:rFonts w:hint="eastAsia" w:asciiTheme="minorEastAsia" w:hAnsiTheme="minorEastAsia" w:eastAsiaTheme="minorEastAsia"/>
          <w:sz w:val="24"/>
          <w:u w:val="single"/>
        </w:rPr>
        <w:t xml:space="preserve"> （企业名称） </w:t>
      </w:r>
      <w:r>
        <w:rPr>
          <w:rFonts w:hint="eastAsia" w:asciiTheme="minorEastAsia" w:hAnsiTheme="minorEastAsia" w:eastAsiaTheme="minorEastAsia"/>
          <w:sz w:val="24"/>
        </w:rPr>
        <w:t>，从业人员</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人，营业收入为</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万元，资产总额为</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万元，属于</w:t>
      </w:r>
      <w:r>
        <w:rPr>
          <w:rFonts w:hint="eastAsia" w:asciiTheme="minorEastAsia" w:hAnsiTheme="minorEastAsia" w:eastAsiaTheme="minorEastAsia"/>
          <w:sz w:val="24"/>
          <w:u w:val="single"/>
        </w:rPr>
        <w:t xml:space="preserve"> （中型企业、小型企业、微型企业、</w:t>
      </w:r>
      <w:r>
        <w:rPr>
          <w:rFonts w:asciiTheme="minorEastAsia" w:hAnsiTheme="minorEastAsia" w:eastAsiaTheme="minorEastAsia"/>
          <w:sz w:val="24"/>
          <w:u w:val="single"/>
        </w:rPr>
        <w:t>监狱企业</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after="0" w:line="360" w:lineRule="auto"/>
        <w:ind w:firstLine="600" w:firstLineChars="250"/>
        <w:jc w:val="left"/>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u w:val="single"/>
        </w:rPr>
        <w:t xml:space="preserve"> （标的名称） </w:t>
      </w:r>
      <w:r>
        <w:rPr>
          <w:rFonts w:hint="eastAsia" w:asciiTheme="minorEastAsia" w:hAnsiTheme="minorEastAsia" w:eastAsiaTheme="minorEastAsia"/>
          <w:sz w:val="24"/>
        </w:rPr>
        <w:t>，属于</w:t>
      </w:r>
      <w:r>
        <w:rPr>
          <w:rFonts w:hint="eastAsia" w:asciiTheme="minorEastAsia" w:hAnsiTheme="minorEastAsia" w:eastAsiaTheme="minorEastAsia"/>
          <w:sz w:val="24"/>
          <w:u w:val="single"/>
        </w:rPr>
        <w:t xml:space="preserve"> （采购文件中明确的所属行业） </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供应商</w:t>
      </w:r>
      <w:r>
        <w:rPr>
          <w:rFonts w:hint="eastAsia" w:asciiTheme="minorEastAsia" w:hAnsiTheme="minorEastAsia" w:eastAsiaTheme="minorEastAsia"/>
          <w:sz w:val="24"/>
        </w:rPr>
        <w:t>为</w:t>
      </w:r>
      <w:r>
        <w:rPr>
          <w:rFonts w:hint="eastAsia" w:asciiTheme="minorEastAsia" w:hAnsiTheme="minorEastAsia" w:eastAsiaTheme="minorEastAsia"/>
          <w:sz w:val="24"/>
          <w:u w:val="single"/>
        </w:rPr>
        <w:t xml:space="preserve"> （企业名称） </w:t>
      </w:r>
      <w:r>
        <w:rPr>
          <w:rFonts w:hint="eastAsia" w:asciiTheme="minorEastAsia" w:hAnsiTheme="minorEastAsia" w:eastAsiaTheme="minorEastAsia"/>
          <w:sz w:val="24"/>
        </w:rPr>
        <w:t>，从业人员</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人，营业收入为</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万元，资产总额为</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万元，属于</w:t>
      </w:r>
      <w:r>
        <w:rPr>
          <w:rFonts w:hint="eastAsia" w:asciiTheme="minorEastAsia" w:hAnsiTheme="minorEastAsia" w:eastAsiaTheme="minorEastAsia"/>
          <w:sz w:val="24"/>
          <w:u w:val="single"/>
        </w:rPr>
        <w:t xml:space="preserve"> （中型企业、小型企业、微型企业、</w:t>
      </w:r>
      <w:r>
        <w:rPr>
          <w:rFonts w:asciiTheme="minorEastAsia" w:hAnsiTheme="minorEastAsia" w:eastAsiaTheme="minorEastAsia"/>
          <w:sz w:val="24"/>
          <w:u w:val="single"/>
        </w:rPr>
        <w:t>监狱企业</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after="0" w:line="360" w:lineRule="auto"/>
        <w:ind w:firstLine="600" w:firstLineChars="250"/>
        <w:jc w:val="left"/>
        <w:rPr>
          <w:rFonts w:asciiTheme="minorEastAsia" w:hAnsiTheme="minorEastAsia" w:eastAsiaTheme="minorEastAsia"/>
          <w:sz w:val="24"/>
        </w:rPr>
      </w:pPr>
      <w:r>
        <w:rPr>
          <w:rFonts w:hint="eastAsia" w:asciiTheme="minorEastAsia" w:hAnsiTheme="minorEastAsia" w:eastAsiaTheme="minorEastAsia"/>
          <w:sz w:val="24"/>
        </w:rPr>
        <w:t>……</w:t>
      </w:r>
    </w:p>
    <w:p>
      <w:pPr>
        <w:spacing w:after="0" w:line="360" w:lineRule="auto"/>
        <w:ind w:firstLine="600" w:firstLineChars="250"/>
        <w:jc w:val="left"/>
        <w:rPr>
          <w:rFonts w:asciiTheme="minorEastAsia" w:hAnsiTheme="minorEastAsia" w:eastAsiaTheme="minorEastAsia"/>
          <w:sz w:val="24"/>
        </w:rPr>
      </w:pPr>
      <w:r>
        <w:rPr>
          <w:rFonts w:hint="eastAsia" w:asciiTheme="minorEastAsia" w:hAnsiTheme="minorEastAsia" w:eastAsiaTheme="minorEastAsia"/>
          <w:sz w:val="24"/>
        </w:rPr>
        <w:t>以上企业，不属于大企业的分支机构，不存在控股股东为大企业的情形，也不存在与大企业的负责人为同一人的情形。</w:t>
      </w:r>
    </w:p>
    <w:p>
      <w:pPr>
        <w:spacing w:after="0" w:line="360" w:lineRule="auto"/>
        <w:ind w:firstLine="600" w:firstLineChars="250"/>
        <w:jc w:val="left"/>
        <w:rPr>
          <w:rFonts w:asciiTheme="minorEastAsia" w:hAnsiTheme="minorEastAsia" w:eastAsiaTheme="minorEastAsia"/>
          <w:sz w:val="24"/>
        </w:rPr>
      </w:pPr>
      <w:r>
        <w:rPr>
          <w:rFonts w:hint="eastAsia" w:asciiTheme="minorEastAsia" w:hAnsiTheme="minorEastAsia" w:eastAsiaTheme="minorEastAsia"/>
          <w:sz w:val="24"/>
        </w:rPr>
        <w:t>本企业对上述声明内容的真实性负责。如有虚假，将依法承担相应责任。</w:t>
      </w:r>
    </w:p>
    <w:p>
      <w:pPr>
        <w:spacing w:after="0" w:line="360" w:lineRule="auto"/>
        <w:jc w:val="center"/>
        <w:rPr>
          <w:rFonts w:asciiTheme="minorEastAsia" w:hAnsiTheme="minorEastAsia" w:eastAsiaTheme="minorEastAsia"/>
          <w:sz w:val="24"/>
        </w:rPr>
      </w:pPr>
      <w:r>
        <w:rPr>
          <w:rFonts w:hint="eastAsia" w:asciiTheme="minorEastAsia" w:hAnsiTheme="minorEastAsia" w:eastAsiaTheme="minorEastAsia"/>
          <w:sz w:val="24"/>
        </w:rPr>
        <w:t xml:space="preserve">                                 企业名称（盖章）：</w:t>
      </w:r>
    </w:p>
    <w:p>
      <w:pPr>
        <w:spacing w:after="0" w:line="360" w:lineRule="auto"/>
        <w:jc w:val="center"/>
        <w:rPr>
          <w:rFonts w:asciiTheme="minorEastAsia" w:hAnsiTheme="minorEastAsia" w:eastAsiaTheme="minorEastAsia"/>
          <w:sz w:val="24"/>
        </w:rPr>
      </w:pPr>
      <w:r>
        <w:rPr>
          <w:rFonts w:hint="eastAsia" w:asciiTheme="minorEastAsia" w:hAnsiTheme="minorEastAsia" w:eastAsiaTheme="minorEastAsia"/>
          <w:sz w:val="24"/>
        </w:rPr>
        <w:t xml:space="preserve">                        日 期：</w:t>
      </w:r>
    </w:p>
    <w:p>
      <w:pPr>
        <w:spacing w:after="0"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注：</w:t>
      </w:r>
    </w:p>
    <w:p>
      <w:pPr>
        <w:spacing w:after="0" w:line="360" w:lineRule="auto"/>
        <w:rPr>
          <w:rFonts w:cs="宋体" w:asciiTheme="minorEastAsia" w:hAnsiTheme="minorEastAsia" w:eastAsiaTheme="minorEastAsia"/>
          <w:sz w:val="24"/>
        </w:rPr>
      </w:pPr>
      <w:r>
        <w:rPr>
          <w:rFonts w:cs="宋体" w:asciiTheme="minorEastAsia" w:hAnsiTheme="minorEastAsia" w:eastAsiaTheme="minorEastAsia"/>
          <w:sz w:val="24"/>
        </w:rPr>
        <w:t>1、</w:t>
      </w:r>
      <w:r>
        <w:rPr>
          <w:rFonts w:hint="eastAsia" w:cs="宋体" w:asciiTheme="minorEastAsia" w:hAnsiTheme="minorEastAsia" w:eastAsiaTheme="minorEastAsia"/>
          <w:sz w:val="24"/>
          <w:lang w:eastAsia="zh-CN"/>
        </w:rPr>
        <w:t>供应商</w:t>
      </w:r>
      <w:r>
        <w:rPr>
          <w:rFonts w:cs="宋体" w:asciiTheme="minorEastAsia" w:hAnsiTheme="minorEastAsia" w:eastAsiaTheme="minorEastAsia"/>
          <w:sz w:val="24"/>
        </w:rPr>
        <w:t>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bookmarkEnd w:id="56"/>
      <w:bookmarkEnd w:id="57"/>
      <w:bookmarkEnd w:id="58"/>
      <w:bookmarkEnd w:id="59"/>
      <w:bookmarkEnd w:id="60"/>
    </w:p>
    <w:p>
      <w:pPr>
        <w:spacing w:after="0" w:line="360" w:lineRule="auto"/>
        <w:rPr>
          <w:rFonts w:cs="宋体" w:asciiTheme="minorEastAsia" w:hAnsiTheme="minorEastAsia" w:eastAsiaTheme="minorEastAsia"/>
          <w:sz w:val="24"/>
        </w:rPr>
      </w:pPr>
      <w:r>
        <w:rPr>
          <w:rFonts w:cs="宋体" w:asciiTheme="minorEastAsia" w:hAnsiTheme="minorEastAsia" w:eastAsiaTheme="minorEastAsia"/>
          <w:sz w:val="24"/>
        </w:rPr>
        <w:t>2、在政府采购活动中，监狱企业视同小型、微型企业，享受预留份额、评审中</w:t>
      </w:r>
      <w:r>
        <w:rPr>
          <w:rFonts w:hint="eastAsia" w:cs="宋体" w:asciiTheme="minorEastAsia" w:hAnsiTheme="minorEastAsia" w:eastAsiaTheme="minorEastAsia"/>
          <w:sz w:val="24"/>
        </w:rPr>
        <w:t>价格扣除等政府采购促进中小企业发展的政府采购政策。（监狱企业参加政府采购活动时，还应当提供由省级以上监狱管理局、戒毒管理局</w:t>
      </w:r>
      <w:r>
        <w:rPr>
          <w:rFonts w:cs="宋体" w:asciiTheme="minorEastAsia" w:hAnsiTheme="minorEastAsia" w:eastAsiaTheme="minorEastAsia"/>
          <w:sz w:val="24"/>
        </w:rPr>
        <w:t>(含新疆生产建设兵团)出具的属于监狱企业的证明文件。）</w:t>
      </w:r>
    </w:p>
    <w:p>
      <w:pPr>
        <w:spacing w:after="0" w:line="300" w:lineRule="exact"/>
        <w:rPr>
          <w:rFonts w:cs="宋体" w:asciiTheme="minorEastAsia" w:hAnsiTheme="minorEastAsia" w:eastAsiaTheme="minorEastAsia"/>
          <w:sz w:val="24"/>
        </w:rPr>
      </w:pPr>
      <w:r>
        <w:rPr>
          <w:rFonts w:cs="宋体" w:asciiTheme="minorEastAsia" w:hAnsiTheme="minorEastAsia" w:eastAsiaTheme="minorEastAsia"/>
          <w:sz w:val="24"/>
        </w:rPr>
        <w:t>3、</w:t>
      </w:r>
      <w:r>
        <w:rPr>
          <w:rFonts w:hint="eastAsia" w:cs="宋体" w:asciiTheme="minorEastAsia" w:hAnsiTheme="minorEastAsia" w:eastAsiaTheme="minorEastAsia"/>
          <w:sz w:val="24"/>
        </w:rPr>
        <w:t>从业人员、营业收入、资产总额填报上一年度数据，无上一年度数据的新成立企业及监狱</w:t>
      </w:r>
      <w:r>
        <w:rPr>
          <w:rFonts w:cs="宋体" w:asciiTheme="minorEastAsia" w:hAnsiTheme="minorEastAsia" w:eastAsiaTheme="minorEastAsia"/>
          <w:sz w:val="24"/>
        </w:rPr>
        <w:t>企业</w:t>
      </w:r>
      <w:r>
        <w:rPr>
          <w:rFonts w:hint="eastAsia" w:cs="宋体" w:asciiTheme="minorEastAsia" w:hAnsiTheme="minorEastAsia" w:eastAsiaTheme="minorEastAsia"/>
          <w:sz w:val="24"/>
        </w:rPr>
        <w:t>可不填报。</w:t>
      </w:r>
    </w:p>
    <w:p>
      <w:pPr>
        <w:pStyle w:val="6"/>
        <w:spacing w:before="123"/>
        <w:ind w:left="2661" w:right="2721"/>
        <w:jc w:val="center"/>
      </w:pPr>
    </w:p>
    <w:p>
      <w:pPr>
        <w:pStyle w:val="6"/>
        <w:spacing w:before="123"/>
        <w:ind w:left="2661" w:right="2721"/>
        <w:jc w:val="center"/>
      </w:pPr>
    </w:p>
    <w:p>
      <w:pPr>
        <w:pStyle w:val="6"/>
        <w:spacing w:before="123"/>
        <w:ind w:left="2661" w:right="2721"/>
        <w:jc w:val="center"/>
      </w:pPr>
    </w:p>
    <w:p>
      <w:pPr>
        <w:pStyle w:val="6"/>
        <w:spacing w:before="123"/>
        <w:ind w:left="2661" w:right="2721"/>
        <w:jc w:val="center"/>
      </w:pPr>
    </w:p>
    <w:p>
      <w:pPr>
        <w:pStyle w:val="6"/>
        <w:spacing w:before="123"/>
        <w:ind w:left="2661" w:right="2721"/>
        <w:jc w:val="center"/>
      </w:pPr>
    </w:p>
    <w:p>
      <w:pPr>
        <w:pStyle w:val="6"/>
        <w:spacing w:before="123"/>
        <w:ind w:left="2661" w:right="2721"/>
        <w:jc w:val="center"/>
      </w:pPr>
    </w:p>
    <w:p>
      <w:pPr>
        <w:pStyle w:val="6"/>
        <w:spacing w:before="123"/>
        <w:ind w:left="2661" w:right="2721"/>
        <w:jc w:val="center"/>
      </w:pPr>
      <w:r>
        <w:t>十、残疾人福利性单位声明函</w:t>
      </w:r>
    </w:p>
    <w:p>
      <w:pPr>
        <w:pStyle w:val="7"/>
        <w:rPr>
          <w:b/>
        </w:rPr>
      </w:pPr>
    </w:p>
    <w:p>
      <w:pPr>
        <w:pStyle w:val="7"/>
        <w:spacing w:before="1"/>
        <w:rPr>
          <w:b/>
          <w:sz w:val="25"/>
        </w:rPr>
      </w:pPr>
    </w:p>
    <w:p>
      <w:pPr>
        <w:pStyle w:val="7"/>
        <w:spacing w:line="364" w:lineRule="auto"/>
        <w:ind w:left="1077" w:right="1147" w:firstLine="504"/>
        <w:jc w:val="both"/>
      </w:pPr>
      <w:r>
        <w:t>本单位郑重声明，根据《财政部 民政部 中国残疾人联合会关于促进残疾人就业政府采购政策的通知》（财库〔2017〕 141 号）的规定，本单位为符合条件的残疾人福利性单位，且本单位参加</w:t>
      </w:r>
      <w:r>
        <w:rPr>
          <w:u w:val="single"/>
        </w:rPr>
        <w:t xml:space="preserve">    </w:t>
      </w:r>
      <w:r>
        <w:t>单位的</w:t>
      </w:r>
      <w:r>
        <w:rPr>
          <w:u w:val="single"/>
        </w:rPr>
        <w:t xml:space="preserve">     </w:t>
      </w:r>
      <w:r>
        <w:t>项目采购活动提供本单位制造的货物（由本单位承担工程/提供服务），或者提供其他残疾人福利性单位制造的货物（不包括使用非残疾人福利性单位注册商标的货物）。</w:t>
      </w:r>
    </w:p>
    <w:p>
      <w:pPr>
        <w:pStyle w:val="7"/>
        <w:spacing w:before="4"/>
        <w:ind w:left="242" w:right="57"/>
        <w:jc w:val="center"/>
      </w:pPr>
      <w:r>
        <w:t>本单位对上述声明的真实性负责。如有虚假，将依法承担相应责任。</w:t>
      </w:r>
    </w:p>
    <w:p>
      <w:pPr>
        <w:pStyle w:val="7"/>
      </w:pPr>
    </w:p>
    <w:p>
      <w:pPr>
        <w:pStyle w:val="7"/>
      </w:pPr>
    </w:p>
    <w:p>
      <w:pPr>
        <w:pStyle w:val="7"/>
      </w:pPr>
    </w:p>
    <w:p>
      <w:pPr>
        <w:pStyle w:val="7"/>
        <w:tabs>
          <w:tab w:val="left" w:pos="5107"/>
        </w:tabs>
        <w:spacing w:before="174" w:line="364" w:lineRule="auto"/>
        <w:ind w:left="4591" w:right="3709" w:hanging="32"/>
      </w:pPr>
      <w:r>
        <w:rPr>
          <w:spacing w:val="12"/>
        </w:rPr>
        <w:t>单位名称（盖章</w:t>
      </w:r>
      <w:r>
        <w:rPr>
          <w:spacing w:val="-3"/>
        </w:rPr>
        <w:t xml:space="preserve">）： </w:t>
      </w:r>
      <w:r>
        <w:t>日</w:t>
      </w:r>
      <w:r>
        <w:tab/>
      </w:r>
      <w:r>
        <w:rPr>
          <w:spacing w:val="12"/>
        </w:rPr>
        <w:t>期</w:t>
      </w:r>
      <w:r>
        <w:t>：</w:t>
      </w:r>
    </w:p>
    <w:p>
      <w:pPr>
        <w:pStyle w:val="7"/>
      </w:pPr>
    </w:p>
    <w:p>
      <w:pPr>
        <w:pStyle w:val="7"/>
      </w:pPr>
    </w:p>
    <w:p>
      <w:pPr>
        <w:pStyle w:val="7"/>
      </w:pPr>
    </w:p>
    <w:p>
      <w:pPr>
        <w:pStyle w:val="7"/>
      </w:pPr>
    </w:p>
    <w:p>
      <w:pPr>
        <w:pStyle w:val="7"/>
      </w:pPr>
    </w:p>
    <w:p>
      <w:pPr>
        <w:pStyle w:val="7"/>
      </w:pPr>
    </w:p>
    <w:p>
      <w:pPr>
        <w:pStyle w:val="7"/>
        <w:spacing w:before="6"/>
        <w:rPr>
          <w:sz w:val="30"/>
        </w:rPr>
      </w:pPr>
    </w:p>
    <w:p>
      <w:pPr>
        <w:pStyle w:val="7"/>
        <w:spacing w:line="364" w:lineRule="auto"/>
        <w:ind w:left="1077" w:right="1147"/>
      </w:pPr>
      <w:r>
        <w:t>（注：供应商属于残疾人福利性单位则提供，不属于残疾人福利性单位不需要提供）</w:t>
      </w:r>
    </w:p>
    <w:p>
      <w:pPr>
        <w:spacing w:line="364" w:lineRule="auto"/>
        <w:sectPr>
          <w:footerReference r:id="rId10" w:type="default"/>
          <w:pgSz w:w="11910" w:h="16840"/>
          <w:pgMar w:top="1600" w:right="660" w:bottom="1160" w:left="720" w:header="949" w:footer="975" w:gutter="0"/>
          <w:pgBorders>
            <w:top w:val="none" w:sz="0" w:space="0"/>
            <w:left w:val="none" w:sz="0" w:space="0"/>
            <w:bottom w:val="none" w:sz="0" w:space="0"/>
            <w:right w:val="none" w:sz="0" w:space="0"/>
          </w:pgBorders>
          <w:cols w:space="720" w:num="1"/>
        </w:sectPr>
      </w:pPr>
    </w:p>
    <w:p>
      <w:pPr>
        <w:pStyle w:val="7"/>
        <w:spacing w:before="9"/>
      </w:pPr>
    </w:p>
    <w:p>
      <w:pPr>
        <w:pStyle w:val="6"/>
        <w:spacing w:before="66"/>
        <w:ind w:left="0" w:right="60"/>
        <w:jc w:val="center"/>
      </w:pPr>
      <w:bookmarkStart w:id="61" w:name="十二、其他供应商认为需要提供的文件和资料"/>
      <w:bookmarkEnd w:id="61"/>
      <w:r>
        <w:t>十</w:t>
      </w:r>
      <w:r>
        <w:rPr>
          <w:rFonts w:hint="eastAsia"/>
          <w:lang w:eastAsia="zh-CN"/>
        </w:rPr>
        <w:t>一</w:t>
      </w:r>
      <w:r>
        <w:t>、其他供应商认为需要提供的文件和资料</w:t>
      </w:r>
    </w:p>
    <w:p>
      <w:pPr>
        <w:pStyle w:val="7"/>
        <w:rPr>
          <w:b/>
        </w:rPr>
      </w:pPr>
    </w:p>
    <w:p>
      <w:pPr>
        <w:pStyle w:val="7"/>
        <w:rPr>
          <w:b/>
        </w:rPr>
      </w:pPr>
    </w:p>
    <w:p>
      <w:pPr>
        <w:pStyle w:val="7"/>
        <w:rPr>
          <w:b/>
        </w:rPr>
      </w:pPr>
    </w:p>
    <w:p>
      <w:pPr>
        <w:pStyle w:val="7"/>
        <w:rPr>
          <w:b/>
        </w:rPr>
      </w:pPr>
    </w:p>
    <w:p>
      <w:pPr>
        <w:pStyle w:val="7"/>
        <w:rPr>
          <w:b/>
        </w:rPr>
      </w:pPr>
    </w:p>
    <w:p>
      <w:pPr>
        <w:pStyle w:val="7"/>
        <w:rPr>
          <w:b/>
        </w:rPr>
      </w:pPr>
    </w:p>
    <w:p>
      <w:pPr>
        <w:pStyle w:val="7"/>
        <w:rPr>
          <w:b/>
        </w:rPr>
      </w:pPr>
    </w:p>
    <w:p>
      <w:pPr>
        <w:pStyle w:val="7"/>
        <w:rPr>
          <w:b/>
        </w:rPr>
      </w:pPr>
    </w:p>
    <w:p>
      <w:pPr>
        <w:pStyle w:val="7"/>
        <w:rPr>
          <w:b/>
        </w:rPr>
      </w:pPr>
    </w:p>
    <w:p>
      <w:pPr>
        <w:pStyle w:val="7"/>
        <w:rPr>
          <w:b/>
        </w:rPr>
      </w:pPr>
    </w:p>
    <w:p>
      <w:pPr>
        <w:pStyle w:val="7"/>
        <w:rPr>
          <w:b/>
        </w:rPr>
      </w:pPr>
    </w:p>
    <w:p>
      <w:pPr>
        <w:spacing w:before="185"/>
        <w:ind w:right="79"/>
        <w:jc w:val="center"/>
        <w:rPr>
          <w:b/>
          <w:sz w:val="32"/>
        </w:rPr>
      </w:pPr>
      <w:r>
        <w:rPr>
          <w:b/>
          <w:sz w:val="32"/>
        </w:rPr>
        <w:t>（具体内容由各供应商自拟）</w:t>
      </w:r>
    </w:p>
    <w:p>
      <w:pPr>
        <w:jc w:val="center"/>
        <w:rPr>
          <w:sz w:val="32"/>
        </w:rPr>
        <w:sectPr>
          <w:headerReference r:id="rId11" w:type="default"/>
          <w:footerReference r:id="rId12" w:type="default"/>
          <w:pgSz w:w="11850" w:h="16790"/>
          <w:pgMar w:top="1600" w:right="760" w:bottom="1300" w:left="840" w:header="949" w:footer="1119" w:gutter="0"/>
          <w:pgBorders>
            <w:top w:val="none" w:sz="0" w:space="0"/>
            <w:left w:val="none" w:sz="0" w:space="0"/>
            <w:bottom w:val="none" w:sz="0" w:space="0"/>
            <w:right w:val="none" w:sz="0" w:space="0"/>
          </w:pgBorders>
          <w:pgNumType w:start="52"/>
          <w:cols w:space="720" w:num="1"/>
        </w:sectPr>
      </w:pPr>
    </w:p>
    <w:p>
      <w:pPr>
        <w:pStyle w:val="6"/>
        <w:tabs>
          <w:tab w:val="left" w:pos="1444"/>
        </w:tabs>
        <w:spacing w:before="123"/>
        <w:ind w:left="0" w:right="57"/>
        <w:jc w:val="center"/>
      </w:pPr>
      <w:r>
        <w:t>十</w:t>
      </w:r>
      <w:r>
        <w:rPr>
          <w:rFonts w:hint="eastAsia"/>
          <w:lang w:eastAsia="zh-CN"/>
        </w:rPr>
        <w:t>二</w:t>
      </w:r>
      <w:r>
        <w:t>、第</w:t>
      </w:r>
      <w:r>
        <w:rPr>
          <w:u w:val="single"/>
        </w:rPr>
        <w:t xml:space="preserve"> </w:t>
      </w:r>
      <w:r>
        <w:rPr>
          <w:u w:val="single"/>
        </w:rPr>
        <w:tab/>
      </w:r>
      <w:r>
        <w:t>次报价表（可以不在响应文件中报价）</w:t>
      </w:r>
    </w:p>
    <w:p>
      <w:pPr>
        <w:pStyle w:val="7"/>
        <w:rPr>
          <w:b/>
          <w:sz w:val="20"/>
        </w:rPr>
      </w:pPr>
    </w:p>
    <w:p>
      <w:pPr>
        <w:pStyle w:val="7"/>
        <w:spacing w:before="6" w:after="1"/>
        <w:rPr>
          <w:b/>
          <w:sz w:val="10"/>
        </w:rPr>
      </w:pPr>
    </w:p>
    <w:tbl>
      <w:tblPr>
        <w:tblStyle w:val="12"/>
        <w:tblW w:w="9384" w:type="dxa"/>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9"/>
        <w:gridCol w:w="6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39" w:type="dxa"/>
          </w:tcPr>
          <w:p>
            <w:pPr>
              <w:pStyle w:val="17"/>
              <w:spacing w:before="158"/>
              <w:ind w:left="7"/>
              <w:jc w:val="center"/>
              <w:rPr>
                <w:sz w:val="24"/>
              </w:rPr>
            </w:pPr>
            <w:r>
              <w:rPr>
                <w:sz w:val="24"/>
              </w:rPr>
              <w:t>采购项目名称</w:t>
            </w:r>
          </w:p>
        </w:tc>
        <w:tc>
          <w:tcPr>
            <w:tcW w:w="664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2739" w:type="dxa"/>
          </w:tcPr>
          <w:p>
            <w:pPr>
              <w:pStyle w:val="17"/>
              <w:spacing w:before="143"/>
              <w:ind w:left="7"/>
              <w:jc w:val="center"/>
              <w:rPr>
                <w:sz w:val="24"/>
              </w:rPr>
            </w:pPr>
            <w:r>
              <w:rPr>
                <w:sz w:val="24"/>
              </w:rPr>
              <w:t>采购项目编号</w:t>
            </w:r>
          </w:p>
        </w:tc>
        <w:tc>
          <w:tcPr>
            <w:tcW w:w="664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2739" w:type="dxa"/>
          </w:tcPr>
          <w:p>
            <w:pPr>
              <w:pStyle w:val="17"/>
              <w:spacing w:before="144"/>
              <w:ind w:left="7"/>
              <w:jc w:val="center"/>
              <w:rPr>
                <w:sz w:val="24"/>
              </w:rPr>
            </w:pPr>
            <w:r>
              <w:rPr>
                <w:sz w:val="24"/>
              </w:rPr>
              <w:t>包件号</w:t>
            </w:r>
          </w:p>
        </w:tc>
        <w:tc>
          <w:tcPr>
            <w:tcW w:w="664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2739" w:type="dxa"/>
          </w:tcPr>
          <w:p>
            <w:pPr>
              <w:pStyle w:val="17"/>
              <w:spacing w:before="143"/>
              <w:ind w:left="7"/>
              <w:jc w:val="center"/>
              <w:rPr>
                <w:sz w:val="24"/>
              </w:rPr>
            </w:pPr>
            <w:r>
              <w:rPr>
                <w:sz w:val="24"/>
              </w:rPr>
              <w:t>磋商供应商名称</w:t>
            </w:r>
          </w:p>
        </w:tc>
        <w:tc>
          <w:tcPr>
            <w:tcW w:w="664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2739" w:type="dxa"/>
          </w:tcPr>
          <w:p>
            <w:pPr>
              <w:pStyle w:val="17"/>
              <w:spacing w:before="10"/>
              <w:rPr>
                <w:b/>
                <w:sz w:val="19"/>
              </w:rPr>
            </w:pPr>
          </w:p>
          <w:p>
            <w:pPr>
              <w:pStyle w:val="17"/>
              <w:tabs>
                <w:tab w:val="left" w:pos="607"/>
              </w:tabs>
              <w:ind w:left="7"/>
              <w:jc w:val="center"/>
              <w:rPr>
                <w:sz w:val="24"/>
              </w:rPr>
            </w:pPr>
            <w:r>
              <w:rPr>
                <w:sz w:val="24"/>
              </w:rPr>
              <w:t>第</w:t>
            </w:r>
            <w:r>
              <w:rPr>
                <w:sz w:val="24"/>
                <w:u w:val="single"/>
              </w:rPr>
              <w:t xml:space="preserve"> </w:t>
            </w:r>
            <w:r>
              <w:rPr>
                <w:sz w:val="24"/>
                <w:u w:val="single"/>
              </w:rPr>
              <w:tab/>
            </w:r>
            <w:r>
              <w:rPr>
                <w:sz w:val="24"/>
              </w:rPr>
              <w:t>次报价</w:t>
            </w:r>
          </w:p>
        </w:tc>
        <w:tc>
          <w:tcPr>
            <w:tcW w:w="664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9" w:hRule="atLeast"/>
        </w:trPr>
        <w:tc>
          <w:tcPr>
            <w:tcW w:w="2739" w:type="dxa"/>
          </w:tcPr>
          <w:p>
            <w:pPr>
              <w:pStyle w:val="17"/>
              <w:rPr>
                <w:b/>
                <w:sz w:val="24"/>
              </w:rPr>
            </w:pPr>
          </w:p>
          <w:p>
            <w:pPr>
              <w:pStyle w:val="17"/>
              <w:rPr>
                <w:b/>
                <w:sz w:val="24"/>
              </w:rPr>
            </w:pPr>
          </w:p>
          <w:p>
            <w:pPr>
              <w:pStyle w:val="17"/>
              <w:rPr>
                <w:b/>
                <w:sz w:val="24"/>
              </w:rPr>
            </w:pPr>
          </w:p>
          <w:p>
            <w:pPr>
              <w:pStyle w:val="17"/>
              <w:spacing w:before="163"/>
              <w:ind w:left="7"/>
              <w:jc w:val="center"/>
              <w:rPr>
                <w:sz w:val="24"/>
              </w:rPr>
            </w:pPr>
            <w:r>
              <w:rPr>
                <w:sz w:val="24"/>
              </w:rPr>
              <w:t>分项报价</w:t>
            </w:r>
          </w:p>
        </w:tc>
        <w:tc>
          <w:tcPr>
            <w:tcW w:w="664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9" w:hRule="atLeast"/>
        </w:trPr>
        <w:tc>
          <w:tcPr>
            <w:tcW w:w="2739" w:type="dxa"/>
          </w:tcPr>
          <w:p>
            <w:pPr>
              <w:pStyle w:val="17"/>
              <w:rPr>
                <w:b/>
                <w:sz w:val="24"/>
              </w:rPr>
            </w:pPr>
          </w:p>
          <w:p>
            <w:pPr>
              <w:pStyle w:val="17"/>
              <w:rPr>
                <w:b/>
                <w:sz w:val="24"/>
              </w:rPr>
            </w:pPr>
          </w:p>
          <w:p>
            <w:pPr>
              <w:pStyle w:val="17"/>
              <w:rPr>
                <w:b/>
                <w:sz w:val="24"/>
              </w:rPr>
            </w:pPr>
          </w:p>
          <w:p>
            <w:pPr>
              <w:pStyle w:val="17"/>
              <w:spacing w:before="209"/>
              <w:ind w:left="7"/>
              <w:jc w:val="center"/>
              <w:rPr>
                <w:sz w:val="24"/>
              </w:rPr>
            </w:pPr>
            <w:r>
              <w:rPr>
                <w:sz w:val="24"/>
              </w:rPr>
              <w:t>其他承诺</w:t>
            </w:r>
          </w:p>
        </w:tc>
        <w:tc>
          <w:tcPr>
            <w:tcW w:w="6645" w:type="dxa"/>
          </w:tcPr>
          <w:p>
            <w:pPr>
              <w:pStyle w:val="17"/>
              <w:rPr>
                <w:rFonts w:ascii="Times New Roman"/>
                <w:sz w:val="24"/>
              </w:rPr>
            </w:pPr>
          </w:p>
        </w:tc>
      </w:tr>
    </w:tbl>
    <w:p>
      <w:pPr>
        <w:pStyle w:val="7"/>
        <w:spacing w:before="81"/>
        <w:ind w:left="960"/>
      </w:pPr>
      <w:r>
        <w:t>磋商供应商名称：(加盖公章)</w:t>
      </w:r>
    </w:p>
    <w:p>
      <w:pPr>
        <w:pStyle w:val="7"/>
        <w:tabs>
          <w:tab w:val="left" w:pos="2279"/>
          <w:tab w:val="left" w:pos="2879"/>
          <w:tab w:val="left" w:pos="3479"/>
        </w:tabs>
        <w:spacing w:before="161" w:line="364" w:lineRule="auto"/>
        <w:ind w:left="960" w:right="4009"/>
      </w:pPr>
      <w:r>
        <w:t>法定代表人或授权代表（签字或加盖个人名章</w:t>
      </w:r>
      <w:r>
        <w:rPr>
          <w:spacing w:val="-10"/>
        </w:rPr>
        <w:t xml:space="preserve">）： </w:t>
      </w: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pStyle w:val="6"/>
        <w:spacing w:before="1" w:line="364" w:lineRule="auto"/>
        <w:ind w:left="960" w:right="965"/>
      </w:pPr>
      <w:r>
        <w:t>注：1、此表每一页都须加盖供应商公章，并持未填写的模板带至现场根据实际需要填写（现场填写）后密封。</w:t>
      </w:r>
    </w:p>
    <w:p>
      <w:pPr>
        <w:pStyle w:val="6"/>
        <w:spacing w:before="1"/>
        <w:ind w:left="960"/>
      </w:pPr>
      <w:r>
        <w:t>2、供应商可将此表多印制几张带至现场。</w:t>
      </w:r>
    </w:p>
    <w:p>
      <w:pPr>
        <w:pStyle w:val="6"/>
        <w:spacing w:before="161"/>
        <w:ind w:left="960"/>
      </w:pPr>
      <w:r>
        <w:t>3、供应商的最终报价应当为不可变动的总和。</w:t>
      </w:r>
    </w:p>
    <w:p>
      <w:pPr>
        <w:sectPr>
          <w:pgSz w:w="11850" w:h="16790"/>
          <w:pgMar w:top="1600" w:right="760" w:bottom="1300" w:left="840" w:header="949" w:footer="1119" w:gutter="0"/>
          <w:pgBorders>
            <w:top w:val="none" w:sz="0" w:space="0"/>
            <w:left w:val="none" w:sz="0" w:space="0"/>
            <w:bottom w:val="none" w:sz="0" w:space="0"/>
            <w:right w:val="none" w:sz="0" w:space="0"/>
          </w:pgBorders>
          <w:cols w:space="720" w:num="1"/>
        </w:sectPr>
      </w:pPr>
    </w:p>
    <w:p>
      <w:pPr>
        <w:pStyle w:val="6"/>
        <w:spacing w:before="123"/>
        <w:ind w:left="0" w:right="62"/>
        <w:jc w:val="center"/>
      </w:pPr>
      <w:r>
        <w:t>十</w:t>
      </w:r>
      <w:r>
        <w:rPr>
          <w:rFonts w:hint="eastAsia"/>
          <w:lang w:eastAsia="zh-CN"/>
        </w:rPr>
        <w:t>三</w:t>
      </w:r>
      <w:r>
        <w:t>、最终报价表（可以不在响应文件中报价）</w:t>
      </w:r>
    </w:p>
    <w:p>
      <w:pPr>
        <w:pStyle w:val="7"/>
        <w:rPr>
          <w:b/>
          <w:sz w:val="20"/>
        </w:rPr>
      </w:pPr>
    </w:p>
    <w:p>
      <w:pPr>
        <w:pStyle w:val="7"/>
        <w:spacing w:before="6" w:after="1"/>
        <w:rPr>
          <w:b/>
          <w:sz w:val="10"/>
        </w:rPr>
      </w:pPr>
    </w:p>
    <w:tbl>
      <w:tblPr>
        <w:tblStyle w:val="12"/>
        <w:tblW w:w="9384" w:type="dxa"/>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9"/>
        <w:gridCol w:w="6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39" w:type="dxa"/>
          </w:tcPr>
          <w:p>
            <w:pPr>
              <w:pStyle w:val="17"/>
              <w:spacing w:before="158"/>
              <w:ind w:left="7"/>
              <w:jc w:val="center"/>
              <w:rPr>
                <w:sz w:val="24"/>
              </w:rPr>
            </w:pPr>
            <w:r>
              <w:rPr>
                <w:sz w:val="24"/>
              </w:rPr>
              <w:t>采购项目名称</w:t>
            </w:r>
          </w:p>
        </w:tc>
        <w:tc>
          <w:tcPr>
            <w:tcW w:w="664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2739" w:type="dxa"/>
          </w:tcPr>
          <w:p>
            <w:pPr>
              <w:pStyle w:val="17"/>
              <w:spacing w:before="143"/>
              <w:ind w:left="7"/>
              <w:jc w:val="center"/>
              <w:rPr>
                <w:sz w:val="24"/>
              </w:rPr>
            </w:pPr>
            <w:r>
              <w:rPr>
                <w:sz w:val="24"/>
              </w:rPr>
              <w:t>采购项目编号</w:t>
            </w:r>
          </w:p>
        </w:tc>
        <w:tc>
          <w:tcPr>
            <w:tcW w:w="664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2739" w:type="dxa"/>
          </w:tcPr>
          <w:p>
            <w:pPr>
              <w:pStyle w:val="17"/>
              <w:spacing w:before="144"/>
              <w:ind w:left="7"/>
              <w:jc w:val="center"/>
              <w:rPr>
                <w:sz w:val="24"/>
              </w:rPr>
            </w:pPr>
            <w:r>
              <w:rPr>
                <w:sz w:val="24"/>
              </w:rPr>
              <w:t>包件号</w:t>
            </w:r>
          </w:p>
        </w:tc>
        <w:tc>
          <w:tcPr>
            <w:tcW w:w="664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2739" w:type="dxa"/>
          </w:tcPr>
          <w:p>
            <w:pPr>
              <w:pStyle w:val="17"/>
              <w:spacing w:before="143"/>
              <w:ind w:left="7"/>
              <w:jc w:val="center"/>
              <w:rPr>
                <w:sz w:val="24"/>
              </w:rPr>
            </w:pPr>
            <w:r>
              <w:rPr>
                <w:sz w:val="24"/>
              </w:rPr>
              <w:t>磋商供应商名称</w:t>
            </w:r>
          </w:p>
        </w:tc>
        <w:tc>
          <w:tcPr>
            <w:tcW w:w="664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2739" w:type="dxa"/>
          </w:tcPr>
          <w:p>
            <w:pPr>
              <w:pStyle w:val="17"/>
              <w:spacing w:before="10"/>
              <w:rPr>
                <w:b/>
                <w:sz w:val="19"/>
              </w:rPr>
            </w:pPr>
          </w:p>
          <w:p>
            <w:pPr>
              <w:pStyle w:val="17"/>
              <w:ind w:left="7"/>
              <w:jc w:val="center"/>
              <w:rPr>
                <w:sz w:val="24"/>
              </w:rPr>
            </w:pPr>
            <w:r>
              <w:rPr>
                <w:sz w:val="24"/>
              </w:rPr>
              <w:t>最终报价</w:t>
            </w:r>
          </w:p>
        </w:tc>
        <w:tc>
          <w:tcPr>
            <w:tcW w:w="664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9" w:hRule="atLeast"/>
        </w:trPr>
        <w:tc>
          <w:tcPr>
            <w:tcW w:w="2739" w:type="dxa"/>
          </w:tcPr>
          <w:p>
            <w:pPr>
              <w:pStyle w:val="17"/>
              <w:rPr>
                <w:b/>
                <w:sz w:val="24"/>
              </w:rPr>
            </w:pPr>
          </w:p>
          <w:p>
            <w:pPr>
              <w:pStyle w:val="17"/>
              <w:rPr>
                <w:b/>
                <w:sz w:val="24"/>
              </w:rPr>
            </w:pPr>
          </w:p>
          <w:p>
            <w:pPr>
              <w:pStyle w:val="17"/>
              <w:rPr>
                <w:b/>
                <w:sz w:val="24"/>
              </w:rPr>
            </w:pPr>
          </w:p>
          <w:p>
            <w:pPr>
              <w:pStyle w:val="17"/>
              <w:spacing w:before="163"/>
              <w:ind w:left="7"/>
              <w:jc w:val="center"/>
              <w:rPr>
                <w:sz w:val="24"/>
              </w:rPr>
            </w:pPr>
            <w:r>
              <w:rPr>
                <w:sz w:val="24"/>
              </w:rPr>
              <w:t>分项报价</w:t>
            </w:r>
          </w:p>
        </w:tc>
        <w:tc>
          <w:tcPr>
            <w:tcW w:w="664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9" w:hRule="atLeast"/>
        </w:trPr>
        <w:tc>
          <w:tcPr>
            <w:tcW w:w="2739" w:type="dxa"/>
          </w:tcPr>
          <w:p>
            <w:pPr>
              <w:pStyle w:val="17"/>
              <w:rPr>
                <w:b/>
                <w:sz w:val="24"/>
              </w:rPr>
            </w:pPr>
          </w:p>
          <w:p>
            <w:pPr>
              <w:pStyle w:val="17"/>
              <w:rPr>
                <w:b/>
                <w:sz w:val="24"/>
              </w:rPr>
            </w:pPr>
          </w:p>
          <w:p>
            <w:pPr>
              <w:pStyle w:val="17"/>
              <w:rPr>
                <w:b/>
                <w:sz w:val="24"/>
              </w:rPr>
            </w:pPr>
          </w:p>
          <w:p>
            <w:pPr>
              <w:pStyle w:val="17"/>
              <w:spacing w:before="209"/>
              <w:ind w:left="7"/>
              <w:jc w:val="center"/>
              <w:rPr>
                <w:sz w:val="24"/>
              </w:rPr>
            </w:pPr>
            <w:r>
              <w:rPr>
                <w:sz w:val="24"/>
              </w:rPr>
              <w:t>其他承诺</w:t>
            </w:r>
          </w:p>
        </w:tc>
        <w:tc>
          <w:tcPr>
            <w:tcW w:w="6645" w:type="dxa"/>
          </w:tcPr>
          <w:p>
            <w:pPr>
              <w:pStyle w:val="17"/>
              <w:rPr>
                <w:rFonts w:ascii="Times New Roman"/>
                <w:sz w:val="24"/>
              </w:rPr>
            </w:pPr>
          </w:p>
        </w:tc>
      </w:tr>
    </w:tbl>
    <w:p>
      <w:pPr>
        <w:pStyle w:val="7"/>
        <w:spacing w:before="81"/>
        <w:ind w:left="960"/>
      </w:pPr>
      <w:r>
        <w:t>磋商供应商名称：(加盖公章)</w:t>
      </w:r>
    </w:p>
    <w:p>
      <w:pPr>
        <w:pStyle w:val="7"/>
        <w:tabs>
          <w:tab w:val="left" w:pos="2279"/>
          <w:tab w:val="left" w:pos="2879"/>
          <w:tab w:val="left" w:pos="3479"/>
        </w:tabs>
        <w:spacing w:before="161" w:line="364" w:lineRule="auto"/>
        <w:ind w:left="960" w:right="4009"/>
      </w:pPr>
      <w:r>
        <w:t>法定代表人或授权代表（签字或加盖个人名章</w:t>
      </w:r>
      <w:r>
        <w:rPr>
          <w:spacing w:val="-10"/>
        </w:rPr>
        <w:t xml:space="preserve">）： </w:t>
      </w: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pStyle w:val="6"/>
        <w:spacing w:before="1" w:line="364" w:lineRule="auto"/>
        <w:ind w:left="960" w:right="965"/>
      </w:pPr>
      <w:r>
        <w:t>注：1、此表每一页都须加盖供应商公章，并持未填写的模板带至现场根据实际需要填写（现场填写）后密封。</w:t>
      </w:r>
    </w:p>
    <w:p>
      <w:pPr>
        <w:pStyle w:val="6"/>
        <w:spacing w:before="1"/>
        <w:ind w:left="960"/>
      </w:pPr>
      <w:r>
        <w:t>2、供应商可将此表多印制几张带至现场。</w:t>
      </w:r>
    </w:p>
    <w:p>
      <w:pPr>
        <w:pStyle w:val="6"/>
        <w:spacing w:before="161"/>
        <w:ind w:left="960"/>
      </w:pPr>
      <w:r>
        <w:t>3、供应商的最终报价应当为不可变动的总和。</w:t>
      </w:r>
    </w:p>
    <w:p>
      <w:pPr>
        <w:sectPr>
          <w:pgSz w:w="11850" w:h="16790"/>
          <w:pgMar w:top="1600" w:right="760" w:bottom="1300" w:left="840" w:header="949" w:footer="1119" w:gutter="0"/>
          <w:pgBorders>
            <w:top w:val="none" w:sz="0" w:space="0"/>
            <w:left w:val="none" w:sz="0" w:space="0"/>
            <w:bottom w:val="none" w:sz="0" w:space="0"/>
            <w:right w:val="none" w:sz="0" w:space="0"/>
          </w:pgBorders>
          <w:cols w:space="720" w:num="1"/>
        </w:sectPr>
      </w:pPr>
    </w:p>
    <w:p>
      <w:pPr>
        <w:spacing w:before="123" w:line="364" w:lineRule="auto"/>
        <w:ind w:left="1440" w:right="4096" w:firstLine="2625"/>
        <w:rPr>
          <w:sz w:val="24"/>
        </w:rPr>
      </w:pPr>
      <w:r>
        <w:rPr>
          <w:b/>
          <w:sz w:val="24"/>
        </w:rPr>
        <w:t>第三部分 电子文档</w:t>
      </w:r>
      <w:r>
        <w:rPr>
          <w:sz w:val="24"/>
        </w:rPr>
        <w:t>用 U 盘（或光盘）封装，封面格式自拟。</w:t>
      </w:r>
    </w:p>
    <w:p>
      <w:pPr>
        <w:spacing w:line="364" w:lineRule="auto"/>
        <w:rPr>
          <w:sz w:val="24"/>
        </w:rPr>
        <w:sectPr>
          <w:pgSz w:w="11850" w:h="16790"/>
          <w:pgMar w:top="1600" w:right="760" w:bottom="1300" w:left="840" w:header="949" w:footer="1119" w:gutter="0"/>
          <w:pgBorders>
            <w:top w:val="none" w:sz="0" w:space="0"/>
            <w:left w:val="none" w:sz="0" w:space="0"/>
            <w:bottom w:val="none" w:sz="0" w:space="0"/>
            <w:right w:val="none" w:sz="0" w:space="0"/>
          </w:pgBorders>
          <w:cols w:space="720" w:num="1"/>
        </w:sectPr>
      </w:pPr>
    </w:p>
    <w:p>
      <w:pPr>
        <w:pStyle w:val="7"/>
        <w:spacing w:before="8"/>
        <w:rPr>
          <w:sz w:val="27"/>
        </w:rPr>
      </w:pPr>
    </w:p>
    <w:p>
      <w:pPr>
        <w:pStyle w:val="3"/>
        <w:tabs>
          <w:tab w:val="left" w:pos="1283"/>
        </w:tabs>
        <w:spacing w:before="54"/>
        <w:ind w:right="77"/>
      </w:pPr>
      <w:bookmarkStart w:id="62" w:name="_bookmark6"/>
      <w:bookmarkEnd w:id="62"/>
      <w:bookmarkStart w:id="63" w:name="第七章__评审方法"/>
      <w:bookmarkEnd w:id="63"/>
      <w:r>
        <w:t>第七章</w:t>
      </w:r>
      <w:r>
        <w:tab/>
      </w:r>
      <w:r>
        <w:t>评审方法</w:t>
      </w:r>
    </w:p>
    <w:p>
      <w:pPr>
        <w:pStyle w:val="7"/>
        <w:spacing w:before="12"/>
        <w:rPr>
          <w:b/>
          <w:sz w:val="34"/>
        </w:rPr>
      </w:pPr>
    </w:p>
    <w:p>
      <w:pPr>
        <w:pStyle w:val="6"/>
        <w:numPr>
          <w:ilvl w:val="0"/>
          <w:numId w:val="15"/>
        </w:numPr>
        <w:tabs>
          <w:tab w:val="left" w:pos="1674"/>
        </w:tabs>
        <w:rPr>
          <w:sz w:val="22"/>
        </w:rPr>
      </w:pPr>
      <w:bookmarkStart w:id="64" w:name="1.总则"/>
      <w:bookmarkEnd w:id="64"/>
      <w:r>
        <w:t>总则</w:t>
      </w:r>
    </w:p>
    <w:p>
      <w:pPr>
        <w:pStyle w:val="16"/>
        <w:numPr>
          <w:ilvl w:val="1"/>
          <w:numId w:val="15"/>
        </w:numPr>
        <w:tabs>
          <w:tab w:val="left" w:pos="1913"/>
        </w:tabs>
        <w:spacing w:line="364" w:lineRule="auto"/>
        <w:ind w:right="1039" w:firstLine="470"/>
        <w:jc w:val="both"/>
        <w:rPr>
          <w:sz w:val="24"/>
        </w:rPr>
      </w:pPr>
      <w:bookmarkStart w:id="65" w:name="1.1_根据《中华人民共和国政府采购法》、《中华人民共和国政府采购法实施条例》、"/>
      <w:bookmarkEnd w:id="65"/>
      <w:r>
        <w:rPr>
          <w:sz w:val="24"/>
        </w:rPr>
        <w:t>根据《中华人民共和国政府采购法》、《中华人民共和国政府采购法实施条例》、《政府采购竞争性磋商采购方式管理暂行办法》等法律制度，结合本采购项目特点制定本磋商方法。</w:t>
      </w:r>
    </w:p>
    <w:p>
      <w:pPr>
        <w:pStyle w:val="16"/>
        <w:numPr>
          <w:ilvl w:val="1"/>
          <w:numId w:val="15"/>
        </w:numPr>
        <w:tabs>
          <w:tab w:val="left" w:pos="1913"/>
        </w:tabs>
        <w:spacing w:before="2" w:line="364" w:lineRule="auto"/>
        <w:ind w:right="1039" w:firstLine="470"/>
        <w:jc w:val="both"/>
        <w:rPr>
          <w:sz w:val="24"/>
        </w:rPr>
      </w:pPr>
      <w:bookmarkStart w:id="66" w:name="1.2_磋商工作由采购代理机构负责组织，具体磋商由采购代理机构依法组建的磋商小组"/>
      <w:bookmarkEnd w:id="66"/>
      <w:r>
        <w:rPr>
          <w:sz w:val="24"/>
        </w:rPr>
        <w:t>磋商工作由采购代理机构负责组织，具体磋商由采购代理机构依法组建的磋商小组负责。</w:t>
      </w:r>
    </w:p>
    <w:p>
      <w:pPr>
        <w:pStyle w:val="16"/>
        <w:numPr>
          <w:ilvl w:val="1"/>
          <w:numId w:val="15"/>
        </w:numPr>
        <w:tabs>
          <w:tab w:val="left" w:pos="1913"/>
        </w:tabs>
        <w:spacing w:before="1" w:line="364" w:lineRule="auto"/>
        <w:ind w:right="1039" w:firstLine="470"/>
        <w:jc w:val="both"/>
        <w:rPr>
          <w:sz w:val="24"/>
        </w:rPr>
      </w:pPr>
      <w:bookmarkStart w:id="67" w:name="1.3_磋商工作应遵循公平、公正、科学及择优的原则，并以相同的磋商程序和标准对待"/>
      <w:bookmarkEnd w:id="67"/>
      <w:r>
        <w:rPr>
          <w:sz w:val="24"/>
        </w:rPr>
        <w:t>磋商工作应遵循公平、公正、科学及择优的原则，并以相同的磋商程序和标准对待所有的供应商。</w:t>
      </w:r>
    </w:p>
    <w:p>
      <w:pPr>
        <w:pStyle w:val="16"/>
        <w:numPr>
          <w:ilvl w:val="1"/>
          <w:numId w:val="15"/>
        </w:numPr>
        <w:tabs>
          <w:tab w:val="left" w:pos="1913"/>
        </w:tabs>
        <w:spacing w:before="1" w:line="364" w:lineRule="auto"/>
        <w:ind w:right="1039" w:firstLine="470"/>
        <w:jc w:val="both"/>
        <w:rPr>
          <w:sz w:val="24"/>
        </w:rPr>
      </w:pPr>
      <w:bookmarkStart w:id="68" w:name="1.4_磋商小组按照磋商文件规定的磋商程序、评分方法和标准进行评审，并独立履行下"/>
      <w:bookmarkEnd w:id="68"/>
      <w:r>
        <w:rPr>
          <w:sz w:val="24"/>
        </w:rPr>
        <w:t>磋商小组按照磋商文件规定的磋商程序、评分方法和标准进行评审， 并独立履行下列职责：</w:t>
      </w:r>
    </w:p>
    <w:p>
      <w:pPr>
        <w:pStyle w:val="7"/>
        <w:spacing w:before="1" w:line="364" w:lineRule="auto"/>
        <w:ind w:left="960" w:right="1037" w:firstLine="470"/>
        <w:jc w:val="both"/>
      </w:pPr>
      <w:bookmarkStart w:id="69" w:name="（一）熟悉和理解磋商文件，确定磋商文件内容是否违反国家有关强制性规定或者磋商文件"/>
      <w:bookmarkEnd w:id="69"/>
      <w:r>
        <w:t>（一）熟悉和理解磋商文件，确定磋商文件内容是否违反国家有关强制性规定或者磋商文件存在歧义、重大缺陷，根据需要书面要求采购人、采购代理机构对磋商文件作出解释；</w:t>
      </w:r>
    </w:p>
    <w:p>
      <w:pPr>
        <w:pStyle w:val="7"/>
        <w:spacing w:before="2"/>
        <w:ind w:left="1430"/>
      </w:pPr>
      <w:bookmarkStart w:id="70" w:name="（二）审查供应商响应文件是否满足磋商文件要求，并作出公正评价；"/>
      <w:bookmarkEnd w:id="70"/>
      <w:r>
        <w:t>（二）审查供应商响应文件是否满足磋商文件要求，并作出公正评价；</w:t>
      </w:r>
    </w:p>
    <w:p>
      <w:pPr>
        <w:pStyle w:val="7"/>
        <w:spacing w:before="160" w:line="364" w:lineRule="auto"/>
        <w:ind w:left="960" w:right="1037" w:firstLine="470"/>
      </w:pPr>
      <w:bookmarkStart w:id="71" w:name="（三）根据需要要求供应商对响应文件中含义不明确、同类问题表述不一致或者有明显文字"/>
      <w:bookmarkEnd w:id="71"/>
      <w:r>
        <w:t>（三）根据需要要求供应商对响应文件中含义不明确、同类问题表述不一致或者有明显文字和计算错误的内容等作出必要的澄清、说明或者更正；</w:t>
      </w:r>
    </w:p>
    <w:p>
      <w:pPr>
        <w:pStyle w:val="7"/>
        <w:spacing w:before="2"/>
        <w:ind w:left="1430"/>
      </w:pPr>
      <w:bookmarkStart w:id="72" w:name="（四）推荐成交供应商，或者受采购人委托确定成交供应商；"/>
      <w:bookmarkEnd w:id="72"/>
      <w:r>
        <w:t>（四）推荐成交供应商，或者受采购人委托确定成交供应商；</w:t>
      </w:r>
    </w:p>
    <w:p>
      <w:pPr>
        <w:pStyle w:val="7"/>
        <w:spacing w:before="160"/>
        <w:ind w:left="1430"/>
      </w:pPr>
      <w:bookmarkStart w:id="73" w:name="（五）起草评审报告并进行签署；"/>
      <w:bookmarkEnd w:id="73"/>
      <w:r>
        <w:t>（五）起草评审报告并进行签署；</w:t>
      </w:r>
    </w:p>
    <w:p>
      <w:pPr>
        <w:pStyle w:val="7"/>
        <w:spacing w:before="161" w:line="364" w:lineRule="auto"/>
        <w:ind w:left="960" w:right="1037" w:firstLine="470"/>
      </w:pPr>
      <w:bookmarkStart w:id="74" w:name="（六）采购代理机构、财政部门或者其他监督部门报告非法干预评审工作的行为；"/>
      <w:bookmarkEnd w:id="74"/>
      <w:r>
        <w:t>（六）采购代理机构、财政部门或者其他监督部门报告非法干预评审工作的行为；</w:t>
      </w:r>
    </w:p>
    <w:p>
      <w:pPr>
        <w:pStyle w:val="7"/>
        <w:spacing w:before="1"/>
        <w:ind w:left="1430"/>
      </w:pPr>
      <w:bookmarkStart w:id="75" w:name="（七）法律、法规和规章规定的其他职责。"/>
      <w:bookmarkEnd w:id="75"/>
      <w:r>
        <w:t>（七）法律、法规和规章规定的其他职责。</w:t>
      </w:r>
    </w:p>
    <w:p>
      <w:pPr>
        <w:pStyle w:val="16"/>
        <w:numPr>
          <w:ilvl w:val="1"/>
          <w:numId w:val="15"/>
        </w:numPr>
        <w:tabs>
          <w:tab w:val="left" w:pos="1913"/>
        </w:tabs>
        <w:spacing w:before="160" w:line="364" w:lineRule="auto"/>
        <w:ind w:right="1039" w:firstLine="470"/>
        <w:rPr>
          <w:sz w:val="24"/>
        </w:rPr>
      </w:pPr>
      <w:bookmarkStart w:id="76" w:name="1.5_（实质性要求）磋商过程独立、保密。供应商非法干预磋商过程的，其响应文件作"/>
      <w:bookmarkEnd w:id="76"/>
      <w:r>
        <w:rPr>
          <w:sz w:val="24"/>
        </w:rPr>
        <w:t>（实质性要求</w:t>
      </w:r>
      <w:r>
        <w:rPr>
          <w:spacing w:val="4"/>
          <w:sz w:val="24"/>
        </w:rPr>
        <w:t>）</w:t>
      </w:r>
      <w:r>
        <w:rPr>
          <w:sz w:val="24"/>
        </w:rPr>
        <w:t>磋商过程独立、保密。供应商非法干预磋商过程的， 其响应文件作无效处理。</w:t>
      </w:r>
    </w:p>
    <w:p>
      <w:pPr>
        <w:pStyle w:val="6"/>
        <w:numPr>
          <w:ilvl w:val="0"/>
          <w:numId w:val="15"/>
        </w:numPr>
        <w:tabs>
          <w:tab w:val="left" w:pos="1674"/>
        </w:tabs>
        <w:spacing w:before="162"/>
        <w:rPr>
          <w:sz w:val="22"/>
        </w:rPr>
      </w:pPr>
      <w:bookmarkStart w:id="77" w:name="2.磋商程序"/>
      <w:bookmarkEnd w:id="77"/>
      <w:r>
        <w:t>磋商程序</w:t>
      </w:r>
    </w:p>
    <w:p>
      <w:pPr>
        <w:pStyle w:val="16"/>
        <w:numPr>
          <w:ilvl w:val="1"/>
          <w:numId w:val="15"/>
        </w:numPr>
        <w:tabs>
          <w:tab w:val="left" w:pos="1851"/>
        </w:tabs>
        <w:ind w:left="1850" w:hanging="421"/>
        <w:rPr>
          <w:sz w:val="24"/>
        </w:rPr>
      </w:pPr>
      <w:bookmarkStart w:id="78" w:name="2.1审查磋商文件和停止评审。"/>
      <w:bookmarkEnd w:id="78"/>
      <w:r>
        <w:rPr>
          <w:sz w:val="24"/>
        </w:rPr>
        <w:t>审查磋商文件和停止评审。</w:t>
      </w:r>
    </w:p>
    <w:p>
      <w:pPr>
        <w:rPr>
          <w:sz w:val="24"/>
        </w:rPr>
        <w:sectPr>
          <w:pgSz w:w="11850" w:h="16790"/>
          <w:pgMar w:top="1600" w:right="760" w:bottom="1300" w:left="840" w:header="949" w:footer="1119" w:gutter="0"/>
          <w:pgBorders>
            <w:top w:val="none" w:sz="0" w:space="0"/>
            <w:left w:val="none" w:sz="0" w:space="0"/>
            <w:bottom w:val="none" w:sz="0" w:space="0"/>
            <w:right w:val="none" w:sz="0" w:space="0"/>
          </w:pgBorders>
          <w:cols w:space="720" w:num="1"/>
        </w:sectPr>
      </w:pPr>
    </w:p>
    <w:p>
      <w:pPr>
        <w:pStyle w:val="16"/>
        <w:numPr>
          <w:ilvl w:val="2"/>
          <w:numId w:val="15"/>
        </w:numPr>
        <w:tabs>
          <w:tab w:val="left" w:pos="2153"/>
        </w:tabs>
        <w:spacing w:before="123" w:line="364" w:lineRule="auto"/>
        <w:ind w:right="1039" w:firstLine="470"/>
        <w:jc w:val="both"/>
        <w:rPr>
          <w:sz w:val="24"/>
        </w:rPr>
      </w:pPr>
      <w:bookmarkStart w:id="79" w:name="2.1.1_磋商小组正式评审前，应当对磋商文件进行熟悉和理解，内容主要包括磋商文"/>
      <w:bookmarkEnd w:id="79"/>
      <w:r>
        <w:rPr>
          <w:sz w:val="24"/>
        </w:rPr>
        <w:t>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16"/>
        <w:numPr>
          <w:ilvl w:val="2"/>
          <w:numId w:val="15"/>
        </w:numPr>
        <w:tabs>
          <w:tab w:val="left" w:pos="2151"/>
        </w:tabs>
        <w:spacing w:before="2"/>
        <w:ind w:left="2150" w:hanging="721"/>
        <w:jc w:val="both"/>
        <w:rPr>
          <w:sz w:val="24"/>
        </w:rPr>
      </w:pPr>
      <w:bookmarkStart w:id="80" w:name="2.1.2_本磋商文件有下列情形之一的，磋商小组应当停止评审："/>
      <w:bookmarkEnd w:id="80"/>
      <w:r>
        <w:rPr>
          <w:sz w:val="24"/>
        </w:rPr>
        <w:t>本磋商文件有下列情形之一的，磋商小组应当停止评审：</w:t>
      </w:r>
    </w:p>
    <w:p>
      <w:pPr>
        <w:pStyle w:val="16"/>
        <w:numPr>
          <w:ilvl w:val="0"/>
          <w:numId w:val="16"/>
        </w:numPr>
        <w:tabs>
          <w:tab w:val="left" w:pos="2032"/>
        </w:tabs>
        <w:ind w:hanging="602"/>
        <w:rPr>
          <w:sz w:val="24"/>
        </w:rPr>
      </w:pPr>
      <w:bookmarkStart w:id="81" w:name="（1）磋商文件的规定存在歧义、重大缺陷的；"/>
      <w:bookmarkEnd w:id="81"/>
      <w:r>
        <w:rPr>
          <w:sz w:val="24"/>
        </w:rPr>
        <w:t>磋商文件的规定存在歧义、重大缺陷的；</w:t>
      </w:r>
    </w:p>
    <w:p>
      <w:pPr>
        <w:pStyle w:val="16"/>
        <w:numPr>
          <w:ilvl w:val="0"/>
          <w:numId w:val="16"/>
        </w:numPr>
        <w:tabs>
          <w:tab w:val="left" w:pos="2032"/>
        </w:tabs>
        <w:spacing w:before="160"/>
        <w:ind w:hanging="602"/>
        <w:rPr>
          <w:sz w:val="24"/>
        </w:rPr>
      </w:pPr>
      <w:bookmarkStart w:id="82" w:name="（2）磋商文件明显以不合理条件对供应商实行差别待遇或者歧视待遇的；"/>
      <w:bookmarkEnd w:id="82"/>
      <w:r>
        <w:rPr>
          <w:sz w:val="24"/>
        </w:rPr>
        <w:t>磋商文件明显以不合理条件对供应商实行差别待遇或者歧视待遇的；</w:t>
      </w:r>
    </w:p>
    <w:p>
      <w:pPr>
        <w:pStyle w:val="16"/>
        <w:numPr>
          <w:ilvl w:val="0"/>
          <w:numId w:val="16"/>
        </w:numPr>
        <w:tabs>
          <w:tab w:val="left" w:pos="2032"/>
        </w:tabs>
        <w:spacing w:line="364" w:lineRule="auto"/>
        <w:ind w:left="960" w:right="1039" w:firstLine="470"/>
        <w:rPr>
          <w:sz w:val="24"/>
        </w:rPr>
      </w:pPr>
      <w:bookmarkStart w:id="83" w:name="（3）采购项目属于国家规定的优先、强制采购范围，但是磋商文件未依法体现优先、强制"/>
      <w:bookmarkEnd w:id="83"/>
      <w:r>
        <w:rPr>
          <w:spacing w:val="-3"/>
          <w:sz w:val="24"/>
        </w:rPr>
        <w:t>采购项目属于国家规定的优先、强制采购范围，但是磋商文件未依法</w:t>
      </w:r>
      <w:r>
        <w:rPr>
          <w:sz w:val="24"/>
        </w:rPr>
        <w:t>体现优先、强制采购相关规定的；</w:t>
      </w:r>
    </w:p>
    <w:p>
      <w:pPr>
        <w:pStyle w:val="16"/>
        <w:numPr>
          <w:ilvl w:val="0"/>
          <w:numId w:val="16"/>
        </w:numPr>
        <w:tabs>
          <w:tab w:val="left" w:pos="2032"/>
        </w:tabs>
        <w:spacing w:before="1" w:line="364" w:lineRule="auto"/>
        <w:ind w:left="960" w:right="1039" w:firstLine="470"/>
        <w:rPr>
          <w:sz w:val="24"/>
        </w:rPr>
      </w:pPr>
      <w:bookmarkStart w:id="84" w:name="（4）采购项目属于政府采购促进中小企业发展的范围，但是磋商文件未依法体现促进中小"/>
      <w:bookmarkEnd w:id="84"/>
      <w:r>
        <w:rPr>
          <w:spacing w:val="-2"/>
          <w:sz w:val="24"/>
        </w:rPr>
        <w:t>采购项目属于政府采购促进中小企业发展的范围，但是磋商文件未依</w:t>
      </w:r>
      <w:r>
        <w:rPr>
          <w:sz w:val="24"/>
        </w:rPr>
        <w:t>法体现促进中小企业发展相关规定的；</w:t>
      </w:r>
    </w:p>
    <w:p>
      <w:pPr>
        <w:pStyle w:val="16"/>
        <w:numPr>
          <w:ilvl w:val="0"/>
          <w:numId w:val="16"/>
        </w:numPr>
        <w:tabs>
          <w:tab w:val="left" w:pos="2032"/>
        </w:tabs>
        <w:spacing w:before="1"/>
        <w:ind w:hanging="602"/>
        <w:rPr>
          <w:sz w:val="24"/>
        </w:rPr>
      </w:pPr>
      <w:bookmarkStart w:id="85" w:name="（5）磋商文件将供应商的资格条件列为评分因素的；"/>
      <w:bookmarkEnd w:id="85"/>
      <w:r>
        <w:rPr>
          <w:sz w:val="24"/>
        </w:rPr>
        <w:t>磋商文件将供应商的资格条件列为评分因素的；</w:t>
      </w:r>
    </w:p>
    <w:p>
      <w:pPr>
        <w:pStyle w:val="16"/>
        <w:numPr>
          <w:ilvl w:val="0"/>
          <w:numId w:val="16"/>
        </w:numPr>
        <w:tabs>
          <w:tab w:val="left" w:pos="2032"/>
        </w:tabs>
        <w:ind w:hanging="602"/>
        <w:rPr>
          <w:sz w:val="24"/>
        </w:rPr>
      </w:pPr>
      <w:bookmarkStart w:id="86" w:name="（6）磋商文件载明的成交原则不合法的；"/>
      <w:bookmarkEnd w:id="86"/>
      <w:r>
        <w:rPr>
          <w:sz w:val="24"/>
        </w:rPr>
        <w:t>磋商文件载明的成交原则不合法的；</w:t>
      </w:r>
    </w:p>
    <w:p>
      <w:pPr>
        <w:pStyle w:val="16"/>
        <w:numPr>
          <w:ilvl w:val="0"/>
          <w:numId w:val="16"/>
        </w:numPr>
        <w:tabs>
          <w:tab w:val="left" w:pos="2032"/>
        </w:tabs>
        <w:spacing w:before="160"/>
        <w:ind w:hanging="602"/>
        <w:rPr>
          <w:sz w:val="24"/>
        </w:rPr>
      </w:pPr>
      <w:bookmarkStart w:id="87" w:name="（7）磋商文件有违反国家其他有关强制性规定的情形。"/>
      <w:bookmarkEnd w:id="87"/>
      <w:r>
        <w:rPr>
          <w:sz w:val="24"/>
        </w:rPr>
        <w:t>磋商文件有违反国家其他有关强制性规定的情形。</w:t>
      </w:r>
    </w:p>
    <w:p>
      <w:pPr>
        <w:pStyle w:val="16"/>
        <w:numPr>
          <w:ilvl w:val="2"/>
          <w:numId w:val="15"/>
        </w:numPr>
        <w:tabs>
          <w:tab w:val="left" w:pos="2153"/>
        </w:tabs>
        <w:spacing w:line="364" w:lineRule="auto"/>
        <w:ind w:right="1039" w:firstLine="470"/>
        <w:jc w:val="both"/>
        <w:rPr>
          <w:sz w:val="24"/>
        </w:rPr>
      </w:pPr>
      <w:bookmarkStart w:id="88" w:name="2.1.3_出现本条2.1.2规定应当停止评审情形的，磋商小组应当向采购人书面说"/>
      <w:bookmarkEnd w:id="88"/>
      <w:r>
        <w:rPr>
          <w:spacing w:val="-9"/>
          <w:sz w:val="24"/>
        </w:rPr>
        <w:t xml:space="preserve">出现本条 </w:t>
      </w:r>
      <w:r>
        <w:rPr>
          <w:sz w:val="24"/>
        </w:rPr>
        <w:t>2.1.2</w:t>
      </w:r>
      <w:r>
        <w:rPr>
          <w:spacing w:val="-5"/>
          <w:sz w:val="24"/>
        </w:rPr>
        <w:t xml:space="preserve"> 规定应当停止评审情形的，磋商小组应当向采购人</w:t>
      </w:r>
      <w:r>
        <w:rPr>
          <w:spacing w:val="-3"/>
          <w:sz w:val="24"/>
        </w:rPr>
        <w:t>书面说明情况。除本条规定的情形外，磋商小组不得以任何方式和理由停止评审。</w:t>
      </w:r>
    </w:p>
    <w:p>
      <w:pPr>
        <w:pStyle w:val="16"/>
        <w:numPr>
          <w:ilvl w:val="1"/>
          <w:numId w:val="15"/>
        </w:numPr>
        <w:tabs>
          <w:tab w:val="left" w:pos="1851"/>
        </w:tabs>
        <w:spacing w:before="1"/>
        <w:ind w:left="1850" w:hanging="421"/>
        <w:jc w:val="both"/>
        <w:rPr>
          <w:sz w:val="24"/>
        </w:rPr>
      </w:pPr>
      <w:bookmarkStart w:id="89" w:name="2.2资格性审查。"/>
      <w:bookmarkEnd w:id="89"/>
      <w:r>
        <w:rPr>
          <w:sz w:val="24"/>
        </w:rPr>
        <w:t>资格性审查。</w:t>
      </w:r>
    </w:p>
    <w:p>
      <w:pPr>
        <w:pStyle w:val="16"/>
        <w:numPr>
          <w:ilvl w:val="2"/>
          <w:numId w:val="15"/>
        </w:numPr>
        <w:tabs>
          <w:tab w:val="left" w:pos="2091"/>
        </w:tabs>
        <w:ind w:left="2090" w:hanging="661"/>
        <w:jc w:val="both"/>
        <w:rPr>
          <w:sz w:val="24"/>
        </w:rPr>
      </w:pPr>
      <w:bookmarkStart w:id="90" w:name="2.2.1本项目需要磋商小组进行资格性检查。"/>
      <w:bookmarkEnd w:id="90"/>
      <w:r>
        <w:rPr>
          <w:sz w:val="24"/>
        </w:rPr>
        <w:t>本项目需要磋商小组进行资格性检查。</w:t>
      </w:r>
    </w:p>
    <w:p>
      <w:pPr>
        <w:pStyle w:val="7"/>
        <w:spacing w:before="160" w:line="364" w:lineRule="auto"/>
        <w:ind w:left="960" w:right="1037" w:firstLine="470"/>
        <w:jc w:val="both"/>
      </w:pPr>
      <w:bookmarkStart w:id="91" w:name="磋商小组应依据法律法规和磋商文件的规定，对响应文件是否按照规定要求提供资格性证明"/>
      <w:bookmarkEnd w:id="91"/>
      <w:r>
        <w:t>磋商小组应依据法律法规和磋商文件的规定，对响应文件是否按照规定要求提供资格性证明材料、是否属于禁止参加磋商的供应商等进行审查，以确定供应商是否具备磋商资格。</w:t>
      </w:r>
    </w:p>
    <w:p>
      <w:pPr>
        <w:pStyle w:val="16"/>
        <w:numPr>
          <w:ilvl w:val="2"/>
          <w:numId w:val="15"/>
        </w:numPr>
        <w:tabs>
          <w:tab w:val="left" w:pos="2091"/>
        </w:tabs>
        <w:spacing w:before="2" w:line="364" w:lineRule="auto"/>
        <w:ind w:right="1039" w:firstLine="470"/>
        <w:rPr>
          <w:sz w:val="24"/>
        </w:rPr>
      </w:pPr>
      <w:bookmarkStart w:id="92" w:name="2.2.2资格性审查结束后，磋商小组应当出具资格性审查报告，没有通过资格审查的供"/>
      <w:bookmarkEnd w:id="92"/>
      <w:r>
        <w:rPr>
          <w:spacing w:val="-8"/>
          <w:sz w:val="24"/>
        </w:rPr>
        <w:t>资格性审查结束后，磋商小组应当出具资格性审查报告，没有通过资</w:t>
      </w:r>
      <w:r>
        <w:rPr>
          <w:sz w:val="24"/>
        </w:rPr>
        <w:t>格审查的供应商，磋商小组应当在资格审查报告中说明原因。</w:t>
      </w:r>
    </w:p>
    <w:p>
      <w:pPr>
        <w:pStyle w:val="16"/>
        <w:numPr>
          <w:ilvl w:val="2"/>
          <w:numId w:val="15"/>
        </w:numPr>
        <w:tabs>
          <w:tab w:val="left" w:pos="2091"/>
        </w:tabs>
        <w:spacing w:before="1" w:line="364" w:lineRule="auto"/>
        <w:ind w:right="1039" w:firstLine="470"/>
        <w:rPr>
          <w:sz w:val="24"/>
        </w:rPr>
      </w:pPr>
      <w:bookmarkStart w:id="93" w:name="2.2.3磋商小组应依据磋商文件规定的实质性要求，对符合资格的响应文件进行有效性"/>
      <w:bookmarkEnd w:id="93"/>
      <w:r>
        <w:rPr>
          <w:spacing w:val="-6"/>
          <w:sz w:val="24"/>
        </w:rPr>
        <w:t>磋商小组应依据磋商文件规定的实质性要求，对符合资格的响应文件</w:t>
      </w:r>
      <w:r>
        <w:rPr>
          <w:sz w:val="24"/>
        </w:rPr>
        <w:t>进行有效性、完整性和响应程度审查，以确定参加磋商的供应商名单。</w:t>
      </w:r>
    </w:p>
    <w:p>
      <w:pPr>
        <w:pStyle w:val="16"/>
        <w:numPr>
          <w:ilvl w:val="2"/>
          <w:numId w:val="15"/>
        </w:numPr>
        <w:tabs>
          <w:tab w:val="left" w:pos="2091"/>
        </w:tabs>
        <w:spacing w:before="2" w:line="364" w:lineRule="auto"/>
        <w:ind w:right="1039" w:firstLine="470"/>
        <w:rPr>
          <w:sz w:val="24"/>
        </w:rPr>
      </w:pPr>
      <w:bookmarkStart w:id="94" w:name="2.2.4采购人或者采购代理机构宣布未通过资格性审查的供应商名单时，应当告知供应"/>
      <w:bookmarkEnd w:id="94"/>
      <w:r>
        <w:rPr>
          <w:spacing w:val="-4"/>
          <w:sz w:val="24"/>
        </w:rPr>
        <w:t>采购人或者采购代理机构宣布未通过资格性审查的供应商名单时，应</w:t>
      </w:r>
      <w:r>
        <w:rPr>
          <w:sz w:val="24"/>
        </w:rPr>
        <w:t>当告知供应商未通过审查的原因。</w:t>
      </w:r>
    </w:p>
    <w:p>
      <w:pPr>
        <w:pStyle w:val="16"/>
        <w:numPr>
          <w:ilvl w:val="1"/>
          <w:numId w:val="15"/>
        </w:numPr>
        <w:tabs>
          <w:tab w:val="left" w:pos="1913"/>
        </w:tabs>
        <w:spacing w:before="1" w:line="364" w:lineRule="auto"/>
        <w:ind w:right="1036" w:firstLine="470"/>
        <w:rPr>
          <w:sz w:val="24"/>
        </w:rPr>
      </w:pPr>
      <w:bookmarkStart w:id="95" w:name="2.3_通过资格性审查的供应商不足2家的，终止本次采购活动，并发布终止采购活动公"/>
      <w:bookmarkEnd w:id="95"/>
      <w:r>
        <w:rPr>
          <w:spacing w:val="-4"/>
          <w:sz w:val="24"/>
        </w:rPr>
        <w:t xml:space="preserve">通过资格性审查的供应商不足 </w:t>
      </w:r>
      <w:r>
        <w:rPr>
          <w:sz w:val="24"/>
        </w:rPr>
        <w:t>2</w:t>
      </w:r>
      <w:r>
        <w:rPr>
          <w:spacing w:val="-5"/>
          <w:sz w:val="24"/>
        </w:rPr>
        <w:t xml:space="preserve"> 家的，终止本次采购活动，并发布终止采购活动公告。</w:t>
      </w:r>
    </w:p>
    <w:p>
      <w:pPr>
        <w:spacing w:line="364" w:lineRule="auto"/>
        <w:rPr>
          <w:sz w:val="24"/>
        </w:rPr>
        <w:sectPr>
          <w:pgSz w:w="11850" w:h="16790"/>
          <w:pgMar w:top="1600" w:right="760" w:bottom="1300" w:left="840" w:header="949" w:footer="1119" w:gutter="0"/>
          <w:pgBorders>
            <w:top w:val="none" w:sz="0" w:space="0"/>
            <w:left w:val="none" w:sz="0" w:space="0"/>
            <w:bottom w:val="none" w:sz="0" w:space="0"/>
            <w:right w:val="none" w:sz="0" w:space="0"/>
          </w:pgBorders>
          <w:cols w:space="720" w:num="1"/>
        </w:sectPr>
      </w:pPr>
    </w:p>
    <w:p>
      <w:pPr>
        <w:pStyle w:val="16"/>
        <w:numPr>
          <w:ilvl w:val="1"/>
          <w:numId w:val="15"/>
        </w:numPr>
        <w:tabs>
          <w:tab w:val="left" w:pos="1851"/>
        </w:tabs>
        <w:spacing w:before="123"/>
        <w:ind w:left="1850" w:hanging="421"/>
        <w:jc w:val="both"/>
        <w:rPr>
          <w:sz w:val="24"/>
        </w:rPr>
      </w:pPr>
      <w:bookmarkStart w:id="96" w:name="2.4磋商。"/>
      <w:bookmarkEnd w:id="96"/>
      <w:r>
        <w:rPr>
          <w:sz w:val="24"/>
        </w:rPr>
        <w:t>磋商。</w:t>
      </w:r>
    </w:p>
    <w:p>
      <w:pPr>
        <w:pStyle w:val="16"/>
        <w:numPr>
          <w:ilvl w:val="2"/>
          <w:numId w:val="15"/>
        </w:numPr>
        <w:tabs>
          <w:tab w:val="left" w:pos="2091"/>
        </w:tabs>
        <w:spacing w:line="364" w:lineRule="auto"/>
        <w:ind w:right="1039" w:firstLine="470"/>
        <w:jc w:val="both"/>
        <w:rPr>
          <w:sz w:val="24"/>
        </w:rPr>
      </w:pPr>
      <w:bookmarkStart w:id="97" w:name="2.4.1磋商小组所有成员集中与单一供应商分别进行一轮或多轮磋商，并给予所有参加"/>
      <w:bookmarkEnd w:id="97"/>
      <w:r>
        <w:rPr>
          <w:spacing w:val="-4"/>
          <w:sz w:val="24"/>
        </w:rPr>
        <w:t>磋商小组所有成员集中与单一供应商分别进行一轮或多轮磋商，并给</w:t>
      </w:r>
      <w:r>
        <w:rPr>
          <w:sz w:val="24"/>
        </w:rPr>
        <w:t>予所有参加磋商的供应商平等的磋商机会。磋商顺序以现场抽签的方式确定。磋商过程中，磋商小组可以根据磋商情况调整磋商轮次。</w:t>
      </w:r>
    </w:p>
    <w:p>
      <w:pPr>
        <w:pStyle w:val="16"/>
        <w:numPr>
          <w:ilvl w:val="2"/>
          <w:numId w:val="15"/>
        </w:numPr>
        <w:tabs>
          <w:tab w:val="left" w:pos="2091"/>
        </w:tabs>
        <w:spacing w:before="2" w:line="364" w:lineRule="auto"/>
        <w:ind w:right="1039" w:firstLine="470"/>
        <w:jc w:val="both"/>
        <w:rPr>
          <w:sz w:val="24"/>
        </w:rPr>
      </w:pPr>
      <w:bookmarkStart w:id="98" w:name="2.4.2每轮磋商开始前，磋商小组应根据磋商文件的规定，并结合各供应商的响应文件"/>
      <w:bookmarkEnd w:id="98"/>
      <w:r>
        <w:rPr>
          <w:spacing w:val="-9"/>
          <w:sz w:val="24"/>
        </w:rPr>
        <w:t>每轮磋商开始前，磋商小组应根据磋商文件的规定，并结合各供应商</w:t>
      </w:r>
      <w:r>
        <w:rPr>
          <w:sz w:val="24"/>
        </w:rPr>
        <w:t>的响应文件拟定磋商内容。</w:t>
      </w:r>
    </w:p>
    <w:p>
      <w:pPr>
        <w:pStyle w:val="16"/>
        <w:numPr>
          <w:ilvl w:val="2"/>
          <w:numId w:val="15"/>
        </w:numPr>
        <w:tabs>
          <w:tab w:val="left" w:pos="2091"/>
        </w:tabs>
        <w:spacing w:before="1" w:line="364" w:lineRule="auto"/>
        <w:ind w:right="1039" w:firstLine="470"/>
        <w:jc w:val="both"/>
        <w:rPr>
          <w:sz w:val="24"/>
        </w:rPr>
      </w:pPr>
      <w:bookmarkStart w:id="99" w:name="2.4.3在磋商过程中，磋商小组可以根据磋商文件和磋商情况实质性变动磋商文件的技"/>
      <w:bookmarkEnd w:id="99"/>
      <w:r>
        <w:rPr>
          <w:spacing w:val="-10"/>
          <w:sz w:val="24"/>
        </w:rPr>
        <w:t>在磋商过程中，磋商小组可以根据磋商文件和磋商情况实质性变动磋</w:t>
      </w:r>
      <w:r>
        <w:rPr>
          <w:sz w:val="24"/>
        </w:rPr>
        <w:t>商文件的技术、服务要求以及合同草案条款，但不得变动磋商文件中的其他内容。实质性变动的内容，须经采购人代表书面确认。</w:t>
      </w:r>
    </w:p>
    <w:p>
      <w:pPr>
        <w:pStyle w:val="16"/>
        <w:numPr>
          <w:ilvl w:val="2"/>
          <w:numId w:val="15"/>
        </w:numPr>
        <w:tabs>
          <w:tab w:val="left" w:pos="2091"/>
        </w:tabs>
        <w:spacing w:before="2" w:line="364" w:lineRule="auto"/>
        <w:ind w:right="1039" w:firstLine="470"/>
        <w:jc w:val="both"/>
        <w:rPr>
          <w:sz w:val="24"/>
        </w:rPr>
      </w:pPr>
      <w:bookmarkStart w:id="100" w:name="2.4.4对磋商文件作出的实质性变动是磋商文件的有效组成部分，磋商小组应当及时以"/>
      <w:bookmarkEnd w:id="100"/>
      <w:r>
        <w:rPr>
          <w:spacing w:val="-5"/>
          <w:sz w:val="24"/>
        </w:rPr>
        <w:t>对磋商文件作出的实质性变动是磋商文件的有效组成部分，磋商小组</w:t>
      </w:r>
      <w:r>
        <w:rPr>
          <w:sz w:val="24"/>
        </w:rPr>
        <w:t>应当及时以书面形式同时通知所有参加磋商的供应商。</w:t>
      </w:r>
    </w:p>
    <w:p>
      <w:pPr>
        <w:pStyle w:val="16"/>
        <w:numPr>
          <w:ilvl w:val="2"/>
          <w:numId w:val="15"/>
        </w:numPr>
        <w:tabs>
          <w:tab w:val="left" w:pos="2091"/>
        </w:tabs>
        <w:spacing w:before="1" w:line="364" w:lineRule="auto"/>
        <w:ind w:right="1039" w:firstLine="470"/>
        <w:jc w:val="both"/>
        <w:rPr>
          <w:sz w:val="24"/>
        </w:rPr>
      </w:pPr>
      <w:bookmarkStart w:id="101" w:name="2.4.5磋商过程中，磋商文件变动的，供应商应当按照磋商文件的变动情况和磋商小组"/>
      <w:bookmarkEnd w:id="101"/>
      <w:r>
        <w:rPr>
          <w:spacing w:val="-10"/>
          <w:sz w:val="24"/>
        </w:rPr>
        <w:t>磋商过程中，磋商文件变动的，供应商应当按照磋商文件的变动情况</w:t>
      </w:r>
      <w:r>
        <w:rPr>
          <w:sz w:val="24"/>
        </w:rPr>
        <w:t>和磋商小组的要求重新提交响应文件，并由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16"/>
        <w:numPr>
          <w:ilvl w:val="2"/>
          <w:numId w:val="15"/>
        </w:numPr>
        <w:tabs>
          <w:tab w:val="left" w:pos="2091"/>
        </w:tabs>
        <w:spacing w:before="3" w:line="364" w:lineRule="auto"/>
        <w:ind w:right="1039" w:firstLine="470"/>
        <w:jc w:val="both"/>
        <w:rPr>
          <w:sz w:val="24"/>
        </w:rPr>
      </w:pPr>
      <w:bookmarkStart w:id="102" w:name="2.4.6磋商过程中，磋商的任何一方不得透露与磋商有关的其他供应商的技术资料、价"/>
      <w:bookmarkEnd w:id="102"/>
      <w:r>
        <w:rPr>
          <w:spacing w:val="-10"/>
          <w:sz w:val="24"/>
        </w:rPr>
        <w:t>磋商过程中，磋商的任何一方不得透露与磋商有关的其他供应商的技</w:t>
      </w:r>
      <w:r>
        <w:rPr>
          <w:sz w:val="24"/>
        </w:rPr>
        <w:t>术资料、价格和其他信息。</w:t>
      </w:r>
    </w:p>
    <w:p>
      <w:pPr>
        <w:pStyle w:val="16"/>
        <w:numPr>
          <w:ilvl w:val="2"/>
          <w:numId w:val="15"/>
        </w:numPr>
        <w:tabs>
          <w:tab w:val="left" w:pos="2091"/>
        </w:tabs>
        <w:spacing w:before="2" w:line="364" w:lineRule="auto"/>
        <w:ind w:right="957" w:firstLine="470"/>
        <w:jc w:val="both"/>
        <w:rPr>
          <w:sz w:val="24"/>
        </w:rPr>
      </w:pPr>
      <w:bookmarkStart w:id="103" w:name="2.4.7磋商过程中，磋商小组发现或者知晓供应商存在违法、违纪行为的，磋商小组应"/>
      <w:bookmarkEnd w:id="103"/>
      <w:r>
        <w:rPr>
          <w:spacing w:val="-1"/>
          <w:sz w:val="24"/>
        </w:rPr>
        <w:t xml:space="preserve">磋商过程中，磋商小组发现或者知晓供应商存在违法、违纪行为的， </w:t>
      </w:r>
      <w:r>
        <w:rPr>
          <w:sz w:val="24"/>
        </w:rPr>
        <w:t>磋商小组应当将该供应商响应文件作无效处理，不允许其提交最后报价。</w:t>
      </w:r>
    </w:p>
    <w:p>
      <w:pPr>
        <w:pStyle w:val="16"/>
        <w:numPr>
          <w:ilvl w:val="2"/>
          <w:numId w:val="15"/>
        </w:numPr>
        <w:tabs>
          <w:tab w:val="left" w:pos="2091"/>
        </w:tabs>
        <w:spacing w:before="1" w:line="364" w:lineRule="auto"/>
        <w:ind w:right="1039" w:firstLine="470"/>
        <w:jc w:val="both"/>
        <w:rPr>
          <w:sz w:val="24"/>
        </w:rPr>
      </w:pPr>
      <w:bookmarkStart w:id="104" w:name="2.4.8磋商完成后，磋商小组应出具磋商情况记录表，磋商情况记录表需包含磋商内容"/>
      <w:bookmarkEnd w:id="104"/>
      <w:r>
        <w:rPr>
          <w:spacing w:val="-9"/>
          <w:sz w:val="24"/>
        </w:rPr>
        <w:t>磋商完成后，磋商小组应出具磋商情况记录表，磋商情况记录表需包</w:t>
      </w:r>
      <w:r>
        <w:rPr>
          <w:sz w:val="24"/>
        </w:rPr>
        <w:t>含磋商内容、磋商意见、实质性变动内容等。</w:t>
      </w:r>
    </w:p>
    <w:p>
      <w:pPr>
        <w:pStyle w:val="16"/>
        <w:numPr>
          <w:ilvl w:val="1"/>
          <w:numId w:val="15"/>
        </w:numPr>
        <w:tabs>
          <w:tab w:val="left" w:pos="1860"/>
        </w:tabs>
        <w:spacing w:before="1"/>
        <w:ind w:left="1860"/>
        <w:jc w:val="both"/>
        <w:rPr>
          <w:sz w:val="24"/>
        </w:rPr>
      </w:pPr>
      <w:r>
        <w:rPr>
          <w:sz w:val="24"/>
        </w:rPr>
        <w:t>最后报价。</w:t>
      </w:r>
    </w:p>
    <w:p>
      <w:pPr>
        <w:pStyle w:val="16"/>
        <w:numPr>
          <w:ilvl w:val="2"/>
          <w:numId w:val="15"/>
        </w:numPr>
        <w:tabs>
          <w:tab w:val="left" w:pos="2100"/>
        </w:tabs>
        <w:spacing w:line="364" w:lineRule="auto"/>
        <w:ind w:right="919" w:firstLine="480"/>
        <w:rPr>
          <w:sz w:val="24"/>
        </w:rPr>
      </w:pPr>
      <w:r>
        <w:rPr>
          <w:sz w:val="24"/>
        </w:rPr>
        <w:t>磋商文件能够详细列明采购标的的技术、服务要求的，磋商结束后， 磋商小组应当要求所有实质性响应的供应商在规定时间内提交最后报价，提交</w:t>
      </w:r>
      <w:r>
        <w:rPr>
          <w:spacing w:val="-5"/>
          <w:sz w:val="24"/>
        </w:rPr>
        <w:t xml:space="preserve">最后报价的供应商不得少于 </w:t>
      </w:r>
      <w:r>
        <w:rPr>
          <w:sz w:val="24"/>
        </w:rPr>
        <w:t>2</w:t>
      </w:r>
      <w:r>
        <w:rPr>
          <w:spacing w:val="-12"/>
          <w:sz w:val="24"/>
        </w:rPr>
        <w:t xml:space="preserve"> 家。最后报价是供应商响应文件的有效组成部分。</w:t>
      </w:r>
    </w:p>
    <w:p>
      <w:pPr>
        <w:pStyle w:val="16"/>
        <w:numPr>
          <w:ilvl w:val="2"/>
          <w:numId w:val="15"/>
        </w:numPr>
        <w:tabs>
          <w:tab w:val="left" w:pos="2100"/>
        </w:tabs>
        <w:spacing w:before="1" w:line="364" w:lineRule="auto"/>
        <w:ind w:right="1039" w:firstLine="480"/>
        <w:rPr>
          <w:sz w:val="24"/>
        </w:rPr>
      </w:pPr>
      <w:r>
        <w:rPr>
          <w:spacing w:val="-11"/>
          <w:sz w:val="24"/>
        </w:rPr>
        <w:t>磋商结束后，磋商小组应当要求所有实质性响应的供应商在规定时间</w:t>
      </w:r>
      <w:r>
        <w:rPr>
          <w:sz w:val="24"/>
        </w:rPr>
        <w:t>内提交最后报价。两轮（</w:t>
      </w:r>
      <w:r>
        <w:rPr>
          <w:spacing w:val="2"/>
          <w:sz w:val="24"/>
        </w:rPr>
        <w:t>若有</w:t>
      </w:r>
      <w:r>
        <w:rPr>
          <w:sz w:val="24"/>
        </w:rPr>
        <w:t>）以上报价的，供应商在未提高响应文件中承诺</w:t>
      </w:r>
    </w:p>
    <w:p>
      <w:pPr>
        <w:spacing w:line="364" w:lineRule="auto"/>
        <w:rPr>
          <w:sz w:val="24"/>
        </w:rPr>
        <w:sectPr>
          <w:pgSz w:w="11850" w:h="16790"/>
          <w:pgMar w:top="1600" w:right="760" w:bottom="1300" w:left="840" w:header="949" w:footer="1119" w:gutter="0"/>
          <w:pgBorders>
            <w:top w:val="none" w:sz="0" w:space="0"/>
            <w:left w:val="none" w:sz="0" w:space="0"/>
            <w:bottom w:val="none" w:sz="0" w:space="0"/>
            <w:right w:val="none" w:sz="0" w:space="0"/>
          </w:pgBorders>
          <w:cols w:space="720" w:num="1"/>
        </w:sectPr>
      </w:pPr>
    </w:p>
    <w:p>
      <w:pPr>
        <w:pStyle w:val="7"/>
        <w:spacing w:before="123" w:line="364" w:lineRule="auto"/>
        <w:ind w:left="960" w:right="1039"/>
        <w:jc w:val="both"/>
      </w:pPr>
      <w:r>
        <w:t>的产品及其服务质量的情况下，其最后报价不得高于对该项目之前的报价，否则，磋商小组应当对其响应文件按无效处理，不允许进入综合评分，并书面告知供应商，说明理由。</w:t>
      </w:r>
    </w:p>
    <w:p>
      <w:pPr>
        <w:pStyle w:val="16"/>
        <w:numPr>
          <w:ilvl w:val="2"/>
          <w:numId w:val="15"/>
        </w:numPr>
        <w:tabs>
          <w:tab w:val="left" w:pos="2105"/>
        </w:tabs>
        <w:spacing w:before="2" w:line="364" w:lineRule="auto"/>
        <w:ind w:right="1039" w:firstLine="480"/>
        <w:jc w:val="both"/>
        <w:rPr>
          <w:sz w:val="24"/>
        </w:rPr>
      </w:pPr>
      <w:r>
        <w:rPr>
          <w:spacing w:val="3"/>
          <w:sz w:val="24"/>
        </w:rPr>
        <w:t>供应商最后报价应当由法定代表人或其授权代表签字确认或加盖公章。最后报价是供应商响应文件的有效组成部分。</w:t>
      </w:r>
    </w:p>
    <w:p>
      <w:pPr>
        <w:pStyle w:val="16"/>
        <w:numPr>
          <w:ilvl w:val="2"/>
          <w:numId w:val="15"/>
        </w:numPr>
        <w:tabs>
          <w:tab w:val="left" w:pos="2100"/>
        </w:tabs>
        <w:spacing w:before="1" w:line="364" w:lineRule="auto"/>
        <w:ind w:right="1039" w:firstLine="480"/>
        <w:jc w:val="both"/>
        <w:rPr>
          <w:sz w:val="24"/>
        </w:rPr>
      </w:pPr>
      <w:r>
        <w:rPr>
          <w:spacing w:val="-6"/>
          <w:sz w:val="24"/>
        </w:rPr>
        <w:t>最后报价中的算术错误将按以下方法修正：响应文件的大写金额和小</w:t>
      </w:r>
      <w:r>
        <w:rPr>
          <w:sz w:val="24"/>
        </w:rPr>
        <w:t>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16"/>
        <w:numPr>
          <w:ilvl w:val="1"/>
          <w:numId w:val="15"/>
        </w:numPr>
        <w:tabs>
          <w:tab w:val="left" w:pos="1860"/>
        </w:tabs>
        <w:spacing w:before="5" w:line="364" w:lineRule="auto"/>
        <w:ind w:right="1039" w:firstLine="480"/>
        <w:jc w:val="both"/>
        <w:rPr>
          <w:sz w:val="24"/>
        </w:rPr>
      </w:pPr>
      <w:r>
        <w:rPr>
          <w:spacing w:val="-11"/>
          <w:sz w:val="24"/>
        </w:rPr>
        <w:t>比较与评价。由磋商小组采用综合评分法对提交最后报价的供应商的响</w:t>
      </w:r>
      <w:r>
        <w:rPr>
          <w:sz w:val="24"/>
        </w:rPr>
        <w:t>应文件和最后报价进行综合评分，具体要求详见本章综合评分部分。</w:t>
      </w:r>
    </w:p>
    <w:p>
      <w:pPr>
        <w:pStyle w:val="16"/>
        <w:numPr>
          <w:ilvl w:val="1"/>
          <w:numId w:val="15"/>
        </w:numPr>
        <w:tabs>
          <w:tab w:val="left" w:pos="1860"/>
        </w:tabs>
        <w:spacing w:before="1" w:line="364" w:lineRule="auto"/>
        <w:ind w:right="1039" w:firstLine="480"/>
        <w:jc w:val="both"/>
        <w:rPr>
          <w:sz w:val="24"/>
        </w:rPr>
      </w:pPr>
      <w:r>
        <w:rPr>
          <w:spacing w:val="-8"/>
          <w:sz w:val="24"/>
        </w:rPr>
        <w:t>推荐成交候选供应商。磋商小组应当根据综合评分情况，按照评审得分</w:t>
      </w:r>
      <w:r>
        <w:rPr>
          <w:spacing w:val="-4"/>
          <w:sz w:val="24"/>
        </w:rPr>
        <w:t xml:space="preserve">由高到低顺序推荐 </w:t>
      </w:r>
      <w:r>
        <w:rPr>
          <w:sz w:val="24"/>
        </w:rPr>
        <w:t>2</w:t>
      </w:r>
      <w:r>
        <w:rPr>
          <w:spacing w:val="-6"/>
          <w:sz w:val="24"/>
        </w:rPr>
        <w:t xml:space="preserve"> 家以上成交候选供应商，并编写磋商报告。评审得分相同</w:t>
      </w:r>
      <w:r>
        <w:rPr>
          <w:spacing w:val="-4"/>
          <w:sz w:val="24"/>
        </w:rPr>
        <w:t>的，按照最后报价由低到高的顺序推荐。评审得分且最后报价相同的，按照技</w:t>
      </w:r>
      <w:r>
        <w:rPr>
          <w:spacing w:val="-3"/>
          <w:sz w:val="24"/>
        </w:rPr>
        <w:t>术指标优劣顺序推荐。评审得分且最后报价且技术指标分项得分均相同的，成交候选供应商并列。</w:t>
      </w:r>
    </w:p>
    <w:p>
      <w:pPr>
        <w:pStyle w:val="16"/>
        <w:numPr>
          <w:ilvl w:val="1"/>
          <w:numId w:val="15"/>
        </w:numPr>
        <w:tabs>
          <w:tab w:val="left" w:pos="1860"/>
        </w:tabs>
        <w:spacing w:before="3" w:line="364" w:lineRule="auto"/>
        <w:ind w:right="919" w:firstLine="480"/>
        <w:rPr>
          <w:sz w:val="24"/>
        </w:rPr>
      </w:pPr>
      <w:r>
        <w:rPr>
          <w:spacing w:val="-17"/>
          <w:sz w:val="24"/>
        </w:rPr>
        <w:t xml:space="preserve">磋商小组复核。磋商小组评分汇总结束后，磋商小组应当进行评审复核， </w:t>
      </w:r>
      <w:r>
        <w:rPr>
          <w:sz w:val="24"/>
        </w:rPr>
        <w:t>对拟推荐为成交候选供应商的、报价最低的、供应商资格审查未通过的、供应商响应文件作无效处理的重点复核。</w:t>
      </w:r>
    </w:p>
    <w:p>
      <w:pPr>
        <w:pStyle w:val="16"/>
        <w:numPr>
          <w:ilvl w:val="1"/>
          <w:numId w:val="15"/>
        </w:numPr>
        <w:tabs>
          <w:tab w:val="left" w:pos="1860"/>
        </w:tabs>
        <w:spacing w:before="2"/>
        <w:ind w:left="1860"/>
        <w:rPr>
          <w:sz w:val="24"/>
        </w:rPr>
      </w:pPr>
      <w:r>
        <w:rPr>
          <w:sz w:val="24"/>
        </w:rPr>
        <w:t>采购组织单位现场复核评审结果。</w:t>
      </w:r>
    </w:p>
    <w:p>
      <w:pPr>
        <w:pStyle w:val="16"/>
        <w:numPr>
          <w:ilvl w:val="2"/>
          <w:numId w:val="15"/>
        </w:numPr>
        <w:tabs>
          <w:tab w:val="left" w:pos="2100"/>
        </w:tabs>
        <w:spacing w:before="160" w:line="364" w:lineRule="auto"/>
        <w:ind w:right="919" w:firstLine="480"/>
        <w:jc w:val="both"/>
        <w:rPr>
          <w:sz w:val="24"/>
        </w:rPr>
      </w:pPr>
      <w:r>
        <w:rPr>
          <w:spacing w:val="-7"/>
          <w:sz w:val="24"/>
        </w:rPr>
        <w:t>评审结果汇总完成后，磋商小组拟出具磋商评审报告前，采购代理机</w:t>
      </w:r>
      <w:r>
        <w:rPr>
          <w:spacing w:val="-12"/>
          <w:sz w:val="24"/>
        </w:rPr>
        <w:t xml:space="preserve">构应当组织 </w:t>
      </w:r>
      <w:r>
        <w:rPr>
          <w:sz w:val="24"/>
        </w:rPr>
        <w:t>2</w:t>
      </w:r>
      <w:r>
        <w:rPr>
          <w:spacing w:val="-7"/>
          <w:sz w:val="24"/>
        </w:rPr>
        <w:t xml:space="preserve"> 名以上的本单位工作人员，在采购现场监督人员的监督之下，依</w:t>
      </w:r>
      <w:r>
        <w:rPr>
          <w:spacing w:val="-4"/>
          <w:sz w:val="24"/>
        </w:rPr>
        <w:t>据有关的法律制度和磋商文件对评审结果进行复核，出具复核报告，存在下列</w:t>
      </w:r>
      <w:r>
        <w:rPr>
          <w:spacing w:val="-8"/>
          <w:sz w:val="24"/>
        </w:rPr>
        <w:t>情形之一的，采购代理机构应当根据情况书面建议磋商小组现场修改评审结果：</w:t>
      </w:r>
    </w:p>
    <w:p>
      <w:pPr>
        <w:pStyle w:val="16"/>
        <w:numPr>
          <w:ilvl w:val="0"/>
          <w:numId w:val="17"/>
        </w:numPr>
        <w:tabs>
          <w:tab w:val="left" w:pos="2041"/>
        </w:tabs>
        <w:spacing w:before="2"/>
        <w:rPr>
          <w:sz w:val="24"/>
        </w:rPr>
      </w:pPr>
      <w:r>
        <w:rPr>
          <w:sz w:val="24"/>
        </w:rPr>
        <w:t>资格性审查认定错误的；</w:t>
      </w:r>
    </w:p>
    <w:p>
      <w:pPr>
        <w:pStyle w:val="16"/>
        <w:numPr>
          <w:ilvl w:val="0"/>
          <w:numId w:val="17"/>
        </w:numPr>
        <w:tabs>
          <w:tab w:val="left" w:pos="2041"/>
        </w:tabs>
        <w:rPr>
          <w:sz w:val="24"/>
        </w:rPr>
      </w:pPr>
      <w:r>
        <w:rPr>
          <w:sz w:val="24"/>
        </w:rPr>
        <w:t>分值汇总计算错误的；</w:t>
      </w:r>
    </w:p>
    <w:p>
      <w:pPr>
        <w:rPr>
          <w:sz w:val="24"/>
        </w:rPr>
        <w:sectPr>
          <w:pgSz w:w="11850" w:h="16790"/>
          <w:pgMar w:top="1600" w:right="760" w:bottom="1300" w:left="840" w:header="949" w:footer="1119" w:gutter="0"/>
          <w:pgBorders>
            <w:top w:val="none" w:sz="0" w:space="0"/>
            <w:left w:val="none" w:sz="0" w:space="0"/>
            <w:bottom w:val="none" w:sz="0" w:space="0"/>
            <w:right w:val="none" w:sz="0" w:space="0"/>
          </w:pgBorders>
          <w:cols w:space="720" w:num="1"/>
        </w:sectPr>
      </w:pPr>
    </w:p>
    <w:p>
      <w:pPr>
        <w:pStyle w:val="16"/>
        <w:numPr>
          <w:ilvl w:val="0"/>
          <w:numId w:val="17"/>
        </w:numPr>
        <w:tabs>
          <w:tab w:val="left" w:pos="2041"/>
        </w:tabs>
        <w:spacing w:before="123"/>
        <w:rPr>
          <w:sz w:val="24"/>
        </w:rPr>
      </w:pPr>
      <w:r>
        <w:rPr>
          <w:sz w:val="24"/>
        </w:rPr>
        <w:t>分项评分超出评分标准范围的；</w:t>
      </w:r>
    </w:p>
    <w:p>
      <w:pPr>
        <w:pStyle w:val="16"/>
        <w:numPr>
          <w:ilvl w:val="0"/>
          <w:numId w:val="17"/>
        </w:numPr>
        <w:tabs>
          <w:tab w:val="left" w:pos="2041"/>
        </w:tabs>
        <w:rPr>
          <w:sz w:val="24"/>
        </w:rPr>
      </w:pPr>
      <w:r>
        <w:rPr>
          <w:sz w:val="24"/>
        </w:rPr>
        <w:t>客观评分不一致的。</w:t>
      </w:r>
    </w:p>
    <w:p>
      <w:pPr>
        <w:pStyle w:val="7"/>
        <w:spacing w:before="160" w:line="364" w:lineRule="auto"/>
        <w:ind w:left="960" w:right="1039" w:firstLine="480"/>
        <w:jc w:val="both"/>
      </w:pPr>
      <w:r>
        <w:t>存在本条上述情形的，由磋商小组自主决定是否采纳采购人或采购代理机构的书面建议，并承担独立评审责任。磋商小组采纳采购人或采购代理机构书面建议的，应当按照规定现场修改评审结果或者重新评审，并在磋商报告中详细记载有关事宜；不采纳采购人或采购代理机构书面建议的，应当书面说明理由。采购人或采购代理机构书面建议未被磋商小组采纳的，应当接照规定程序要求继续组织实施采购活动，不得擅自中止采购活动。采购人或采购代理机构认为磋商小组评审结果不合法的，应当书面报告采购项目同级财政部门。</w:t>
      </w:r>
    </w:p>
    <w:p>
      <w:pPr>
        <w:pStyle w:val="7"/>
        <w:spacing w:before="5"/>
        <w:ind w:left="1440"/>
      </w:pPr>
      <w:r>
        <w:t>采购代理机构复核过程中，磋商小组成员不得离开评审现场。</w:t>
      </w:r>
    </w:p>
    <w:p>
      <w:pPr>
        <w:pStyle w:val="16"/>
        <w:numPr>
          <w:ilvl w:val="2"/>
          <w:numId w:val="15"/>
        </w:numPr>
        <w:tabs>
          <w:tab w:val="left" w:pos="2100"/>
        </w:tabs>
        <w:spacing w:before="160"/>
        <w:ind w:left="2100" w:hanging="660"/>
        <w:rPr>
          <w:sz w:val="24"/>
        </w:rPr>
      </w:pPr>
      <w:r>
        <w:rPr>
          <w:sz w:val="24"/>
        </w:rPr>
        <w:t>有下列情形之一的，不得现场修改评审结果：</w:t>
      </w:r>
    </w:p>
    <w:p>
      <w:pPr>
        <w:pStyle w:val="16"/>
        <w:numPr>
          <w:ilvl w:val="0"/>
          <w:numId w:val="18"/>
        </w:numPr>
        <w:tabs>
          <w:tab w:val="left" w:pos="2041"/>
        </w:tabs>
        <w:rPr>
          <w:sz w:val="24"/>
        </w:rPr>
      </w:pPr>
      <w:r>
        <w:rPr>
          <w:sz w:val="24"/>
        </w:rPr>
        <w:t>磋商小组已经出具磋商报告并且离开评审现场的；</w:t>
      </w:r>
    </w:p>
    <w:p>
      <w:pPr>
        <w:pStyle w:val="16"/>
        <w:numPr>
          <w:ilvl w:val="0"/>
          <w:numId w:val="18"/>
        </w:numPr>
        <w:tabs>
          <w:tab w:val="left" w:pos="2041"/>
        </w:tabs>
        <w:spacing w:before="160"/>
        <w:rPr>
          <w:sz w:val="24"/>
        </w:rPr>
      </w:pPr>
      <w:r>
        <w:rPr>
          <w:sz w:val="24"/>
        </w:rPr>
        <w:t>采购代理机构现场复核时，复核工作人员数量不足的；</w:t>
      </w:r>
    </w:p>
    <w:p>
      <w:pPr>
        <w:pStyle w:val="16"/>
        <w:numPr>
          <w:ilvl w:val="0"/>
          <w:numId w:val="18"/>
        </w:numPr>
        <w:tabs>
          <w:tab w:val="left" w:pos="2041"/>
        </w:tabs>
        <w:rPr>
          <w:sz w:val="24"/>
        </w:rPr>
      </w:pPr>
      <w:r>
        <w:rPr>
          <w:sz w:val="24"/>
        </w:rPr>
        <w:t>采购代理机构现场复核时，没有采购监督人员现场监督的；</w:t>
      </w:r>
    </w:p>
    <w:p>
      <w:pPr>
        <w:pStyle w:val="16"/>
        <w:numPr>
          <w:ilvl w:val="0"/>
          <w:numId w:val="18"/>
        </w:numPr>
        <w:tabs>
          <w:tab w:val="left" w:pos="2041"/>
        </w:tabs>
        <w:spacing w:before="160"/>
        <w:rPr>
          <w:sz w:val="24"/>
        </w:rPr>
      </w:pPr>
      <w:r>
        <w:rPr>
          <w:sz w:val="24"/>
        </w:rPr>
        <w:t>采购代理机构现场复核内容超出规定范围的；</w:t>
      </w:r>
    </w:p>
    <w:p>
      <w:pPr>
        <w:pStyle w:val="16"/>
        <w:numPr>
          <w:ilvl w:val="0"/>
          <w:numId w:val="18"/>
        </w:numPr>
        <w:tabs>
          <w:tab w:val="left" w:pos="2041"/>
        </w:tabs>
        <w:rPr>
          <w:sz w:val="24"/>
        </w:rPr>
      </w:pPr>
      <w:r>
        <w:rPr>
          <w:sz w:val="24"/>
        </w:rPr>
        <w:t>采购代理机构未提供书面建议的。</w:t>
      </w:r>
    </w:p>
    <w:p>
      <w:pPr>
        <w:pStyle w:val="16"/>
        <w:numPr>
          <w:ilvl w:val="1"/>
          <w:numId w:val="15"/>
        </w:numPr>
        <w:tabs>
          <w:tab w:val="left" w:pos="1980"/>
        </w:tabs>
        <w:spacing w:before="160" w:line="364" w:lineRule="auto"/>
        <w:ind w:right="1039" w:firstLine="480"/>
        <w:rPr>
          <w:sz w:val="24"/>
        </w:rPr>
      </w:pPr>
      <w:r>
        <w:rPr>
          <w:spacing w:val="-1"/>
          <w:sz w:val="24"/>
        </w:rPr>
        <w:t>编写磋商报告。磋商小组推荐成交候选供应商后，应向采购代理机构</w:t>
      </w:r>
      <w:r>
        <w:rPr>
          <w:sz w:val="24"/>
        </w:rPr>
        <w:t>出具磋商报告。磋商报告应当包括以下主要内容：</w:t>
      </w:r>
    </w:p>
    <w:p>
      <w:pPr>
        <w:pStyle w:val="16"/>
        <w:numPr>
          <w:ilvl w:val="0"/>
          <w:numId w:val="19"/>
        </w:numPr>
        <w:tabs>
          <w:tab w:val="left" w:pos="2041"/>
        </w:tabs>
        <w:spacing w:before="1"/>
        <w:rPr>
          <w:sz w:val="24"/>
        </w:rPr>
      </w:pPr>
      <w:r>
        <w:rPr>
          <w:sz w:val="24"/>
        </w:rPr>
        <w:t>邀请供应商参加采购活动的具体方式和相关情况；</w:t>
      </w:r>
    </w:p>
    <w:p>
      <w:pPr>
        <w:pStyle w:val="16"/>
        <w:numPr>
          <w:ilvl w:val="0"/>
          <w:numId w:val="19"/>
        </w:numPr>
        <w:tabs>
          <w:tab w:val="left" w:pos="2041"/>
        </w:tabs>
        <w:rPr>
          <w:sz w:val="24"/>
        </w:rPr>
      </w:pPr>
      <w:r>
        <w:rPr>
          <w:sz w:val="24"/>
        </w:rPr>
        <w:t>响应文件开启日期和地点；</w:t>
      </w:r>
    </w:p>
    <w:p>
      <w:pPr>
        <w:pStyle w:val="16"/>
        <w:numPr>
          <w:ilvl w:val="0"/>
          <w:numId w:val="19"/>
        </w:numPr>
        <w:tabs>
          <w:tab w:val="left" w:pos="2041"/>
        </w:tabs>
        <w:spacing w:before="160"/>
        <w:rPr>
          <w:sz w:val="24"/>
        </w:rPr>
      </w:pPr>
      <w:r>
        <w:rPr>
          <w:sz w:val="24"/>
        </w:rPr>
        <w:t>获取磋商文件的供应商名单和磋商小组成员名单；</w:t>
      </w:r>
    </w:p>
    <w:p>
      <w:pPr>
        <w:pStyle w:val="16"/>
        <w:numPr>
          <w:ilvl w:val="0"/>
          <w:numId w:val="19"/>
        </w:numPr>
        <w:tabs>
          <w:tab w:val="left" w:pos="2041"/>
        </w:tabs>
        <w:spacing w:line="364" w:lineRule="auto"/>
        <w:ind w:left="960" w:right="1039" w:firstLine="480"/>
        <w:rPr>
          <w:sz w:val="24"/>
        </w:rPr>
      </w:pPr>
      <w:r>
        <w:rPr>
          <w:spacing w:val="-3"/>
          <w:sz w:val="24"/>
        </w:rPr>
        <w:t>评审情况记录和说明，包括对供应商的资格审查情况、供应商响应文</w:t>
      </w:r>
      <w:r>
        <w:rPr>
          <w:sz w:val="24"/>
        </w:rPr>
        <w:t>件审查情况、磋商情况、报价情况等；</w:t>
      </w:r>
    </w:p>
    <w:p>
      <w:pPr>
        <w:pStyle w:val="16"/>
        <w:numPr>
          <w:ilvl w:val="0"/>
          <w:numId w:val="19"/>
        </w:numPr>
        <w:tabs>
          <w:tab w:val="left" w:pos="2041"/>
        </w:tabs>
        <w:spacing w:before="1"/>
        <w:rPr>
          <w:sz w:val="24"/>
        </w:rPr>
      </w:pPr>
      <w:r>
        <w:rPr>
          <w:sz w:val="24"/>
        </w:rPr>
        <w:t>提出的成交候选供应商的排序名单及理由。</w:t>
      </w:r>
    </w:p>
    <w:p>
      <w:pPr>
        <w:pStyle w:val="7"/>
        <w:spacing w:before="160" w:line="364" w:lineRule="auto"/>
        <w:ind w:left="960" w:right="1039" w:firstLine="480"/>
        <w:jc w:val="both"/>
      </w:pPr>
      <w: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4" w:lineRule="auto"/>
        <w:jc w:val="both"/>
        <w:sectPr>
          <w:footerReference r:id="rId13" w:type="default"/>
          <w:pgSz w:w="11850" w:h="16790"/>
          <w:pgMar w:top="1600" w:right="760" w:bottom="1300" w:left="840" w:header="949" w:footer="1119" w:gutter="0"/>
          <w:pgBorders>
            <w:top w:val="none" w:sz="0" w:space="0"/>
            <w:left w:val="none" w:sz="0" w:space="0"/>
            <w:bottom w:val="none" w:sz="0" w:space="0"/>
            <w:right w:val="none" w:sz="0" w:space="0"/>
          </w:pgBorders>
          <w:pgNumType w:start="60"/>
          <w:cols w:space="720" w:num="1"/>
        </w:sectPr>
      </w:pPr>
    </w:p>
    <w:p>
      <w:pPr>
        <w:pStyle w:val="16"/>
        <w:numPr>
          <w:ilvl w:val="1"/>
          <w:numId w:val="15"/>
        </w:numPr>
        <w:tabs>
          <w:tab w:val="left" w:pos="1980"/>
        </w:tabs>
        <w:spacing w:before="123" w:line="364" w:lineRule="auto"/>
        <w:ind w:right="1039" w:firstLine="480"/>
        <w:jc w:val="both"/>
        <w:rPr>
          <w:sz w:val="24"/>
        </w:rPr>
      </w:pPr>
      <w:r>
        <w:rPr>
          <w:spacing w:val="-1"/>
          <w:sz w:val="24"/>
        </w:rPr>
        <w:t>磋商异议处理规则。在磋商过程中，磋商小组成员对响应文件是否符</w:t>
      </w:r>
      <w:r>
        <w:rPr>
          <w:sz w:val="24"/>
        </w:rPr>
        <w:t>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16"/>
        <w:numPr>
          <w:ilvl w:val="1"/>
          <w:numId w:val="15"/>
        </w:numPr>
        <w:tabs>
          <w:tab w:val="left" w:pos="1980"/>
        </w:tabs>
        <w:spacing w:before="3"/>
        <w:ind w:left="1980" w:hanging="540"/>
        <w:jc w:val="both"/>
        <w:rPr>
          <w:sz w:val="24"/>
        </w:rPr>
      </w:pPr>
      <w:r>
        <w:rPr>
          <w:sz w:val="24"/>
        </w:rPr>
        <w:t>供应商澄清、说明</w:t>
      </w:r>
    </w:p>
    <w:p>
      <w:pPr>
        <w:pStyle w:val="16"/>
        <w:numPr>
          <w:ilvl w:val="2"/>
          <w:numId w:val="15"/>
        </w:numPr>
        <w:tabs>
          <w:tab w:val="left" w:pos="2220"/>
        </w:tabs>
        <w:spacing w:before="160" w:line="364" w:lineRule="auto"/>
        <w:ind w:right="1039" w:firstLine="480"/>
        <w:jc w:val="both"/>
        <w:rPr>
          <w:sz w:val="24"/>
        </w:rPr>
      </w:pPr>
      <w:r>
        <w:rPr>
          <w:spacing w:val="-1"/>
          <w:sz w:val="24"/>
        </w:rPr>
        <w:t xml:space="preserve">磋商小组在对响应文件的有效性、完整性和响应程度进行审查时， </w:t>
      </w:r>
      <w:r>
        <w:rPr>
          <w:sz w:val="24"/>
        </w:rPr>
        <w:t>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6"/>
        <w:numPr>
          <w:ilvl w:val="2"/>
          <w:numId w:val="15"/>
        </w:numPr>
        <w:tabs>
          <w:tab w:val="left" w:pos="2220"/>
        </w:tabs>
        <w:spacing w:before="3" w:line="364" w:lineRule="auto"/>
        <w:ind w:right="1039" w:firstLine="480"/>
        <w:jc w:val="both"/>
        <w:rPr>
          <w:sz w:val="24"/>
        </w:rPr>
      </w:pPr>
      <w:r>
        <w:rPr>
          <w:spacing w:val="-1"/>
          <w:sz w:val="24"/>
        </w:rPr>
        <w:t>磋商小组要求供应商澄清、说明或者更正响应文件应当以书面形式</w:t>
      </w:r>
      <w:r>
        <w:rPr>
          <w:sz w:val="24"/>
        </w:rPr>
        <w:t>作出。供应商的澄清、说明或者更正应当由法定代表人或其授权代表签字或者加盖公章。</w:t>
      </w:r>
    </w:p>
    <w:p>
      <w:pPr>
        <w:pStyle w:val="16"/>
        <w:numPr>
          <w:ilvl w:val="1"/>
          <w:numId w:val="15"/>
        </w:numPr>
        <w:tabs>
          <w:tab w:val="left" w:pos="1980"/>
        </w:tabs>
        <w:spacing w:before="1"/>
        <w:ind w:left="1980" w:hanging="540"/>
        <w:jc w:val="both"/>
        <w:rPr>
          <w:sz w:val="24"/>
        </w:rPr>
      </w:pPr>
      <w:r>
        <w:rPr>
          <w:sz w:val="24"/>
        </w:rPr>
        <w:t>终止磋商采购活动。</w:t>
      </w:r>
    </w:p>
    <w:p>
      <w:pPr>
        <w:pStyle w:val="7"/>
        <w:spacing w:before="161" w:line="364" w:lineRule="auto"/>
        <w:ind w:left="960" w:right="1039" w:firstLine="480"/>
      </w:pPr>
      <w:r>
        <w:t>出现下列情形之一的，采购人或者采购代理机构应当终止竞争性磋商采购活动，发布项目终止公告并说明原因，重新开展采购活动：</w:t>
      </w:r>
    </w:p>
    <w:p>
      <w:pPr>
        <w:pStyle w:val="16"/>
        <w:numPr>
          <w:ilvl w:val="0"/>
          <w:numId w:val="20"/>
        </w:numPr>
        <w:tabs>
          <w:tab w:val="left" w:pos="2041"/>
        </w:tabs>
        <w:spacing w:before="1"/>
        <w:rPr>
          <w:sz w:val="24"/>
        </w:rPr>
      </w:pPr>
      <w:r>
        <w:rPr>
          <w:sz w:val="24"/>
        </w:rPr>
        <w:t>因情况变化，不再符合规定的竞争性磋商采购方式适用情形的；</w:t>
      </w:r>
    </w:p>
    <w:p>
      <w:pPr>
        <w:pStyle w:val="16"/>
        <w:numPr>
          <w:ilvl w:val="0"/>
          <w:numId w:val="20"/>
        </w:numPr>
        <w:tabs>
          <w:tab w:val="left" w:pos="2041"/>
        </w:tabs>
        <w:rPr>
          <w:sz w:val="24"/>
        </w:rPr>
      </w:pPr>
      <w:r>
        <w:rPr>
          <w:sz w:val="24"/>
        </w:rPr>
        <w:t>出现影响采购公正的违法、违规行为的；</w:t>
      </w:r>
    </w:p>
    <w:p>
      <w:pPr>
        <w:pStyle w:val="16"/>
        <w:numPr>
          <w:ilvl w:val="0"/>
          <w:numId w:val="20"/>
        </w:numPr>
        <w:tabs>
          <w:tab w:val="left" w:pos="2041"/>
        </w:tabs>
        <w:spacing w:before="160" w:line="364" w:lineRule="auto"/>
        <w:ind w:left="960" w:right="1039" w:firstLine="480"/>
        <w:rPr>
          <w:sz w:val="24"/>
        </w:rPr>
      </w:pPr>
      <w:r>
        <w:rPr>
          <w:sz w:val="24"/>
        </w:rPr>
        <w:t>在采购过程中符合要求的供应商或者报价未超过采购预算的供应商</w:t>
      </w:r>
      <w:r>
        <w:rPr>
          <w:spacing w:val="-26"/>
          <w:sz w:val="24"/>
        </w:rPr>
        <w:t xml:space="preserve">不足 </w:t>
      </w:r>
      <w:r>
        <w:rPr>
          <w:sz w:val="24"/>
        </w:rPr>
        <w:t>2</w:t>
      </w:r>
      <w:r>
        <w:rPr>
          <w:spacing w:val="-15"/>
          <w:sz w:val="24"/>
        </w:rPr>
        <w:t xml:space="preserve"> 家的。</w:t>
      </w:r>
    </w:p>
    <w:p>
      <w:pPr>
        <w:pStyle w:val="6"/>
        <w:numPr>
          <w:ilvl w:val="0"/>
          <w:numId w:val="15"/>
        </w:numPr>
        <w:tabs>
          <w:tab w:val="left" w:pos="1684"/>
        </w:tabs>
        <w:spacing w:before="1"/>
        <w:ind w:left="1683"/>
        <w:rPr>
          <w:sz w:val="22"/>
        </w:rPr>
      </w:pPr>
      <w:r>
        <w:t>综合评分</w:t>
      </w:r>
    </w:p>
    <w:p>
      <w:pPr>
        <w:pStyle w:val="6"/>
        <w:numPr>
          <w:ilvl w:val="1"/>
          <w:numId w:val="15"/>
        </w:numPr>
        <w:tabs>
          <w:tab w:val="left" w:pos="1868"/>
        </w:tabs>
        <w:spacing w:before="161" w:line="364" w:lineRule="auto"/>
        <w:ind w:right="1010" w:firstLine="480"/>
        <w:jc w:val="both"/>
      </w:pPr>
      <w:r>
        <w:rPr>
          <w:spacing w:val="3"/>
          <w:w w:val="95"/>
        </w:rPr>
        <w:t>本次综合评分的因素</w:t>
      </w:r>
      <w:r>
        <w:rPr>
          <w:rFonts w:hint="eastAsia"/>
          <w:spacing w:val="3"/>
          <w:w w:val="95"/>
          <w:lang w:eastAsia="zh-CN"/>
        </w:rPr>
        <w:t>详见</w:t>
      </w:r>
      <w:r>
        <w:rPr>
          <w:rFonts w:hint="eastAsia"/>
          <w:spacing w:val="3"/>
          <w:w w:val="95"/>
          <w:lang w:val="en-US" w:eastAsia="zh-CN"/>
        </w:rPr>
        <w:t>3.3。</w:t>
      </w:r>
    </w:p>
    <w:p>
      <w:pPr>
        <w:pStyle w:val="16"/>
        <w:numPr>
          <w:ilvl w:val="1"/>
          <w:numId w:val="15"/>
        </w:numPr>
        <w:tabs>
          <w:tab w:val="left" w:pos="1923"/>
        </w:tabs>
        <w:spacing w:before="1" w:line="364" w:lineRule="auto"/>
        <w:ind w:right="1039" w:firstLine="480"/>
        <w:jc w:val="both"/>
        <w:rPr>
          <w:sz w:val="24"/>
        </w:rPr>
      </w:pPr>
      <w:r>
        <w:rPr>
          <w:sz w:val="24"/>
        </w:rPr>
        <w:t>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spacing w:line="364" w:lineRule="auto"/>
        <w:jc w:val="both"/>
        <w:rPr>
          <w:sz w:val="24"/>
        </w:rPr>
        <w:sectPr>
          <w:pgSz w:w="11850" w:h="16790"/>
          <w:pgMar w:top="1600" w:right="760" w:bottom="1300" w:left="840" w:header="949" w:footer="1119" w:gutter="0"/>
          <w:pgBorders>
            <w:top w:val="none" w:sz="0" w:space="0"/>
            <w:left w:val="none" w:sz="0" w:space="0"/>
            <w:bottom w:val="none" w:sz="0" w:space="0"/>
            <w:right w:val="none" w:sz="0" w:space="0"/>
          </w:pgBorders>
          <w:cols w:space="720" w:num="1"/>
        </w:sectPr>
      </w:pPr>
    </w:p>
    <w:p>
      <w:pPr>
        <w:pStyle w:val="16"/>
        <w:numPr>
          <w:ilvl w:val="1"/>
          <w:numId w:val="15"/>
        </w:numPr>
        <w:tabs>
          <w:tab w:val="left" w:pos="1860"/>
        </w:tabs>
        <w:spacing w:before="123"/>
        <w:ind w:left="1860"/>
        <w:rPr>
          <w:sz w:val="24"/>
        </w:rPr>
      </w:pPr>
      <w:r>
        <w:rPr>
          <w:sz w:val="24"/>
        </w:rPr>
        <w:t>综合评分明细表</w:t>
      </w:r>
    </w:p>
    <w:p>
      <w:pPr>
        <w:pStyle w:val="6"/>
        <w:spacing w:before="66"/>
        <w:ind w:left="960"/>
      </w:pPr>
    </w:p>
    <w:tbl>
      <w:tblPr>
        <w:tblStyle w:val="12"/>
        <w:tblpPr w:leftFromText="180" w:rightFromText="180" w:vertAnchor="text" w:horzAnchor="page" w:tblpX="1461" w:tblpY="481"/>
        <w:tblOverlap w:val="never"/>
        <w:tblW w:w="93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3"/>
        <w:gridCol w:w="928"/>
        <w:gridCol w:w="920"/>
        <w:gridCol w:w="5629"/>
        <w:gridCol w:w="13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03" w:type="dxa"/>
            <w:noWrap w:val="0"/>
            <w:vAlign w:val="center"/>
          </w:tcPr>
          <w:p>
            <w:pPr>
              <w:pStyle w:val="25"/>
              <w:spacing w:line="360" w:lineRule="auto"/>
              <w:jc w:val="center"/>
              <w:rPr>
                <w:rFonts w:ascii="宋体" w:hAnsi="宋体"/>
                <w:b/>
                <w:bCs/>
                <w:color w:val="auto"/>
                <w:sz w:val="21"/>
                <w:highlight w:val="none"/>
              </w:rPr>
            </w:pPr>
            <w:r>
              <w:rPr>
                <w:rFonts w:hint="eastAsia" w:ascii="宋体" w:hAnsi="宋体"/>
                <w:b/>
                <w:bCs/>
                <w:color w:val="auto"/>
                <w:sz w:val="21"/>
                <w:highlight w:val="none"/>
              </w:rPr>
              <w:t>序号</w:t>
            </w:r>
          </w:p>
        </w:tc>
        <w:tc>
          <w:tcPr>
            <w:tcW w:w="928" w:type="dxa"/>
            <w:noWrap w:val="0"/>
            <w:vAlign w:val="center"/>
          </w:tcPr>
          <w:p>
            <w:pPr>
              <w:pStyle w:val="25"/>
              <w:spacing w:line="360" w:lineRule="auto"/>
              <w:jc w:val="center"/>
              <w:rPr>
                <w:rFonts w:ascii="宋体" w:hAnsi="宋体"/>
                <w:b/>
                <w:bCs/>
                <w:color w:val="auto"/>
                <w:sz w:val="21"/>
                <w:highlight w:val="none"/>
              </w:rPr>
            </w:pPr>
            <w:r>
              <w:rPr>
                <w:rFonts w:hint="eastAsia" w:ascii="宋体" w:hAnsi="宋体"/>
                <w:b/>
                <w:bCs/>
                <w:color w:val="auto"/>
                <w:sz w:val="21"/>
                <w:highlight w:val="none"/>
              </w:rPr>
              <w:t>评审类别</w:t>
            </w:r>
          </w:p>
        </w:tc>
        <w:tc>
          <w:tcPr>
            <w:tcW w:w="920" w:type="dxa"/>
            <w:noWrap w:val="0"/>
            <w:vAlign w:val="center"/>
          </w:tcPr>
          <w:p>
            <w:pPr>
              <w:pStyle w:val="25"/>
              <w:spacing w:line="360" w:lineRule="auto"/>
              <w:jc w:val="center"/>
              <w:rPr>
                <w:rFonts w:ascii="宋体" w:hAnsi="宋体"/>
                <w:b/>
                <w:bCs/>
                <w:color w:val="auto"/>
                <w:sz w:val="21"/>
                <w:highlight w:val="none"/>
              </w:rPr>
            </w:pPr>
            <w:r>
              <w:rPr>
                <w:rFonts w:hint="eastAsia" w:ascii="宋体" w:hAnsi="宋体"/>
                <w:b/>
                <w:bCs/>
                <w:color w:val="auto"/>
                <w:sz w:val="21"/>
                <w:highlight w:val="none"/>
              </w:rPr>
              <w:t>分值</w:t>
            </w:r>
          </w:p>
        </w:tc>
        <w:tc>
          <w:tcPr>
            <w:tcW w:w="5629" w:type="dxa"/>
            <w:noWrap w:val="0"/>
            <w:vAlign w:val="center"/>
          </w:tcPr>
          <w:p>
            <w:pPr>
              <w:pStyle w:val="25"/>
              <w:spacing w:line="360" w:lineRule="auto"/>
              <w:jc w:val="center"/>
              <w:rPr>
                <w:rFonts w:ascii="宋体" w:hAnsi="宋体"/>
                <w:b/>
                <w:bCs/>
                <w:color w:val="auto"/>
                <w:sz w:val="21"/>
                <w:highlight w:val="none"/>
              </w:rPr>
            </w:pPr>
            <w:r>
              <w:rPr>
                <w:rFonts w:hint="eastAsia" w:ascii="宋体" w:hAnsi="宋体"/>
                <w:b/>
                <w:bCs/>
                <w:color w:val="auto"/>
                <w:sz w:val="21"/>
                <w:highlight w:val="none"/>
              </w:rPr>
              <w:t>评分标准</w:t>
            </w:r>
          </w:p>
        </w:tc>
        <w:tc>
          <w:tcPr>
            <w:tcW w:w="1358" w:type="dxa"/>
            <w:noWrap w:val="0"/>
            <w:vAlign w:val="center"/>
          </w:tcPr>
          <w:p>
            <w:pPr>
              <w:pStyle w:val="25"/>
              <w:spacing w:line="360" w:lineRule="auto"/>
              <w:jc w:val="center"/>
              <w:rPr>
                <w:rFonts w:ascii="宋体" w:hAnsi="宋体"/>
                <w:b/>
                <w:bCs/>
                <w:color w:val="auto"/>
                <w:sz w:val="21"/>
                <w:highlight w:val="none"/>
              </w:rPr>
            </w:pPr>
            <w:r>
              <w:rPr>
                <w:rFonts w:hint="eastAsia" w:ascii="宋体" w:hAnsi="宋体"/>
                <w:b/>
                <w:bCs/>
                <w:color w:val="auto"/>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trPr>
        <w:tc>
          <w:tcPr>
            <w:tcW w:w="503" w:type="dxa"/>
            <w:noWrap w:val="0"/>
            <w:vAlign w:val="center"/>
          </w:tcPr>
          <w:p>
            <w:pPr>
              <w:widowControl/>
              <w:spacing w:line="360" w:lineRule="auto"/>
              <w:ind w:firstLine="240" w:firstLineChars="100"/>
              <w:rPr>
                <w:rFonts w:hAnsi="宋体" w:cs="宋体"/>
                <w:color w:val="auto"/>
                <w:sz w:val="24"/>
                <w:szCs w:val="24"/>
                <w:highlight w:val="none"/>
              </w:rPr>
            </w:pPr>
            <w:r>
              <w:rPr>
                <w:rFonts w:hAnsi="宋体" w:cs="宋体"/>
                <w:color w:val="auto"/>
                <w:sz w:val="24"/>
                <w:szCs w:val="24"/>
                <w:highlight w:val="none"/>
              </w:rPr>
              <w:t>1</w:t>
            </w:r>
          </w:p>
        </w:tc>
        <w:tc>
          <w:tcPr>
            <w:tcW w:w="928" w:type="dxa"/>
            <w:noWrap w:val="0"/>
            <w:vAlign w:val="center"/>
          </w:tcPr>
          <w:p>
            <w:pPr>
              <w:widowControl/>
              <w:spacing w:line="360" w:lineRule="auto"/>
              <w:jc w:val="center"/>
              <w:rPr>
                <w:rFonts w:hAnsi="宋体" w:cs="宋体"/>
                <w:color w:val="auto"/>
                <w:sz w:val="24"/>
                <w:szCs w:val="24"/>
                <w:highlight w:val="none"/>
              </w:rPr>
            </w:pPr>
            <w:r>
              <w:rPr>
                <w:rFonts w:hint="eastAsia" w:hAnsi="宋体" w:cs="宋体"/>
                <w:color w:val="auto"/>
                <w:sz w:val="24"/>
                <w:szCs w:val="24"/>
                <w:highlight w:val="none"/>
              </w:rPr>
              <w:t>价格</w:t>
            </w:r>
          </w:p>
          <w:p>
            <w:pPr>
              <w:widowControl/>
              <w:spacing w:line="360" w:lineRule="auto"/>
              <w:jc w:val="center"/>
              <w:rPr>
                <w:rFonts w:hAnsi="宋体" w:cs="宋体"/>
                <w:color w:val="auto"/>
                <w:sz w:val="24"/>
                <w:szCs w:val="24"/>
                <w:highlight w:val="none"/>
              </w:rPr>
            </w:pPr>
            <w:r>
              <w:rPr>
                <w:rFonts w:hAnsi="宋体" w:cs="宋体"/>
                <w:color w:val="auto"/>
                <w:sz w:val="24"/>
                <w:szCs w:val="24"/>
                <w:highlight w:val="none"/>
              </w:rPr>
              <w:t>1</w:t>
            </w:r>
            <w:r>
              <w:rPr>
                <w:rFonts w:hint="eastAsia" w:cs="宋体"/>
                <w:color w:val="auto"/>
                <w:sz w:val="24"/>
                <w:szCs w:val="24"/>
                <w:highlight w:val="none"/>
                <w:lang w:val="en-US" w:eastAsia="zh-CN"/>
              </w:rPr>
              <w:t>5</w:t>
            </w:r>
            <w:r>
              <w:rPr>
                <w:rFonts w:hAnsi="宋体" w:cs="宋体"/>
                <w:color w:val="auto"/>
                <w:sz w:val="24"/>
                <w:szCs w:val="24"/>
                <w:highlight w:val="none"/>
              </w:rPr>
              <w:t>%</w:t>
            </w:r>
          </w:p>
        </w:tc>
        <w:tc>
          <w:tcPr>
            <w:tcW w:w="920" w:type="dxa"/>
            <w:noWrap w:val="0"/>
            <w:vAlign w:val="center"/>
          </w:tcPr>
          <w:p>
            <w:pPr>
              <w:widowControl/>
              <w:spacing w:line="360" w:lineRule="auto"/>
              <w:jc w:val="center"/>
              <w:rPr>
                <w:rFonts w:hAnsi="宋体" w:cs="宋体"/>
                <w:color w:val="auto"/>
                <w:sz w:val="24"/>
                <w:szCs w:val="24"/>
                <w:highlight w:val="none"/>
              </w:rPr>
            </w:pPr>
            <w:r>
              <w:rPr>
                <w:rFonts w:hAnsi="宋体" w:cs="宋体"/>
                <w:color w:val="auto"/>
                <w:sz w:val="24"/>
                <w:szCs w:val="24"/>
                <w:highlight w:val="none"/>
              </w:rPr>
              <w:t>1</w:t>
            </w:r>
            <w:r>
              <w:rPr>
                <w:rFonts w:hint="eastAsia" w:cs="宋体"/>
                <w:color w:val="auto"/>
                <w:sz w:val="24"/>
                <w:szCs w:val="24"/>
                <w:highlight w:val="none"/>
                <w:lang w:val="en-US" w:eastAsia="zh-CN"/>
              </w:rPr>
              <w:t>5</w:t>
            </w:r>
            <w:r>
              <w:rPr>
                <w:rFonts w:hAnsi="宋体" w:cs="宋体"/>
                <w:color w:val="auto"/>
                <w:sz w:val="24"/>
                <w:szCs w:val="24"/>
                <w:highlight w:val="none"/>
              </w:rPr>
              <w:t>分</w:t>
            </w:r>
          </w:p>
        </w:tc>
        <w:tc>
          <w:tcPr>
            <w:tcW w:w="5629" w:type="dxa"/>
            <w:noWrap w:val="0"/>
            <w:vAlign w:val="center"/>
          </w:tcPr>
          <w:p>
            <w:pPr>
              <w:pStyle w:val="7"/>
              <w:rPr>
                <w:rFonts w:hint="eastAsia"/>
              </w:rPr>
            </w:pPr>
            <w:r>
              <w:rPr>
                <w:rFonts w:hint="eastAsia"/>
                <w:lang w:val="en-US" w:eastAsia="zh-CN"/>
              </w:rPr>
              <w:t>1.</w:t>
            </w:r>
            <w:r>
              <w:rPr>
                <w:rFonts w:hint="eastAsia"/>
              </w:rPr>
              <w:t>以本次有效的最低磋商报价为基准价，磋商报价得分=(磋商基准价／最后磋商报价)×</w:t>
            </w:r>
            <w:r>
              <w:rPr>
                <w:rFonts w:hint="eastAsia"/>
                <w:lang w:val="en-US" w:eastAsia="zh-CN"/>
              </w:rPr>
              <w:t>15</w:t>
            </w:r>
            <w:r>
              <w:rPr>
                <w:rFonts w:hint="eastAsia"/>
              </w:rPr>
              <w:t>。</w:t>
            </w:r>
          </w:p>
          <w:p>
            <w:pPr>
              <w:rPr>
                <w:rFonts w:hint="eastAsia" w:eastAsia="宋体"/>
                <w:lang w:val="en-US" w:eastAsia="zh-CN"/>
              </w:rPr>
            </w:pPr>
            <w:r>
              <w:rPr>
                <w:rFonts w:hint="eastAsia"/>
                <w:lang w:val="en-US" w:eastAsia="zh-CN"/>
              </w:rPr>
              <w:t>2.</w:t>
            </w:r>
            <w:r>
              <w:rPr>
                <w:rFonts w:hint="eastAsia" w:cs="宋体"/>
                <w:color w:val="auto"/>
                <w:sz w:val="24"/>
              </w:rPr>
              <w:t>报价加成和价格扣除详见</w:t>
            </w:r>
            <w:r>
              <w:rPr>
                <w:rFonts w:hint="eastAsia" w:cs="宋体"/>
                <w:color w:val="auto"/>
                <w:sz w:val="24"/>
                <w:lang w:val="en-US" w:eastAsia="zh-CN"/>
              </w:rPr>
              <w:t>供应商</w:t>
            </w:r>
            <w:r>
              <w:rPr>
                <w:rFonts w:hint="eastAsia" w:cs="宋体"/>
                <w:color w:val="auto"/>
                <w:sz w:val="24"/>
              </w:rPr>
              <w:t>须知附表</w:t>
            </w:r>
            <w:r>
              <w:rPr>
                <w:rFonts w:hint="eastAsia" w:cs="宋体"/>
                <w:color w:val="auto"/>
                <w:sz w:val="24"/>
                <w:lang w:eastAsia="zh-CN"/>
              </w:rPr>
              <w:t>。</w:t>
            </w:r>
          </w:p>
        </w:tc>
        <w:tc>
          <w:tcPr>
            <w:tcW w:w="1358" w:type="dxa"/>
            <w:noWrap w:val="0"/>
            <w:vAlign w:val="center"/>
          </w:tcPr>
          <w:p>
            <w:pPr>
              <w:widowControl/>
              <w:spacing w:line="360" w:lineRule="auto"/>
              <w:rPr>
                <w:rFonts w:hAnsi="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trPr>
        <w:tc>
          <w:tcPr>
            <w:tcW w:w="503" w:type="dxa"/>
            <w:noWrap w:val="0"/>
            <w:vAlign w:val="center"/>
          </w:tcPr>
          <w:p>
            <w:pPr>
              <w:widowControl/>
              <w:spacing w:line="360" w:lineRule="auto"/>
              <w:jc w:val="center"/>
              <w:rPr>
                <w:rFonts w:hint="eastAsia" w:hAnsi="宋体" w:eastAsia="宋体" w:cs="宋体"/>
                <w:color w:val="auto"/>
                <w:sz w:val="24"/>
                <w:szCs w:val="24"/>
                <w:highlight w:val="none"/>
                <w:lang w:eastAsia="zh-CN"/>
              </w:rPr>
            </w:pPr>
            <w:r>
              <w:rPr>
                <w:rFonts w:hint="eastAsia" w:cs="宋体"/>
                <w:color w:val="auto"/>
                <w:sz w:val="24"/>
                <w:szCs w:val="24"/>
                <w:highlight w:val="none"/>
                <w:lang w:val="en-US" w:eastAsia="zh-CN"/>
              </w:rPr>
              <w:t>2</w:t>
            </w:r>
          </w:p>
        </w:tc>
        <w:tc>
          <w:tcPr>
            <w:tcW w:w="928" w:type="dxa"/>
            <w:noWrap w:val="0"/>
            <w:vAlign w:val="center"/>
          </w:tcPr>
          <w:p>
            <w:pPr>
              <w:widowControl/>
              <w:spacing w:line="360" w:lineRule="auto"/>
              <w:jc w:val="both"/>
              <w:rPr>
                <w:rFonts w:hint="eastAsia" w:hAnsi="宋体" w:cs="宋体"/>
                <w:color w:val="auto"/>
                <w:sz w:val="24"/>
                <w:szCs w:val="24"/>
                <w:highlight w:val="none"/>
              </w:rPr>
            </w:pPr>
          </w:p>
          <w:p>
            <w:pPr>
              <w:widowControl/>
              <w:spacing w:line="360" w:lineRule="auto"/>
              <w:jc w:val="both"/>
              <w:rPr>
                <w:rFonts w:hAnsi="宋体" w:cs="宋体"/>
                <w:color w:val="auto"/>
                <w:sz w:val="24"/>
                <w:szCs w:val="24"/>
                <w:highlight w:val="none"/>
              </w:rPr>
            </w:pPr>
            <w:r>
              <w:rPr>
                <w:rFonts w:hint="eastAsia" w:hAnsi="宋体" w:cs="宋体"/>
                <w:color w:val="auto"/>
                <w:sz w:val="24"/>
                <w:szCs w:val="24"/>
                <w:highlight w:val="none"/>
              </w:rPr>
              <w:t>项目技术服务方案</w:t>
            </w:r>
          </w:p>
          <w:p>
            <w:pPr>
              <w:widowControl/>
              <w:spacing w:line="360" w:lineRule="auto"/>
              <w:jc w:val="center"/>
              <w:rPr>
                <w:rFonts w:hAnsi="宋体" w:cs="宋体"/>
                <w:color w:val="auto"/>
                <w:sz w:val="24"/>
                <w:szCs w:val="24"/>
                <w:highlight w:val="none"/>
              </w:rPr>
            </w:pPr>
            <w:r>
              <w:rPr>
                <w:rFonts w:hint="eastAsia" w:cs="宋体"/>
                <w:color w:val="auto"/>
                <w:sz w:val="24"/>
                <w:szCs w:val="24"/>
                <w:highlight w:val="none"/>
                <w:lang w:val="en-US" w:eastAsia="zh-CN"/>
              </w:rPr>
              <w:t>15</w:t>
            </w:r>
            <w:r>
              <w:rPr>
                <w:rFonts w:hint="eastAsia" w:hAnsi="宋体" w:cs="宋体"/>
                <w:color w:val="auto"/>
                <w:sz w:val="24"/>
                <w:szCs w:val="24"/>
                <w:highlight w:val="none"/>
              </w:rPr>
              <w:t>%</w:t>
            </w:r>
          </w:p>
        </w:tc>
        <w:tc>
          <w:tcPr>
            <w:tcW w:w="920" w:type="dxa"/>
            <w:noWrap w:val="0"/>
            <w:vAlign w:val="center"/>
          </w:tcPr>
          <w:p>
            <w:pPr>
              <w:widowControl/>
              <w:spacing w:line="360" w:lineRule="auto"/>
              <w:jc w:val="center"/>
              <w:rPr>
                <w:rFonts w:hint="eastAsia" w:cs="宋体"/>
                <w:color w:val="auto"/>
                <w:sz w:val="24"/>
                <w:szCs w:val="24"/>
                <w:highlight w:val="none"/>
                <w:lang w:val="en-US" w:eastAsia="zh-CN"/>
              </w:rPr>
            </w:pPr>
          </w:p>
          <w:p>
            <w:pPr>
              <w:widowControl/>
              <w:spacing w:line="360" w:lineRule="auto"/>
              <w:jc w:val="center"/>
              <w:rPr>
                <w:rFonts w:hAnsi="宋体" w:cs="宋体"/>
                <w:color w:val="auto"/>
                <w:sz w:val="24"/>
                <w:szCs w:val="24"/>
                <w:highlight w:val="none"/>
              </w:rPr>
            </w:pPr>
            <w:r>
              <w:rPr>
                <w:rFonts w:hint="eastAsia" w:cs="宋体"/>
                <w:color w:val="auto"/>
                <w:sz w:val="24"/>
                <w:szCs w:val="24"/>
                <w:highlight w:val="none"/>
                <w:lang w:val="en-US" w:eastAsia="zh-CN"/>
              </w:rPr>
              <w:t>15</w:t>
            </w:r>
            <w:r>
              <w:rPr>
                <w:rFonts w:hint="eastAsia" w:hAnsi="宋体" w:cs="宋体"/>
                <w:color w:val="auto"/>
                <w:sz w:val="24"/>
                <w:szCs w:val="24"/>
                <w:highlight w:val="none"/>
              </w:rPr>
              <w:t>分</w:t>
            </w:r>
          </w:p>
        </w:tc>
        <w:tc>
          <w:tcPr>
            <w:tcW w:w="5629" w:type="dxa"/>
            <w:noWrap w:val="0"/>
            <w:vAlign w:val="center"/>
          </w:tcPr>
          <w:p>
            <w:pPr>
              <w:widowControl/>
              <w:numPr>
                <w:ilvl w:val="0"/>
                <w:numId w:val="0"/>
              </w:numPr>
              <w:spacing w:line="360" w:lineRule="auto"/>
              <w:ind w:leftChars="0"/>
              <w:jc w:val="left"/>
              <w:rPr>
                <w:rFonts w:hint="eastAsia"/>
              </w:rPr>
            </w:pPr>
            <w:r>
              <w:rPr>
                <w:rFonts w:hint="eastAsia" w:hAnsi="宋体" w:cs="宋体"/>
                <w:color w:val="auto"/>
                <w:sz w:val="24"/>
                <w:szCs w:val="24"/>
                <w:highlight w:val="none"/>
              </w:rPr>
              <w:t>根据供应商针对本项目所提供的服务方案（包含但不限于①任务部署②</w:t>
            </w:r>
            <w:r>
              <w:rPr>
                <w:rFonts w:hint="eastAsia" w:hAnsi="宋体" w:cs="仿宋"/>
                <w:color w:val="auto"/>
                <w:sz w:val="24"/>
                <w:szCs w:val="24"/>
                <w:highlight w:val="none"/>
              </w:rPr>
              <w:t>抽样管理</w:t>
            </w:r>
            <w:r>
              <w:rPr>
                <w:rFonts w:hint="eastAsia" w:hAnsi="宋体" w:cs="宋体"/>
                <w:color w:val="auto"/>
                <w:sz w:val="24"/>
                <w:szCs w:val="24"/>
                <w:highlight w:val="none"/>
              </w:rPr>
              <w:t>③质量保障④</w:t>
            </w:r>
            <w:r>
              <w:rPr>
                <w:rFonts w:hint="eastAsia" w:hAnsi="宋体" w:cs="仿宋"/>
                <w:color w:val="auto"/>
                <w:sz w:val="24"/>
                <w:szCs w:val="24"/>
                <w:highlight w:val="none"/>
              </w:rPr>
              <w:t>数据的统计与上传</w:t>
            </w:r>
            <w:r>
              <w:rPr>
                <w:rFonts w:hint="eastAsia" w:hAnsi="宋体" w:cs="宋体"/>
                <w:color w:val="auto"/>
                <w:sz w:val="24"/>
                <w:szCs w:val="24"/>
                <w:highlight w:val="none"/>
              </w:rPr>
              <w:t>⑤汇总资料的编制等</w:t>
            </w:r>
            <w:r>
              <w:rPr>
                <w:rFonts w:hint="eastAsia" w:ascii="宋体" w:hAnsi="宋体" w:cs="宋体"/>
                <w:color w:val="auto"/>
                <w:sz w:val="24"/>
              </w:rPr>
              <w:t>内容详尽全面、</w:t>
            </w:r>
            <w:r>
              <w:rPr>
                <w:rFonts w:hint="eastAsia" w:ascii="宋体" w:hAnsi="宋体" w:cs="宋体"/>
                <w:color w:val="auto"/>
                <w:sz w:val="24"/>
                <w:lang w:eastAsia="zh-CN"/>
              </w:rPr>
              <w:t>方案合理、</w:t>
            </w:r>
            <w:r>
              <w:rPr>
                <w:rFonts w:hint="eastAsia" w:ascii="宋体" w:hAnsi="宋体" w:cs="宋体"/>
                <w:color w:val="auto"/>
                <w:sz w:val="24"/>
              </w:rPr>
              <w:t>可操作性强，以上要素齐全且能够满足本项目采购人需求的</w:t>
            </w:r>
            <w:r>
              <w:rPr>
                <w:rFonts w:hint="eastAsia" w:hAnsi="宋体" w:cs="宋体"/>
                <w:color w:val="auto"/>
                <w:sz w:val="24"/>
                <w:szCs w:val="24"/>
                <w:highlight w:val="none"/>
              </w:rPr>
              <w:t>得</w:t>
            </w:r>
            <w:r>
              <w:rPr>
                <w:rFonts w:hint="eastAsia" w:cs="宋体"/>
                <w:color w:val="auto"/>
                <w:sz w:val="24"/>
                <w:szCs w:val="24"/>
                <w:highlight w:val="none"/>
                <w:lang w:val="en-US" w:eastAsia="zh-CN"/>
              </w:rPr>
              <w:t>15</w:t>
            </w:r>
            <w:r>
              <w:rPr>
                <w:rFonts w:hint="eastAsia" w:hAnsi="宋体" w:cs="宋体"/>
                <w:color w:val="auto"/>
                <w:sz w:val="24"/>
                <w:szCs w:val="24"/>
                <w:highlight w:val="none"/>
              </w:rPr>
              <w:t>分，每有一项缺项、漏项的扣</w:t>
            </w:r>
            <w:r>
              <w:rPr>
                <w:rFonts w:hint="eastAsia" w:cs="宋体"/>
                <w:color w:val="auto"/>
                <w:sz w:val="24"/>
                <w:szCs w:val="24"/>
                <w:highlight w:val="none"/>
                <w:lang w:val="en-US" w:eastAsia="zh-CN"/>
              </w:rPr>
              <w:t>3</w:t>
            </w:r>
            <w:r>
              <w:rPr>
                <w:rFonts w:hint="eastAsia" w:hAnsi="宋体" w:cs="宋体"/>
                <w:color w:val="auto"/>
                <w:sz w:val="24"/>
                <w:szCs w:val="24"/>
                <w:highlight w:val="none"/>
              </w:rPr>
              <w:t>分；每有一项描述不完整，存在缺陷或漏洞的扣</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分，直到扣完为止。未提供不得分；</w:t>
            </w:r>
          </w:p>
        </w:tc>
        <w:tc>
          <w:tcPr>
            <w:tcW w:w="1358" w:type="dxa"/>
            <w:noWrap w:val="0"/>
            <w:vAlign w:val="center"/>
          </w:tcPr>
          <w:p>
            <w:pPr>
              <w:widowControl/>
              <w:spacing w:line="360" w:lineRule="auto"/>
              <w:rPr>
                <w:rFonts w:hAnsi="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trPr>
        <w:tc>
          <w:tcPr>
            <w:tcW w:w="503" w:type="dxa"/>
            <w:noWrap w:val="0"/>
            <w:vAlign w:val="center"/>
          </w:tcPr>
          <w:p>
            <w:pPr>
              <w:widowControl/>
              <w:spacing w:line="360" w:lineRule="auto"/>
              <w:jc w:val="center"/>
              <w:rPr>
                <w:rFonts w:hint="eastAsia" w:hAnsi="宋体" w:eastAsia="宋体" w:cs="宋体"/>
                <w:color w:val="auto"/>
                <w:sz w:val="24"/>
                <w:szCs w:val="24"/>
                <w:highlight w:val="none"/>
                <w:lang w:eastAsia="zh-CN"/>
              </w:rPr>
            </w:pPr>
            <w:r>
              <w:rPr>
                <w:rFonts w:hint="eastAsia" w:cs="宋体"/>
                <w:color w:val="auto"/>
                <w:sz w:val="24"/>
                <w:szCs w:val="24"/>
                <w:highlight w:val="none"/>
                <w:lang w:val="en-US" w:eastAsia="zh-CN"/>
              </w:rPr>
              <w:t>3</w:t>
            </w:r>
          </w:p>
        </w:tc>
        <w:tc>
          <w:tcPr>
            <w:tcW w:w="928" w:type="dxa"/>
            <w:noWrap w:val="0"/>
            <w:vAlign w:val="center"/>
          </w:tcPr>
          <w:p>
            <w:pPr>
              <w:widowControl/>
              <w:spacing w:line="360" w:lineRule="auto"/>
              <w:jc w:val="center"/>
              <w:rPr>
                <w:rFonts w:hAnsi="宋体" w:cs="宋体"/>
                <w:color w:val="auto"/>
                <w:sz w:val="24"/>
                <w:szCs w:val="24"/>
                <w:highlight w:val="none"/>
              </w:rPr>
            </w:pPr>
            <w:r>
              <w:rPr>
                <w:rFonts w:hint="eastAsia" w:hAnsi="宋体" w:cs="宋体"/>
                <w:color w:val="auto"/>
                <w:sz w:val="24"/>
                <w:szCs w:val="24"/>
                <w:highlight w:val="none"/>
              </w:rPr>
              <w:t>项目保障措施</w:t>
            </w:r>
            <w:r>
              <w:rPr>
                <w:rFonts w:hint="eastAsia" w:cs="宋体"/>
                <w:color w:val="auto"/>
                <w:sz w:val="24"/>
                <w:szCs w:val="24"/>
                <w:highlight w:val="none"/>
                <w:lang w:val="en-US" w:eastAsia="zh-CN"/>
              </w:rPr>
              <w:t>16</w:t>
            </w:r>
            <w:r>
              <w:rPr>
                <w:rFonts w:hint="eastAsia" w:hAnsi="宋体" w:cs="宋体"/>
                <w:color w:val="auto"/>
                <w:sz w:val="24"/>
                <w:szCs w:val="24"/>
                <w:highlight w:val="none"/>
              </w:rPr>
              <w:t>%</w:t>
            </w:r>
          </w:p>
        </w:tc>
        <w:tc>
          <w:tcPr>
            <w:tcW w:w="920" w:type="dxa"/>
            <w:noWrap w:val="0"/>
            <w:vAlign w:val="center"/>
          </w:tcPr>
          <w:p>
            <w:pPr>
              <w:widowControl/>
              <w:spacing w:line="360" w:lineRule="auto"/>
              <w:jc w:val="center"/>
              <w:rPr>
                <w:rFonts w:hAnsi="宋体" w:cs="宋体"/>
                <w:color w:val="auto"/>
                <w:sz w:val="24"/>
                <w:szCs w:val="24"/>
                <w:highlight w:val="none"/>
              </w:rPr>
            </w:pPr>
            <w:r>
              <w:rPr>
                <w:rFonts w:hint="eastAsia" w:cs="宋体"/>
                <w:color w:val="auto"/>
                <w:sz w:val="24"/>
                <w:szCs w:val="24"/>
                <w:highlight w:val="none"/>
                <w:lang w:val="en-US" w:eastAsia="zh-CN"/>
              </w:rPr>
              <w:t>16</w:t>
            </w:r>
            <w:r>
              <w:rPr>
                <w:rFonts w:hint="eastAsia" w:hAnsi="宋体" w:cs="宋体"/>
                <w:color w:val="auto"/>
                <w:sz w:val="24"/>
                <w:szCs w:val="24"/>
                <w:highlight w:val="none"/>
              </w:rPr>
              <w:t>分</w:t>
            </w:r>
          </w:p>
        </w:tc>
        <w:tc>
          <w:tcPr>
            <w:tcW w:w="5629" w:type="dxa"/>
            <w:noWrap w:val="0"/>
            <w:vAlign w:val="center"/>
          </w:tcPr>
          <w:p>
            <w:pPr>
              <w:widowControl/>
              <w:spacing w:line="360" w:lineRule="auto"/>
              <w:jc w:val="left"/>
              <w:rPr>
                <w:rFonts w:hint="eastAsia"/>
              </w:rPr>
            </w:pPr>
            <w:r>
              <w:rPr>
                <w:rFonts w:hint="eastAsia" w:hAnsi="宋体" w:cs="宋体"/>
                <w:color w:val="auto"/>
                <w:sz w:val="24"/>
                <w:szCs w:val="24"/>
                <w:highlight w:val="none"/>
              </w:rPr>
              <w:t>根据供应商针对本项目所提供的项目保障措施（包含但不限于①人员安排②安全保障措施、③抽样管理制度、④应急预案等）描述详尽</w:t>
            </w:r>
            <w:r>
              <w:rPr>
                <w:rFonts w:hint="eastAsia" w:cs="宋体"/>
                <w:color w:val="auto"/>
                <w:sz w:val="24"/>
                <w:szCs w:val="24"/>
                <w:highlight w:val="none"/>
                <w:lang w:eastAsia="zh-CN"/>
              </w:rPr>
              <w:t>、</w:t>
            </w:r>
            <w:r>
              <w:rPr>
                <w:rFonts w:hint="eastAsia" w:ascii="宋体" w:hAnsi="宋体" w:cs="宋体"/>
                <w:color w:val="auto"/>
                <w:sz w:val="24"/>
              </w:rPr>
              <w:t>可操作性强</w:t>
            </w:r>
            <w:r>
              <w:rPr>
                <w:rFonts w:hint="eastAsia" w:hAnsi="宋体" w:cs="宋体"/>
                <w:color w:val="auto"/>
                <w:sz w:val="24"/>
                <w:szCs w:val="24"/>
                <w:highlight w:val="none"/>
              </w:rPr>
              <w:t>且有利于项目实施的得</w:t>
            </w:r>
            <w:r>
              <w:rPr>
                <w:rFonts w:hint="eastAsia" w:cs="宋体"/>
                <w:color w:val="auto"/>
                <w:sz w:val="24"/>
                <w:szCs w:val="24"/>
                <w:highlight w:val="none"/>
                <w:lang w:val="en-US" w:eastAsia="zh-CN"/>
              </w:rPr>
              <w:t>16</w:t>
            </w:r>
            <w:r>
              <w:rPr>
                <w:rFonts w:hint="eastAsia" w:hAnsi="宋体" w:cs="宋体"/>
                <w:color w:val="auto"/>
                <w:sz w:val="24"/>
                <w:szCs w:val="24"/>
                <w:highlight w:val="none"/>
              </w:rPr>
              <w:t>分，每有一项缺项、漏项的扣</w:t>
            </w:r>
            <w:r>
              <w:rPr>
                <w:rFonts w:hint="eastAsia" w:cs="宋体"/>
                <w:color w:val="auto"/>
                <w:sz w:val="24"/>
                <w:szCs w:val="24"/>
                <w:highlight w:val="none"/>
                <w:lang w:val="en-US" w:eastAsia="zh-CN"/>
              </w:rPr>
              <w:t>4</w:t>
            </w:r>
            <w:r>
              <w:rPr>
                <w:rFonts w:hint="eastAsia" w:hAnsi="宋体" w:cs="宋体"/>
                <w:color w:val="auto"/>
                <w:sz w:val="24"/>
                <w:szCs w:val="24"/>
                <w:highlight w:val="none"/>
              </w:rPr>
              <w:t>分；每有一项描述不完整，存在缺陷或漏洞的扣</w:t>
            </w:r>
            <w:r>
              <w:rPr>
                <w:rFonts w:hint="eastAsia" w:cs="宋体"/>
                <w:color w:val="auto"/>
                <w:sz w:val="24"/>
                <w:szCs w:val="24"/>
                <w:highlight w:val="none"/>
                <w:lang w:val="en-US" w:eastAsia="zh-CN"/>
              </w:rPr>
              <w:t>2</w:t>
            </w:r>
            <w:r>
              <w:rPr>
                <w:rFonts w:hint="eastAsia" w:hAnsi="宋体" w:cs="宋体"/>
                <w:color w:val="auto"/>
                <w:sz w:val="24"/>
                <w:szCs w:val="24"/>
                <w:highlight w:val="none"/>
              </w:rPr>
              <w:t>分，直到扣完为止。未提供不得分；</w:t>
            </w:r>
          </w:p>
        </w:tc>
        <w:tc>
          <w:tcPr>
            <w:tcW w:w="1358" w:type="dxa"/>
            <w:noWrap w:val="0"/>
            <w:vAlign w:val="center"/>
          </w:tcPr>
          <w:p>
            <w:pPr>
              <w:widowControl/>
              <w:spacing w:line="360" w:lineRule="auto"/>
              <w:jc w:val="center"/>
              <w:rPr>
                <w:rFonts w:hAnsi="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7" w:hRule="atLeast"/>
        </w:trPr>
        <w:tc>
          <w:tcPr>
            <w:tcW w:w="503" w:type="dxa"/>
            <w:noWrap w:val="0"/>
            <w:vAlign w:val="center"/>
          </w:tcPr>
          <w:p>
            <w:pPr>
              <w:widowControl/>
              <w:spacing w:line="360" w:lineRule="auto"/>
              <w:jc w:val="center"/>
              <w:rPr>
                <w:rFonts w:hint="eastAsia" w:hAnsi="宋体" w:eastAsia="宋体" w:cs="宋体"/>
                <w:color w:val="auto"/>
                <w:sz w:val="24"/>
                <w:szCs w:val="24"/>
                <w:highlight w:val="none"/>
                <w:lang w:eastAsia="zh-CN"/>
              </w:rPr>
            </w:pPr>
            <w:r>
              <w:rPr>
                <w:rFonts w:hint="eastAsia" w:cs="宋体"/>
                <w:color w:val="auto"/>
                <w:sz w:val="24"/>
                <w:szCs w:val="24"/>
                <w:highlight w:val="none"/>
                <w:lang w:val="en-US" w:eastAsia="zh-CN"/>
              </w:rPr>
              <w:t>4</w:t>
            </w:r>
          </w:p>
        </w:tc>
        <w:tc>
          <w:tcPr>
            <w:tcW w:w="928" w:type="dxa"/>
            <w:noWrap w:val="0"/>
            <w:vAlign w:val="center"/>
          </w:tcPr>
          <w:p>
            <w:pPr>
              <w:widowControl/>
              <w:spacing w:line="360" w:lineRule="auto"/>
              <w:jc w:val="center"/>
              <w:rPr>
                <w:rFonts w:hAnsi="宋体" w:cs="宋体"/>
                <w:color w:val="auto"/>
                <w:sz w:val="24"/>
                <w:szCs w:val="24"/>
                <w:highlight w:val="none"/>
              </w:rPr>
            </w:pPr>
            <w:r>
              <w:rPr>
                <w:rFonts w:hint="eastAsia" w:hAnsi="宋体" w:cs="宋体"/>
                <w:color w:val="auto"/>
                <w:sz w:val="24"/>
                <w:szCs w:val="24"/>
                <w:highlight w:val="none"/>
              </w:rPr>
              <w:t>履约能力</w:t>
            </w:r>
          </w:p>
          <w:p>
            <w:pPr>
              <w:widowControl/>
              <w:spacing w:line="360" w:lineRule="auto"/>
              <w:jc w:val="center"/>
              <w:rPr>
                <w:rFonts w:hAnsi="宋体" w:cs="宋体"/>
                <w:color w:val="auto"/>
                <w:sz w:val="24"/>
                <w:szCs w:val="24"/>
                <w:highlight w:val="none"/>
              </w:rPr>
            </w:pPr>
            <w:r>
              <w:rPr>
                <w:rFonts w:hint="eastAsia" w:cs="宋体"/>
                <w:color w:val="auto"/>
                <w:sz w:val="24"/>
                <w:szCs w:val="24"/>
                <w:highlight w:val="none"/>
                <w:lang w:val="en-US" w:eastAsia="zh-CN"/>
              </w:rPr>
              <w:t>23</w:t>
            </w:r>
            <w:r>
              <w:rPr>
                <w:rFonts w:hint="eastAsia" w:hAnsi="宋体" w:cs="宋体"/>
                <w:color w:val="auto"/>
                <w:sz w:val="24"/>
                <w:szCs w:val="24"/>
                <w:highlight w:val="none"/>
              </w:rPr>
              <w:t>%</w:t>
            </w:r>
          </w:p>
        </w:tc>
        <w:tc>
          <w:tcPr>
            <w:tcW w:w="920" w:type="dxa"/>
            <w:noWrap w:val="0"/>
            <w:vAlign w:val="center"/>
          </w:tcPr>
          <w:p>
            <w:pPr>
              <w:widowControl/>
              <w:spacing w:line="360" w:lineRule="auto"/>
              <w:jc w:val="center"/>
              <w:rPr>
                <w:rFonts w:hAnsi="宋体" w:cs="宋体"/>
                <w:color w:val="auto"/>
                <w:sz w:val="24"/>
                <w:szCs w:val="24"/>
                <w:highlight w:val="none"/>
              </w:rPr>
            </w:pPr>
            <w:r>
              <w:rPr>
                <w:rFonts w:hint="eastAsia" w:cs="宋体"/>
                <w:color w:val="auto"/>
                <w:sz w:val="24"/>
                <w:szCs w:val="24"/>
                <w:highlight w:val="none"/>
                <w:lang w:val="en-US" w:eastAsia="zh-CN"/>
              </w:rPr>
              <w:t>23</w:t>
            </w:r>
            <w:r>
              <w:rPr>
                <w:rFonts w:hint="eastAsia" w:hAnsi="宋体" w:cs="宋体"/>
                <w:color w:val="auto"/>
                <w:sz w:val="24"/>
                <w:szCs w:val="24"/>
                <w:highlight w:val="none"/>
              </w:rPr>
              <w:t>分</w:t>
            </w:r>
          </w:p>
        </w:tc>
        <w:tc>
          <w:tcPr>
            <w:tcW w:w="5629" w:type="dxa"/>
            <w:tcBorders>
              <w:top w:val="single" w:color="auto" w:sz="4" w:space="0"/>
              <w:bottom w:val="single" w:color="auto" w:sz="4" w:space="0"/>
            </w:tcBorders>
            <w:noWrap w:val="0"/>
            <w:vAlign w:val="center"/>
          </w:tcPr>
          <w:p>
            <w:pPr>
              <w:pStyle w:val="2"/>
              <w:numPr>
                <w:ilvl w:val="0"/>
                <w:numId w:val="0"/>
              </w:numPr>
              <w:spacing w:line="360" w:lineRule="auto"/>
              <w:rPr>
                <w:rFonts w:hint="eastAsia" w:eastAsia="宋体"/>
                <w:color w:val="auto"/>
                <w:sz w:val="24"/>
                <w:szCs w:val="24"/>
                <w:highlight w:val="none"/>
                <w:lang w:eastAsia="zh-CN"/>
              </w:rPr>
            </w:pPr>
            <w:r>
              <w:rPr>
                <w:rFonts w:hint="eastAsia"/>
                <w:color w:val="auto"/>
                <w:sz w:val="24"/>
                <w:szCs w:val="24"/>
                <w:highlight w:val="none"/>
                <w:lang w:val="en-US" w:eastAsia="zh-CN"/>
              </w:rPr>
              <w:t>1、供应商自2018年1月1日以来独立承担过类似市场监督管理部门产品质量监督抽查任务的，</w:t>
            </w:r>
            <w:r>
              <w:rPr>
                <w:rFonts w:hint="eastAsia"/>
                <w:color w:val="auto"/>
                <w:sz w:val="24"/>
                <w:szCs w:val="24"/>
                <w:highlight w:val="none"/>
              </w:rPr>
              <w:t>每有一个得</w:t>
            </w:r>
            <w:r>
              <w:rPr>
                <w:rFonts w:hint="eastAsia"/>
                <w:color w:val="auto"/>
                <w:sz w:val="24"/>
                <w:szCs w:val="24"/>
                <w:highlight w:val="none"/>
                <w:lang w:val="en-US" w:eastAsia="zh-CN"/>
              </w:rPr>
              <w:t>1</w:t>
            </w:r>
            <w:r>
              <w:rPr>
                <w:rFonts w:hint="eastAsia"/>
                <w:color w:val="auto"/>
                <w:sz w:val="24"/>
                <w:szCs w:val="24"/>
                <w:highlight w:val="none"/>
              </w:rPr>
              <w:t>分，本项最多得</w:t>
            </w:r>
            <w:r>
              <w:rPr>
                <w:rFonts w:hint="eastAsia"/>
                <w:color w:val="auto"/>
                <w:sz w:val="24"/>
                <w:szCs w:val="24"/>
                <w:highlight w:val="none"/>
                <w:lang w:val="en-US" w:eastAsia="zh-CN"/>
              </w:rPr>
              <w:t>15</w:t>
            </w:r>
            <w:r>
              <w:rPr>
                <w:rFonts w:hint="eastAsia"/>
                <w:color w:val="auto"/>
                <w:sz w:val="24"/>
                <w:szCs w:val="24"/>
                <w:highlight w:val="none"/>
              </w:rPr>
              <w:t>分（提供合同复印件或委托书等证明材料）</w:t>
            </w:r>
            <w:r>
              <w:rPr>
                <w:rFonts w:hint="eastAsia"/>
                <w:color w:val="auto"/>
                <w:sz w:val="24"/>
                <w:szCs w:val="24"/>
                <w:highlight w:val="none"/>
                <w:lang w:eastAsia="zh-CN"/>
              </w:rPr>
              <w:t>；</w:t>
            </w:r>
          </w:p>
          <w:p>
            <w:pPr>
              <w:widowControl/>
              <w:numPr>
                <w:ilvl w:val="0"/>
                <w:numId w:val="0"/>
              </w:numPr>
              <w:spacing w:line="360" w:lineRule="auto"/>
              <w:jc w:val="left"/>
              <w:rPr>
                <w:rFonts w:hint="eastAsia" w:eastAsia="宋体"/>
                <w:color w:val="auto"/>
                <w:sz w:val="24"/>
                <w:szCs w:val="24"/>
                <w:highlight w:val="none"/>
                <w:lang w:eastAsia="zh-CN"/>
              </w:rPr>
            </w:pPr>
            <w:r>
              <w:rPr>
                <w:rFonts w:hint="eastAsia"/>
                <w:color w:val="auto"/>
                <w:sz w:val="24"/>
                <w:szCs w:val="24"/>
                <w:highlight w:val="none"/>
                <w:lang w:val="en-US" w:eastAsia="zh-CN"/>
              </w:rPr>
              <w:t>2.</w:t>
            </w:r>
            <w:r>
              <w:rPr>
                <w:rFonts w:hint="eastAsia"/>
                <w:color w:val="auto"/>
                <w:sz w:val="24"/>
                <w:szCs w:val="24"/>
                <w:highlight w:val="none"/>
              </w:rPr>
              <w:t>具有实验室认可证书（CNAS）得</w:t>
            </w:r>
            <w:r>
              <w:rPr>
                <w:rFonts w:hint="eastAsia"/>
                <w:color w:val="auto"/>
                <w:sz w:val="24"/>
                <w:szCs w:val="24"/>
                <w:highlight w:val="none"/>
                <w:lang w:val="en-US" w:eastAsia="zh-CN"/>
              </w:rPr>
              <w:t>4</w:t>
            </w:r>
            <w:r>
              <w:rPr>
                <w:rFonts w:hint="eastAsia"/>
                <w:color w:val="auto"/>
                <w:sz w:val="24"/>
                <w:szCs w:val="24"/>
                <w:highlight w:val="none"/>
              </w:rPr>
              <w:t>分；（提供证书复印件，未提供不得分）</w:t>
            </w:r>
            <w:r>
              <w:rPr>
                <w:rFonts w:hint="eastAsia"/>
                <w:color w:val="auto"/>
                <w:sz w:val="24"/>
                <w:szCs w:val="24"/>
                <w:highlight w:val="none"/>
                <w:lang w:eastAsia="zh-CN"/>
              </w:rPr>
              <w:t>；</w:t>
            </w:r>
          </w:p>
          <w:p>
            <w:pPr>
              <w:widowControl/>
              <w:numPr>
                <w:ilvl w:val="0"/>
                <w:numId w:val="0"/>
              </w:numPr>
              <w:spacing w:line="360" w:lineRule="auto"/>
              <w:ind w:left="0" w:leftChars="0" w:firstLine="0" w:firstLineChars="0"/>
              <w:jc w:val="left"/>
              <w:rPr>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rPr>
              <w:t>每</w:t>
            </w:r>
            <w:r>
              <w:rPr>
                <w:rFonts w:hint="eastAsia"/>
                <w:color w:val="auto"/>
                <w:sz w:val="24"/>
                <w:szCs w:val="24"/>
                <w:highlight w:val="none"/>
                <w:lang w:val="en-US" w:eastAsia="zh-CN"/>
              </w:rPr>
              <w:t>具</w:t>
            </w:r>
            <w:r>
              <w:rPr>
                <w:rFonts w:hint="eastAsia"/>
                <w:color w:val="auto"/>
                <w:sz w:val="24"/>
                <w:szCs w:val="24"/>
                <w:highlight w:val="none"/>
              </w:rPr>
              <w:t>有1个国家级产品质检中心的得</w:t>
            </w:r>
            <w:r>
              <w:rPr>
                <w:rFonts w:hint="eastAsia"/>
                <w:color w:val="auto"/>
                <w:sz w:val="24"/>
                <w:szCs w:val="24"/>
                <w:highlight w:val="none"/>
                <w:lang w:val="en-US" w:eastAsia="zh-CN"/>
              </w:rPr>
              <w:t>1</w:t>
            </w:r>
            <w:r>
              <w:rPr>
                <w:rFonts w:hint="eastAsia"/>
                <w:color w:val="auto"/>
                <w:sz w:val="24"/>
                <w:szCs w:val="24"/>
                <w:highlight w:val="none"/>
              </w:rPr>
              <w:t>分，最高</w:t>
            </w:r>
            <w:r>
              <w:rPr>
                <w:rFonts w:hint="eastAsia"/>
                <w:color w:val="auto"/>
                <w:sz w:val="24"/>
                <w:szCs w:val="24"/>
                <w:highlight w:val="none"/>
                <w:lang w:val="en-US" w:eastAsia="zh-CN"/>
              </w:rPr>
              <w:t>4</w:t>
            </w:r>
            <w:r>
              <w:rPr>
                <w:rFonts w:hint="eastAsia"/>
                <w:color w:val="auto"/>
                <w:sz w:val="24"/>
                <w:szCs w:val="24"/>
                <w:highlight w:val="none"/>
              </w:rPr>
              <w:t>分（提供证书复印件，未提供不得分）</w:t>
            </w:r>
            <w:r>
              <w:rPr>
                <w:rFonts w:hint="eastAsia"/>
                <w:color w:val="auto"/>
                <w:sz w:val="24"/>
                <w:szCs w:val="24"/>
                <w:highlight w:val="none"/>
                <w:lang w:eastAsia="zh-CN"/>
              </w:rPr>
              <w:t>。</w:t>
            </w:r>
          </w:p>
        </w:tc>
        <w:tc>
          <w:tcPr>
            <w:tcW w:w="1358" w:type="dxa"/>
            <w:tcBorders>
              <w:top w:val="single" w:color="auto" w:sz="4" w:space="0"/>
              <w:bottom w:val="single" w:color="auto" w:sz="4" w:space="0"/>
            </w:tcBorders>
            <w:noWrap w:val="0"/>
            <w:vAlign w:val="center"/>
          </w:tcPr>
          <w:p>
            <w:pPr>
              <w:widowControl/>
              <w:spacing w:line="360" w:lineRule="auto"/>
              <w:jc w:val="left"/>
              <w:rPr>
                <w:rFonts w:hAnsi="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9" w:hRule="atLeast"/>
        </w:trPr>
        <w:tc>
          <w:tcPr>
            <w:tcW w:w="503" w:type="dxa"/>
            <w:noWrap w:val="0"/>
            <w:vAlign w:val="center"/>
          </w:tcPr>
          <w:p>
            <w:pPr>
              <w:widowControl/>
              <w:spacing w:line="360" w:lineRule="auto"/>
              <w:jc w:val="center"/>
              <w:rPr>
                <w:rFonts w:hint="eastAsia" w:hAnsi="宋体" w:eastAsia="宋体" w:cs="宋体"/>
                <w:color w:val="auto"/>
                <w:sz w:val="24"/>
                <w:szCs w:val="24"/>
                <w:highlight w:val="none"/>
                <w:lang w:eastAsia="zh-CN"/>
              </w:rPr>
            </w:pPr>
            <w:r>
              <w:rPr>
                <w:rFonts w:hint="eastAsia" w:cs="宋体"/>
                <w:color w:val="auto"/>
                <w:sz w:val="24"/>
                <w:szCs w:val="24"/>
                <w:highlight w:val="none"/>
                <w:lang w:val="en-US" w:eastAsia="zh-CN"/>
              </w:rPr>
              <w:t>5</w:t>
            </w:r>
          </w:p>
        </w:tc>
        <w:tc>
          <w:tcPr>
            <w:tcW w:w="928" w:type="dxa"/>
            <w:noWrap w:val="0"/>
            <w:vAlign w:val="center"/>
          </w:tcPr>
          <w:p>
            <w:pPr>
              <w:widowControl/>
              <w:spacing w:line="360" w:lineRule="auto"/>
              <w:jc w:val="center"/>
              <w:rPr>
                <w:rFonts w:hAnsi="宋体" w:cs="宋体"/>
                <w:color w:val="auto"/>
                <w:sz w:val="24"/>
                <w:szCs w:val="24"/>
                <w:highlight w:val="none"/>
              </w:rPr>
            </w:pPr>
            <w:r>
              <w:rPr>
                <w:rFonts w:hint="eastAsia" w:hAnsi="宋体" w:cs="宋体"/>
                <w:color w:val="auto"/>
                <w:sz w:val="24"/>
                <w:szCs w:val="24"/>
                <w:highlight w:val="none"/>
              </w:rPr>
              <w:t>服务团队</w:t>
            </w:r>
          </w:p>
          <w:p>
            <w:pPr>
              <w:widowControl/>
              <w:spacing w:line="360" w:lineRule="auto"/>
              <w:jc w:val="center"/>
              <w:rPr>
                <w:rFonts w:hAnsi="宋体" w:cs="宋体"/>
                <w:color w:val="auto"/>
                <w:sz w:val="24"/>
                <w:szCs w:val="24"/>
                <w:highlight w:val="none"/>
              </w:rPr>
            </w:pPr>
            <w:r>
              <w:rPr>
                <w:rFonts w:hint="eastAsia" w:cs="宋体"/>
                <w:color w:val="auto"/>
                <w:sz w:val="24"/>
                <w:szCs w:val="24"/>
                <w:highlight w:val="none"/>
                <w:lang w:val="en-US" w:eastAsia="zh-CN"/>
              </w:rPr>
              <w:t>20</w:t>
            </w:r>
            <w:r>
              <w:rPr>
                <w:rFonts w:hint="eastAsia" w:hAnsi="宋体" w:cs="宋体"/>
                <w:color w:val="auto"/>
                <w:sz w:val="24"/>
                <w:szCs w:val="24"/>
                <w:highlight w:val="none"/>
              </w:rPr>
              <w:t>%</w:t>
            </w:r>
          </w:p>
        </w:tc>
        <w:tc>
          <w:tcPr>
            <w:tcW w:w="920" w:type="dxa"/>
            <w:noWrap w:val="0"/>
            <w:vAlign w:val="center"/>
          </w:tcPr>
          <w:p>
            <w:pPr>
              <w:widowControl/>
              <w:spacing w:line="360" w:lineRule="auto"/>
              <w:jc w:val="center"/>
              <w:rPr>
                <w:rFonts w:hAnsi="宋体" w:cs="宋体"/>
                <w:color w:val="auto"/>
                <w:sz w:val="24"/>
                <w:szCs w:val="24"/>
                <w:highlight w:val="none"/>
              </w:rPr>
            </w:pPr>
            <w:r>
              <w:rPr>
                <w:rFonts w:hint="eastAsia" w:cs="宋体"/>
                <w:color w:val="auto"/>
                <w:sz w:val="24"/>
                <w:szCs w:val="24"/>
                <w:highlight w:val="none"/>
                <w:lang w:val="en-US" w:eastAsia="zh-CN"/>
              </w:rPr>
              <w:t>20</w:t>
            </w:r>
            <w:r>
              <w:rPr>
                <w:rFonts w:hAnsi="宋体" w:cs="宋体"/>
                <w:color w:val="auto"/>
                <w:sz w:val="24"/>
                <w:szCs w:val="24"/>
                <w:highlight w:val="none"/>
              </w:rPr>
              <w:t>分</w:t>
            </w:r>
          </w:p>
        </w:tc>
        <w:tc>
          <w:tcPr>
            <w:tcW w:w="5629" w:type="dxa"/>
            <w:tcBorders>
              <w:top w:val="single" w:color="auto" w:sz="4" w:space="0"/>
            </w:tcBorders>
            <w:noWrap w:val="0"/>
            <w:vAlign w:val="center"/>
          </w:tcPr>
          <w:p>
            <w:pPr>
              <w:spacing w:line="360" w:lineRule="auto"/>
              <w:rPr>
                <w:rFonts w:hint="eastAsia"/>
                <w:sz w:val="24"/>
                <w:szCs w:val="24"/>
                <w:lang w:val="en-US" w:eastAsia="zh-CN"/>
              </w:rPr>
            </w:pPr>
            <w:r>
              <w:rPr>
                <w:rFonts w:hint="eastAsia" w:cs="Times New Roman"/>
                <w:color w:val="auto"/>
                <w:sz w:val="24"/>
                <w:szCs w:val="24"/>
                <w:highlight w:val="none"/>
                <w:lang w:val="en-US" w:eastAsia="zh-CN"/>
              </w:rPr>
              <w:t>1、</w:t>
            </w:r>
            <w:r>
              <w:rPr>
                <w:rFonts w:hint="eastAsia" w:cs="Times New Roman"/>
                <w:color w:val="auto"/>
                <w:sz w:val="24"/>
                <w:szCs w:val="24"/>
                <w:highlight w:val="none"/>
              </w:rPr>
              <w:t>提供本项目服务的团队中，每具有1名高级</w:t>
            </w:r>
            <w:r>
              <w:rPr>
                <w:rFonts w:hint="eastAsia" w:cs="Times New Roman"/>
                <w:color w:val="auto"/>
                <w:sz w:val="24"/>
                <w:szCs w:val="24"/>
                <w:highlight w:val="none"/>
                <w:lang w:val="en-US" w:eastAsia="zh-CN"/>
              </w:rPr>
              <w:t>及以上</w:t>
            </w:r>
            <w:r>
              <w:rPr>
                <w:rFonts w:hint="eastAsia" w:cs="Times New Roman"/>
                <w:color w:val="auto"/>
                <w:sz w:val="24"/>
                <w:szCs w:val="24"/>
                <w:highlight w:val="none"/>
              </w:rPr>
              <w:t>职称的得</w:t>
            </w:r>
            <w:r>
              <w:rPr>
                <w:rFonts w:hint="eastAsia" w:cs="Times New Roman"/>
                <w:color w:val="auto"/>
                <w:sz w:val="24"/>
                <w:szCs w:val="24"/>
                <w:highlight w:val="none"/>
                <w:lang w:val="en-US" w:eastAsia="zh-CN"/>
              </w:rPr>
              <w:t>1</w:t>
            </w:r>
            <w:r>
              <w:rPr>
                <w:rFonts w:hint="eastAsia" w:cs="Times New Roman"/>
                <w:color w:val="auto"/>
                <w:sz w:val="24"/>
                <w:szCs w:val="24"/>
                <w:highlight w:val="none"/>
              </w:rPr>
              <w:t>分</w:t>
            </w:r>
            <w:r>
              <w:rPr>
                <w:rFonts w:hint="eastAsia" w:cs="Times New Roman"/>
                <w:color w:val="auto"/>
                <w:sz w:val="24"/>
                <w:szCs w:val="24"/>
                <w:highlight w:val="none"/>
                <w:lang w:eastAsia="zh-CN"/>
              </w:rPr>
              <w:t>，</w:t>
            </w:r>
            <w:r>
              <w:rPr>
                <w:rFonts w:hint="eastAsia"/>
                <w:sz w:val="24"/>
                <w:szCs w:val="24"/>
                <w:lang w:val="en-US" w:eastAsia="zh-CN"/>
              </w:rPr>
              <w:t>最高得10分。</w:t>
            </w:r>
          </w:p>
          <w:p>
            <w:pPr>
              <w:pStyle w:val="2"/>
              <w:spacing w:line="360" w:lineRule="auto"/>
              <w:rPr>
                <w:rFonts w:hint="default"/>
                <w:sz w:val="24"/>
                <w:szCs w:val="24"/>
                <w:lang w:val="en-US"/>
              </w:rPr>
            </w:pPr>
            <w:r>
              <w:rPr>
                <w:rFonts w:hint="eastAsia"/>
                <w:sz w:val="24"/>
                <w:szCs w:val="24"/>
                <w:lang w:val="en-US" w:eastAsia="zh-CN"/>
              </w:rPr>
              <w:t>2、</w:t>
            </w:r>
            <w:r>
              <w:rPr>
                <w:rFonts w:hint="default"/>
                <w:sz w:val="24"/>
                <w:szCs w:val="24"/>
                <w:lang w:val="en-US"/>
              </w:rPr>
              <w:t>提供本项目服务的团队中，每具有1名</w:t>
            </w:r>
            <w:r>
              <w:rPr>
                <w:rFonts w:hint="eastAsia"/>
                <w:sz w:val="24"/>
                <w:szCs w:val="24"/>
                <w:lang w:val="en-US" w:eastAsia="zh-CN"/>
              </w:rPr>
              <w:t>中级</w:t>
            </w:r>
            <w:r>
              <w:rPr>
                <w:rFonts w:hint="default"/>
                <w:sz w:val="24"/>
                <w:szCs w:val="24"/>
                <w:lang w:val="en-US"/>
              </w:rPr>
              <w:t>职称的得</w:t>
            </w:r>
            <w:r>
              <w:rPr>
                <w:rFonts w:hint="eastAsia"/>
                <w:sz w:val="24"/>
                <w:szCs w:val="24"/>
                <w:lang w:val="en-US" w:eastAsia="zh-CN"/>
              </w:rPr>
              <w:t>0.5</w:t>
            </w:r>
            <w:r>
              <w:rPr>
                <w:rFonts w:hint="default"/>
                <w:sz w:val="24"/>
                <w:szCs w:val="24"/>
                <w:lang w:val="en-US"/>
              </w:rPr>
              <w:t>分，最高得10分。</w:t>
            </w:r>
          </w:p>
          <w:p>
            <w:pPr>
              <w:pStyle w:val="23"/>
              <w:spacing w:line="360" w:lineRule="auto"/>
              <w:rPr>
                <w:rFonts w:hint="eastAsia"/>
                <w:color w:val="auto"/>
                <w:sz w:val="24"/>
                <w:szCs w:val="24"/>
                <w:highlight w:val="none"/>
              </w:rPr>
            </w:pPr>
            <w:r>
              <w:rPr>
                <w:rFonts w:hint="eastAsia" w:cs="Times New Roman"/>
                <w:color w:val="auto"/>
                <w:sz w:val="24"/>
                <w:szCs w:val="24"/>
                <w:highlight w:val="none"/>
              </w:rPr>
              <w:t>注：以上人员均为本单位人员，提供职称证书及</w:t>
            </w:r>
            <w:r>
              <w:rPr>
                <w:rFonts w:hint="eastAsia" w:cs="Times New Roman"/>
                <w:color w:val="auto"/>
                <w:sz w:val="24"/>
                <w:szCs w:val="24"/>
                <w:highlight w:val="none"/>
                <w:lang w:val="en-US" w:eastAsia="zh-CN"/>
              </w:rPr>
              <w:t>其在职证明。</w:t>
            </w:r>
          </w:p>
        </w:tc>
        <w:tc>
          <w:tcPr>
            <w:tcW w:w="1358" w:type="dxa"/>
            <w:tcBorders>
              <w:top w:val="single" w:color="auto" w:sz="4" w:space="0"/>
            </w:tcBorders>
            <w:noWrap w:val="0"/>
            <w:vAlign w:val="center"/>
          </w:tcPr>
          <w:p>
            <w:pPr>
              <w:widowControl/>
              <w:spacing w:line="360" w:lineRule="auto"/>
              <w:jc w:val="left"/>
              <w:rPr>
                <w:rFonts w:hAnsi="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7" w:hRule="atLeast"/>
        </w:trPr>
        <w:tc>
          <w:tcPr>
            <w:tcW w:w="503" w:type="dxa"/>
            <w:noWrap w:val="0"/>
            <w:vAlign w:val="center"/>
          </w:tcPr>
          <w:p>
            <w:pPr>
              <w:spacing w:line="0" w:lineRule="atLeast"/>
              <w:ind w:firstLine="28"/>
              <w:jc w:val="center"/>
              <w:rPr>
                <w:rFonts w:hAnsi="宋体" w:cs="宋体"/>
                <w:color w:val="auto"/>
                <w:sz w:val="24"/>
                <w:szCs w:val="24"/>
                <w:highlight w:val="none"/>
              </w:rPr>
            </w:pPr>
            <w:r>
              <w:rPr>
                <w:rFonts w:hint="eastAsia" w:hAnsi="宋体" w:cs="宋体"/>
                <w:color w:val="auto"/>
                <w:sz w:val="24"/>
                <w:szCs w:val="24"/>
                <w:highlight w:val="none"/>
              </w:rPr>
              <w:t>6</w:t>
            </w:r>
          </w:p>
        </w:tc>
        <w:tc>
          <w:tcPr>
            <w:tcW w:w="928" w:type="dxa"/>
            <w:noWrap w:val="0"/>
            <w:vAlign w:val="center"/>
          </w:tcPr>
          <w:p>
            <w:pPr>
              <w:widowControl/>
              <w:spacing w:line="360" w:lineRule="auto"/>
              <w:rPr>
                <w:rFonts w:hAnsi="宋体" w:cs="宋体"/>
                <w:color w:val="auto"/>
                <w:sz w:val="24"/>
                <w:szCs w:val="24"/>
                <w:highlight w:val="none"/>
              </w:rPr>
            </w:pPr>
          </w:p>
          <w:p>
            <w:pPr>
              <w:widowControl/>
              <w:spacing w:line="360" w:lineRule="auto"/>
              <w:jc w:val="center"/>
              <w:rPr>
                <w:rFonts w:hint="eastAsia" w:cs="宋体"/>
                <w:color w:val="auto"/>
                <w:sz w:val="24"/>
                <w:szCs w:val="24"/>
                <w:highlight w:val="none"/>
                <w:lang w:val="en-US" w:eastAsia="zh-CN"/>
              </w:rPr>
            </w:pPr>
            <w:r>
              <w:rPr>
                <w:rFonts w:hint="eastAsia" w:cs="宋体"/>
                <w:color w:val="auto"/>
                <w:sz w:val="24"/>
                <w:szCs w:val="24"/>
                <w:highlight w:val="none"/>
                <w:lang w:val="en-US" w:eastAsia="zh-CN"/>
              </w:rPr>
              <w:t>后续服务保障措施</w:t>
            </w:r>
          </w:p>
          <w:p>
            <w:pPr>
              <w:widowControl/>
              <w:spacing w:line="360" w:lineRule="auto"/>
              <w:jc w:val="center"/>
              <w:rPr>
                <w:rFonts w:hAnsi="宋体" w:cs="宋体"/>
                <w:color w:val="auto"/>
                <w:sz w:val="24"/>
                <w:szCs w:val="24"/>
                <w:highlight w:val="none"/>
              </w:rPr>
            </w:pPr>
            <w:r>
              <w:rPr>
                <w:rFonts w:hint="eastAsia" w:cs="宋体"/>
                <w:color w:val="auto"/>
                <w:sz w:val="24"/>
                <w:szCs w:val="24"/>
                <w:highlight w:val="none"/>
                <w:lang w:val="en-US" w:eastAsia="zh-CN"/>
              </w:rPr>
              <w:t>9</w:t>
            </w:r>
            <w:r>
              <w:rPr>
                <w:rFonts w:hint="eastAsia" w:hAnsi="宋体" w:cs="宋体"/>
                <w:color w:val="auto"/>
                <w:sz w:val="24"/>
                <w:szCs w:val="24"/>
                <w:highlight w:val="none"/>
              </w:rPr>
              <w:t>%</w:t>
            </w:r>
          </w:p>
        </w:tc>
        <w:tc>
          <w:tcPr>
            <w:tcW w:w="920" w:type="dxa"/>
            <w:noWrap w:val="0"/>
            <w:vAlign w:val="center"/>
          </w:tcPr>
          <w:p>
            <w:pPr>
              <w:widowControl/>
              <w:spacing w:line="360" w:lineRule="auto"/>
              <w:rPr>
                <w:rFonts w:hAnsi="宋体" w:cs="宋体"/>
                <w:color w:val="auto"/>
                <w:sz w:val="24"/>
                <w:szCs w:val="24"/>
                <w:highlight w:val="none"/>
              </w:rPr>
            </w:pPr>
          </w:p>
          <w:p>
            <w:pPr>
              <w:widowControl/>
              <w:spacing w:line="360" w:lineRule="auto"/>
              <w:jc w:val="center"/>
              <w:rPr>
                <w:rFonts w:hAnsi="宋体" w:cs="宋体"/>
                <w:color w:val="auto"/>
                <w:sz w:val="24"/>
                <w:szCs w:val="24"/>
                <w:highlight w:val="none"/>
              </w:rPr>
            </w:pPr>
            <w:r>
              <w:rPr>
                <w:rFonts w:hint="eastAsia" w:cs="宋体"/>
                <w:color w:val="auto"/>
                <w:sz w:val="24"/>
                <w:szCs w:val="24"/>
                <w:highlight w:val="none"/>
                <w:lang w:val="en-US" w:eastAsia="zh-CN"/>
              </w:rPr>
              <w:t>9</w:t>
            </w:r>
            <w:r>
              <w:rPr>
                <w:rFonts w:hint="eastAsia" w:hAnsi="宋体" w:cs="宋体"/>
                <w:color w:val="auto"/>
                <w:sz w:val="24"/>
                <w:szCs w:val="24"/>
                <w:highlight w:val="none"/>
              </w:rPr>
              <w:t>分</w:t>
            </w:r>
          </w:p>
        </w:tc>
        <w:tc>
          <w:tcPr>
            <w:tcW w:w="5629" w:type="dxa"/>
            <w:noWrap w:val="0"/>
            <w:vAlign w:val="center"/>
          </w:tcPr>
          <w:p>
            <w:pPr>
              <w:widowControl/>
              <w:spacing w:line="360" w:lineRule="auto"/>
              <w:jc w:val="left"/>
              <w:rPr>
                <w:color w:val="auto"/>
                <w:sz w:val="24"/>
                <w:szCs w:val="24"/>
                <w:highlight w:val="none"/>
              </w:rPr>
            </w:pPr>
            <w:r>
              <w:rPr>
                <w:rFonts w:hint="eastAsia"/>
                <w:color w:val="auto"/>
                <w:sz w:val="24"/>
                <w:szCs w:val="24"/>
                <w:highlight w:val="none"/>
              </w:rPr>
              <w:t>根据供应商提供的后续服务</w:t>
            </w:r>
            <w:r>
              <w:rPr>
                <w:rFonts w:hint="eastAsia" w:cs="宋体"/>
                <w:color w:val="auto"/>
                <w:sz w:val="24"/>
                <w:szCs w:val="24"/>
                <w:highlight w:val="none"/>
                <w:lang w:val="en-US" w:eastAsia="zh-CN"/>
              </w:rPr>
              <w:t>保障措施</w:t>
            </w:r>
            <w:r>
              <w:rPr>
                <w:rFonts w:hint="eastAsia"/>
                <w:color w:val="auto"/>
                <w:sz w:val="24"/>
                <w:szCs w:val="24"/>
                <w:highlight w:val="none"/>
              </w:rPr>
              <w:t>（包括但不限于</w:t>
            </w:r>
            <w:r>
              <w:rPr>
                <w:rFonts w:hint="eastAsia" w:hAnsi="宋体" w:cs="宋体"/>
                <w:color w:val="auto"/>
                <w:sz w:val="24"/>
                <w:szCs w:val="24"/>
                <w:highlight w:val="none"/>
              </w:rPr>
              <w:t>①</w:t>
            </w:r>
            <w:r>
              <w:rPr>
                <w:rFonts w:hint="eastAsia" w:hAnsi="宋体" w:cs="仿宋"/>
                <w:color w:val="auto"/>
                <w:sz w:val="24"/>
                <w:szCs w:val="24"/>
                <w:highlight w:val="none"/>
              </w:rPr>
              <w:t>配合异议处理</w:t>
            </w:r>
            <w:r>
              <w:rPr>
                <w:rFonts w:hint="eastAsia" w:hAnsi="宋体" w:cs="宋体"/>
                <w:color w:val="auto"/>
                <w:sz w:val="24"/>
                <w:szCs w:val="24"/>
                <w:highlight w:val="none"/>
              </w:rPr>
              <w:t>、②</w:t>
            </w:r>
            <w:r>
              <w:rPr>
                <w:rFonts w:hint="eastAsia" w:hAnsi="宋体" w:cs="仿宋"/>
                <w:color w:val="auto"/>
                <w:sz w:val="24"/>
                <w:szCs w:val="24"/>
                <w:highlight w:val="none"/>
              </w:rPr>
              <w:t>复检的工作内容和安排</w:t>
            </w:r>
            <w:r>
              <w:rPr>
                <w:rFonts w:hint="eastAsia" w:hAnsi="宋体" w:cs="宋体"/>
                <w:color w:val="auto"/>
                <w:sz w:val="24"/>
                <w:szCs w:val="24"/>
                <w:highlight w:val="none"/>
              </w:rPr>
              <w:t>、③</w:t>
            </w:r>
            <w:r>
              <w:rPr>
                <w:rFonts w:hint="eastAsia" w:hAnsi="宋体" w:cs="仿宋"/>
                <w:color w:val="auto"/>
                <w:sz w:val="24"/>
                <w:szCs w:val="24"/>
                <w:highlight w:val="none"/>
              </w:rPr>
              <w:t>检验结果的处理</w:t>
            </w:r>
            <w:r>
              <w:rPr>
                <w:rFonts w:hint="eastAsia" w:hAnsi="宋体" w:cs="宋体"/>
                <w:color w:val="auto"/>
                <w:sz w:val="24"/>
                <w:szCs w:val="24"/>
                <w:highlight w:val="none"/>
              </w:rPr>
              <w:t>等</w:t>
            </w:r>
            <w:r>
              <w:rPr>
                <w:rFonts w:hint="eastAsia"/>
                <w:color w:val="auto"/>
                <w:sz w:val="24"/>
                <w:szCs w:val="24"/>
                <w:highlight w:val="none"/>
              </w:rPr>
              <w:t>）描述详尽</w:t>
            </w:r>
            <w:r>
              <w:rPr>
                <w:rFonts w:hint="eastAsia"/>
                <w:color w:val="auto"/>
                <w:sz w:val="24"/>
                <w:szCs w:val="24"/>
                <w:highlight w:val="none"/>
                <w:lang w:eastAsia="zh-CN"/>
              </w:rPr>
              <w:t>、合理、可操作性强</w:t>
            </w:r>
            <w:r>
              <w:rPr>
                <w:rFonts w:hint="eastAsia"/>
                <w:color w:val="auto"/>
                <w:sz w:val="24"/>
                <w:szCs w:val="24"/>
                <w:highlight w:val="none"/>
              </w:rPr>
              <w:t>且有利于项目实施的得</w:t>
            </w:r>
            <w:r>
              <w:rPr>
                <w:rFonts w:hint="eastAsia"/>
                <w:color w:val="auto"/>
                <w:sz w:val="24"/>
                <w:szCs w:val="24"/>
                <w:highlight w:val="none"/>
                <w:lang w:val="en-US" w:eastAsia="zh-CN"/>
              </w:rPr>
              <w:t>9</w:t>
            </w:r>
            <w:r>
              <w:rPr>
                <w:rFonts w:hint="eastAsia"/>
                <w:color w:val="auto"/>
                <w:sz w:val="24"/>
                <w:szCs w:val="24"/>
                <w:highlight w:val="none"/>
              </w:rPr>
              <w:t>分；每有一项缺项或漏项的扣</w:t>
            </w:r>
            <w:r>
              <w:rPr>
                <w:rFonts w:hint="eastAsia"/>
                <w:color w:val="auto"/>
                <w:sz w:val="24"/>
                <w:szCs w:val="24"/>
                <w:highlight w:val="none"/>
                <w:lang w:val="en-US" w:eastAsia="zh-CN"/>
              </w:rPr>
              <w:t>3</w:t>
            </w:r>
            <w:r>
              <w:rPr>
                <w:rFonts w:hint="eastAsia"/>
                <w:color w:val="auto"/>
                <w:sz w:val="24"/>
                <w:szCs w:val="24"/>
                <w:highlight w:val="none"/>
              </w:rPr>
              <w:t>分；每有一项描述不完整，存在缺陷或漏洞的扣1分</w:t>
            </w:r>
            <w:r>
              <w:rPr>
                <w:rFonts w:hint="eastAsia"/>
                <w:color w:val="auto"/>
                <w:sz w:val="24"/>
                <w:szCs w:val="24"/>
                <w:highlight w:val="none"/>
                <w:lang w:val="zh-CN"/>
              </w:rPr>
              <w:t>。</w:t>
            </w:r>
            <w:r>
              <w:rPr>
                <w:rFonts w:hint="eastAsia"/>
                <w:color w:val="auto"/>
                <w:sz w:val="24"/>
                <w:szCs w:val="24"/>
                <w:highlight w:val="none"/>
              </w:rPr>
              <w:t>未提供不得分。</w:t>
            </w:r>
          </w:p>
        </w:tc>
        <w:tc>
          <w:tcPr>
            <w:tcW w:w="1358" w:type="dxa"/>
            <w:noWrap w:val="0"/>
            <w:vAlign w:val="center"/>
          </w:tcPr>
          <w:p>
            <w:pPr>
              <w:snapToGrid w:val="0"/>
              <w:spacing w:line="300" w:lineRule="auto"/>
              <w:rPr>
                <w:rFonts w:hAnsi="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0" w:hRule="atLeast"/>
        </w:trPr>
        <w:tc>
          <w:tcPr>
            <w:tcW w:w="503" w:type="dxa"/>
            <w:noWrap w:val="0"/>
            <w:vAlign w:val="center"/>
          </w:tcPr>
          <w:p>
            <w:pPr>
              <w:widowControl/>
              <w:spacing w:line="360" w:lineRule="auto"/>
              <w:jc w:val="center"/>
              <w:rPr>
                <w:rFonts w:hint="eastAsia" w:hAnsi="宋体" w:eastAsia="宋体" w:cs="宋体"/>
                <w:color w:val="auto"/>
                <w:sz w:val="24"/>
                <w:szCs w:val="24"/>
                <w:highlight w:val="none"/>
                <w:lang w:eastAsia="zh-CN"/>
              </w:rPr>
            </w:pPr>
            <w:r>
              <w:rPr>
                <w:rFonts w:hint="eastAsia" w:cs="宋体"/>
                <w:color w:val="auto"/>
                <w:sz w:val="24"/>
                <w:szCs w:val="24"/>
                <w:highlight w:val="none"/>
                <w:lang w:val="en-US" w:eastAsia="zh-CN"/>
              </w:rPr>
              <w:t>7</w:t>
            </w:r>
          </w:p>
        </w:tc>
        <w:tc>
          <w:tcPr>
            <w:tcW w:w="928" w:type="dxa"/>
            <w:noWrap w:val="0"/>
            <w:vAlign w:val="center"/>
          </w:tcPr>
          <w:p>
            <w:pPr>
              <w:widowControl/>
              <w:spacing w:line="360" w:lineRule="auto"/>
              <w:jc w:val="center"/>
              <w:rPr>
                <w:rFonts w:hAnsi="宋体" w:cs="宋体"/>
                <w:color w:val="auto"/>
                <w:sz w:val="24"/>
                <w:szCs w:val="24"/>
                <w:highlight w:val="none"/>
              </w:rPr>
            </w:pPr>
            <w:r>
              <w:rPr>
                <w:rFonts w:hint="eastAsia" w:hAnsi="宋体" w:cs="宋体"/>
                <w:color w:val="auto"/>
                <w:sz w:val="24"/>
                <w:szCs w:val="24"/>
                <w:highlight w:val="none"/>
              </w:rPr>
              <w:t>响应文件规范性</w:t>
            </w:r>
          </w:p>
          <w:p>
            <w:pPr>
              <w:widowControl/>
              <w:spacing w:line="360" w:lineRule="auto"/>
              <w:jc w:val="center"/>
              <w:rPr>
                <w:rFonts w:hAnsi="宋体" w:cs="宋体"/>
                <w:color w:val="auto"/>
                <w:sz w:val="24"/>
                <w:szCs w:val="24"/>
                <w:highlight w:val="none"/>
              </w:rPr>
            </w:pPr>
            <w:r>
              <w:rPr>
                <w:rFonts w:hint="eastAsia" w:hAnsi="宋体" w:cs="宋体"/>
                <w:color w:val="auto"/>
                <w:sz w:val="24"/>
                <w:szCs w:val="24"/>
                <w:highlight w:val="none"/>
              </w:rPr>
              <w:t>2</w:t>
            </w:r>
            <w:r>
              <w:rPr>
                <w:rFonts w:hAnsi="宋体" w:cs="宋体"/>
                <w:color w:val="auto"/>
                <w:sz w:val="24"/>
                <w:szCs w:val="24"/>
                <w:highlight w:val="none"/>
              </w:rPr>
              <w:t>%</w:t>
            </w:r>
          </w:p>
        </w:tc>
        <w:tc>
          <w:tcPr>
            <w:tcW w:w="920" w:type="dxa"/>
            <w:noWrap w:val="0"/>
            <w:vAlign w:val="center"/>
          </w:tcPr>
          <w:p>
            <w:pPr>
              <w:widowControl/>
              <w:spacing w:line="360" w:lineRule="auto"/>
              <w:jc w:val="center"/>
              <w:rPr>
                <w:rFonts w:hAnsi="宋体" w:cs="宋体"/>
                <w:color w:val="auto"/>
                <w:sz w:val="24"/>
                <w:szCs w:val="24"/>
                <w:highlight w:val="none"/>
              </w:rPr>
            </w:pPr>
            <w:r>
              <w:rPr>
                <w:rFonts w:hint="eastAsia" w:hAnsi="宋体" w:cs="宋体"/>
                <w:color w:val="auto"/>
                <w:sz w:val="24"/>
                <w:szCs w:val="24"/>
                <w:highlight w:val="none"/>
              </w:rPr>
              <w:t>2分</w:t>
            </w:r>
          </w:p>
        </w:tc>
        <w:tc>
          <w:tcPr>
            <w:tcW w:w="5629" w:type="dxa"/>
            <w:noWrap w:val="0"/>
            <w:vAlign w:val="center"/>
          </w:tcPr>
          <w:p>
            <w:pPr>
              <w:widowControl/>
              <w:spacing w:line="360" w:lineRule="auto"/>
              <w:jc w:val="left"/>
              <w:rPr>
                <w:rFonts w:hAnsi="宋体" w:cs="宋体"/>
                <w:color w:val="auto"/>
                <w:sz w:val="24"/>
                <w:szCs w:val="24"/>
                <w:highlight w:val="none"/>
              </w:rPr>
            </w:pPr>
            <w:r>
              <w:rPr>
                <w:rFonts w:hint="eastAsia" w:hAnsi="宋体" w:cs="宋体"/>
                <w:color w:val="auto"/>
                <w:sz w:val="24"/>
                <w:szCs w:val="24"/>
                <w:highlight w:val="none"/>
              </w:rPr>
              <w:t>响应文件制作规范，没有细微偏差情形的得</w:t>
            </w:r>
            <w:r>
              <w:rPr>
                <w:rFonts w:hint="eastAsia" w:hAnsi="宋体" w:cs="宋体"/>
                <w:color w:val="auto"/>
                <w:sz w:val="24"/>
                <w:szCs w:val="24"/>
                <w:highlight w:val="none"/>
                <w:lang w:val="en-US" w:eastAsia="zh-CN"/>
              </w:rPr>
              <w:t>2</w:t>
            </w:r>
            <w:r>
              <w:rPr>
                <w:rFonts w:hAnsi="宋体" w:cs="宋体"/>
                <w:color w:val="auto"/>
                <w:sz w:val="24"/>
                <w:szCs w:val="24"/>
                <w:highlight w:val="none"/>
              </w:rPr>
              <w:t>分；有一项细微偏差</w:t>
            </w:r>
            <w:r>
              <w:rPr>
                <w:rFonts w:hint="eastAsia" w:hAnsi="宋体" w:cs="宋体"/>
                <w:color w:val="auto"/>
                <w:sz w:val="24"/>
                <w:szCs w:val="24"/>
                <w:highlight w:val="none"/>
              </w:rPr>
              <w:t>0.5分，直至该项分值扣完为止。</w:t>
            </w:r>
          </w:p>
        </w:tc>
        <w:tc>
          <w:tcPr>
            <w:tcW w:w="1358" w:type="dxa"/>
            <w:noWrap w:val="0"/>
            <w:vAlign w:val="center"/>
          </w:tcPr>
          <w:p>
            <w:pPr>
              <w:widowControl/>
              <w:spacing w:line="360" w:lineRule="auto"/>
              <w:jc w:val="center"/>
              <w:rPr>
                <w:rFonts w:hAnsi="宋体" w:cs="宋体"/>
                <w:color w:val="auto"/>
                <w:sz w:val="21"/>
                <w:szCs w:val="21"/>
                <w:highlight w:val="none"/>
              </w:rPr>
            </w:pPr>
          </w:p>
        </w:tc>
      </w:tr>
    </w:tbl>
    <w:p/>
    <w:p>
      <w:pPr>
        <w:pStyle w:val="7"/>
      </w:pPr>
    </w:p>
    <w:p/>
    <w:p>
      <w:pPr>
        <w:pStyle w:val="7"/>
      </w:pPr>
    </w:p>
    <w:p/>
    <w:p>
      <w:pPr>
        <w:pStyle w:val="7"/>
      </w:pPr>
    </w:p>
    <w:p/>
    <w:p>
      <w:pPr>
        <w:pStyle w:val="7"/>
      </w:pPr>
    </w:p>
    <w:p/>
    <w:p>
      <w:pPr>
        <w:pStyle w:val="7"/>
      </w:pPr>
    </w:p>
    <w:p/>
    <w:p>
      <w:pPr>
        <w:pStyle w:val="7"/>
      </w:pPr>
    </w:p>
    <w:p/>
    <w:p>
      <w:pPr>
        <w:pStyle w:val="7"/>
      </w:pPr>
    </w:p>
    <w:p/>
    <w:p>
      <w:pPr>
        <w:pStyle w:val="7"/>
      </w:pPr>
    </w:p>
    <w:p>
      <w:pPr>
        <w:pStyle w:val="7"/>
      </w:pPr>
    </w:p>
    <w:p/>
    <w:p>
      <w:pPr>
        <w:pStyle w:val="6"/>
        <w:spacing w:before="66"/>
        <w:ind w:left="960"/>
      </w:pPr>
      <w:r>
        <w:t>注：评分的取值注：评分的取值按四舍五入法，保留小数点后两位。</w:t>
      </w:r>
    </w:p>
    <w:p>
      <w:pPr>
        <w:pStyle w:val="6"/>
        <w:keepNext w:val="0"/>
        <w:keepLines w:val="0"/>
        <w:pageBreakBefore w:val="0"/>
        <w:widowControl w:val="0"/>
        <w:numPr>
          <w:ilvl w:val="0"/>
          <w:numId w:val="15"/>
        </w:numPr>
        <w:tabs>
          <w:tab w:val="left" w:pos="1684"/>
        </w:tabs>
        <w:kinsoku w:val="0"/>
        <w:wordWrap/>
        <w:overflowPunct/>
        <w:topLinePunct w:val="0"/>
        <w:autoSpaceDE w:val="0"/>
        <w:autoSpaceDN w:val="0"/>
        <w:bidi w:val="0"/>
        <w:adjustRightInd/>
        <w:snapToGrid/>
        <w:spacing w:before="165"/>
        <w:ind w:left="1683"/>
        <w:textAlignment w:val="auto"/>
        <w:rPr>
          <w:sz w:val="22"/>
        </w:rPr>
      </w:pPr>
      <w:r>
        <w:t>磋商纪律及注意事项</w:t>
      </w:r>
    </w:p>
    <w:p>
      <w:pPr>
        <w:pStyle w:val="16"/>
        <w:keepNext w:val="0"/>
        <w:keepLines w:val="0"/>
        <w:pageBreakBefore w:val="0"/>
        <w:widowControl w:val="0"/>
        <w:numPr>
          <w:ilvl w:val="1"/>
          <w:numId w:val="15"/>
        </w:numPr>
        <w:tabs>
          <w:tab w:val="left" w:pos="1860"/>
        </w:tabs>
        <w:kinsoku w:val="0"/>
        <w:wordWrap/>
        <w:overflowPunct/>
        <w:topLinePunct w:val="0"/>
        <w:autoSpaceDE w:val="0"/>
        <w:autoSpaceDN w:val="0"/>
        <w:bidi w:val="0"/>
        <w:adjustRightInd/>
        <w:snapToGrid/>
        <w:spacing w:line="364" w:lineRule="auto"/>
        <w:ind w:right="1039" w:firstLine="480"/>
        <w:textAlignment w:val="auto"/>
        <w:rPr>
          <w:sz w:val="24"/>
        </w:rPr>
      </w:pPr>
      <w:r>
        <w:rPr>
          <w:spacing w:val="-6"/>
          <w:sz w:val="24"/>
        </w:rPr>
        <w:t>磋商小组内部讨论的情况和意见必须保密，任何人不得以任何形式透露</w:t>
      </w:r>
      <w:r>
        <w:rPr>
          <w:sz w:val="24"/>
        </w:rPr>
        <w:t>给供应商或与供应商有关的单位或个人。</w:t>
      </w:r>
    </w:p>
    <w:p>
      <w:pPr>
        <w:pStyle w:val="16"/>
        <w:keepNext w:val="0"/>
        <w:keepLines w:val="0"/>
        <w:pageBreakBefore w:val="0"/>
        <w:widowControl w:val="0"/>
        <w:numPr>
          <w:ilvl w:val="1"/>
          <w:numId w:val="15"/>
        </w:numPr>
        <w:tabs>
          <w:tab w:val="left" w:pos="1860"/>
        </w:tabs>
        <w:kinsoku w:val="0"/>
        <w:wordWrap/>
        <w:overflowPunct/>
        <w:topLinePunct w:val="0"/>
        <w:autoSpaceDE w:val="0"/>
        <w:autoSpaceDN w:val="0"/>
        <w:bidi w:val="0"/>
        <w:adjustRightInd/>
        <w:snapToGrid/>
        <w:spacing w:before="123" w:line="364" w:lineRule="auto"/>
        <w:ind w:right="1039" w:firstLine="480"/>
        <w:textAlignment w:val="auto"/>
        <w:rPr>
          <w:sz w:val="24"/>
        </w:rPr>
      </w:pPr>
      <w:r>
        <w:rPr>
          <w:spacing w:val="-11"/>
          <w:sz w:val="24"/>
        </w:rPr>
        <w:t>在磋商过程中，供应商不得以任何形式对磋商小组成员进行旨在影响谈</w:t>
      </w:r>
      <w:r>
        <w:rPr>
          <w:sz w:val="24"/>
        </w:rPr>
        <w:t>判结果的私下接触，否则将取消其参与磋商的资格。</w:t>
      </w:r>
    </w:p>
    <w:p>
      <w:pPr>
        <w:pStyle w:val="16"/>
        <w:keepNext w:val="0"/>
        <w:keepLines w:val="0"/>
        <w:pageBreakBefore w:val="0"/>
        <w:widowControl w:val="0"/>
        <w:numPr>
          <w:ilvl w:val="1"/>
          <w:numId w:val="15"/>
        </w:numPr>
        <w:tabs>
          <w:tab w:val="left" w:pos="1860"/>
        </w:tabs>
        <w:kinsoku w:val="0"/>
        <w:wordWrap/>
        <w:overflowPunct/>
        <w:topLinePunct w:val="0"/>
        <w:autoSpaceDE w:val="0"/>
        <w:autoSpaceDN w:val="0"/>
        <w:bidi w:val="0"/>
        <w:adjustRightInd/>
        <w:snapToGrid/>
        <w:spacing w:before="2" w:line="364" w:lineRule="auto"/>
        <w:ind w:right="1039" w:firstLine="480"/>
        <w:textAlignment w:val="auto"/>
        <w:rPr>
          <w:sz w:val="24"/>
        </w:rPr>
      </w:pPr>
      <w:r>
        <w:rPr>
          <w:spacing w:val="-8"/>
          <w:sz w:val="24"/>
        </w:rPr>
        <w:t>对各供应商的商业秘密，磋商小组成员应予以保密，不得泄露给其他供</w:t>
      </w:r>
      <w:r>
        <w:rPr>
          <w:sz w:val="24"/>
        </w:rPr>
        <w:t>应商。</w:t>
      </w:r>
    </w:p>
    <w:p>
      <w:pPr>
        <w:pStyle w:val="16"/>
        <w:numPr>
          <w:ilvl w:val="1"/>
          <w:numId w:val="15"/>
        </w:numPr>
        <w:tabs>
          <w:tab w:val="left" w:pos="1920"/>
        </w:tabs>
        <w:spacing w:before="1"/>
        <w:ind w:left="1920" w:hanging="480"/>
        <w:rPr>
          <w:sz w:val="24"/>
        </w:rPr>
      </w:pPr>
      <w:r>
        <w:rPr>
          <w:sz w:val="24"/>
        </w:rPr>
        <w:t>磋商小组独立评判，推荐成交候选人，并写出书面报告。</w:t>
      </w:r>
    </w:p>
    <w:p>
      <w:pPr>
        <w:pStyle w:val="16"/>
        <w:numPr>
          <w:ilvl w:val="1"/>
          <w:numId w:val="15"/>
        </w:numPr>
        <w:tabs>
          <w:tab w:val="left" w:pos="1920"/>
        </w:tabs>
        <w:spacing w:before="160"/>
        <w:ind w:left="1920" w:hanging="480"/>
        <w:rPr>
          <w:sz w:val="24"/>
        </w:rPr>
      </w:pPr>
      <w:r>
        <w:rPr>
          <w:sz w:val="24"/>
        </w:rPr>
        <w:t>磋商小组可根据需要对供应商进行实地考察。</w:t>
      </w:r>
    </w:p>
    <w:p>
      <w:pPr>
        <w:pStyle w:val="7"/>
      </w:pPr>
    </w:p>
    <w:p>
      <w:pPr>
        <w:pStyle w:val="6"/>
        <w:numPr>
          <w:ilvl w:val="0"/>
          <w:numId w:val="15"/>
        </w:numPr>
        <w:tabs>
          <w:tab w:val="left" w:pos="1681"/>
        </w:tabs>
        <w:ind w:left="1681" w:hanging="241"/>
        <w:rPr>
          <w:sz w:val="22"/>
        </w:rPr>
      </w:pPr>
      <w:r>
        <w:t>磋商小组在政府采购活动中承担以下义务：</w:t>
      </w:r>
    </w:p>
    <w:p>
      <w:pPr>
        <w:pStyle w:val="7"/>
        <w:spacing w:before="160"/>
        <w:ind w:left="1440"/>
      </w:pPr>
      <w:r>
        <w:t>（一）遵守评审工作纪律；</w:t>
      </w:r>
    </w:p>
    <w:p>
      <w:pPr>
        <w:pStyle w:val="7"/>
        <w:spacing w:before="161" w:line="364" w:lineRule="auto"/>
        <w:ind w:left="960" w:right="1039" w:firstLine="480"/>
      </w:pPr>
      <w:r>
        <w:t>（二）按照客观、公正、审慎的原则，根据磋商文件规定的评审程序、评审方法和评审标准进行独立评审；</w:t>
      </w:r>
    </w:p>
    <w:p>
      <w:pPr>
        <w:pStyle w:val="7"/>
        <w:spacing w:before="1"/>
        <w:ind w:left="1440"/>
      </w:pPr>
      <w:r>
        <w:t>（三）不得泄露评审文件、评审情况和在评审过程中获悉的商业秘密；</w:t>
      </w:r>
    </w:p>
    <w:p>
      <w:pPr>
        <w:pStyle w:val="7"/>
        <w:spacing w:before="161" w:line="364" w:lineRule="auto"/>
        <w:ind w:left="960" w:right="1039" w:firstLine="480"/>
        <w:jc w:val="both"/>
      </w:pPr>
      <w:r>
        <w:t>（四）及时向财政部门报告评审过程中发现的采购人、采购代理机构向评审专家做倾向性、误导性的解释或者说明，以及供应商行贿、提供虚假材料或者串通等违法行为；</w:t>
      </w:r>
    </w:p>
    <w:p>
      <w:pPr>
        <w:pStyle w:val="7"/>
        <w:spacing w:before="1" w:line="364" w:lineRule="auto"/>
        <w:ind w:left="960" w:right="890" w:firstLine="480"/>
      </w:pPr>
      <w:r>
        <w:t>（五）发现磋商文件内容违反国家有关强制性规定或者磋商文件存在歧义、重大缺陷导致评审工作无法进行时，停止评审并向采购人或者采购代理机构书面说明情况；</w:t>
      </w:r>
    </w:p>
    <w:p>
      <w:pPr>
        <w:pStyle w:val="7"/>
        <w:spacing w:before="2"/>
        <w:ind w:left="1440"/>
      </w:pPr>
      <w:r>
        <w:t>（六）及时向财政、监察等部门举报在评审过程中受到非法干预的情况；</w:t>
      </w:r>
    </w:p>
    <w:p>
      <w:pPr>
        <w:pStyle w:val="7"/>
        <w:spacing w:before="161"/>
        <w:ind w:left="1440"/>
      </w:pPr>
      <w:r>
        <w:t>（七）配合答复处理供应商的询问、质疑和投诉等事项；</w:t>
      </w:r>
    </w:p>
    <w:p>
      <w:pPr>
        <w:pStyle w:val="7"/>
        <w:spacing w:before="160"/>
        <w:ind w:left="1440"/>
      </w:pPr>
      <w:r>
        <w:t>（八）法律、法规和规章规定的其他义务。</w:t>
      </w:r>
    </w:p>
    <w:p>
      <w:pPr>
        <w:pStyle w:val="7"/>
      </w:pPr>
    </w:p>
    <w:p>
      <w:pPr>
        <w:pStyle w:val="6"/>
        <w:numPr>
          <w:ilvl w:val="0"/>
          <w:numId w:val="15"/>
        </w:numPr>
        <w:tabs>
          <w:tab w:val="left" w:pos="1684"/>
        </w:tabs>
        <w:ind w:left="1683"/>
        <w:rPr>
          <w:sz w:val="22"/>
        </w:rPr>
      </w:pPr>
      <w:r>
        <w:t>评审专家在政府采购活动中应当遵守以下工作纪律：</w:t>
      </w:r>
    </w:p>
    <w:p>
      <w:pPr>
        <w:pStyle w:val="7"/>
        <w:spacing w:before="160" w:line="364" w:lineRule="auto"/>
        <w:ind w:left="960" w:right="1039" w:firstLine="480"/>
        <w:jc w:val="both"/>
      </w:pPr>
      <w:r>
        <w:t>（一）不得参加与自己有《中华人民共和国政府采购法实施条例》第九条规定的利害关系的政府采购项目的评标活动。发现参加了与自己有利害关系的评审活动，须主动提出回避，退出评审；</w:t>
      </w:r>
    </w:p>
    <w:p>
      <w:pPr>
        <w:pStyle w:val="7"/>
        <w:sectPr>
          <w:pgSz w:w="11850" w:h="16790"/>
          <w:pgMar w:top="1600" w:right="760" w:bottom="1300" w:left="840" w:header="949" w:footer="1119" w:gutter="0"/>
          <w:pgBorders>
            <w:top w:val="none" w:sz="0" w:space="0"/>
            <w:left w:val="none" w:sz="0" w:space="0"/>
            <w:bottom w:val="none" w:sz="0" w:space="0"/>
            <w:right w:val="none" w:sz="0" w:space="0"/>
          </w:pgBorders>
          <w:cols w:space="720" w:num="1"/>
        </w:sectPr>
      </w:pPr>
    </w:p>
    <w:p/>
    <w:p>
      <w:pPr>
        <w:pStyle w:val="7"/>
        <w:spacing w:before="2" w:line="364" w:lineRule="auto"/>
        <w:ind w:left="960" w:right="1039" w:firstLine="480"/>
      </w:pPr>
      <w:r>
        <w:t>（二）评审前，应当将通讯工具或者相关电子设备交由采购代理机构统一保管；</w:t>
      </w:r>
    </w:p>
    <w:p>
      <w:pPr>
        <w:pStyle w:val="7"/>
        <w:spacing w:before="1"/>
        <w:ind w:left="1440"/>
      </w:pPr>
      <w:r>
        <w:t>（三）评审过程中，不得与外界联系，因发生不可预见情况，确实需要与</w:t>
      </w:r>
    </w:p>
    <w:p>
      <w:pPr>
        <w:pStyle w:val="7"/>
        <w:spacing w:before="123"/>
        <w:ind w:left="960"/>
      </w:pPr>
      <w:r>
        <w:t>外界联系的，应当在监督人员监督之下办理；</w:t>
      </w:r>
    </w:p>
    <w:p>
      <w:pPr>
        <w:pStyle w:val="7"/>
        <w:spacing w:before="161" w:line="364" w:lineRule="auto"/>
        <w:ind w:left="960" w:right="1039" w:firstLine="480"/>
        <w:jc w:val="both"/>
      </w:pPr>
      <w: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pStyle w:val="7"/>
        <w:spacing w:before="3" w:line="364" w:lineRule="auto"/>
        <w:ind w:left="960" w:right="864" w:firstLine="480"/>
      </w:pPr>
      <w:r>
        <w:t>（五）在评审过程中和评审结束后，不得记录、复制或带走任何评审资料， 不得向外界透露评审内容；</w:t>
      </w:r>
    </w:p>
    <w:p>
      <w:pPr>
        <w:pStyle w:val="7"/>
        <w:spacing w:before="1" w:line="364" w:lineRule="auto"/>
        <w:ind w:left="960" w:right="1039" w:firstLine="480"/>
      </w:pPr>
      <w:r>
        <w:t>（六）评审现场服从采购代理机构工作人员的管理，接受现场监督人员的合法监督；</w:t>
      </w:r>
    </w:p>
    <w:p>
      <w:pPr>
        <w:pStyle w:val="7"/>
        <w:spacing w:before="1" w:line="364" w:lineRule="auto"/>
        <w:ind w:left="960" w:right="1039" w:firstLine="480"/>
      </w:pPr>
      <w:r>
        <w:t>（七）遵守有关廉洁自律规定，不得私下接触供应商，不得收受供应商及有关业务单位和个人的财物或好处，不得接受采购代理机构的请托。</w:t>
      </w:r>
    </w:p>
    <w:p>
      <w:pPr>
        <w:spacing w:line="364" w:lineRule="auto"/>
        <w:sectPr>
          <w:pgSz w:w="11850" w:h="16790"/>
          <w:pgMar w:top="1600" w:right="760" w:bottom="1300" w:left="840" w:header="949" w:footer="1119" w:gutter="0"/>
          <w:pgBorders>
            <w:top w:val="none" w:sz="0" w:space="0"/>
            <w:left w:val="none" w:sz="0" w:space="0"/>
            <w:bottom w:val="none" w:sz="0" w:space="0"/>
            <w:right w:val="none" w:sz="0" w:space="0"/>
          </w:pgBorders>
          <w:cols w:space="720" w:num="1"/>
        </w:sectPr>
      </w:pPr>
    </w:p>
    <w:p>
      <w:pPr>
        <w:pStyle w:val="3"/>
        <w:tabs>
          <w:tab w:val="left" w:pos="1283"/>
        </w:tabs>
        <w:ind w:right="79"/>
      </w:pPr>
      <w:bookmarkStart w:id="105" w:name="第八章__政府采购合同"/>
      <w:bookmarkEnd w:id="105"/>
      <w:bookmarkStart w:id="106" w:name="_bookmark7"/>
      <w:bookmarkEnd w:id="106"/>
      <w:r>
        <w:t>第八章</w:t>
      </w:r>
      <w:r>
        <w:tab/>
      </w:r>
      <w:r>
        <w:t>政府采购合同</w:t>
      </w:r>
    </w:p>
    <w:p>
      <w:pPr>
        <w:pStyle w:val="7"/>
        <w:spacing w:before="12"/>
        <w:rPr>
          <w:b/>
          <w:sz w:val="34"/>
        </w:rPr>
      </w:pPr>
    </w:p>
    <w:p>
      <w:pPr>
        <w:pStyle w:val="7"/>
        <w:spacing w:line="364" w:lineRule="auto"/>
        <w:ind w:left="1440" w:right="5689"/>
      </w:pPr>
      <w:r>
        <w:t>合同编号：与项目编号一致。签订地点：XXXX。</w:t>
      </w:r>
    </w:p>
    <w:p>
      <w:pPr>
        <w:pStyle w:val="7"/>
        <w:spacing w:before="1" w:line="364" w:lineRule="auto"/>
        <w:ind w:left="1440" w:right="5089"/>
      </w:pPr>
      <w:r>
        <w:t>签订时间：XXXX 年 XX 月 XX</w:t>
      </w:r>
      <w:r>
        <w:rPr>
          <w:spacing w:val="-7"/>
        </w:rPr>
        <w:t xml:space="preserve"> 日。</w:t>
      </w:r>
      <w:r>
        <w:t>采购人(甲方)：</w:t>
      </w:r>
    </w:p>
    <w:p>
      <w:pPr>
        <w:pStyle w:val="7"/>
        <w:spacing w:before="1"/>
        <w:ind w:left="1440"/>
      </w:pPr>
      <w:r>
        <w:t>供应商(乙方)：</w:t>
      </w:r>
    </w:p>
    <w:p>
      <w:pPr>
        <w:pStyle w:val="7"/>
        <w:spacing w:before="161" w:line="364" w:lineRule="auto"/>
        <w:ind w:left="960" w:right="1039" w:firstLine="480"/>
      </w:pPr>
      <w:r>
        <w:t>依据《中华人民共和国</w:t>
      </w:r>
      <w:r>
        <w:rPr>
          <w:rFonts w:hint="eastAsia"/>
          <w:lang w:eastAsia="zh-CN"/>
        </w:rPr>
        <w:t>民法典</w:t>
      </w:r>
      <w:r>
        <w:t>》、《中华人民共和国政府采购法》与项目行业有关的法律法规，以及 XXXX 项目(项目编号：XXXX)的《竞争性磋商文件》，乙方的《响应文件》及《成交通知书》，甲、乙双方同意签订本合同。详细技术说明及其他有关合同项目的特定信息由合同附件予以说明，合同附件及本项目的《竞争性磋商文件》、《响应文件》、《成交通知书》等均为本合同的组成部分。</w:t>
      </w:r>
    </w:p>
    <w:p>
      <w:pPr>
        <w:pStyle w:val="7"/>
        <w:spacing w:before="161" w:line="364" w:lineRule="auto"/>
        <w:ind w:left="960" w:right="1039" w:firstLine="480"/>
      </w:pPr>
      <w:r>
        <w:t>第一条 项目基本情况</w:t>
      </w:r>
    </w:p>
    <w:p>
      <w:pPr>
        <w:pStyle w:val="7"/>
        <w:spacing w:before="1"/>
        <w:ind w:left="1440"/>
      </w:pPr>
      <w:r>
        <w:t>第二条 合同期限</w:t>
      </w:r>
    </w:p>
    <w:p>
      <w:pPr>
        <w:pStyle w:val="7"/>
        <w:spacing w:before="160" w:line="364" w:lineRule="auto"/>
        <w:ind w:left="1440" w:right="5809"/>
      </w:pPr>
      <w:r>
        <w:rPr>
          <w:spacing w:val="-2"/>
        </w:rPr>
        <w:t>第三条 服务内容与质量标准</w:t>
      </w:r>
      <w:r>
        <w:t>1、XXXX；</w:t>
      </w:r>
    </w:p>
    <w:p>
      <w:pPr>
        <w:pStyle w:val="7"/>
        <w:spacing w:before="2"/>
        <w:ind w:left="1440"/>
      </w:pPr>
      <w:r>
        <w:t>2、XXXX；</w:t>
      </w:r>
    </w:p>
    <w:p>
      <w:pPr>
        <w:pStyle w:val="7"/>
        <w:spacing w:before="160"/>
        <w:ind w:left="1440"/>
      </w:pPr>
      <w:r>
        <w:t>3、XXXX．</w:t>
      </w:r>
    </w:p>
    <w:p>
      <w:pPr>
        <w:pStyle w:val="7"/>
        <w:spacing w:before="161"/>
        <w:ind w:left="1440"/>
      </w:pPr>
      <w:r>
        <w:t>…</w:t>
      </w:r>
    </w:p>
    <w:p>
      <w:pPr>
        <w:pStyle w:val="7"/>
        <w:spacing w:before="160"/>
        <w:ind w:left="1440"/>
      </w:pPr>
      <w:r>
        <w:t>第四条 服务费用及支付方式</w:t>
      </w:r>
    </w:p>
    <w:p>
      <w:pPr>
        <w:pStyle w:val="7"/>
        <w:spacing w:before="161" w:line="364" w:lineRule="auto"/>
        <w:ind w:left="1440" w:right="5142"/>
      </w:pPr>
      <w:r>
        <w:rPr>
          <w:spacing w:val="-2"/>
        </w:rPr>
        <w:t xml:space="preserve">(一)本项目服务费用由以下组成： </w:t>
      </w:r>
      <w:r>
        <w:t>1、XX 万元；</w:t>
      </w:r>
    </w:p>
    <w:p>
      <w:pPr>
        <w:pStyle w:val="7"/>
        <w:spacing w:before="1"/>
        <w:ind w:left="1440"/>
      </w:pPr>
      <w:r>
        <w:t>2、XX 万元；</w:t>
      </w:r>
    </w:p>
    <w:p>
      <w:pPr>
        <w:pStyle w:val="7"/>
        <w:spacing w:before="160"/>
        <w:ind w:left="1440"/>
      </w:pPr>
      <w:r>
        <w:t>3、XX 万元。</w:t>
      </w:r>
    </w:p>
    <w:p>
      <w:pPr>
        <w:pStyle w:val="7"/>
        <w:spacing w:before="161"/>
        <w:ind w:left="1440"/>
      </w:pPr>
      <w:r>
        <w:t>……</w:t>
      </w:r>
    </w:p>
    <w:p>
      <w:pPr>
        <w:pStyle w:val="7"/>
        <w:spacing w:before="160"/>
        <w:ind w:left="1440"/>
      </w:pPr>
      <w:r>
        <w:t>(二)服务费支付方式：</w:t>
      </w:r>
    </w:p>
    <w:p>
      <w:pPr>
        <w:sectPr>
          <w:pgSz w:w="11850" w:h="16790"/>
          <w:pgMar w:top="1600" w:right="760" w:bottom="1300" w:left="840" w:header="949" w:footer="1119" w:gutter="0"/>
          <w:pgBorders>
            <w:top w:val="none" w:sz="0" w:space="0"/>
            <w:left w:val="none" w:sz="0" w:space="0"/>
            <w:bottom w:val="none" w:sz="0" w:space="0"/>
            <w:right w:val="none" w:sz="0" w:space="0"/>
          </w:pgBorders>
          <w:cols w:space="720" w:num="1"/>
        </w:sectPr>
      </w:pPr>
    </w:p>
    <w:p>
      <w:pPr>
        <w:pStyle w:val="7"/>
        <w:spacing w:before="123"/>
        <w:ind w:left="1440"/>
      </w:pPr>
      <w:r>
        <w:t>第五条 知识产权</w:t>
      </w:r>
    </w:p>
    <w:p>
      <w:pPr>
        <w:pStyle w:val="7"/>
        <w:spacing w:before="161" w:line="364" w:lineRule="auto"/>
        <w:ind w:left="960" w:right="1039" w:firstLine="480"/>
      </w:pPr>
      <w:r>
        <w:rPr>
          <w:spacing w:val="8"/>
        </w:rPr>
        <w:t>乙方应保证所提供的服务或其任何一部分均不会侵犯任何第三方的专利权、商标权或著作权。</w:t>
      </w:r>
    </w:p>
    <w:p>
      <w:pPr>
        <w:pStyle w:val="7"/>
        <w:spacing w:before="1"/>
        <w:ind w:left="1440"/>
      </w:pPr>
      <w:r>
        <w:t>第六条 无产权瑕疵条款</w:t>
      </w:r>
    </w:p>
    <w:p>
      <w:pPr>
        <w:pStyle w:val="7"/>
        <w:spacing w:before="161" w:line="364" w:lineRule="auto"/>
        <w:ind w:left="960" w:right="1039" w:firstLine="480"/>
      </w:pPr>
      <w:r>
        <w:t>乙方保证所提供的服务的所有权完全属于乙方且无任何抵押、查封等产权瑕疵。如有产权瑕疵的，视为乙方违约。乙方应负担由此而产生的一切损失。</w:t>
      </w:r>
      <w:r>
        <w:rPr>
          <w:rFonts w:hint="eastAsia"/>
          <w:lang w:val="en-US" w:eastAsia="zh-CN"/>
        </w:rPr>
        <w:t xml:space="preserve">     </w:t>
      </w:r>
      <w:r>
        <w:t>第七条 履约保证金</w:t>
      </w:r>
    </w:p>
    <w:p>
      <w:pPr>
        <w:pStyle w:val="7"/>
        <w:spacing w:before="1"/>
        <w:ind w:left="1440"/>
      </w:pPr>
      <w:r>
        <w:t>1、乙方缴纳人民币 XX 元作为本合同的履约保证金。</w:t>
      </w:r>
    </w:p>
    <w:p>
      <w:pPr>
        <w:pStyle w:val="7"/>
        <w:spacing w:before="160" w:line="364" w:lineRule="auto"/>
        <w:ind w:left="960" w:right="1002" w:firstLine="480"/>
      </w:pPr>
      <w:r>
        <w:t>2、履约保证金作为违约金的一部分及用于补偿甲方因乙方不能履行合同义务而蒙受的损失。</w:t>
      </w:r>
    </w:p>
    <w:p>
      <w:pPr>
        <w:pStyle w:val="7"/>
        <w:spacing w:before="2"/>
        <w:ind w:left="1440"/>
      </w:pPr>
      <w:r>
        <w:t>第八条 甲方的权利和义务</w:t>
      </w:r>
    </w:p>
    <w:p>
      <w:pPr>
        <w:pStyle w:val="7"/>
        <w:spacing w:before="160" w:line="364" w:lineRule="auto"/>
        <w:ind w:left="960" w:right="1039" w:firstLine="480"/>
        <w:jc w:val="both"/>
      </w:pPr>
      <w:r>
        <w:t>1</w:t>
      </w:r>
      <w:r>
        <w:rPr>
          <w:spacing w:val="-6"/>
        </w:rPr>
        <w:t>、甲方有权对合同规定范围内乙方的服务行为进行监督和检查，拥有监管</w:t>
      </w:r>
      <w:r>
        <w:t>权。有权定期核对乙方提供服务所配备的人员数量。对甲方认为不合理的部分有权下达整改通知书，并要求乙方限期整改。</w:t>
      </w:r>
    </w:p>
    <w:p>
      <w:pPr>
        <w:pStyle w:val="7"/>
        <w:spacing w:before="2"/>
        <w:ind w:left="1440"/>
      </w:pPr>
      <w:r>
        <w:t>2、负责检查监督乙方管理工作的实施及制度的执行情况。</w:t>
      </w:r>
    </w:p>
    <w:p>
      <w:pPr>
        <w:pStyle w:val="7"/>
        <w:spacing w:before="160"/>
        <w:ind w:left="1440"/>
      </w:pPr>
      <w:r>
        <w:t>3、根据本合同规定，按时向乙方支付应付服务费用。</w:t>
      </w:r>
    </w:p>
    <w:p>
      <w:pPr>
        <w:pStyle w:val="7"/>
        <w:spacing w:before="161" w:line="364" w:lineRule="auto"/>
        <w:ind w:left="1440" w:right="3409"/>
      </w:pPr>
      <w:r>
        <w:t>4、国家法律、法规所规定由甲方承担的其它责任。第九条 乙方的权利和义务</w:t>
      </w:r>
    </w:p>
    <w:p>
      <w:pPr>
        <w:pStyle w:val="7"/>
        <w:spacing w:before="1"/>
        <w:ind w:left="1440"/>
      </w:pPr>
      <w:r>
        <w:t>1、对本合同规定的委托服务范围内的项目享有管理权及服务义务。</w:t>
      </w:r>
    </w:p>
    <w:p>
      <w:pPr>
        <w:pStyle w:val="7"/>
        <w:spacing w:before="161" w:line="364" w:lineRule="auto"/>
        <w:ind w:left="960" w:right="986" w:firstLine="480"/>
      </w:pPr>
      <w:r>
        <w:t>2、根据本合同的规定向甲方收取相关服务费用，并有权在本项目管理范围内管理及合理使用。</w:t>
      </w:r>
    </w:p>
    <w:p>
      <w:pPr>
        <w:pStyle w:val="7"/>
        <w:spacing w:before="160" w:line="364" w:lineRule="auto"/>
        <w:ind w:left="960" w:right="986" w:firstLine="480"/>
      </w:pPr>
      <w:r>
        <w:t>3、及时向甲方通告本项目服务范围内有关服务的重大事项，及时配合处理投诉。</w:t>
      </w:r>
    </w:p>
    <w:p>
      <w:pPr>
        <w:pStyle w:val="7"/>
        <w:spacing w:before="2"/>
        <w:ind w:left="1440"/>
      </w:pPr>
      <w:r>
        <w:t>4、接受项目行业管理部门及政府有关部门的指导，接受甲方的监督。</w:t>
      </w:r>
    </w:p>
    <w:p>
      <w:pPr>
        <w:pStyle w:val="7"/>
        <w:spacing w:before="160" w:line="364" w:lineRule="auto"/>
        <w:ind w:left="1440" w:right="3409"/>
      </w:pPr>
      <w:r>
        <w:t>5、国家法律、法规所规定由乙方承担的其它责任。第十条 违约责任</w:t>
      </w:r>
    </w:p>
    <w:p>
      <w:pPr>
        <w:pStyle w:val="7"/>
        <w:spacing w:before="1"/>
        <w:ind w:left="1440"/>
      </w:pPr>
      <w:r>
        <w:t>1、甲乙双方必须遵守本合同并执行合同中的各项规定，保证本合同的正常</w:t>
      </w:r>
    </w:p>
    <w:p>
      <w:pPr>
        <w:sectPr>
          <w:pgSz w:w="11850" w:h="16790"/>
          <w:pgMar w:top="1600" w:right="760" w:bottom="1300" w:left="840" w:header="949" w:footer="1119" w:gutter="0"/>
          <w:pgBorders>
            <w:top w:val="none" w:sz="0" w:space="0"/>
            <w:left w:val="none" w:sz="0" w:space="0"/>
            <w:bottom w:val="none" w:sz="0" w:space="0"/>
            <w:right w:val="none" w:sz="0" w:space="0"/>
          </w:pgBorders>
          <w:cols w:space="720" w:num="1"/>
        </w:sectPr>
      </w:pPr>
    </w:p>
    <w:p>
      <w:pPr>
        <w:pStyle w:val="7"/>
        <w:spacing w:before="123"/>
        <w:ind w:left="960"/>
      </w:pPr>
      <w:r>
        <w:t>履行。</w:t>
      </w:r>
    </w:p>
    <w:p>
      <w:pPr>
        <w:pStyle w:val="7"/>
        <w:spacing w:before="161" w:line="364" w:lineRule="auto"/>
        <w:ind w:left="960" w:right="986" w:firstLine="480"/>
      </w:pPr>
      <w: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第十一条 不可抗力事件处理</w:t>
      </w:r>
    </w:p>
    <w:p>
      <w:pPr>
        <w:pStyle w:val="7"/>
        <w:spacing w:before="1" w:line="364" w:lineRule="auto"/>
        <w:ind w:left="960" w:right="986" w:firstLine="480"/>
      </w:pPr>
      <w:r>
        <w:t>1、在合同有效期内，任何一方因不可抗力事件导致不能履行合同，则合同履行期可延长，其延长期与不可抗力影响期相同。</w:t>
      </w:r>
    </w:p>
    <w:p>
      <w:pPr>
        <w:pStyle w:val="7"/>
        <w:spacing w:before="160" w:line="364" w:lineRule="auto"/>
        <w:ind w:left="960" w:right="986" w:firstLine="480"/>
      </w:pPr>
      <w:r>
        <w:t>2、不可抗力事件发生后，应立即通知对方，并寄送有关权威机构出具的证明。</w:t>
      </w:r>
    </w:p>
    <w:p>
      <w:pPr>
        <w:pStyle w:val="7"/>
        <w:spacing w:before="1" w:line="364" w:lineRule="auto"/>
        <w:ind w:left="960" w:right="984" w:firstLine="480"/>
      </w:pPr>
      <w:r>
        <w:t>3、不可抗力事件延续 XX 天以上，双方应通过友好协商，确定是否继续履行合同。</w:t>
      </w:r>
    </w:p>
    <w:p>
      <w:pPr>
        <w:pStyle w:val="7"/>
        <w:spacing w:before="2"/>
        <w:ind w:left="1440"/>
      </w:pPr>
      <w:r>
        <w:t>第十二条 解决合同纠纷的方式</w:t>
      </w:r>
    </w:p>
    <w:p>
      <w:pPr>
        <w:pStyle w:val="7"/>
        <w:spacing w:before="160" w:line="364" w:lineRule="auto"/>
        <w:ind w:left="960" w:right="986" w:firstLine="480"/>
      </w:pPr>
      <w:r>
        <w:t>1、在执行本合同中发生的或与本合同有关的争端，双方应通过友好协商解决，经协商在XX 天内不能达成协议时，应提交仲裁委员会仲裁。</w:t>
      </w:r>
    </w:p>
    <w:p>
      <w:pPr>
        <w:pStyle w:val="7"/>
        <w:spacing w:before="1" w:line="364" w:lineRule="auto"/>
        <w:ind w:left="1440" w:right="2929"/>
      </w:pPr>
      <w:r>
        <w:t>2、仲裁裁决应为最终决定，并对双方具有约束力。</w:t>
      </w:r>
    </w:p>
    <w:p>
      <w:pPr>
        <w:pStyle w:val="7"/>
        <w:spacing w:before="1"/>
        <w:ind w:left="1440"/>
      </w:pPr>
      <w:r>
        <w:t>3、除另有裁决外，仲裁费应由败诉方负担。</w:t>
      </w:r>
    </w:p>
    <w:p>
      <w:pPr>
        <w:pStyle w:val="7"/>
        <w:spacing w:before="161" w:line="364" w:lineRule="auto"/>
        <w:ind w:left="1440" w:right="1729"/>
      </w:pPr>
      <w:r>
        <w:t>4、在仲裁期间，除正在进行仲裁部分外，合同其他部分继续执行。第十三条 合同生效及其他</w:t>
      </w:r>
    </w:p>
    <w:p>
      <w:pPr>
        <w:pStyle w:val="7"/>
        <w:spacing w:before="1"/>
        <w:ind w:left="1440"/>
      </w:pPr>
      <w:r>
        <w:t>1、合同经双方法定代表人或授权委托代理人签字并加盖单位公章后生效。</w:t>
      </w:r>
    </w:p>
    <w:p>
      <w:pPr>
        <w:pStyle w:val="7"/>
        <w:spacing w:before="161" w:line="364" w:lineRule="auto"/>
        <w:ind w:left="960" w:right="986" w:firstLine="480"/>
      </w:pPr>
      <w:r>
        <w:t>2、合同执行中涉及采购资金和采购内容修改或补充的，须经政府采购监管部门审批，并签书面补充协议报政府采购监督管理部门备案，方可作为主合同不可分割的一部分。</w:t>
      </w:r>
    </w:p>
    <w:p>
      <w:pPr>
        <w:pStyle w:val="7"/>
        <w:spacing w:before="1" w:line="364" w:lineRule="auto"/>
        <w:ind w:left="960" w:right="916" w:firstLine="480"/>
      </w:pPr>
      <w:r>
        <w:t>3</w:t>
      </w:r>
      <w:r>
        <w:rPr>
          <w:spacing w:val="-7"/>
        </w:rPr>
        <w:t xml:space="preserve">、本合同一式 </w:t>
      </w:r>
      <w:r>
        <w:t>XX</w:t>
      </w:r>
      <w:r>
        <w:rPr>
          <w:spacing w:val="-9"/>
        </w:rPr>
        <w:t xml:space="preserve"> 份，自双方签章之日起起效。甲方 </w:t>
      </w:r>
      <w:r>
        <w:t>XX</w:t>
      </w:r>
      <w:r>
        <w:rPr>
          <w:spacing w:val="-7"/>
        </w:rPr>
        <w:t xml:space="preserve"> 份，乙方 </w:t>
      </w:r>
      <w:r>
        <w:t>XX</w:t>
      </w:r>
      <w:r>
        <w:rPr>
          <w:spacing w:val="-5"/>
        </w:rPr>
        <w:t xml:space="preserve"> 份， </w:t>
      </w:r>
      <w:r>
        <w:t>政府采购代理机</w:t>
      </w:r>
    </w:p>
    <w:p>
      <w:pPr>
        <w:spacing w:line="364" w:lineRule="auto"/>
        <w:sectPr>
          <w:pgSz w:w="11850" w:h="16790"/>
          <w:pgMar w:top="1600" w:right="760" w:bottom="1300" w:left="840" w:header="949" w:footer="1119" w:gutter="0"/>
          <w:pgBorders>
            <w:top w:val="none" w:sz="0" w:space="0"/>
            <w:left w:val="none" w:sz="0" w:space="0"/>
            <w:bottom w:val="none" w:sz="0" w:space="0"/>
            <w:right w:val="none" w:sz="0" w:space="0"/>
          </w:pgBorders>
          <w:cols w:space="720" w:num="1"/>
        </w:sectPr>
      </w:pPr>
    </w:p>
    <w:p>
      <w:pPr>
        <w:pStyle w:val="7"/>
        <w:spacing w:before="123" w:line="364" w:lineRule="auto"/>
        <w:ind w:left="1440" w:right="2569"/>
      </w:pPr>
      <w:r>
        <w:t>构 XX 份，同级财政部门备案 XX 份，具有同等法律效力。第十四条 附件</w:t>
      </w:r>
    </w:p>
    <w:p>
      <w:pPr>
        <w:pStyle w:val="7"/>
        <w:spacing w:before="2"/>
        <w:ind w:left="1440"/>
      </w:pPr>
      <w:r>
        <w:t>1、项目竞争性磋商文件</w:t>
      </w:r>
    </w:p>
    <w:p>
      <w:pPr>
        <w:pStyle w:val="7"/>
        <w:spacing w:before="160"/>
        <w:ind w:left="1440"/>
      </w:pPr>
      <w:r>
        <w:t>2、项目修改澄清文件</w:t>
      </w:r>
    </w:p>
    <w:p>
      <w:pPr>
        <w:pStyle w:val="7"/>
        <w:spacing w:before="161"/>
        <w:ind w:left="1440"/>
      </w:pPr>
      <w:r>
        <w:t>3、项目响应文件</w:t>
      </w:r>
    </w:p>
    <w:p>
      <w:pPr>
        <w:pStyle w:val="7"/>
        <w:spacing w:before="160"/>
        <w:ind w:left="1440"/>
      </w:pPr>
      <w:r>
        <w:t>4、成交通知书</w:t>
      </w:r>
    </w:p>
    <w:p>
      <w:pPr>
        <w:pStyle w:val="7"/>
        <w:spacing w:before="161"/>
        <w:ind w:left="1440"/>
      </w:pPr>
      <w:r>
        <w:t>5、其他</w:t>
      </w:r>
    </w:p>
    <w:p>
      <w:pPr>
        <w:pStyle w:val="7"/>
        <w:tabs>
          <w:tab w:val="left" w:pos="6239"/>
        </w:tabs>
        <w:spacing w:before="160"/>
        <w:ind w:left="1440"/>
      </w:pPr>
      <w:r>
        <w:t>甲方： (盖章)</w:t>
      </w:r>
      <w:r>
        <w:tab/>
      </w:r>
      <w:r>
        <w:t>乙方： (盖章)</w:t>
      </w:r>
    </w:p>
    <w:p>
      <w:pPr>
        <w:pStyle w:val="7"/>
        <w:tabs>
          <w:tab w:val="left" w:pos="6239"/>
        </w:tabs>
        <w:spacing w:before="161"/>
        <w:ind w:left="1440"/>
      </w:pPr>
      <w:r>
        <w:t>法定代表人(授权代表)：</w:t>
      </w:r>
      <w:r>
        <w:tab/>
      </w:r>
      <w:r>
        <w:t>法定代表人(授权代表)：</w:t>
      </w:r>
    </w:p>
    <w:p>
      <w:pPr>
        <w:pStyle w:val="7"/>
        <w:tabs>
          <w:tab w:val="left" w:pos="6239"/>
        </w:tabs>
        <w:spacing w:before="160"/>
        <w:ind w:left="1440"/>
      </w:pPr>
      <w:r>
        <w:t>地 址：</w:t>
      </w:r>
      <w:r>
        <w:tab/>
      </w:r>
      <w:r>
        <w:t>地 址：</w:t>
      </w:r>
    </w:p>
    <w:p>
      <w:pPr>
        <w:pStyle w:val="7"/>
        <w:tabs>
          <w:tab w:val="left" w:pos="6239"/>
        </w:tabs>
        <w:spacing w:before="161"/>
        <w:ind w:left="1440"/>
      </w:pPr>
      <w:r>
        <w:t>开户银行：</w:t>
      </w:r>
      <w:r>
        <w:tab/>
      </w:r>
      <w:r>
        <w:t>开户银行：</w:t>
      </w:r>
    </w:p>
    <w:p>
      <w:pPr>
        <w:pStyle w:val="7"/>
        <w:tabs>
          <w:tab w:val="left" w:pos="6239"/>
        </w:tabs>
        <w:spacing w:before="160"/>
        <w:ind w:left="1440"/>
      </w:pPr>
      <w:r>
        <w:t>账号：</w:t>
      </w:r>
      <w:r>
        <w:tab/>
      </w:r>
      <w:r>
        <w:t>账号：</w:t>
      </w:r>
    </w:p>
    <w:p>
      <w:pPr>
        <w:pStyle w:val="7"/>
        <w:tabs>
          <w:tab w:val="left" w:pos="6239"/>
        </w:tabs>
        <w:spacing w:before="161"/>
        <w:ind w:left="1440"/>
      </w:pPr>
      <w:r>
        <w:t>电 话：</w:t>
      </w:r>
      <w:r>
        <w:tab/>
      </w:r>
      <w:r>
        <w:t>电 话：</w:t>
      </w:r>
    </w:p>
    <w:p>
      <w:pPr>
        <w:pStyle w:val="7"/>
        <w:tabs>
          <w:tab w:val="left" w:pos="6239"/>
        </w:tabs>
        <w:spacing w:before="160"/>
        <w:ind w:left="1440"/>
      </w:pPr>
      <w:r>
        <w:t>传 真：</w:t>
      </w:r>
      <w:r>
        <w:tab/>
      </w:r>
      <w:r>
        <w:t>传 真：</w:t>
      </w:r>
    </w:p>
    <w:p>
      <w:pPr>
        <w:pStyle w:val="7"/>
        <w:tabs>
          <w:tab w:val="left" w:pos="6045"/>
        </w:tabs>
        <w:spacing w:before="161"/>
        <w:ind w:left="1440"/>
      </w:pPr>
      <w:r>
        <w:t>签约日期</w:t>
      </w:r>
      <w:r>
        <w:rPr>
          <w:spacing w:val="-25"/>
        </w:rPr>
        <w:t>：XX</w:t>
      </w:r>
      <w:r>
        <w:t xml:space="preserve"> 年 XX 月 XX 日</w:t>
      </w:r>
      <w:r>
        <w:tab/>
      </w:r>
      <w:r>
        <w:t>签约日期</w:t>
      </w:r>
      <w:r>
        <w:rPr>
          <w:spacing w:val="-26"/>
        </w:rPr>
        <w:t>：XX</w:t>
      </w:r>
      <w:r>
        <w:t xml:space="preserve"> 年 XX 月 XX 日</w:t>
      </w:r>
    </w:p>
    <w:p>
      <w:pPr>
        <w:sectPr>
          <w:pgSz w:w="11850" w:h="16790"/>
          <w:pgMar w:top="1600" w:right="760" w:bottom="1300" w:left="840" w:header="949" w:footer="1119" w:gutter="0"/>
          <w:pgBorders>
            <w:top w:val="none" w:sz="0" w:space="0"/>
            <w:left w:val="none" w:sz="0" w:space="0"/>
            <w:bottom w:val="none" w:sz="0" w:space="0"/>
            <w:right w:val="none" w:sz="0" w:space="0"/>
          </w:pgBorders>
          <w:cols w:space="720" w:num="1"/>
        </w:sectPr>
      </w:pPr>
    </w:p>
    <w:p>
      <w:pPr>
        <w:pStyle w:val="6"/>
        <w:spacing w:before="66" w:line="364" w:lineRule="auto"/>
        <w:ind w:left="960" w:right="1096"/>
        <w:jc w:val="both"/>
      </w:pPr>
    </w:p>
    <w:sectPr>
      <w:footerReference r:id="rId14" w:type="default"/>
      <w:type w:val="continuous"/>
      <w:pgSz w:w="11850" w:h="16790"/>
      <w:pgMar w:top="1500" w:right="760" w:bottom="280" w:left="84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3724910</wp:posOffset>
              </wp:positionH>
              <wp:positionV relativeFrom="page">
                <wp:posOffset>9932670</wp:posOffset>
              </wp:positionV>
              <wp:extent cx="109220" cy="1397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10</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3.3pt;margin-top:782.1pt;height:11pt;width:8.6pt;mso-position-horizontal-relative:page;mso-position-vertical-relative:page;z-index:-251656192;mso-width-relative:page;mso-height-relative:page;" filled="f" stroked="f" coordsize="21600,21600" o:gfxdata="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uatMe2gAAAA0BAAAPAAAAAAAAAAEAIAAAACIAAABkcnMvZG93bnJldi54bWxQSwEC&#10;FAAUAAAACACHTuJAO/nDJLkBAABxAwAADgAAAAAAAAABACAAAAApAQAAZHJzL2Uyb0RvYy54bWxQ&#10;SwUGAAAAAAYABgBZAQAAVAU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10</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val="en-US" w:bidi="ar-SA"/>
      </w:rPr>
      <mc:AlternateContent>
        <mc:Choice Requires="wps">
          <w:drawing>
            <wp:anchor distT="0" distB="0" distL="114300" distR="114300" simplePos="0" relativeHeight="251669504" behindDoc="1" locked="0" layoutInCell="1" allowOverlap="1">
              <wp:simplePos x="0" y="0"/>
              <wp:positionH relativeFrom="page">
                <wp:posOffset>3679190</wp:posOffset>
              </wp:positionH>
              <wp:positionV relativeFrom="page">
                <wp:posOffset>9806305</wp:posOffset>
              </wp:positionV>
              <wp:extent cx="167005" cy="139700"/>
              <wp:effectExtent l="0" t="0" r="0" b="0"/>
              <wp:wrapNone/>
              <wp:docPr id="18" name="文本框 1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70</w:t>
                          </w:r>
                          <w:r>
                            <w:fldChar w:fldCharType="end"/>
                          </w:r>
                        </w:p>
                      </w:txbxContent>
                    </wps:txbx>
                    <wps:bodyPr lIns="0" tIns="0" rIns="0" bIns="0" upright="1"/>
                  </wps:wsp>
                </a:graphicData>
              </a:graphic>
            </wp:anchor>
          </w:drawing>
        </mc:Choice>
        <mc:Fallback>
          <w:pict>
            <v:shape id="文本框 11" o:spid="_x0000_s1026" o:spt="202" type="#_x0000_t202" style="position:absolute;left:0pt;margin-left:289.7pt;margin-top:772.15pt;height:11pt;width:13.15pt;mso-position-horizontal-relative:page;mso-position-vertical-relative:page;z-index:-251646976;mso-width-relative:page;mso-height-relative:page;" filled="f" stroked="f" coordsize="21600,21600" o:gfxdata="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CUUPX2wAAAA0BAAAPAAAAAAAAAAEAIAAAACIAAABkcnMvZG93bnJldi54bWxQSwEC&#10;FAAUAAAACACHTuJAWQSdsbgBAABzAwAADgAAAAAAAAABACAAAAAqAQAAZHJzL2Uyb0RvYy54bWxQ&#10;SwUGAAAAAAYABgBZAQAAVAU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70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3695700</wp:posOffset>
              </wp:positionH>
              <wp:positionV relativeFrom="page">
                <wp:posOffset>9932670</wp:posOffset>
              </wp:positionV>
              <wp:extent cx="167005" cy="139700"/>
              <wp:effectExtent l="0" t="0" r="0" b="0"/>
              <wp:wrapNone/>
              <wp:docPr id="10" name="文本框 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19</w:t>
                          </w:r>
                          <w:r>
                            <w:fldChar w:fldCharType="end"/>
                          </w:r>
                        </w:p>
                      </w:txbxContent>
                    </wps:txbx>
                    <wps:bodyPr lIns="0" tIns="0" rIns="0" bIns="0" upright="1"/>
                  </wps:wsp>
                </a:graphicData>
              </a:graphic>
            </wp:anchor>
          </w:drawing>
        </mc:Choice>
        <mc:Fallback>
          <w:pict>
            <v:shape id="文本框 3" o:spid="_x0000_s1026" o:spt="202" type="#_x0000_t202" style="position:absolute;left:0pt;margin-left:291pt;margin-top:782.1pt;height:11pt;width:13.15pt;mso-position-horizontal-relative:page;mso-position-vertical-relative:page;z-index:-251655168;mso-width-relative:page;mso-height-relative:page;" filled="f" stroked="f" coordsize="21600,21600" o:gfxdata="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4jh7TaAAAADQEAAA8AAAAAAAAAAQAgAAAAIgAAAGRycy9kb3ducmV2LnhtbFBLAQIU&#10;ABQAAAAIAIdO4kBaRN3LuAEAAHIDAAAOAAAAAAAAAAEAIAAAACkBAABkcnMvZTJvRG9jLnhtbFBL&#10;BQYAAAAABgAGAFkBAABTBQ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19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val="en-US" w:bidi="ar-SA"/>
      </w:rPr>
      <mc:AlternateContent>
        <mc:Choice Requires="wps">
          <w:drawing>
            <wp:anchor distT="0" distB="0" distL="114300" distR="114300" simplePos="0" relativeHeight="251662336" behindDoc="1" locked="0" layoutInCell="1" allowOverlap="1">
              <wp:simplePos x="0" y="0"/>
              <wp:positionH relativeFrom="page">
                <wp:posOffset>3695700</wp:posOffset>
              </wp:positionH>
              <wp:positionV relativeFrom="page">
                <wp:posOffset>9932670</wp:posOffset>
              </wp:positionV>
              <wp:extent cx="167005" cy="139700"/>
              <wp:effectExtent l="0" t="0" r="0" b="0"/>
              <wp:wrapNone/>
              <wp:docPr id="11" name="文本框 4"/>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29</w:t>
                          </w:r>
                          <w:r>
                            <w:fldChar w:fldCharType="end"/>
                          </w:r>
                        </w:p>
                      </w:txbxContent>
                    </wps:txbx>
                    <wps:bodyPr lIns="0" tIns="0" rIns="0" bIns="0" upright="1"/>
                  </wps:wsp>
                </a:graphicData>
              </a:graphic>
            </wp:anchor>
          </w:drawing>
        </mc:Choice>
        <mc:Fallback>
          <w:pict>
            <v:shape id="文本框 4" o:spid="_x0000_s1026" o:spt="202" type="#_x0000_t202" style="position:absolute;left:0pt;margin-left:291pt;margin-top:782.1pt;height:11pt;width:13.15pt;mso-position-horizontal-relative:page;mso-position-vertical-relative:page;z-index:-251654144;mso-width-relative:page;mso-height-relative:page;" filled="f" stroked="f" coordsize="21600,21600" o:gfxdata="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4jh7TaAAAADQEAAA8AAAAAAAAAAQAgAAAAIgAAAGRycy9kb3ducmV2LnhtbFBLAQIU&#10;ABQAAAAIAIdO4kCKBXlcuAEAAHIDAAAOAAAAAAAAAAEAIAAAACkBAABkcnMvZTJvRG9jLnhtbFBL&#10;BQYAAAAABgAGAFkBAABTBQ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29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3695700</wp:posOffset>
              </wp:positionH>
              <wp:positionV relativeFrom="page">
                <wp:posOffset>9932670</wp:posOffset>
              </wp:positionV>
              <wp:extent cx="167005" cy="1397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39</w:t>
                          </w:r>
                          <w:r>
                            <w:fldChar w:fldCharType="end"/>
                          </w:r>
                        </w:p>
                      </w:txbxContent>
                    </wps:txbx>
                    <wps:bodyPr lIns="0" tIns="0" rIns="0" bIns="0" upright="1"/>
                  </wps:wsp>
                </a:graphicData>
              </a:graphic>
            </wp:anchor>
          </w:drawing>
        </mc:Choice>
        <mc:Fallback>
          <w:pict>
            <v:shape id="文本框 5" o:spid="_x0000_s1026" o:spt="202" type="#_x0000_t202" style="position:absolute;left:0pt;margin-left:291pt;margin-top:782.1pt;height:11pt;width:13.15pt;mso-position-horizontal-relative:page;mso-position-vertical-relative:page;z-index:-251657216;mso-width-relative:page;mso-height-relative:page;" filled="f" stroked="f" coordsize="21600,21600" o:gfxdata="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I4e02gAAAA0BAAAPAAAAAAAAAAEAIAAAACIAAABkcnMvZG93bnJldi54bWxQSwEC&#10;FAAUAAAACACHTuJAFdDVALkBAABxAwAADgAAAAAAAAABACAAAAApAQAAZHJzL2Uyb0RvYy54bWxQ&#10;SwUGAAAAAAYABgBZAQAAVAU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39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val="en-US" w:bidi="ar-SA"/>
      </w:rPr>
      <mc:AlternateContent>
        <mc:Choice Requires="wps">
          <w:drawing>
            <wp:anchor distT="0" distB="0" distL="114300" distR="114300" simplePos="0" relativeHeight="251663360" behindDoc="1" locked="0" layoutInCell="1" allowOverlap="1">
              <wp:simplePos x="0" y="0"/>
              <wp:positionH relativeFrom="page">
                <wp:posOffset>3695700</wp:posOffset>
              </wp:positionH>
              <wp:positionV relativeFrom="page">
                <wp:posOffset>9932670</wp:posOffset>
              </wp:positionV>
              <wp:extent cx="167005" cy="139700"/>
              <wp:effectExtent l="0" t="0" r="0" b="0"/>
              <wp:wrapNone/>
              <wp:docPr id="12" name="文本框 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39</w:t>
                          </w:r>
                          <w:r>
                            <w:fldChar w:fldCharType="end"/>
                          </w:r>
                        </w:p>
                      </w:txbxContent>
                    </wps:txbx>
                    <wps:bodyPr lIns="0" tIns="0" rIns="0" bIns="0" upright="1"/>
                  </wps:wsp>
                </a:graphicData>
              </a:graphic>
            </wp:anchor>
          </w:drawing>
        </mc:Choice>
        <mc:Fallback>
          <w:pict>
            <v:shape id="文本框 5" o:spid="_x0000_s1026" o:spt="202" type="#_x0000_t202" style="position:absolute;left:0pt;margin-left:291pt;margin-top:782.1pt;height:11pt;width:13.15pt;mso-position-horizontal-relative:page;mso-position-vertical-relative:page;z-index:-251653120;mso-width-relative:page;mso-height-relative:page;" filled="f" stroked="f" coordsize="21600,21600" o:gfxdata="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4jh7TaAAAADQEAAA8AAAAAAAAAAQAgAAAAIgAAAGRycy9kb3ducmV2LnhtbFBLAQIU&#10;ABQAAAAIAIdO4kAIfCbHuAEAAHIDAAAOAAAAAAAAAAEAIAAAACkBAABkcnMvZTJvRG9jLnhtbFBL&#10;BQYAAAAABgAGAFkBAABTBQ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39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val="en-US" w:bidi="ar-SA"/>
      </w:rPr>
      <mc:AlternateContent>
        <mc:Choice Requires="wps">
          <w:drawing>
            <wp:anchor distT="0" distB="0" distL="114300" distR="114300" simplePos="0" relativeHeight="251664384" behindDoc="1" locked="0" layoutInCell="1" allowOverlap="1">
              <wp:simplePos x="0" y="0"/>
              <wp:positionH relativeFrom="page">
                <wp:posOffset>3695700</wp:posOffset>
              </wp:positionH>
              <wp:positionV relativeFrom="page">
                <wp:posOffset>9932670</wp:posOffset>
              </wp:positionV>
              <wp:extent cx="167005" cy="139700"/>
              <wp:effectExtent l="0" t="0" r="0" b="0"/>
              <wp:wrapNone/>
              <wp:docPr id="13" name="文本框 6"/>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49</w:t>
                          </w:r>
                          <w:r>
                            <w:fldChar w:fldCharType="end"/>
                          </w:r>
                        </w:p>
                      </w:txbxContent>
                    </wps:txbx>
                    <wps:bodyPr lIns="0" tIns="0" rIns="0" bIns="0" upright="1"/>
                  </wps:wsp>
                </a:graphicData>
              </a:graphic>
            </wp:anchor>
          </w:drawing>
        </mc:Choice>
        <mc:Fallback>
          <w:pict>
            <v:shape id="文本框 6" o:spid="_x0000_s1026" o:spt="202" type="#_x0000_t202" style="position:absolute;left:0pt;margin-left:291pt;margin-top:782.1pt;height:11pt;width:13.15pt;mso-position-horizontal-relative:page;mso-position-vertical-relative:page;z-index:-251652096;mso-width-relative:page;mso-height-relative:page;" filled="f" stroked="f" coordsize="21600,21600" o:gfxdata="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4jh7TaAAAADQEAAA8AAAAAAAAAAQAgAAAAIgAAAGRycy9kb3ducmV2LnhtbFBLAQIU&#10;ABQAAAAIAIdO4kAh4FvBuAEAAHIDAAAOAAAAAAAAAAEAIAAAACkBAABkcnMvZTJvRG9jLnhtbFBL&#10;BQYAAAAABgAGAFkBAABTBQ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val="en-US" w:bidi="ar-SA"/>
      </w:rPr>
      <mc:AlternateContent>
        <mc:Choice Requires="wps">
          <w:drawing>
            <wp:anchor distT="0" distB="0" distL="114300" distR="114300" simplePos="0" relativeHeight="251665408" behindDoc="1" locked="0" layoutInCell="1" allowOverlap="1">
              <wp:simplePos x="0" y="0"/>
              <wp:positionH relativeFrom="page">
                <wp:posOffset>3695700</wp:posOffset>
              </wp:positionH>
              <wp:positionV relativeFrom="page">
                <wp:posOffset>9932670</wp:posOffset>
              </wp:positionV>
              <wp:extent cx="167005" cy="139700"/>
              <wp:effectExtent l="0" t="0" r="0" b="0"/>
              <wp:wrapNone/>
              <wp:docPr id="14" name="文本框 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51</w:t>
                          </w:r>
                          <w:r>
                            <w:fldChar w:fldCharType="end"/>
                          </w:r>
                        </w:p>
                      </w:txbxContent>
                    </wps:txbx>
                    <wps:bodyPr lIns="0" tIns="0" rIns="0" bIns="0" upright="1"/>
                  </wps:wsp>
                </a:graphicData>
              </a:graphic>
            </wp:anchor>
          </w:drawing>
        </mc:Choice>
        <mc:Fallback>
          <w:pict>
            <v:shape id="文本框 7" o:spid="_x0000_s1026" o:spt="202" type="#_x0000_t202" style="position:absolute;left:0pt;margin-left:291pt;margin-top:782.1pt;height:11pt;width:13.15pt;mso-position-horizontal-relative:page;mso-position-vertical-relative:page;z-index:-251651072;mso-width-relative:page;mso-height-relative:page;" filled="f" stroked="f" coordsize="21600,21600" o:gfxdata="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4jh7TaAAAADQEAAA8AAAAAAAAAAQAgAAAAIgAAAGRycy9kb3ducmV2LnhtbFBLAQIU&#10;ABQAAAAIAIdO4kBNiekquAEAAHIDAAAOAAAAAAAAAAEAIAAAACkBAABkcnMvZTJvRG9jLnhtbFBL&#10;BQYAAAAABgAGAFkBAABTBQ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51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val="en-US" w:bidi="ar-SA"/>
      </w:rPr>
      <mc:AlternateContent>
        <mc:Choice Requires="wps">
          <w:drawing>
            <wp:anchor distT="0" distB="0" distL="114300" distR="114300" simplePos="0" relativeHeight="251667456" behindDoc="1" locked="0" layoutInCell="1" allowOverlap="1">
              <wp:simplePos x="0" y="0"/>
              <wp:positionH relativeFrom="page">
                <wp:posOffset>3679190</wp:posOffset>
              </wp:positionH>
              <wp:positionV relativeFrom="page">
                <wp:posOffset>9806305</wp:posOffset>
              </wp:positionV>
              <wp:extent cx="167005" cy="139700"/>
              <wp:effectExtent l="0" t="0" r="0" b="0"/>
              <wp:wrapNone/>
              <wp:docPr id="16" name="文本框 9"/>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59</w:t>
                          </w:r>
                          <w:r>
                            <w:fldChar w:fldCharType="end"/>
                          </w:r>
                        </w:p>
                      </w:txbxContent>
                    </wps:txbx>
                    <wps:bodyPr lIns="0" tIns="0" rIns="0" bIns="0" upright="1"/>
                  </wps:wsp>
                </a:graphicData>
              </a:graphic>
            </wp:anchor>
          </w:drawing>
        </mc:Choice>
        <mc:Fallback>
          <w:pict>
            <v:shape id="文本框 9" o:spid="_x0000_s1026" o:spt="202" type="#_x0000_t202" style="position:absolute;left:0pt;margin-left:289.7pt;margin-top:772.15pt;height:11pt;width:13.15pt;mso-position-horizontal-relative:page;mso-position-vertical-relative:page;z-index:-251649024;mso-width-relative:page;mso-height-relative:page;" filled="f" stroked="f" coordsize="21600,21600" o:gfxdata="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CUUPX2wAAAA0BAAAPAAAAAAAAAAEAIAAAACIAAABkcnMvZG93bnJldi54bWxQSwEC&#10;FAAUAAAACACHTuJArAzQ3rgBAAByAwAADgAAAAAAAAABACAAAAAqAQAAZHJzL2Uyb0RvYy54bWxQ&#10;SwUGAAAAAAYABgBZAQAAVAU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59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val="en-US" w:bidi="ar-SA"/>
      </w:rPr>
      <mc:AlternateContent>
        <mc:Choice Requires="wps">
          <w:drawing>
            <wp:anchor distT="0" distB="0" distL="114300" distR="114300" simplePos="0" relativeHeight="251668480" behindDoc="1" locked="0" layoutInCell="1" allowOverlap="1">
              <wp:simplePos x="0" y="0"/>
              <wp:positionH relativeFrom="page">
                <wp:posOffset>3679190</wp:posOffset>
              </wp:positionH>
              <wp:positionV relativeFrom="page">
                <wp:posOffset>9806305</wp:posOffset>
              </wp:positionV>
              <wp:extent cx="167005" cy="139700"/>
              <wp:effectExtent l="0" t="0" r="0" b="0"/>
              <wp:wrapNone/>
              <wp:docPr id="17" name="文本框 10"/>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63</w:t>
                          </w:r>
                          <w:r>
                            <w:fldChar w:fldCharType="end"/>
                          </w:r>
                        </w:p>
                      </w:txbxContent>
                    </wps:txbx>
                    <wps:bodyPr lIns="0" tIns="0" rIns="0" bIns="0" upright="1"/>
                  </wps:wsp>
                </a:graphicData>
              </a:graphic>
            </wp:anchor>
          </w:drawing>
        </mc:Choice>
        <mc:Fallback>
          <w:pict>
            <v:shape id="文本框 10" o:spid="_x0000_s1026" o:spt="202" type="#_x0000_t202" style="position:absolute;left:0pt;margin-left:289.7pt;margin-top:772.15pt;height:11pt;width:13.15pt;mso-position-horizontal-relative:page;mso-position-vertical-relative:page;z-index:-251648000;mso-width-relative:page;mso-height-relative:page;" filled="f" stroked="f" coordsize="21600,21600" o:gfxdata="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CUUPX2wAAAA0BAAAPAAAAAAAAAAEAIAAAACIAAABkcnMvZG93bnJldi54bWxQSwEC&#10;FAAUAAAACACHTuJAOoy8b7gBAABzAwAADgAAAAAAAAABACAAAAAqAQAAZHJzL2Uyb0RvYy54bWxQ&#10;SwUGAAAAAAYABgBZAQAAVAU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4702175</wp:posOffset>
              </wp:positionH>
              <wp:positionV relativeFrom="page">
                <wp:posOffset>835660</wp:posOffset>
              </wp:positionV>
              <wp:extent cx="1720215" cy="203835"/>
              <wp:effectExtent l="0" t="0" r="0" b="0"/>
              <wp:wrapNone/>
              <wp:docPr id="8" name="文本框 1"/>
              <wp:cNvGraphicFramePr/>
              <a:graphic xmlns:a="http://schemas.openxmlformats.org/drawingml/2006/main">
                <a:graphicData uri="http://schemas.microsoft.com/office/word/2010/wordprocessingShape">
                  <wps:wsp>
                    <wps:cNvSpPr txBox="1"/>
                    <wps:spPr>
                      <a:xfrm>
                        <a:off x="0" y="0"/>
                        <a:ext cx="1720215" cy="203835"/>
                      </a:xfrm>
                      <a:prstGeom prst="rect">
                        <a:avLst/>
                      </a:prstGeom>
                      <a:noFill/>
                      <a:ln>
                        <a:noFill/>
                      </a:ln>
                    </wps:spPr>
                    <wps:txbx>
                      <w:txbxContent>
                        <w:p/>
                      </w:txbxContent>
                    </wps:txbx>
                    <wps:bodyPr lIns="0" tIns="0" rIns="0" bIns="0" upright="1"/>
                  </wps:wsp>
                </a:graphicData>
              </a:graphic>
            </wp:anchor>
          </w:drawing>
        </mc:Choice>
        <mc:Fallback>
          <w:pict>
            <v:shape id="文本框 1" o:spid="_x0000_s1026" o:spt="202" type="#_x0000_t202" style="position:absolute;left:0pt;margin-left:370.25pt;margin-top:65.8pt;height:16.05pt;width:135.45pt;mso-position-horizontal-relative:page;mso-position-vertical-relative:page;z-index:-251657216;mso-width-relative:page;mso-height-relative:page;" filled="f" stroked="f" coordsize="21600,21600" o:gfxdata="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207NztoAAAAMAQAADwAAAAAAAAABACAAAAAiAAAAZHJzL2Rvd25yZXYueG1sUEsB&#10;AhQAFAAAAAgAh07iQPrJ31y6AQAAcgMAAA4AAAAAAAAAAQAgAAAAKQEAAGRycy9lMm9Eb2MueG1s&#10;UEsFBgAAAAAGAAYAWQEAAFUFAAAAAA==&#10;">
              <v:fill on="f" focussize="0,0"/>
              <v:stroke on="f"/>
              <v:imagedata o:title=""/>
              <o:lock v:ext="edit" aspectratio="f"/>
              <v:textbox inset="0mm,0mm,0mm,0mm">
                <w:txbxContent>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val="en-US" w:bidi="ar-SA"/>
      </w:rPr>
      <mc:AlternateContent>
        <mc:Choice Requires="wps">
          <w:drawing>
            <wp:anchor distT="0" distB="0" distL="114300" distR="114300" simplePos="0" relativeHeight="251666432" behindDoc="1" locked="0" layoutInCell="1" allowOverlap="1">
              <wp:simplePos x="0" y="0"/>
              <wp:positionH relativeFrom="page">
                <wp:posOffset>4607560</wp:posOffset>
              </wp:positionH>
              <wp:positionV relativeFrom="page">
                <wp:posOffset>835660</wp:posOffset>
              </wp:positionV>
              <wp:extent cx="1720215" cy="203835"/>
              <wp:effectExtent l="0" t="0" r="0" b="0"/>
              <wp:wrapNone/>
              <wp:docPr id="15" name="文本框 8"/>
              <wp:cNvGraphicFramePr/>
              <a:graphic xmlns:a="http://schemas.openxmlformats.org/drawingml/2006/main">
                <a:graphicData uri="http://schemas.microsoft.com/office/word/2010/wordprocessingShape">
                  <wps:wsp>
                    <wps:cNvSpPr txBox="1"/>
                    <wps:spPr>
                      <a:xfrm>
                        <a:off x="0" y="0"/>
                        <a:ext cx="1720215" cy="203835"/>
                      </a:xfrm>
                      <a:prstGeom prst="rect">
                        <a:avLst/>
                      </a:prstGeom>
                      <a:noFill/>
                      <a:ln>
                        <a:noFill/>
                      </a:ln>
                    </wps:spPr>
                    <wps:txbx>
                      <w:txbxContent>
                        <w:p>
                          <w:pPr>
                            <w:spacing w:line="321" w:lineRule="exact"/>
                            <w:ind w:left="20"/>
                            <w:rPr>
                              <w:b/>
                              <w:sz w:val="28"/>
                            </w:rPr>
                          </w:pPr>
                        </w:p>
                      </w:txbxContent>
                    </wps:txbx>
                    <wps:bodyPr lIns="0" tIns="0" rIns="0" bIns="0" upright="1"/>
                  </wps:wsp>
                </a:graphicData>
              </a:graphic>
            </wp:anchor>
          </w:drawing>
        </mc:Choice>
        <mc:Fallback>
          <w:pict>
            <v:shape id="文本框 8" o:spid="_x0000_s1026" o:spt="202" type="#_x0000_t202" style="position:absolute;left:0pt;margin-left:362.8pt;margin-top:65.8pt;height:16.05pt;width:135.45pt;mso-position-horizontal-relative:page;mso-position-vertical-relative:page;z-index:-251650048;mso-width-relative:page;mso-height-relative:page;" filled="f" stroked="f" coordsize="21600,21600" o:gfxdata="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l0zRLZAAAACwEAAA8AAAAAAAAAAQAgAAAAIgAAAGRycy9kb3ducmV2LnhtbFBLAQIU&#10;ABQAAAAIAIdO4kDr53EsuQEAAHMDAAAOAAAAAAAAAAEAIAAAACgBAABkcnMvZTJvRG9jLnhtbFBL&#10;BQYAAAAABgAGAFkBAABTBQAAAAA=&#10;">
              <v:fill on="f" focussize="0,0"/>
              <v:stroke on="f"/>
              <v:imagedata o:title=""/>
              <o:lock v:ext="edit" aspectratio="f"/>
              <v:textbox inset="0mm,0mm,0mm,0mm">
                <w:txbxContent>
                  <w:p>
                    <w:pPr>
                      <w:spacing w:line="321" w:lineRule="exact"/>
                      <w:ind w:left="20"/>
                      <w:rPr>
                        <w:b/>
                        <w:sz w:val="2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tentative="0">
      <w:start w:val="1"/>
      <w:numFmt w:val="decimal"/>
      <w:lvlText w:val="（%1）"/>
      <w:lvlJc w:val="left"/>
      <w:pPr>
        <w:ind w:left="204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861" w:hanging="601"/>
      </w:pPr>
      <w:rPr>
        <w:rFonts w:hint="default"/>
        <w:lang w:val="zh-CN" w:eastAsia="zh-CN" w:bidi="zh-CN"/>
      </w:rPr>
    </w:lvl>
    <w:lvl w:ilvl="2" w:tentative="0">
      <w:start w:val="0"/>
      <w:numFmt w:val="bullet"/>
      <w:lvlText w:val="•"/>
      <w:lvlJc w:val="left"/>
      <w:pPr>
        <w:ind w:left="3682" w:hanging="601"/>
      </w:pPr>
      <w:rPr>
        <w:rFonts w:hint="default"/>
        <w:lang w:val="zh-CN" w:eastAsia="zh-CN" w:bidi="zh-CN"/>
      </w:rPr>
    </w:lvl>
    <w:lvl w:ilvl="3" w:tentative="0">
      <w:start w:val="0"/>
      <w:numFmt w:val="bullet"/>
      <w:lvlText w:val="•"/>
      <w:lvlJc w:val="left"/>
      <w:pPr>
        <w:ind w:left="4503" w:hanging="601"/>
      </w:pPr>
      <w:rPr>
        <w:rFonts w:hint="default"/>
        <w:lang w:val="zh-CN" w:eastAsia="zh-CN" w:bidi="zh-CN"/>
      </w:rPr>
    </w:lvl>
    <w:lvl w:ilvl="4" w:tentative="0">
      <w:start w:val="0"/>
      <w:numFmt w:val="bullet"/>
      <w:lvlText w:val="•"/>
      <w:lvlJc w:val="left"/>
      <w:pPr>
        <w:ind w:left="5324" w:hanging="601"/>
      </w:pPr>
      <w:rPr>
        <w:rFonts w:hint="default"/>
        <w:lang w:val="zh-CN" w:eastAsia="zh-CN" w:bidi="zh-CN"/>
      </w:rPr>
    </w:lvl>
    <w:lvl w:ilvl="5" w:tentative="0">
      <w:start w:val="0"/>
      <w:numFmt w:val="bullet"/>
      <w:lvlText w:val="•"/>
      <w:lvlJc w:val="left"/>
      <w:pPr>
        <w:ind w:left="6145" w:hanging="601"/>
      </w:pPr>
      <w:rPr>
        <w:rFonts w:hint="default"/>
        <w:lang w:val="zh-CN" w:eastAsia="zh-CN" w:bidi="zh-CN"/>
      </w:rPr>
    </w:lvl>
    <w:lvl w:ilvl="6" w:tentative="0">
      <w:start w:val="0"/>
      <w:numFmt w:val="bullet"/>
      <w:lvlText w:val="•"/>
      <w:lvlJc w:val="left"/>
      <w:pPr>
        <w:ind w:left="6966" w:hanging="601"/>
      </w:pPr>
      <w:rPr>
        <w:rFonts w:hint="default"/>
        <w:lang w:val="zh-CN" w:eastAsia="zh-CN" w:bidi="zh-CN"/>
      </w:rPr>
    </w:lvl>
    <w:lvl w:ilvl="7" w:tentative="0">
      <w:start w:val="0"/>
      <w:numFmt w:val="bullet"/>
      <w:lvlText w:val="•"/>
      <w:lvlJc w:val="left"/>
      <w:pPr>
        <w:ind w:left="7787" w:hanging="601"/>
      </w:pPr>
      <w:rPr>
        <w:rFonts w:hint="default"/>
        <w:lang w:val="zh-CN" w:eastAsia="zh-CN" w:bidi="zh-CN"/>
      </w:rPr>
    </w:lvl>
    <w:lvl w:ilvl="8" w:tentative="0">
      <w:start w:val="0"/>
      <w:numFmt w:val="bullet"/>
      <w:lvlText w:val="•"/>
      <w:lvlJc w:val="left"/>
      <w:pPr>
        <w:ind w:left="8608" w:hanging="601"/>
      </w:pPr>
      <w:rPr>
        <w:rFonts w:hint="default"/>
        <w:lang w:val="zh-CN" w:eastAsia="zh-CN" w:bidi="zh-CN"/>
      </w:rPr>
    </w:lvl>
  </w:abstractNum>
  <w:abstractNum w:abstractNumId="1">
    <w:nsid w:val="9239341B"/>
    <w:multiLevelType w:val="multilevel"/>
    <w:tmpl w:val="9239341B"/>
    <w:lvl w:ilvl="0" w:tentative="0">
      <w:start w:val="1"/>
      <w:numFmt w:val="decimal"/>
      <w:lvlText w:val="%1."/>
      <w:lvlJc w:val="left"/>
      <w:pPr>
        <w:ind w:left="1323" w:hanging="244"/>
      </w:pPr>
      <w:rPr>
        <w:rFonts w:hint="default" w:ascii="宋体" w:hAnsi="宋体" w:eastAsia="宋体" w:cs="宋体"/>
        <w:b/>
        <w:bCs/>
        <w:spacing w:val="-3"/>
        <w:w w:val="99"/>
        <w:sz w:val="22"/>
        <w:szCs w:val="22"/>
        <w:lang w:val="zh-CN" w:eastAsia="zh-CN" w:bidi="zh-CN"/>
      </w:rPr>
    </w:lvl>
    <w:lvl w:ilvl="1" w:tentative="0">
      <w:start w:val="1"/>
      <w:numFmt w:val="decimal"/>
      <w:lvlText w:val="%1.%2"/>
      <w:lvlJc w:val="left"/>
      <w:pPr>
        <w:ind w:left="2040" w:hanging="480"/>
      </w:pPr>
      <w:rPr>
        <w:rFonts w:hint="default" w:ascii="宋体" w:hAnsi="宋体" w:eastAsia="宋体" w:cs="宋体"/>
        <w:w w:val="100"/>
        <w:sz w:val="24"/>
        <w:szCs w:val="24"/>
        <w:lang w:val="zh-CN" w:eastAsia="zh-CN" w:bidi="zh-CN"/>
      </w:rPr>
    </w:lvl>
    <w:lvl w:ilvl="2" w:tentative="0">
      <w:start w:val="0"/>
      <w:numFmt w:val="bullet"/>
      <w:lvlText w:val="•"/>
      <w:lvlJc w:val="left"/>
      <w:pPr>
        <w:ind w:left="1980" w:hanging="480"/>
      </w:pPr>
      <w:rPr>
        <w:rFonts w:hint="default"/>
        <w:lang w:val="zh-CN" w:eastAsia="zh-CN" w:bidi="zh-CN"/>
      </w:rPr>
    </w:lvl>
    <w:lvl w:ilvl="3" w:tentative="0">
      <w:start w:val="0"/>
      <w:numFmt w:val="bullet"/>
      <w:lvlText w:val="•"/>
      <w:lvlJc w:val="left"/>
      <w:pPr>
        <w:ind w:left="2040" w:hanging="480"/>
      </w:pPr>
      <w:rPr>
        <w:rFonts w:hint="default"/>
        <w:lang w:val="zh-CN" w:eastAsia="zh-CN" w:bidi="zh-CN"/>
      </w:rPr>
    </w:lvl>
    <w:lvl w:ilvl="4" w:tentative="0">
      <w:start w:val="0"/>
      <w:numFmt w:val="bullet"/>
      <w:lvlText w:val="•"/>
      <w:lvlJc w:val="left"/>
      <w:pPr>
        <w:ind w:left="3252" w:hanging="480"/>
      </w:pPr>
      <w:rPr>
        <w:rFonts w:hint="default"/>
        <w:lang w:val="zh-CN" w:eastAsia="zh-CN" w:bidi="zh-CN"/>
      </w:rPr>
    </w:lvl>
    <w:lvl w:ilvl="5" w:tentative="0">
      <w:start w:val="0"/>
      <w:numFmt w:val="bullet"/>
      <w:lvlText w:val="•"/>
      <w:lvlJc w:val="left"/>
      <w:pPr>
        <w:ind w:left="4464" w:hanging="480"/>
      </w:pPr>
      <w:rPr>
        <w:rFonts w:hint="default"/>
        <w:lang w:val="zh-CN" w:eastAsia="zh-CN" w:bidi="zh-CN"/>
      </w:rPr>
    </w:lvl>
    <w:lvl w:ilvl="6" w:tentative="0">
      <w:start w:val="0"/>
      <w:numFmt w:val="bullet"/>
      <w:lvlText w:val="•"/>
      <w:lvlJc w:val="left"/>
      <w:pPr>
        <w:ind w:left="5676" w:hanging="480"/>
      </w:pPr>
      <w:rPr>
        <w:rFonts w:hint="default"/>
        <w:lang w:val="zh-CN" w:eastAsia="zh-CN" w:bidi="zh-CN"/>
      </w:rPr>
    </w:lvl>
    <w:lvl w:ilvl="7" w:tentative="0">
      <w:start w:val="0"/>
      <w:numFmt w:val="bullet"/>
      <w:lvlText w:val="•"/>
      <w:lvlJc w:val="left"/>
      <w:pPr>
        <w:ind w:left="6889" w:hanging="480"/>
      </w:pPr>
      <w:rPr>
        <w:rFonts w:hint="default"/>
        <w:lang w:val="zh-CN" w:eastAsia="zh-CN" w:bidi="zh-CN"/>
      </w:rPr>
    </w:lvl>
    <w:lvl w:ilvl="8" w:tentative="0">
      <w:start w:val="0"/>
      <w:numFmt w:val="bullet"/>
      <w:lvlText w:val="•"/>
      <w:lvlJc w:val="left"/>
      <w:pPr>
        <w:ind w:left="8101" w:hanging="480"/>
      </w:pPr>
      <w:rPr>
        <w:rFonts w:hint="default"/>
        <w:lang w:val="zh-CN" w:eastAsia="zh-CN" w:bidi="zh-CN"/>
      </w:rPr>
    </w:lvl>
  </w:abstractNum>
  <w:abstractNum w:abstractNumId="2">
    <w:nsid w:val="9288B902"/>
    <w:multiLevelType w:val="multilevel"/>
    <w:tmpl w:val="9288B902"/>
    <w:lvl w:ilvl="0" w:tentative="0">
      <w:start w:val="1"/>
      <w:numFmt w:val="decimal"/>
      <w:lvlText w:val="（%1）"/>
      <w:lvlJc w:val="left"/>
      <w:pPr>
        <w:ind w:left="204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861" w:hanging="601"/>
      </w:pPr>
      <w:rPr>
        <w:rFonts w:hint="default"/>
        <w:lang w:val="zh-CN" w:eastAsia="zh-CN" w:bidi="zh-CN"/>
      </w:rPr>
    </w:lvl>
    <w:lvl w:ilvl="2" w:tentative="0">
      <w:start w:val="0"/>
      <w:numFmt w:val="bullet"/>
      <w:lvlText w:val="•"/>
      <w:lvlJc w:val="left"/>
      <w:pPr>
        <w:ind w:left="3682" w:hanging="601"/>
      </w:pPr>
      <w:rPr>
        <w:rFonts w:hint="default"/>
        <w:lang w:val="zh-CN" w:eastAsia="zh-CN" w:bidi="zh-CN"/>
      </w:rPr>
    </w:lvl>
    <w:lvl w:ilvl="3" w:tentative="0">
      <w:start w:val="0"/>
      <w:numFmt w:val="bullet"/>
      <w:lvlText w:val="•"/>
      <w:lvlJc w:val="left"/>
      <w:pPr>
        <w:ind w:left="4503" w:hanging="601"/>
      </w:pPr>
      <w:rPr>
        <w:rFonts w:hint="default"/>
        <w:lang w:val="zh-CN" w:eastAsia="zh-CN" w:bidi="zh-CN"/>
      </w:rPr>
    </w:lvl>
    <w:lvl w:ilvl="4" w:tentative="0">
      <w:start w:val="0"/>
      <w:numFmt w:val="bullet"/>
      <w:lvlText w:val="•"/>
      <w:lvlJc w:val="left"/>
      <w:pPr>
        <w:ind w:left="5324" w:hanging="601"/>
      </w:pPr>
      <w:rPr>
        <w:rFonts w:hint="default"/>
        <w:lang w:val="zh-CN" w:eastAsia="zh-CN" w:bidi="zh-CN"/>
      </w:rPr>
    </w:lvl>
    <w:lvl w:ilvl="5" w:tentative="0">
      <w:start w:val="0"/>
      <w:numFmt w:val="bullet"/>
      <w:lvlText w:val="•"/>
      <w:lvlJc w:val="left"/>
      <w:pPr>
        <w:ind w:left="6145" w:hanging="601"/>
      </w:pPr>
      <w:rPr>
        <w:rFonts w:hint="default"/>
        <w:lang w:val="zh-CN" w:eastAsia="zh-CN" w:bidi="zh-CN"/>
      </w:rPr>
    </w:lvl>
    <w:lvl w:ilvl="6" w:tentative="0">
      <w:start w:val="0"/>
      <w:numFmt w:val="bullet"/>
      <w:lvlText w:val="•"/>
      <w:lvlJc w:val="left"/>
      <w:pPr>
        <w:ind w:left="6966" w:hanging="601"/>
      </w:pPr>
      <w:rPr>
        <w:rFonts w:hint="default"/>
        <w:lang w:val="zh-CN" w:eastAsia="zh-CN" w:bidi="zh-CN"/>
      </w:rPr>
    </w:lvl>
    <w:lvl w:ilvl="7" w:tentative="0">
      <w:start w:val="0"/>
      <w:numFmt w:val="bullet"/>
      <w:lvlText w:val="•"/>
      <w:lvlJc w:val="left"/>
      <w:pPr>
        <w:ind w:left="7787" w:hanging="601"/>
      </w:pPr>
      <w:rPr>
        <w:rFonts w:hint="default"/>
        <w:lang w:val="zh-CN" w:eastAsia="zh-CN" w:bidi="zh-CN"/>
      </w:rPr>
    </w:lvl>
    <w:lvl w:ilvl="8" w:tentative="0">
      <w:start w:val="0"/>
      <w:numFmt w:val="bullet"/>
      <w:lvlText w:val="•"/>
      <w:lvlJc w:val="left"/>
      <w:pPr>
        <w:ind w:left="8608" w:hanging="601"/>
      </w:pPr>
      <w:rPr>
        <w:rFonts w:hint="default"/>
        <w:lang w:val="zh-CN" w:eastAsia="zh-CN" w:bidi="zh-CN"/>
      </w:rPr>
    </w:lvl>
  </w:abstractNum>
  <w:abstractNum w:abstractNumId="3">
    <w:nsid w:val="9C8AC8EF"/>
    <w:multiLevelType w:val="multilevel"/>
    <w:tmpl w:val="9C8AC8EF"/>
    <w:lvl w:ilvl="0" w:tentative="0">
      <w:start w:val="1"/>
      <w:numFmt w:val="decimal"/>
      <w:lvlText w:val="（%1）"/>
      <w:lvlJc w:val="left"/>
      <w:pPr>
        <w:ind w:left="1080"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24" w:hanging="601"/>
      </w:pPr>
      <w:rPr>
        <w:rFonts w:hint="default"/>
        <w:lang w:val="zh-CN" w:eastAsia="zh-CN" w:bidi="zh-CN"/>
      </w:rPr>
    </w:lvl>
    <w:lvl w:ilvl="2" w:tentative="0">
      <w:start w:val="0"/>
      <w:numFmt w:val="bullet"/>
      <w:lvlText w:val="•"/>
      <w:lvlJc w:val="left"/>
      <w:pPr>
        <w:ind w:left="2969" w:hanging="601"/>
      </w:pPr>
      <w:rPr>
        <w:rFonts w:hint="default"/>
        <w:lang w:val="zh-CN" w:eastAsia="zh-CN" w:bidi="zh-CN"/>
      </w:rPr>
    </w:lvl>
    <w:lvl w:ilvl="3" w:tentative="0">
      <w:start w:val="0"/>
      <w:numFmt w:val="bullet"/>
      <w:lvlText w:val="•"/>
      <w:lvlJc w:val="left"/>
      <w:pPr>
        <w:ind w:left="3913" w:hanging="601"/>
      </w:pPr>
      <w:rPr>
        <w:rFonts w:hint="default"/>
        <w:lang w:val="zh-CN" w:eastAsia="zh-CN" w:bidi="zh-CN"/>
      </w:rPr>
    </w:lvl>
    <w:lvl w:ilvl="4" w:tentative="0">
      <w:start w:val="0"/>
      <w:numFmt w:val="bullet"/>
      <w:lvlText w:val="•"/>
      <w:lvlJc w:val="left"/>
      <w:pPr>
        <w:ind w:left="4858"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747" w:hanging="601"/>
      </w:pPr>
      <w:rPr>
        <w:rFonts w:hint="default"/>
        <w:lang w:val="zh-CN" w:eastAsia="zh-CN" w:bidi="zh-CN"/>
      </w:rPr>
    </w:lvl>
    <w:lvl w:ilvl="7" w:tentative="0">
      <w:start w:val="0"/>
      <w:numFmt w:val="bullet"/>
      <w:lvlText w:val="•"/>
      <w:lvlJc w:val="left"/>
      <w:pPr>
        <w:ind w:left="7692" w:hanging="601"/>
      </w:pPr>
      <w:rPr>
        <w:rFonts w:hint="default"/>
        <w:lang w:val="zh-CN" w:eastAsia="zh-CN" w:bidi="zh-CN"/>
      </w:rPr>
    </w:lvl>
    <w:lvl w:ilvl="8" w:tentative="0">
      <w:start w:val="0"/>
      <w:numFmt w:val="bullet"/>
      <w:lvlText w:val="•"/>
      <w:lvlJc w:val="left"/>
      <w:pPr>
        <w:ind w:left="8636" w:hanging="601"/>
      </w:pPr>
      <w:rPr>
        <w:rFonts w:hint="default"/>
        <w:lang w:val="zh-CN" w:eastAsia="zh-CN" w:bidi="zh-CN"/>
      </w:rPr>
    </w:lvl>
  </w:abstractNum>
  <w:abstractNum w:abstractNumId="4">
    <w:nsid w:val="BE923771"/>
    <w:multiLevelType w:val="multilevel"/>
    <w:tmpl w:val="BE923771"/>
    <w:lvl w:ilvl="0" w:tentative="0">
      <w:start w:val="1"/>
      <w:numFmt w:val="decimal"/>
      <w:lvlText w:val="（%1）"/>
      <w:lvlJc w:val="left"/>
      <w:pPr>
        <w:ind w:left="203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861" w:hanging="601"/>
      </w:pPr>
      <w:rPr>
        <w:rFonts w:hint="default"/>
        <w:lang w:val="zh-CN" w:eastAsia="zh-CN" w:bidi="zh-CN"/>
      </w:rPr>
    </w:lvl>
    <w:lvl w:ilvl="2" w:tentative="0">
      <w:start w:val="0"/>
      <w:numFmt w:val="bullet"/>
      <w:lvlText w:val="•"/>
      <w:lvlJc w:val="left"/>
      <w:pPr>
        <w:ind w:left="3682" w:hanging="601"/>
      </w:pPr>
      <w:rPr>
        <w:rFonts w:hint="default"/>
        <w:lang w:val="zh-CN" w:eastAsia="zh-CN" w:bidi="zh-CN"/>
      </w:rPr>
    </w:lvl>
    <w:lvl w:ilvl="3" w:tentative="0">
      <w:start w:val="0"/>
      <w:numFmt w:val="bullet"/>
      <w:lvlText w:val="•"/>
      <w:lvlJc w:val="left"/>
      <w:pPr>
        <w:ind w:left="4503" w:hanging="601"/>
      </w:pPr>
      <w:rPr>
        <w:rFonts w:hint="default"/>
        <w:lang w:val="zh-CN" w:eastAsia="zh-CN" w:bidi="zh-CN"/>
      </w:rPr>
    </w:lvl>
    <w:lvl w:ilvl="4" w:tentative="0">
      <w:start w:val="0"/>
      <w:numFmt w:val="bullet"/>
      <w:lvlText w:val="•"/>
      <w:lvlJc w:val="left"/>
      <w:pPr>
        <w:ind w:left="5324" w:hanging="601"/>
      </w:pPr>
      <w:rPr>
        <w:rFonts w:hint="default"/>
        <w:lang w:val="zh-CN" w:eastAsia="zh-CN" w:bidi="zh-CN"/>
      </w:rPr>
    </w:lvl>
    <w:lvl w:ilvl="5" w:tentative="0">
      <w:start w:val="0"/>
      <w:numFmt w:val="bullet"/>
      <w:lvlText w:val="•"/>
      <w:lvlJc w:val="left"/>
      <w:pPr>
        <w:ind w:left="6145" w:hanging="601"/>
      </w:pPr>
      <w:rPr>
        <w:rFonts w:hint="default"/>
        <w:lang w:val="zh-CN" w:eastAsia="zh-CN" w:bidi="zh-CN"/>
      </w:rPr>
    </w:lvl>
    <w:lvl w:ilvl="6" w:tentative="0">
      <w:start w:val="0"/>
      <w:numFmt w:val="bullet"/>
      <w:lvlText w:val="•"/>
      <w:lvlJc w:val="left"/>
      <w:pPr>
        <w:ind w:left="6966" w:hanging="601"/>
      </w:pPr>
      <w:rPr>
        <w:rFonts w:hint="default"/>
        <w:lang w:val="zh-CN" w:eastAsia="zh-CN" w:bidi="zh-CN"/>
      </w:rPr>
    </w:lvl>
    <w:lvl w:ilvl="7" w:tentative="0">
      <w:start w:val="0"/>
      <w:numFmt w:val="bullet"/>
      <w:lvlText w:val="•"/>
      <w:lvlJc w:val="left"/>
      <w:pPr>
        <w:ind w:left="7787" w:hanging="601"/>
      </w:pPr>
      <w:rPr>
        <w:rFonts w:hint="default"/>
        <w:lang w:val="zh-CN" w:eastAsia="zh-CN" w:bidi="zh-CN"/>
      </w:rPr>
    </w:lvl>
    <w:lvl w:ilvl="8" w:tentative="0">
      <w:start w:val="0"/>
      <w:numFmt w:val="bullet"/>
      <w:lvlText w:val="•"/>
      <w:lvlJc w:val="left"/>
      <w:pPr>
        <w:ind w:left="8608" w:hanging="601"/>
      </w:pPr>
      <w:rPr>
        <w:rFonts w:hint="default"/>
        <w:lang w:val="zh-CN" w:eastAsia="zh-CN" w:bidi="zh-CN"/>
      </w:rPr>
    </w:lvl>
  </w:abstractNum>
  <w:abstractNum w:abstractNumId="5">
    <w:nsid w:val="BF205925"/>
    <w:multiLevelType w:val="multilevel"/>
    <w:tmpl w:val="BF205925"/>
    <w:lvl w:ilvl="0" w:tentative="0">
      <w:start w:val="1"/>
      <w:numFmt w:val="decimal"/>
      <w:lvlText w:val="%1."/>
      <w:lvlJc w:val="left"/>
      <w:pPr>
        <w:ind w:left="1080" w:hanging="241"/>
      </w:pPr>
      <w:rPr>
        <w:rFonts w:hint="default" w:ascii="宋体" w:hAnsi="宋体" w:eastAsia="宋体" w:cs="宋体"/>
        <w:spacing w:val="-80"/>
        <w:w w:val="100"/>
        <w:sz w:val="22"/>
        <w:szCs w:val="22"/>
        <w:lang w:val="zh-CN" w:eastAsia="zh-CN" w:bidi="zh-CN"/>
      </w:rPr>
    </w:lvl>
    <w:lvl w:ilvl="1" w:tentative="0">
      <w:start w:val="0"/>
      <w:numFmt w:val="bullet"/>
      <w:lvlText w:val="•"/>
      <w:lvlJc w:val="left"/>
      <w:pPr>
        <w:ind w:left="2024" w:hanging="241"/>
      </w:pPr>
      <w:rPr>
        <w:rFonts w:hint="default"/>
        <w:lang w:val="zh-CN" w:eastAsia="zh-CN" w:bidi="zh-CN"/>
      </w:rPr>
    </w:lvl>
    <w:lvl w:ilvl="2" w:tentative="0">
      <w:start w:val="0"/>
      <w:numFmt w:val="bullet"/>
      <w:lvlText w:val="•"/>
      <w:lvlJc w:val="left"/>
      <w:pPr>
        <w:ind w:left="2969" w:hanging="241"/>
      </w:pPr>
      <w:rPr>
        <w:rFonts w:hint="default"/>
        <w:lang w:val="zh-CN" w:eastAsia="zh-CN" w:bidi="zh-CN"/>
      </w:rPr>
    </w:lvl>
    <w:lvl w:ilvl="3" w:tentative="0">
      <w:start w:val="0"/>
      <w:numFmt w:val="bullet"/>
      <w:lvlText w:val="•"/>
      <w:lvlJc w:val="left"/>
      <w:pPr>
        <w:ind w:left="3913" w:hanging="241"/>
      </w:pPr>
      <w:rPr>
        <w:rFonts w:hint="default"/>
        <w:lang w:val="zh-CN" w:eastAsia="zh-CN" w:bidi="zh-CN"/>
      </w:rPr>
    </w:lvl>
    <w:lvl w:ilvl="4" w:tentative="0">
      <w:start w:val="0"/>
      <w:numFmt w:val="bullet"/>
      <w:lvlText w:val="•"/>
      <w:lvlJc w:val="left"/>
      <w:pPr>
        <w:ind w:left="4858" w:hanging="241"/>
      </w:pPr>
      <w:rPr>
        <w:rFonts w:hint="default"/>
        <w:lang w:val="zh-CN" w:eastAsia="zh-CN" w:bidi="zh-CN"/>
      </w:rPr>
    </w:lvl>
    <w:lvl w:ilvl="5" w:tentative="0">
      <w:start w:val="0"/>
      <w:numFmt w:val="bullet"/>
      <w:lvlText w:val="•"/>
      <w:lvlJc w:val="left"/>
      <w:pPr>
        <w:ind w:left="5803" w:hanging="241"/>
      </w:pPr>
      <w:rPr>
        <w:rFonts w:hint="default"/>
        <w:lang w:val="zh-CN" w:eastAsia="zh-CN" w:bidi="zh-CN"/>
      </w:rPr>
    </w:lvl>
    <w:lvl w:ilvl="6" w:tentative="0">
      <w:start w:val="0"/>
      <w:numFmt w:val="bullet"/>
      <w:lvlText w:val="•"/>
      <w:lvlJc w:val="left"/>
      <w:pPr>
        <w:ind w:left="6747" w:hanging="241"/>
      </w:pPr>
      <w:rPr>
        <w:rFonts w:hint="default"/>
        <w:lang w:val="zh-CN" w:eastAsia="zh-CN" w:bidi="zh-CN"/>
      </w:rPr>
    </w:lvl>
    <w:lvl w:ilvl="7" w:tentative="0">
      <w:start w:val="0"/>
      <w:numFmt w:val="bullet"/>
      <w:lvlText w:val="•"/>
      <w:lvlJc w:val="left"/>
      <w:pPr>
        <w:ind w:left="7692" w:hanging="241"/>
      </w:pPr>
      <w:rPr>
        <w:rFonts w:hint="default"/>
        <w:lang w:val="zh-CN" w:eastAsia="zh-CN" w:bidi="zh-CN"/>
      </w:rPr>
    </w:lvl>
    <w:lvl w:ilvl="8" w:tentative="0">
      <w:start w:val="0"/>
      <w:numFmt w:val="bullet"/>
      <w:lvlText w:val="•"/>
      <w:lvlJc w:val="left"/>
      <w:pPr>
        <w:ind w:left="8636" w:hanging="241"/>
      </w:pPr>
      <w:rPr>
        <w:rFonts w:hint="default"/>
        <w:lang w:val="zh-CN" w:eastAsia="zh-CN" w:bidi="zh-CN"/>
      </w:rPr>
    </w:lvl>
  </w:abstractNum>
  <w:abstractNum w:abstractNumId="6">
    <w:nsid w:val="C8879AEF"/>
    <w:multiLevelType w:val="multilevel"/>
    <w:tmpl w:val="C8879AEF"/>
    <w:lvl w:ilvl="0" w:tentative="0">
      <w:start w:val="18"/>
      <w:numFmt w:val="decimal"/>
      <w:lvlText w:val="%1"/>
      <w:lvlJc w:val="left"/>
      <w:pPr>
        <w:ind w:left="1080" w:hanging="600"/>
      </w:pPr>
      <w:rPr>
        <w:rFonts w:hint="default"/>
        <w:lang w:val="zh-CN" w:eastAsia="zh-CN" w:bidi="zh-CN"/>
      </w:rPr>
    </w:lvl>
    <w:lvl w:ilvl="1" w:tentative="0">
      <w:start w:val="1"/>
      <w:numFmt w:val="decimal"/>
      <w:lvlText w:val="%1.%2"/>
      <w:lvlJc w:val="left"/>
      <w:pPr>
        <w:ind w:left="1080" w:hanging="600"/>
      </w:pPr>
      <w:rPr>
        <w:rFonts w:hint="default" w:ascii="宋体" w:hAnsi="宋体" w:eastAsia="宋体" w:cs="宋体"/>
        <w:spacing w:val="-17"/>
        <w:w w:val="100"/>
        <w:sz w:val="24"/>
        <w:szCs w:val="24"/>
        <w:lang w:val="zh-CN" w:eastAsia="zh-CN" w:bidi="zh-CN"/>
      </w:rPr>
    </w:lvl>
    <w:lvl w:ilvl="2" w:tentative="0">
      <w:start w:val="0"/>
      <w:numFmt w:val="bullet"/>
      <w:lvlText w:val="•"/>
      <w:lvlJc w:val="left"/>
      <w:pPr>
        <w:ind w:left="2969" w:hanging="600"/>
      </w:pPr>
      <w:rPr>
        <w:rFonts w:hint="default"/>
        <w:lang w:val="zh-CN" w:eastAsia="zh-CN" w:bidi="zh-CN"/>
      </w:rPr>
    </w:lvl>
    <w:lvl w:ilvl="3" w:tentative="0">
      <w:start w:val="0"/>
      <w:numFmt w:val="bullet"/>
      <w:lvlText w:val="•"/>
      <w:lvlJc w:val="left"/>
      <w:pPr>
        <w:ind w:left="3913" w:hanging="600"/>
      </w:pPr>
      <w:rPr>
        <w:rFonts w:hint="default"/>
        <w:lang w:val="zh-CN" w:eastAsia="zh-CN" w:bidi="zh-CN"/>
      </w:rPr>
    </w:lvl>
    <w:lvl w:ilvl="4" w:tentative="0">
      <w:start w:val="0"/>
      <w:numFmt w:val="bullet"/>
      <w:lvlText w:val="•"/>
      <w:lvlJc w:val="left"/>
      <w:pPr>
        <w:ind w:left="4858" w:hanging="600"/>
      </w:pPr>
      <w:rPr>
        <w:rFonts w:hint="default"/>
        <w:lang w:val="zh-CN" w:eastAsia="zh-CN" w:bidi="zh-CN"/>
      </w:rPr>
    </w:lvl>
    <w:lvl w:ilvl="5" w:tentative="0">
      <w:start w:val="0"/>
      <w:numFmt w:val="bullet"/>
      <w:lvlText w:val="•"/>
      <w:lvlJc w:val="left"/>
      <w:pPr>
        <w:ind w:left="5803" w:hanging="600"/>
      </w:pPr>
      <w:rPr>
        <w:rFonts w:hint="default"/>
        <w:lang w:val="zh-CN" w:eastAsia="zh-CN" w:bidi="zh-CN"/>
      </w:rPr>
    </w:lvl>
    <w:lvl w:ilvl="6" w:tentative="0">
      <w:start w:val="0"/>
      <w:numFmt w:val="bullet"/>
      <w:lvlText w:val="•"/>
      <w:lvlJc w:val="left"/>
      <w:pPr>
        <w:ind w:left="6747" w:hanging="600"/>
      </w:pPr>
      <w:rPr>
        <w:rFonts w:hint="default"/>
        <w:lang w:val="zh-CN" w:eastAsia="zh-CN" w:bidi="zh-CN"/>
      </w:rPr>
    </w:lvl>
    <w:lvl w:ilvl="7" w:tentative="0">
      <w:start w:val="0"/>
      <w:numFmt w:val="bullet"/>
      <w:lvlText w:val="•"/>
      <w:lvlJc w:val="left"/>
      <w:pPr>
        <w:ind w:left="7692" w:hanging="600"/>
      </w:pPr>
      <w:rPr>
        <w:rFonts w:hint="default"/>
        <w:lang w:val="zh-CN" w:eastAsia="zh-CN" w:bidi="zh-CN"/>
      </w:rPr>
    </w:lvl>
    <w:lvl w:ilvl="8" w:tentative="0">
      <w:start w:val="0"/>
      <w:numFmt w:val="bullet"/>
      <w:lvlText w:val="•"/>
      <w:lvlJc w:val="left"/>
      <w:pPr>
        <w:ind w:left="8636" w:hanging="600"/>
      </w:pPr>
      <w:rPr>
        <w:rFonts w:hint="default"/>
        <w:lang w:val="zh-CN" w:eastAsia="zh-CN" w:bidi="zh-CN"/>
      </w:rPr>
    </w:lvl>
  </w:abstractNum>
  <w:abstractNum w:abstractNumId="7">
    <w:nsid w:val="D7F9FE59"/>
    <w:multiLevelType w:val="multilevel"/>
    <w:tmpl w:val="D7F9FE59"/>
    <w:lvl w:ilvl="0" w:tentative="0">
      <w:start w:val="2"/>
      <w:numFmt w:val="decimal"/>
      <w:lvlText w:val="%1."/>
      <w:lvlJc w:val="left"/>
      <w:pPr>
        <w:ind w:left="1921" w:hanging="241"/>
        <w:jc w:val="right"/>
      </w:pPr>
      <w:rPr>
        <w:rFonts w:hint="default" w:ascii="宋体" w:hAnsi="宋体" w:eastAsia="宋体" w:cs="宋体"/>
        <w:w w:val="100"/>
        <w:sz w:val="22"/>
        <w:szCs w:val="22"/>
        <w:lang w:val="zh-CN" w:eastAsia="zh-CN" w:bidi="zh-CN"/>
      </w:rPr>
    </w:lvl>
    <w:lvl w:ilvl="1" w:tentative="0">
      <w:start w:val="0"/>
      <w:numFmt w:val="bullet"/>
      <w:lvlText w:val="•"/>
      <w:lvlJc w:val="left"/>
      <w:pPr>
        <w:ind w:left="2780" w:hanging="241"/>
      </w:pPr>
      <w:rPr>
        <w:rFonts w:hint="default"/>
        <w:lang w:val="zh-CN" w:eastAsia="zh-CN" w:bidi="zh-CN"/>
      </w:rPr>
    </w:lvl>
    <w:lvl w:ilvl="2" w:tentative="0">
      <w:start w:val="0"/>
      <w:numFmt w:val="bullet"/>
      <w:lvlText w:val="•"/>
      <w:lvlJc w:val="left"/>
      <w:pPr>
        <w:ind w:left="3641" w:hanging="241"/>
      </w:pPr>
      <w:rPr>
        <w:rFonts w:hint="default"/>
        <w:lang w:val="zh-CN" w:eastAsia="zh-CN" w:bidi="zh-CN"/>
      </w:rPr>
    </w:lvl>
    <w:lvl w:ilvl="3" w:tentative="0">
      <w:start w:val="0"/>
      <w:numFmt w:val="bullet"/>
      <w:lvlText w:val="•"/>
      <w:lvlJc w:val="left"/>
      <w:pPr>
        <w:ind w:left="4501" w:hanging="241"/>
      </w:pPr>
      <w:rPr>
        <w:rFonts w:hint="default"/>
        <w:lang w:val="zh-CN" w:eastAsia="zh-CN" w:bidi="zh-CN"/>
      </w:rPr>
    </w:lvl>
    <w:lvl w:ilvl="4" w:tentative="0">
      <w:start w:val="0"/>
      <w:numFmt w:val="bullet"/>
      <w:lvlText w:val="•"/>
      <w:lvlJc w:val="left"/>
      <w:pPr>
        <w:ind w:left="5362" w:hanging="241"/>
      </w:pPr>
      <w:rPr>
        <w:rFonts w:hint="default"/>
        <w:lang w:val="zh-CN" w:eastAsia="zh-CN" w:bidi="zh-CN"/>
      </w:rPr>
    </w:lvl>
    <w:lvl w:ilvl="5" w:tentative="0">
      <w:start w:val="0"/>
      <w:numFmt w:val="bullet"/>
      <w:lvlText w:val="•"/>
      <w:lvlJc w:val="left"/>
      <w:pPr>
        <w:ind w:left="6223" w:hanging="241"/>
      </w:pPr>
      <w:rPr>
        <w:rFonts w:hint="default"/>
        <w:lang w:val="zh-CN" w:eastAsia="zh-CN" w:bidi="zh-CN"/>
      </w:rPr>
    </w:lvl>
    <w:lvl w:ilvl="6" w:tentative="0">
      <w:start w:val="0"/>
      <w:numFmt w:val="bullet"/>
      <w:lvlText w:val="•"/>
      <w:lvlJc w:val="left"/>
      <w:pPr>
        <w:ind w:left="7083" w:hanging="241"/>
      </w:pPr>
      <w:rPr>
        <w:rFonts w:hint="default"/>
        <w:lang w:val="zh-CN" w:eastAsia="zh-CN" w:bidi="zh-CN"/>
      </w:rPr>
    </w:lvl>
    <w:lvl w:ilvl="7" w:tentative="0">
      <w:start w:val="0"/>
      <w:numFmt w:val="bullet"/>
      <w:lvlText w:val="•"/>
      <w:lvlJc w:val="left"/>
      <w:pPr>
        <w:ind w:left="7944" w:hanging="241"/>
      </w:pPr>
      <w:rPr>
        <w:rFonts w:hint="default"/>
        <w:lang w:val="zh-CN" w:eastAsia="zh-CN" w:bidi="zh-CN"/>
      </w:rPr>
    </w:lvl>
    <w:lvl w:ilvl="8" w:tentative="0">
      <w:start w:val="0"/>
      <w:numFmt w:val="bullet"/>
      <w:lvlText w:val="•"/>
      <w:lvlJc w:val="left"/>
      <w:pPr>
        <w:ind w:left="8804" w:hanging="241"/>
      </w:pPr>
      <w:rPr>
        <w:rFonts w:hint="default"/>
        <w:lang w:val="zh-CN" w:eastAsia="zh-CN" w:bidi="zh-CN"/>
      </w:rPr>
    </w:lvl>
  </w:abstractNum>
  <w:abstractNum w:abstractNumId="8">
    <w:nsid w:val="DCBA6B53"/>
    <w:multiLevelType w:val="multilevel"/>
    <w:tmpl w:val="DCBA6B53"/>
    <w:lvl w:ilvl="0" w:tentative="0">
      <w:start w:val="1"/>
      <w:numFmt w:val="decimal"/>
      <w:lvlText w:val="（%1）"/>
      <w:lvlJc w:val="left"/>
      <w:pPr>
        <w:ind w:left="216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996" w:hanging="601"/>
      </w:pPr>
      <w:rPr>
        <w:rFonts w:hint="default"/>
        <w:lang w:val="zh-CN" w:eastAsia="zh-CN" w:bidi="zh-CN"/>
      </w:rPr>
    </w:lvl>
    <w:lvl w:ilvl="2" w:tentative="0">
      <w:start w:val="0"/>
      <w:numFmt w:val="bullet"/>
      <w:lvlText w:val="•"/>
      <w:lvlJc w:val="left"/>
      <w:pPr>
        <w:ind w:left="3833" w:hanging="601"/>
      </w:pPr>
      <w:rPr>
        <w:rFonts w:hint="default"/>
        <w:lang w:val="zh-CN" w:eastAsia="zh-CN" w:bidi="zh-CN"/>
      </w:rPr>
    </w:lvl>
    <w:lvl w:ilvl="3" w:tentative="0">
      <w:start w:val="0"/>
      <w:numFmt w:val="bullet"/>
      <w:lvlText w:val="•"/>
      <w:lvlJc w:val="left"/>
      <w:pPr>
        <w:ind w:left="4669" w:hanging="601"/>
      </w:pPr>
      <w:rPr>
        <w:rFonts w:hint="default"/>
        <w:lang w:val="zh-CN" w:eastAsia="zh-CN" w:bidi="zh-CN"/>
      </w:rPr>
    </w:lvl>
    <w:lvl w:ilvl="4" w:tentative="0">
      <w:start w:val="0"/>
      <w:numFmt w:val="bullet"/>
      <w:lvlText w:val="•"/>
      <w:lvlJc w:val="left"/>
      <w:pPr>
        <w:ind w:left="5506" w:hanging="601"/>
      </w:pPr>
      <w:rPr>
        <w:rFonts w:hint="default"/>
        <w:lang w:val="zh-CN" w:eastAsia="zh-CN" w:bidi="zh-CN"/>
      </w:rPr>
    </w:lvl>
    <w:lvl w:ilvl="5" w:tentative="0">
      <w:start w:val="0"/>
      <w:numFmt w:val="bullet"/>
      <w:lvlText w:val="•"/>
      <w:lvlJc w:val="left"/>
      <w:pPr>
        <w:ind w:left="6343" w:hanging="601"/>
      </w:pPr>
      <w:rPr>
        <w:rFonts w:hint="default"/>
        <w:lang w:val="zh-CN" w:eastAsia="zh-CN" w:bidi="zh-CN"/>
      </w:rPr>
    </w:lvl>
    <w:lvl w:ilvl="6" w:tentative="0">
      <w:start w:val="0"/>
      <w:numFmt w:val="bullet"/>
      <w:lvlText w:val="•"/>
      <w:lvlJc w:val="left"/>
      <w:pPr>
        <w:ind w:left="7179" w:hanging="601"/>
      </w:pPr>
      <w:rPr>
        <w:rFonts w:hint="default"/>
        <w:lang w:val="zh-CN" w:eastAsia="zh-CN" w:bidi="zh-CN"/>
      </w:rPr>
    </w:lvl>
    <w:lvl w:ilvl="7" w:tentative="0">
      <w:start w:val="0"/>
      <w:numFmt w:val="bullet"/>
      <w:lvlText w:val="•"/>
      <w:lvlJc w:val="left"/>
      <w:pPr>
        <w:ind w:left="8016" w:hanging="601"/>
      </w:pPr>
      <w:rPr>
        <w:rFonts w:hint="default"/>
        <w:lang w:val="zh-CN" w:eastAsia="zh-CN" w:bidi="zh-CN"/>
      </w:rPr>
    </w:lvl>
    <w:lvl w:ilvl="8" w:tentative="0">
      <w:start w:val="0"/>
      <w:numFmt w:val="bullet"/>
      <w:lvlText w:val="•"/>
      <w:lvlJc w:val="left"/>
      <w:pPr>
        <w:ind w:left="8852" w:hanging="601"/>
      </w:pPr>
      <w:rPr>
        <w:rFonts w:hint="default"/>
        <w:lang w:val="zh-CN" w:eastAsia="zh-CN" w:bidi="zh-CN"/>
      </w:rPr>
    </w:lvl>
  </w:abstractNum>
  <w:abstractNum w:abstractNumId="9">
    <w:nsid w:val="E3678AED"/>
    <w:multiLevelType w:val="singleLevel"/>
    <w:tmpl w:val="E3678AED"/>
    <w:lvl w:ilvl="0" w:tentative="0">
      <w:start w:val="1"/>
      <w:numFmt w:val="chineseCounting"/>
      <w:suff w:val="nothing"/>
      <w:lvlText w:val="%1、"/>
      <w:lvlJc w:val="left"/>
      <w:rPr>
        <w:rFonts w:hint="eastAsia"/>
      </w:rPr>
    </w:lvl>
  </w:abstractNum>
  <w:abstractNum w:abstractNumId="10">
    <w:nsid w:val="F4B5D9F5"/>
    <w:multiLevelType w:val="multilevel"/>
    <w:tmpl w:val="F4B5D9F5"/>
    <w:lvl w:ilvl="0" w:tentative="0">
      <w:start w:val="1"/>
      <w:numFmt w:val="decimal"/>
      <w:lvlText w:val="（%1）"/>
      <w:lvlJc w:val="left"/>
      <w:pPr>
        <w:ind w:left="216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996" w:hanging="601"/>
      </w:pPr>
      <w:rPr>
        <w:rFonts w:hint="default"/>
        <w:lang w:val="zh-CN" w:eastAsia="zh-CN" w:bidi="zh-CN"/>
      </w:rPr>
    </w:lvl>
    <w:lvl w:ilvl="2" w:tentative="0">
      <w:start w:val="0"/>
      <w:numFmt w:val="bullet"/>
      <w:lvlText w:val="•"/>
      <w:lvlJc w:val="left"/>
      <w:pPr>
        <w:ind w:left="3833" w:hanging="601"/>
      </w:pPr>
      <w:rPr>
        <w:rFonts w:hint="default"/>
        <w:lang w:val="zh-CN" w:eastAsia="zh-CN" w:bidi="zh-CN"/>
      </w:rPr>
    </w:lvl>
    <w:lvl w:ilvl="3" w:tentative="0">
      <w:start w:val="0"/>
      <w:numFmt w:val="bullet"/>
      <w:lvlText w:val="•"/>
      <w:lvlJc w:val="left"/>
      <w:pPr>
        <w:ind w:left="4669" w:hanging="601"/>
      </w:pPr>
      <w:rPr>
        <w:rFonts w:hint="default"/>
        <w:lang w:val="zh-CN" w:eastAsia="zh-CN" w:bidi="zh-CN"/>
      </w:rPr>
    </w:lvl>
    <w:lvl w:ilvl="4" w:tentative="0">
      <w:start w:val="0"/>
      <w:numFmt w:val="bullet"/>
      <w:lvlText w:val="•"/>
      <w:lvlJc w:val="left"/>
      <w:pPr>
        <w:ind w:left="5506" w:hanging="601"/>
      </w:pPr>
      <w:rPr>
        <w:rFonts w:hint="default"/>
        <w:lang w:val="zh-CN" w:eastAsia="zh-CN" w:bidi="zh-CN"/>
      </w:rPr>
    </w:lvl>
    <w:lvl w:ilvl="5" w:tentative="0">
      <w:start w:val="0"/>
      <w:numFmt w:val="bullet"/>
      <w:lvlText w:val="•"/>
      <w:lvlJc w:val="left"/>
      <w:pPr>
        <w:ind w:left="6343" w:hanging="601"/>
      </w:pPr>
      <w:rPr>
        <w:rFonts w:hint="default"/>
        <w:lang w:val="zh-CN" w:eastAsia="zh-CN" w:bidi="zh-CN"/>
      </w:rPr>
    </w:lvl>
    <w:lvl w:ilvl="6" w:tentative="0">
      <w:start w:val="0"/>
      <w:numFmt w:val="bullet"/>
      <w:lvlText w:val="•"/>
      <w:lvlJc w:val="left"/>
      <w:pPr>
        <w:ind w:left="7179" w:hanging="601"/>
      </w:pPr>
      <w:rPr>
        <w:rFonts w:hint="default"/>
        <w:lang w:val="zh-CN" w:eastAsia="zh-CN" w:bidi="zh-CN"/>
      </w:rPr>
    </w:lvl>
    <w:lvl w:ilvl="7" w:tentative="0">
      <w:start w:val="0"/>
      <w:numFmt w:val="bullet"/>
      <w:lvlText w:val="•"/>
      <w:lvlJc w:val="left"/>
      <w:pPr>
        <w:ind w:left="8016" w:hanging="601"/>
      </w:pPr>
      <w:rPr>
        <w:rFonts w:hint="default"/>
        <w:lang w:val="zh-CN" w:eastAsia="zh-CN" w:bidi="zh-CN"/>
      </w:rPr>
    </w:lvl>
    <w:lvl w:ilvl="8" w:tentative="0">
      <w:start w:val="0"/>
      <w:numFmt w:val="bullet"/>
      <w:lvlText w:val="•"/>
      <w:lvlJc w:val="left"/>
      <w:pPr>
        <w:ind w:left="8852" w:hanging="601"/>
      </w:pPr>
      <w:rPr>
        <w:rFonts w:hint="default"/>
        <w:lang w:val="zh-CN" w:eastAsia="zh-CN" w:bidi="zh-CN"/>
      </w:rPr>
    </w:lvl>
  </w:abstractNum>
  <w:abstractNum w:abstractNumId="11">
    <w:nsid w:val="0053208E"/>
    <w:multiLevelType w:val="multilevel"/>
    <w:tmpl w:val="0053208E"/>
    <w:lvl w:ilvl="0" w:tentative="0">
      <w:start w:val="2"/>
      <w:numFmt w:val="decimal"/>
      <w:lvlText w:val="%1."/>
      <w:lvlJc w:val="left"/>
      <w:pPr>
        <w:ind w:left="1080" w:hanging="241"/>
      </w:pPr>
      <w:rPr>
        <w:rFonts w:hint="default" w:ascii="宋体" w:hAnsi="宋体" w:eastAsia="宋体" w:cs="宋体"/>
        <w:spacing w:val="-249"/>
        <w:w w:val="99"/>
        <w:sz w:val="22"/>
        <w:szCs w:val="22"/>
        <w:lang w:val="zh-CN" w:eastAsia="zh-CN" w:bidi="zh-CN"/>
      </w:rPr>
    </w:lvl>
    <w:lvl w:ilvl="1" w:tentative="0">
      <w:start w:val="0"/>
      <w:numFmt w:val="bullet"/>
      <w:lvlText w:val="•"/>
      <w:lvlJc w:val="left"/>
      <w:pPr>
        <w:ind w:left="2024" w:hanging="241"/>
      </w:pPr>
      <w:rPr>
        <w:rFonts w:hint="default"/>
        <w:lang w:val="zh-CN" w:eastAsia="zh-CN" w:bidi="zh-CN"/>
      </w:rPr>
    </w:lvl>
    <w:lvl w:ilvl="2" w:tentative="0">
      <w:start w:val="0"/>
      <w:numFmt w:val="bullet"/>
      <w:lvlText w:val="•"/>
      <w:lvlJc w:val="left"/>
      <w:pPr>
        <w:ind w:left="2969" w:hanging="241"/>
      </w:pPr>
      <w:rPr>
        <w:rFonts w:hint="default"/>
        <w:lang w:val="zh-CN" w:eastAsia="zh-CN" w:bidi="zh-CN"/>
      </w:rPr>
    </w:lvl>
    <w:lvl w:ilvl="3" w:tentative="0">
      <w:start w:val="0"/>
      <w:numFmt w:val="bullet"/>
      <w:lvlText w:val="•"/>
      <w:lvlJc w:val="left"/>
      <w:pPr>
        <w:ind w:left="3913" w:hanging="241"/>
      </w:pPr>
      <w:rPr>
        <w:rFonts w:hint="default"/>
        <w:lang w:val="zh-CN" w:eastAsia="zh-CN" w:bidi="zh-CN"/>
      </w:rPr>
    </w:lvl>
    <w:lvl w:ilvl="4" w:tentative="0">
      <w:start w:val="0"/>
      <w:numFmt w:val="bullet"/>
      <w:lvlText w:val="•"/>
      <w:lvlJc w:val="left"/>
      <w:pPr>
        <w:ind w:left="4858" w:hanging="241"/>
      </w:pPr>
      <w:rPr>
        <w:rFonts w:hint="default"/>
        <w:lang w:val="zh-CN" w:eastAsia="zh-CN" w:bidi="zh-CN"/>
      </w:rPr>
    </w:lvl>
    <w:lvl w:ilvl="5" w:tentative="0">
      <w:start w:val="0"/>
      <w:numFmt w:val="bullet"/>
      <w:lvlText w:val="•"/>
      <w:lvlJc w:val="left"/>
      <w:pPr>
        <w:ind w:left="5803" w:hanging="241"/>
      </w:pPr>
      <w:rPr>
        <w:rFonts w:hint="default"/>
        <w:lang w:val="zh-CN" w:eastAsia="zh-CN" w:bidi="zh-CN"/>
      </w:rPr>
    </w:lvl>
    <w:lvl w:ilvl="6" w:tentative="0">
      <w:start w:val="0"/>
      <w:numFmt w:val="bullet"/>
      <w:lvlText w:val="•"/>
      <w:lvlJc w:val="left"/>
      <w:pPr>
        <w:ind w:left="6747" w:hanging="241"/>
      </w:pPr>
      <w:rPr>
        <w:rFonts w:hint="default"/>
        <w:lang w:val="zh-CN" w:eastAsia="zh-CN" w:bidi="zh-CN"/>
      </w:rPr>
    </w:lvl>
    <w:lvl w:ilvl="7" w:tentative="0">
      <w:start w:val="0"/>
      <w:numFmt w:val="bullet"/>
      <w:lvlText w:val="•"/>
      <w:lvlJc w:val="left"/>
      <w:pPr>
        <w:ind w:left="7692" w:hanging="241"/>
      </w:pPr>
      <w:rPr>
        <w:rFonts w:hint="default"/>
        <w:lang w:val="zh-CN" w:eastAsia="zh-CN" w:bidi="zh-CN"/>
      </w:rPr>
    </w:lvl>
    <w:lvl w:ilvl="8" w:tentative="0">
      <w:start w:val="0"/>
      <w:numFmt w:val="bullet"/>
      <w:lvlText w:val="•"/>
      <w:lvlJc w:val="left"/>
      <w:pPr>
        <w:ind w:left="8636" w:hanging="241"/>
      </w:pPr>
      <w:rPr>
        <w:rFonts w:hint="default"/>
        <w:lang w:val="zh-CN" w:eastAsia="zh-CN" w:bidi="zh-CN"/>
      </w:rPr>
    </w:lvl>
  </w:abstractNum>
  <w:abstractNum w:abstractNumId="12">
    <w:nsid w:val="2470EC97"/>
    <w:multiLevelType w:val="multilevel"/>
    <w:tmpl w:val="2470EC97"/>
    <w:lvl w:ilvl="0" w:tentative="0">
      <w:start w:val="31"/>
      <w:numFmt w:val="decimal"/>
      <w:lvlText w:val="%1."/>
      <w:lvlJc w:val="left"/>
      <w:pPr>
        <w:ind w:left="1443" w:hanging="364"/>
        <w:jc w:val="right"/>
      </w:pPr>
      <w:rPr>
        <w:rFonts w:hint="default"/>
        <w:b/>
        <w:bCs/>
        <w:spacing w:val="0"/>
        <w:w w:val="99"/>
        <w:lang w:val="zh-CN" w:eastAsia="zh-CN" w:bidi="zh-CN"/>
      </w:rPr>
    </w:lvl>
    <w:lvl w:ilvl="1" w:tentative="0">
      <w:start w:val="1"/>
      <w:numFmt w:val="decimal"/>
      <w:lvlText w:val="%1.%2"/>
      <w:lvlJc w:val="left"/>
      <w:pPr>
        <w:ind w:left="2160" w:hanging="600"/>
      </w:pPr>
      <w:rPr>
        <w:rFonts w:hint="default" w:ascii="宋体" w:hAnsi="宋体" w:eastAsia="宋体" w:cs="宋体"/>
        <w:w w:val="100"/>
        <w:sz w:val="24"/>
        <w:szCs w:val="24"/>
        <w:lang w:val="zh-CN" w:eastAsia="zh-CN" w:bidi="zh-CN"/>
      </w:rPr>
    </w:lvl>
    <w:lvl w:ilvl="2" w:tentative="0">
      <w:start w:val="0"/>
      <w:numFmt w:val="bullet"/>
      <w:lvlText w:val="•"/>
      <w:lvlJc w:val="left"/>
      <w:pPr>
        <w:ind w:left="2160" w:hanging="600"/>
      </w:pPr>
      <w:rPr>
        <w:rFonts w:hint="default"/>
        <w:lang w:val="zh-CN" w:eastAsia="zh-CN" w:bidi="zh-CN"/>
      </w:rPr>
    </w:lvl>
    <w:lvl w:ilvl="3" w:tentative="0">
      <w:start w:val="0"/>
      <w:numFmt w:val="bullet"/>
      <w:lvlText w:val="•"/>
      <w:lvlJc w:val="left"/>
      <w:pPr>
        <w:ind w:left="3205" w:hanging="600"/>
      </w:pPr>
      <w:rPr>
        <w:rFonts w:hint="default"/>
        <w:lang w:val="zh-CN" w:eastAsia="zh-CN" w:bidi="zh-CN"/>
      </w:rPr>
    </w:lvl>
    <w:lvl w:ilvl="4" w:tentative="0">
      <w:start w:val="0"/>
      <w:numFmt w:val="bullet"/>
      <w:lvlText w:val="•"/>
      <w:lvlJc w:val="left"/>
      <w:pPr>
        <w:ind w:left="4251" w:hanging="600"/>
      </w:pPr>
      <w:rPr>
        <w:rFonts w:hint="default"/>
        <w:lang w:val="zh-CN" w:eastAsia="zh-CN" w:bidi="zh-CN"/>
      </w:rPr>
    </w:lvl>
    <w:lvl w:ilvl="5" w:tentative="0">
      <w:start w:val="0"/>
      <w:numFmt w:val="bullet"/>
      <w:lvlText w:val="•"/>
      <w:lvlJc w:val="left"/>
      <w:pPr>
        <w:ind w:left="5297" w:hanging="600"/>
      </w:pPr>
      <w:rPr>
        <w:rFonts w:hint="default"/>
        <w:lang w:val="zh-CN" w:eastAsia="zh-CN" w:bidi="zh-CN"/>
      </w:rPr>
    </w:lvl>
    <w:lvl w:ilvl="6" w:tentative="0">
      <w:start w:val="0"/>
      <w:numFmt w:val="bullet"/>
      <w:lvlText w:val="•"/>
      <w:lvlJc w:val="left"/>
      <w:pPr>
        <w:ind w:left="6343" w:hanging="600"/>
      </w:pPr>
      <w:rPr>
        <w:rFonts w:hint="default"/>
        <w:lang w:val="zh-CN" w:eastAsia="zh-CN" w:bidi="zh-CN"/>
      </w:rPr>
    </w:lvl>
    <w:lvl w:ilvl="7" w:tentative="0">
      <w:start w:val="0"/>
      <w:numFmt w:val="bullet"/>
      <w:lvlText w:val="•"/>
      <w:lvlJc w:val="left"/>
      <w:pPr>
        <w:ind w:left="7388" w:hanging="600"/>
      </w:pPr>
      <w:rPr>
        <w:rFonts w:hint="default"/>
        <w:lang w:val="zh-CN" w:eastAsia="zh-CN" w:bidi="zh-CN"/>
      </w:rPr>
    </w:lvl>
    <w:lvl w:ilvl="8" w:tentative="0">
      <w:start w:val="0"/>
      <w:numFmt w:val="bullet"/>
      <w:lvlText w:val="•"/>
      <w:lvlJc w:val="left"/>
      <w:pPr>
        <w:ind w:left="8434" w:hanging="600"/>
      </w:pPr>
      <w:rPr>
        <w:rFonts w:hint="default"/>
        <w:lang w:val="zh-CN" w:eastAsia="zh-CN" w:bidi="zh-CN"/>
      </w:rPr>
    </w:lvl>
  </w:abstractNum>
  <w:abstractNum w:abstractNumId="13">
    <w:nsid w:val="2A8F537B"/>
    <w:multiLevelType w:val="multilevel"/>
    <w:tmpl w:val="2A8F537B"/>
    <w:lvl w:ilvl="0" w:tentative="0">
      <w:start w:val="1"/>
      <w:numFmt w:val="decimal"/>
      <w:lvlText w:val="（%1）"/>
      <w:lvlJc w:val="left"/>
      <w:pPr>
        <w:ind w:left="2161" w:hanging="601"/>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2996" w:hanging="601"/>
      </w:pPr>
      <w:rPr>
        <w:rFonts w:hint="default"/>
        <w:lang w:val="zh-CN" w:eastAsia="zh-CN" w:bidi="zh-CN"/>
      </w:rPr>
    </w:lvl>
    <w:lvl w:ilvl="2" w:tentative="0">
      <w:start w:val="0"/>
      <w:numFmt w:val="bullet"/>
      <w:lvlText w:val="•"/>
      <w:lvlJc w:val="left"/>
      <w:pPr>
        <w:ind w:left="3833" w:hanging="601"/>
      </w:pPr>
      <w:rPr>
        <w:rFonts w:hint="default"/>
        <w:lang w:val="zh-CN" w:eastAsia="zh-CN" w:bidi="zh-CN"/>
      </w:rPr>
    </w:lvl>
    <w:lvl w:ilvl="3" w:tentative="0">
      <w:start w:val="0"/>
      <w:numFmt w:val="bullet"/>
      <w:lvlText w:val="•"/>
      <w:lvlJc w:val="left"/>
      <w:pPr>
        <w:ind w:left="4669" w:hanging="601"/>
      </w:pPr>
      <w:rPr>
        <w:rFonts w:hint="default"/>
        <w:lang w:val="zh-CN" w:eastAsia="zh-CN" w:bidi="zh-CN"/>
      </w:rPr>
    </w:lvl>
    <w:lvl w:ilvl="4" w:tentative="0">
      <w:start w:val="0"/>
      <w:numFmt w:val="bullet"/>
      <w:lvlText w:val="•"/>
      <w:lvlJc w:val="left"/>
      <w:pPr>
        <w:ind w:left="5506" w:hanging="601"/>
      </w:pPr>
      <w:rPr>
        <w:rFonts w:hint="default"/>
        <w:lang w:val="zh-CN" w:eastAsia="zh-CN" w:bidi="zh-CN"/>
      </w:rPr>
    </w:lvl>
    <w:lvl w:ilvl="5" w:tentative="0">
      <w:start w:val="0"/>
      <w:numFmt w:val="bullet"/>
      <w:lvlText w:val="•"/>
      <w:lvlJc w:val="left"/>
      <w:pPr>
        <w:ind w:left="6343" w:hanging="601"/>
      </w:pPr>
      <w:rPr>
        <w:rFonts w:hint="default"/>
        <w:lang w:val="zh-CN" w:eastAsia="zh-CN" w:bidi="zh-CN"/>
      </w:rPr>
    </w:lvl>
    <w:lvl w:ilvl="6" w:tentative="0">
      <w:start w:val="0"/>
      <w:numFmt w:val="bullet"/>
      <w:lvlText w:val="•"/>
      <w:lvlJc w:val="left"/>
      <w:pPr>
        <w:ind w:left="7179" w:hanging="601"/>
      </w:pPr>
      <w:rPr>
        <w:rFonts w:hint="default"/>
        <w:lang w:val="zh-CN" w:eastAsia="zh-CN" w:bidi="zh-CN"/>
      </w:rPr>
    </w:lvl>
    <w:lvl w:ilvl="7" w:tentative="0">
      <w:start w:val="0"/>
      <w:numFmt w:val="bullet"/>
      <w:lvlText w:val="•"/>
      <w:lvlJc w:val="left"/>
      <w:pPr>
        <w:ind w:left="8016" w:hanging="601"/>
      </w:pPr>
      <w:rPr>
        <w:rFonts w:hint="default"/>
        <w:lang w:val="zh-CN" w:eastAsia="zh-CN" w:bidi="zh-CN"/>
      </w:rPr>
    </w:lvl>
    <w:lvl w:ilvl="8" w:tentative="0">
      <w:start w:val="0"/>
      <w:numFmt w:val="bullet"/>
      <w:lvlText w:val="•"/>
      <w:lvlJc w:val="left"/>
      <w:pPr>
        <w:ind w:left="8852" w:hanging="601"/>
      </w:pPr>
      <w:rPr>
        <w:rFonts w:hint="default"/>
        <w:lang w:val="zh-CN" w:eastAsia="zh-CN" w:bidi="zh-CN"/>
      </w:rPr>
    </w:lvl>
  </w:abstractNum>
  <w:abstractNum w:abstractNumId="14">
    <w:nsid w:val="39A0D9AC"/>
    <w:multiLevelType w:val="multilevel"/>
    <w:tmpl w:val="39A0D9AC"/>
    <w:lvl w:ilvl="0" w:tentative="0">
      <w:start w:val="1"/>
      <w:numFmt w:val="decimal"/>
      <w:lvlText w:val="（%1）"/>
      <w:lvlJc w:val="left"/>
      <w:pPr>
        <w:ind w:left="204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861" w:hanging="601"/>
      </w:pPr>
      <w:rPr>
        <w:rFonts w:hint="default"/>
        <w:lang w:val="zh-CN" w:eastAsia="zh-CN" w:bidi="zh-CN"/>
      </w:rPr>
    </w:lvl>
    <w:lvl w:ilvl="2" w:tentative="0">
      <w:start w:val="0"/>
      <w:numFmt w:val="bullet"/>
      <w:lvlText w:val="•"/>
      <w:lvlJc w:val="left"/>
      <w:pPr>
        <w:ind w:left="3682" w:hanging="601"/>
      </w:pPr>
      <w:rPr>
        <w:rFonts w:hint="default"/>
        <w:lang w:val="zh-CN" w:eastAsia="zh-CN" w:bidi="zh-CN"/>
      </w:rPr>
    </w:lvl>
    <w:lvl w:ilvl="3" w:tentative="0">
      <w:start w:val="0"/>
      <w:numFmt w:val="bullet"/>
      <w:lvlText w:val="•"/>
      <w:lvlJc w:val="left"/>
      <w:pPr>
        <w:ind w:left="4503" w:hanging="601"/>
      </w:pPr>
      <w:rPr>
        <w:rFonts w:hint="default"/>
        <w:lang w:val="zh-CN" w:eastAsia="zh-CN" w:bidi="zh-CN"/>
      </w:rPr>
    </w:lvl>
    <w:lvl w:ilvl="4" w:tentative="0">
      <w:start w:val="0"/>
      <w:numFmt w:val="bullet"/>
      <w:lvlText w:val="•"/>
      <w:lvlJc w:val="left"/>
      <w:pPr>
        <w:ind w:left="5324" w:hanging="601"/>
      </w:pPr>
      <w:rPr>
        <w:rFonts w:hint="default"/>
        <w:lang w:val="zh-CN" w:eastAsia="zh-CN" w:bidi="zh-CN"/>
      </w:rPr>
    </w:lvl>
    <w:lvl w:ilvl="5" w:tentative="0">
      <w:start w:val="0"/>
      <w:numFmt w:val="bullet"/>
      <w:lvlText w:val="•"/>
      <w:lvlJc w:val="left"/>
      <w:pPr>
        <w:ind w:left="6145" w:hanging="601"/>
      </w:pPr>
      <w:rPr>
        <w:rFonts w:hint="default"/>
        <w:lang w:val="zh-CN" w:eastAsia="zh-CN" w:bidi="zh-CN"/>
      </w:rPr>
    </w:lvl>
    <w:lvl w:ilvl="6" w:tentative="0">
      <w:start w:val="0"/>
      <w:numFmt w:val="bullet"/>
      <w:lvlText w:val="•"/>
      <w:lvlJc w:val="left"/>
      <w:pPr>
        <w:ind w:left="6966" w:hanging="601"/>
      </w:pPr>
      <w:rPr>
        <w:rFonts w:hint="default"/>
        <w:lang w:val="zh-CN" w:eastAsia="zh-CN" w:bidi="zh-CN"/>
      </w:rPr>
    </w:lvl>
    <w:lvl w:ilvl="7" w:tentative="0">
      <w:start w:val="0"/>
      <w:numFmt w:val="bullet"/>
      <w:lvlText w:val="•"/>
      <w:lvlJc w:val="left"/>
      <w:pPr>
        <w:ind w:left="7787" w:hanging="601"/>
      </w:pPr>
      <w:rPr>
        <w:rFonts w:hint="default"/>
        <w:lang w:val="zh-CN" w:eastAsia="zh-CN" w:bidi="zh-CN"/>
      </w:rPr>
    </w:lvl>
    <w:lvl w:ilvl="8" w:tentative="0">
      <w:start w:val="0"/>
      <w:numFmt w:val="bullet"/>
      <w:lvlText w:val="•"/>
      <w:lvlJc w:val="left"/>
      <w:pPr>
        <w:ind w:left="8608" w:hanging="601"/>
      </w:pPr>
      <w:rPr>
        <w:rFonts w:hint="default"/>
        <w:lang w:val="zh-CN" w:eastAsia="zh-CN" w:bidi="zh-CN"/>
      </w:rPr>
    </w:lvl>
  </w:abstractNum>
  <w:abstractNum w:abstractNumId="15">
    <w:nsid w:val="46A08BB8"/>
    <w:multiLevelType w:val="multilevel"/>
    <w:tmpl w:val="46A08BB8"/>
    <w:lvl w:ilvl="0" w:tentative="0">
      <w:start w:val="2"/>
      <w:numFmt w:val="decimal"/>
      <w:lvlText w:val="%1."/>
      <w:lvlJc w:val="left"/>
      <w:pPr>
        <w:ind w:left="1321"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2240" w:hanging="241"/>
      </w:pPr>
      <w:rPr>
        <w:rFonts w:hint="default"/>
        <w:lang w:val="zh-CN" w:eastAsia="zh-CN" w:bidi="zh-CN"/>
      </w:rPr>
    </w:lvl>
    <w:lvl w:ilvl="2" w:tentative="0">
      <w:start w:val="0"/>
      <w:numFmt w:val="bullet"/>
      <w:lvlText w:val="•"/>
      <w:lvlJc w:val="left"/>
      <w:pPr>
        <w:ind w:left="3161" w:hanging="241"/>
      </w:pPr>
      <w:rPr>
        <w:rFonts w:hint="default"/>
        <w:lang w:val="zh-CN" w:eastAsia="zh-CN" w:bidi="zh-CN"/>
      </w:rPr>
    </w:lvl>
    <w:lvl w:ilvl="3" w:tentative="0">
      <w:start w:val="0"/>
      <w:numFmt w:val="bullet"/>
      <w:lvlText w:val="•"/>
      <w:lvlJc w:val="left"/>
      <w:pPr>
        <w:ind w:left="4081" w:hanging="241"/>
      </w:pPr>
      <w:rPr>
        <w:rFonts w:hint="default"/>
        <w:lang w:val="zh-CN" w:eastAsia="zh-CN" w:bidi="zh-CN"/>
      </w:rPr>
    </w:lvl>
    <w:lvl w:ilvl="4" w:tentative="0">
      <w:start w:val="0"/>
      <w:numFmt w:val="bullet"/>
      <w:lvlText w:val="•"/>
      <w:lvlJc w:val="left"/>
      <w:pPr>
        <w:ind w:left="5002" w:hanging="241"/>
      </w:pPr>
      <w:rPr>
        <w:rFonts w:hint="default"/>
        <w:lang w:val="zh-CN" w:eastAsia="zh-CN" w:bidi="zh-CN"/>
      </w:rPr>
    </w:lvl>
    <w:lvl w:ilvl="5" w:tentative="0">
      <w:start w:val="0"/>
      <w:numFmt w:val="bullet"/>
      <w:lvlText w:val="•"/>
      <w:lvlJc w:val="left"/>
      <w:pPr>
        <w:ind w:left="5923" w:hanging="241"/>
      </w:pPr>
      <w:rPr>
        <w:rFonts w:hint="default"/>
        <w:lang w:val="zh-CN" w:eastAsia="zh-CN" w:bidi="zh-CN"/>
      </w:rPr>
    </w:lvl>
    <w:lvl w:ilvl="6" w:tentative="0">
      <w:start w:val="0"/>
      <w:numFmt w:val="bullet"/>
      <w:lvlText w:val="•"/>
      <w:lvlJc w:val="left"/>
      <w:pPr>
        <w:ind w:left="6843" w:hanging="241"/>
      </w:pPr>
      <w:rPr>
        <w:rFonts w:hint="default"/>
        <w:lang w:val="zh-CN" w:eastAsia="zh-CN" w:bidi="zh-CN"/>
      </w:rPr>
    </w:lvl>
    <w:lvl w:ilvl="7" w:tentative="0">
      <w:start w:val="0"/>
      <w:numFmt w:val="bullet"/>
      <w:lvlText w:val="•"/>
      <w:lvlJc w:val="left"/>
      <w:pPr>
        <w:ind w:left="7764" w:hanging="241"/>
      </w:pPr>
      <w:rPr>
        <w:rFonts w:hint="default"/>
        <w:lang w:val="zh-CN" w:eastAsia="zh-CN" w:bidi="zh-CN"/>
      </w:rPr>
    </w:lvl>
    <w:lvl w:ilvl="8" w:tentative="0">
      <w:start w:val="0"/>
      <w:numFmt w:val="bullet"/>
      <w:lvlText w:val="•"/>
      <w:lvlJc w:val="left"/>
      <w:pPr>
        <w:ind w:left="8684" w:hanging="241"/>
      </w:pPr>
      <w:rPr>
        <w:rFonts w:hint="default"/>
        <w:lang w:val="zh-CN" w:eastAsia="zh-CN" w:bidi="zh-CN"/>
      </w:rPr>
    </w:lvl>
  </w:abstractNum>
  <w:abstractNum w:abstractNumId="16">
    <w:nsid w:val="4D4DC07F"/>
    <w:multiLevelType w:val="multilevel"/>
    <w:tmpl w:val="4D4DC07F"/>
    <w:lvl w:ilvl="0" w:tentative="0">
      <w:start w:val="19"/>
      <w:numFmt w:val="decimal"/>
      <w:lvlText w:val="%1."/>
      <w:lvlJc w:val="left"/>
      <w:pPr>
        <w:ind w:left="1080" w:hanging="36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080" w:hanging="600"/>
      </w:pPr>
      <w:rPr>
        <w:rFonts w:hint="default" w:ascii="宋体" w:hAnsi="宋体" w:eastAsia="宋体" w:cs="宋体"/>
        <w:spacing w:val="-10"/>
        <w:w w:val="100"/>
        <w:sz w:val="24"/>
        <w:szCs w:val="24"/>
        <w:lang w:val="zh-CN" w:eastAsia="zh-CN" w:bidi="zh-CN"/>
      </w:rPr>
    </w:lvl>
    <w:lvl w:ilvl="2" w:tentative="0">
      <w:start w:val="0"/>
      <w:numFmt w:val="bullet"/>
      <w:lvlText w:val="•"/>
      <w:lvlJc w:val="left"/>
      <w:pPr>
        <w:ind w:left="3036" w:hanging="600"/>
      </w:pPr>
      <w:rPr>
        <w:rFonts w:hint="default"/>
        <w:lang w:val="zh-CN" w:eastAsia="zh-CN" w:bidi="zh-CN"/>
      </w:rPr>
    </w:lvl>
    <w:lvl w:ilvl="3" w:tentative="0">
      <w:start w:val="0"/>
      <w:numFmt w:val="bullet"/>
      <w:lvlText w:val="•"/>
      <w:lvlJc w:val="left"/>
      <w:pPr>
        <w:ind w:left="3972" w:hanging="600"/>
      </w:pPr>
      <w:rPr>
        <w:rFonts w:hint="default"/>
        <w:lang w:val="zh-CN" w:eastAsia="zh-CN" w:bidi="zh-CN"/>
      </w:rPr>
    </w:lvl>
    <w:lvl w:ilvl="4" w:tentative="0">
      <w:start w:val="0"/>
      <w:numFmt w:val="bullet"/>
      <w:lvlText w:val="•"/>
      <w:lvlJc w:val="left"/>
      <w:pPr>
        <w:ind w:left="4908" w:hanging="600"/>
      </w:pPr>
      <w:rPr>
        <w:rFonts w:hint="default"/>
        <w:lang w:val="zh-CN" w:eastAsia="zh-CN" w:bidi="zh-CN"/>
      </w:rPr>
    </w:lvl>
    <w:lvl w:ilvl="5" w:tentative="0">
      <w:start w:val="0"/>
      <w:numFmt w:val="bullet"/>
      <w:lvlText w:val="•"/>
      <w:lvlJc w:val="left"/>
      <w:pPr>
        <w:ind w:left="5844" w:hanging="600"/>
      </w:pPr>
      <w:rPr>
        <w:rFonts w:hint="default"/>
        <w:lang w:val="zh-CN" w:eastAsia="zh-CN" w:bidi="zh-CN"/>
      </w:rPr>
    </w:lvl>
    <w:lvl w:ilvl="6" w:tentative="0">
      <w:start w:val="0"/>
      <w:numFmt w:val="bullet"/>
      <w:lvlText w:val="•"/>
      <w:lvlJc w:val="left"/>
      <w:pPr>
        <w:ind w:left="6781" w:hanging="600"/>
      </w:pPr>
      <w:rPr>
        <w:rFonts w:hint="default"/>
        <w:lang w:val="zh-CN" w:eastAsia="zh-CN" w:bidi="zh-CN"/>
      </w:rPr>
    </w:lvl>
    <w:lvl w:ilvl="7" w:tentative="0">
      <w:start w:val="0"/>
      <w:numFmt w:val="bullet"/>
      <w:lvlText w:val="•"/>
      <w:lvlJc w:val="left"/>
      <w:pPr>
        <w:ind w:left="7717" w:hanging="600"/>
      </w:pPr>
      <w:rPr>
        <w:rFonts w:hint="default"/>
        <w:lang w:val="zh-CN" w:eastAsia="zh-CN" w:bidi="zh-CN"/>
      </w:rPr>
    </w:lvl>
    <w:lvl w:ilvl="8" w:tentative="0">
      <w:start w:val="0"/>
      <w:numFmt w:val="bullet"/>
      <w:lvlText w:val="•"/>
      <w:lvlJc w:val="left"/>
      <w:pPr>
        <w:ind w:left="8653" w:hanging="600"/>
      </w:pPr>
      <w:rPr>
        <w:rFonts w:hint="default"/>
        <w:lang w:val="zh-CN" w:eastAsia="zh-CN" w:bidi="zh-CN"/>
      </w:rPr>
    </w:lvl>
  </w:abstractNum>
  <w:abstractNum w:abstractNumId="17">
    <w:nsid w:val="5A241D34"/>
    <w:multiLevelType w:val="multilevel"/>
    <w:tmpl w:val="5A241D34"/>
    <w:lvl w:ilvl="0" w:tentative="0">
      <w:start w:val="8"/>
      <w:numFmt w:val="decimal"/>
      <w:lvlText w:val="%1."/>
      <w:lvlJc w:val="left"/>
      <w:pPr>
        <w:ind w:left="1323" w:hanging="244"/>
      </w:pPr>
      <w:rPr>
        <w:rFonts w:hint="default" w:ascii="宋体" w:hAnsi="宋体" w:eastAsia="宋体" w:cs="宋体"/>
        <w:b/>
        <w:bCs/>
        <w:spacing w:val="-3"/>
        <w:w w:val="99"/>
        <w:sz w:val="22"/>
        <w:szCs w:val="22"/>
        <w:lang w:val="zh-CN" w:eastAsia="zh-CN" w:bidi="zh-CN"/>
      </w:rPr>
    </w:lvl>
    <w:lvl w:ilvl="1" w:tentative="0">
      <w:start w:val="1"/>
      <w:numFmt w:val="decimal"/>
      <w:lvlText w:val="%1.%2"/>
      <w:lvlJc w:val="left"/>
      <w:pPr>
        <w:ind w:left="1080" w:hanging="480"/>
      </w:pPr>
      <w:rPr>
        <w:rFonts w:hint="default" w:ascii="宋体" w:hAnsi="宋体" w:eastAsia="宋体" w:cs="宋体"/>
        <w:spacing w:val="-94"/>
        <w:w w:val="100"/>
        <w:sz w:val="24"/>
        <w:szCs w:val="24"/>
        <w:lang w:val="zh-CN" w:eastAsia="zh-CN" w:bidi="zh-CN"/>
      </w:rPr>
    </w:lvl>
    <w:lvl w:ilvl="2" w:tentative="0">
      <w:start w:val="0"/>
      <w:numFmt w:val="bullet"/>
      <w:lvlText w:val="•"/>
      <w:lvlJc w:val="left"/>
      <w:pPr>
        <w:ind w:left="2160" w:hanging="480"/>
      </w:pPr>
      <w:rPr>
        <w:rFonts w:hint="default"/>
        <w:lang w:val="zh-CN" w:eastAsia="zh-CN" w:bidi="zh-CN"/>
      </w:rPr>
    </w:lvl>
    <w:lvl w:ilvl="3" w:tentative="0">
      <w:start w:val="0"/>
      <w:numFmt w:val="bullet"/>
      <w:lvlText w:val="•"/>
      <w:lvlJc w:val="left"/>
      <w:pPr>
        <w:ind w:left="3205" w:hanging="480"/>
      </w:pPr>
      <w:rPr>
        <w:rFonts w:hint="default"/>
        <w:lang w:val="zh-CN" w:eastAsia="zh-CN" w:bidi="zh-CN"/>
      </w:rPr>
    </w:lvl>
    <w:lvl w:ilvl="4" w:tentative="0">
      <w:start w:val="0"/>
      <w:numFmt w:val="bullet"/>
      <w:lvlText w:val="•"/>
      <w:lvlJc w:val="left"/>
      <w:pPr>
        <w:ind w:left="4251" w:hanging="480"/>
      </w:pPr>
      <w:rPr>
        <w:rFonts w:hint="default"/>
        <w:lang w:val="zh-CN" w:eastAsia="zh-CN" w:bidi="zh-CN"/>
      </w:rPr>
    </w:lvl>
    <w:lvl w:ilvl="5" w:tentative="0">
      <w:start w:val="0"/>
      <w:numFmt w:val="bullet"/>
      <w:lvlText w:val="•"/>
      <w:lvlJc w:val="left"/>
      <w:pPr>
        <w:ind w:left="5297" w:hanging="480"/>
      </w:pPr>
      <w:rPr>
        <w:rFonts w:hint="default"/>
        <w:lang w:val="zh-CN" w:eastAsia="zh-CN" w:bidi="zh-CN"/>
      </w:rPr>
    </w:lvl>
    <w:lvl w:ilvl="6" w:tentative="0">
      <w:start w:val="0"/>
      <w:numFmt w:val="bullet"/>
      <w:lvlText w:val="•"/>
      <w:lvlJc w:val="left"/>
      <w:pPr>
        <w:ind w:left="6343" w:hanging="480"/>
      </w:pPr>
      <w:rPr>
        <w:rFonts w:hint="default"/>
        <w:lang w:val="zh-CN" w:eastAsia="zh-CN" w:bidi="zh-CN"/>
      </w:rPr>
    </w:lvl>
    <w:lvl w:ilvl="7" w:tentative="0">
      <w:start w:val="0"/>
      <w:numFmt w:val="bullet"/>
      <w:lvlText w:val="•"/>
      <w:lvlJc w:val="left"/>
      <w:pPr>
        <w:ind w:left="7388" w:hanging="480"/>
      </w:pPr>
      <w:rPr>
        <w:rFonts w:hint="default"/>
        <w:lang w:val="zh-CN" w:eastAsia="zh-CN" w:bidi="zh-CN"/>
      </w:rPr>
    </w:lvl>
    <w:lvl w:ilvl="8" w:tentative="0">
      <w:start w:val="0"/>
      <w:numFmt w:val="bullet"/>
      <w:lvlText w:val="•"/>
      <w:lvlJc w:val="left"/>
      <w:pPr>
        <w:ind w:left="8434" w:hanging="480"/>
      </w:pPr>
      <w:rPr>
        <w:rFonts w:hint="default"/>
        <w:lang w:val="zh-CN" w:eastAsia="zh-CN" w:bidi="zh-CN"/>
      </w:rPr>
    </w:lvl>
  </w:abstractNum>
  <w:abstractNum w:abstractNumId="18">
    <w:nsid w:val="629F7852"/>
    <w:multiLevelType w:val="multilevel"/>
    <w:tmpl w:val="629F7852"/>
    <w:lvl w:ilvl="0" w:tentative="0">
      <w:start w:val="1"/>
      <w:numFmt w:val="decimal"/>
      <w:lvlText w:val="（%1）"/>
      <w:lvlJc w:val="left"/>
      <w:pPr>
        <w:ind w:left="204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861" w:hanging="601"/>
      </w:pPr>
      <w:rPr>
        <w:rFonts w:hint="default"/>
        <w:lang w:val="zh-CN" w:eastAsia="zh-CN" w:bidi="zh-CN"/>
      </w:rPr>
    </w:lvl>
    <w:lvl w:ilvl="2" w:tentative="0">
      <w:start w:val="0"/>
      <w:numFmt w:val="bullet"/>
      <w:lvlText w:val="•"/>
      <w:lvlJc w:val="left"/>
      <w:pPr>
        <w:ind w:left="3682" w:hanging="601"/>
      </w:pPr>
      <w:rPr>
        <w:rFonts w:hint="default"/>
        <w:lang w:val="zh-CN" w:eastAsia="zh-CN" w:bidi="zh-CN"/>
      </w:rPr>
    </w:lvl>
    <w:lvl w:ilvl="3" w:tentative="0">
      <w:start w:val="0"/>
      <w:numFmt w:val="bullet"/>
      <w:lvlText w:val="•"/>
      <w:lvlJc w:val="left"/>
      <w:pPr>
        <w:ind w:left="4503" w:hanging="601"/>
      </w:pPr>
      <w:rPr>
        <w:rFonts w:hint="default"/>
        <w:lang w:val="zh-CN" w:eastAsia="zh-CN" w:bidi="zh-CN"/>
      </w:rPr>
    </w:lvl>
    <w:lvl w:ilvl="4" w:tentative="0">
      <w:start w:val="0"/>
      <w:numFmt w:val="bullet"/>
      <w:lvlText w:val="•"/>
      <w:lvlJc w:val="left"/>
      <w:pPr>
        <w:ind w:left="5324" w:hanging="601"/>
      </w:pPr>
      <w:rPr>
        <w:rFonts w:hint="default"/>
        <w:lang w:val="zh-CN" w:eastAsia="zh-CN" w:bidi="zh-CN"/>
      </w:rPr>
    </w:lvl>
    <w:lvl w:ilvl="5" w:tentative="0">
      <w:start w:val="0"/>
      <w:numFmt w:val="bullet"/>
      <w:lvlText w:val="•"/>
      <w:lvlJc w:val="left"/>
      <w:pPr>
        <w:ind w:left="6145" w:hanging="601"/>
      </w:pPr>
      <w:rPr>
        <w:rFonts w:hint="default"/>
        <w:lang w:val="zh-CN" w:eastAsia="zh-CN" w:bidi="zh-CN"/>
      </w:rPr>
    </w:lvl>
    <w:lvl w:ilvl="6" w:tentative="0">
      <w:start w:val="0"/>
      <w:numFmt w:val="bullet"/>
      <w:lvlText w:val="•"/>
      <w:lvlJc w:val="left"/>
      <w:pPr>
        <w:ind w:left="6966" w:hanging="601"/>
      </w:pPr>
      <w:rPr>
        <w:rFonts w:hint="default"/>
        <w:lang w:val="zh-CN" w:eastAsia="zh-CN" w:bidi="zh-CN"/>
      </w:rPr>
    </w:lvl>
    <w:lvl w:ilvl="7" w:tentative="0">
      <w:start w:val="0"/>
      <w:numFmt w:val="bullet"/>
      <w:lvlText w:val="•"/>
      <w:lvlJc w:val="left"/>
      <w:pPr>
        <w:ind w:left="7787" w:hanging="601"/>
      </w:pPr>
      <w:rPr>
        <w:rFonts w:hint="default"/>
        <w:lang w:val="zh-CN" w:eastAsia="zh-CN" w:bidi="zh-CN"/>
      </w:rPr>
    </w:lvl>
    <w:lvl w:ilvl="8" w:tentative="0">
      <w:start w:val="0"/>
      <w:numFmt w:val="bullet"/>
      <w:lvlText w:val="•"/>
      <w:lvlJc w:val="left"/>
      <w:pPr>
        <w:ind w:left="8608" w:hanging="601"/>
      </w:pPr>
      <w:rPr>
        <w:rFonts w:hint="default"/>
        <w:lang w:val="zh-CN" w:eastAsia="zh-CN" w:bidi="zh-CN"/>
      </w:rPr>
    </w:lvl>
  </w:abstractNum>
  <w:abstractNum w:abstractNumId="19">
    <w:nsid w:val="77ECEA79"/>
    <w:multiLevelType w:val="multilevel"/>
    <w:tmpl w:val="77ECEA79"/>
    <w:lvl w:ilvl="0" w:tentative="0">
      <w:start w:val="1"/>
      <w:numFmt w:val="decimal"/>
      <w:lvlText w:val="%1."/>
      <w:lvlJc w:val="left"/>
      <w:pPr>
        <w:ind w:left="1673" w:hanging="244"/>
      </w:pPr>
      <w:rPr>
        <w:rFonts w:hint="default"/>
        <w:b/>
        <w:bCs/>
        <w:spacing w:val="-3"/>
        <w:w w:val="99"/>
        <w:lang w:val="zh-CN" w:eastAsia="zh-CN" w:bidi="zh-CN"/>
      </w:rPr>
    </w:lvl>
    <w:lvl w:ilvl="1" w:tentative="0">
      <w:start w:val="1"/>
      <w:numFmt w:val="decimal"/>
      <w:lvlText w:val="%1.%2"/>
      <w:lvlJc w:val="left"/>
      <w:pPr>
        <w:ind w:left="960" w:hanging="420"/>
      </w:pPr>
      <w:rPr>
        <w:rFonts w:hint="default"/>
        <w:w w:val="100"/>
        <w:lang w:val="zh-CN" w:eastAsia="zh-CN" w:bidi="zh-CN"/>
      </w:rPr>
    </w:lvl>
    <w:lvl w:ilvl="2" w:tentative="0">
      <w:start w:val="1"/>
      <w:numFmt w:val="decimal"/>
      <w:lvlText w:val="%1.%2.%3"/>
      <w:lvlJc w:val="left"/>
      <w:pPr>
        <w:ind w:left="960" w:hanging="420"/>
      </w:pPr>
      <w:rPr>
        <w:rFonts w:hint="default" w:ascii="宋体" w:hAnsi="宋体" w:eastAsia="宋体" w:cs="宋体"/>
        <w:w w:val="100"/>
        <w:sz w:val="24"/>
        <w:szCs w:val="24"/>
        <w:lang w:val="zh-CN" w:eastAsia="zh-CN" w:bidi="zh-CN"/>
      </w:rPr>
    </w:lvl>
    <w:lvl w:ilvl="3" w:tentative="0">
      <w:start w:val="0"/>
      <w:numFmt w:val="bullet"/>
      <w:lvlText w:val="•"/>
      <w:lvlJc w:val="left"/>
      <w:pPr>
        <w:ind w:left="2100" w:hanging="420"/>
      </w:pPr>
      <w:rPr>
        <w:rFonts w:hint="default"/>
        <w:lang w:val="zh-CN" w:eastAsia="zh-CN" w:bidi="zh-CN"/>
      </w:rPr>
    </w:lvl>
    <w:lvl w:ilvl="4" w:tentative="0">
      <w:start w:val="0"/>
      <w:numFmt w:val="bullet"/>
      <w:lvlText w:val="•"/>
      <w:lvlJc w:val="left"/>
      <w:pPr>
        <w:ind w:left="3264" w:hanging="420"/>
      </w:pPr>
      <w:rPr>
        <w:rFonts w:hint="default"/>
        <w:lang w:val="zh-CN" w:eastAsia="zh-CN" w:bidi="zh-CN"/>
      </w:rPr>
    </w:lvl>
    <w:lvl w:ilvl="5" w:tentative="0">
      <w:start w:val="0"/>
      <w:numFmt w:val="bullet"/>
      <w:lvlText w:val="•"/>
      <w:lvlJc w:val="left"/>
      <w:pPr>
        <w:ind w:left="4428" w:hanging="420"/>
      </w:pPr>
      <w:rPr>
        <w:rFonts w:hint="default"/>
        <w:lang w:val="zh-CN" w:eastAsia="zh-CN" w:bidi="zh-CN"/>
      </w:rPr>
    </w:lvl>
    <w:lvl w:ilvl="6" w:tentative="0">
      <w:start w:val="0"/>
      <w:numFmt w:val="bullet"/>
      <w:lvlText w:val="•"/>
      <w:lvlJc w:val="left"/>
      <w:pPr>
        <w:ind w:left="5592" w:hanging="420"/>
      </w:pPr>
      <w:rPr>
        <w:rFonts w:hint="default"/>
        <w:lang w:val="zh-CN" w:eastAsia="zh-CN" w:bidi="zh-CN"/>
      </w:rPr>
    </w:lvl>
    <w:lvl w:ilvl="7" w:tentative="0">
      <w:start w:val="0"/>
      <w:numFmt w:val="bullet"/>
      <w:lvlText w:val="•"/>
      <w:lvlJc w:val="left"/>
      <w:pPr>
        <w:ind w:left="6757" w:hanging="420"/>
      </w:pPr>
      <w:rPr>
        <w:rFonts w:hint="default"/>
        <w:lang w:val="zh-CN" w:eastAsia="zh-CN" w:bidi="zh-CN"/>
      </w:rPr>
    </w:lvl>
    <w:lvl w:ilvl="8" w:tentative="0">
      <w:start w:val="0"/>
      <w:numFmt w:val="bullet"/>
      <w:lvlText w:val="•"/>
      <w:lvlJc w:val="left"/>
      <w:pPr>
        <w:ind w:left="7921" w:hanging="420"/>
      </w:pPr>
      <w:rPr>
        <w:rFonts w:hint="default"/>
        <w:lang w:val="zh-CN" w:eastAsia="zh-CN" w:bidi="zh-CN"/>
      </w:rPr>
    </w:lvl>
  </w:abstractNum>
  <w:num w:numId="1">
    <w:abstractNumId w:val="11"/>
  </w:num>
  <w:num w:numId="2">
    <w:abstractNumId w:val="5"/>
  </w:num>
  <w:num w:numId="3">
    <w:abstractNumId w:val="9"/>
  </w:num>
  <w:num w:numId="4">
    <w:abstractNumId w:val="1"/>
  </w:num>
  <w:num w:numId="5">
    <w:abstractNumId w:val="13"/>
  </w:num>
  <w:num w:numId="6">
    <w:abstractNumId w:val="17"/>
  </w:num>
  <w:num w:numId="7">
    <w:abstractNumId w:val="6"/>
  </w:num>
  <w:num w:numId="8">
    <w:abstractNumId w:val="16"/>
  </w:num>
  <w:num w:numId="9">
    <w:abstractNumId w:val="10"/>
  </w:num>
  <w:num w:numId="10">
    <w:abstractNumId w:val="12"/>
  </w:num>
  <w:num w:numId="11">
    <w:abstractNumId w:val="8"/>
  </w:num>
  <w:num w:numId="12">
    <w:abstractNumId w:val="7"/>
  </w:num>
  <w:num w:numId="13">
    <w:abstractNumId w:val="3"/>
  </w:num>
  <w:num w:numId="14">
    <w:abstractNumId w:val="15"/>
  </w:num>
  <w:num w:numId="15">
    <w:abstractNumId w:val="19"/>
  </w:num>
  <w:num w:numId="16">
    <w:abstractNumId w:val="4"/>
  </w:num>
  <w:num w:numId="17">
    <w:abstractNumId w:val="18"/>
  </w:num>
  <w:num w:numId="18">
    <w:abstractNumId w:val="2"/>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397D"/>
    <w:rsid w:val="001A44F0"/>
    <w:rsid w:val="003A6523"/>
    <w:rsid w:val="00676BF4"/>
    <w:rsid w:val="007C7D11"/>
    <w:rsid w:val="0080562E"/>
    <w:rsid w:val="00A575E3"/>
    <w:rsid w:val="00A579EB"/>
    <w:rsid w:val="00A73356"/>
    <w:rsid w:val="00A95F51"/>
    <w:rsid w:val="00C35841"/>
    <w:rsid w:val="00C95DEB"/>
    <w:rsid w:val="00D07CB1"/>
    <w:rsid w:val="00DD4A6F"/>
    <w:rsid w:val="00DF5DE8"/>
    <w:rsid w:val="00E204C0"/>
    <w:rsid w:val="00FC1248"/>
    <w:rsid w:val="01781671"/>
    <w:rsid w:val="01EE712B"/>
    <w:rsid w:val="045D19BD"/>
    <w:rsid w:val="04971789"/>
    <w:rsid w:val="05122CBF"/>
    <w:rsid w:val="058C3E5D"/>
    <w:rsid w:val="05C564FF"/>
    <w:rsid w:val="05E245F5"/>
    <w:rsid w:val="070416AE"/>
    <w:rsid w:val="078D35A9"/>
    <w:rsid w:val="079109BB"/>
    <w:rsid w:val="07F25CC7"/>
    <w:rsid w:val="083E5BCE"/>
    <w:rsid w:val="08691F9D"/>
    <w:rsid w:val="086F0C8F"/>
    <w:rsid w:val="09A11F5C"/>
    <w:rsid w:val="0AF97920"/>
    <w:rsid w:val="0B1411BC"/>
    <w:rsid w:val="0B423FDE"/>
    <w:rsid w:val="0C2A638D"/>
    <w:rsid w:val="0C2A68AC"/>
    <w:rsid w:val="0C901374"/>
    <w:rsid w:val="0CE3244D"/>
    <w:rsid w:val="0D0536E8"/>
    <w:rsid w:val="0D9755A9"/>
    <w:rsid w:val="0F5A6238"/>
    <w:rsid w:val="0FAC553F"/>
    <w:rsid w:val="0FE31CC6"/>
    <w:rsid w:val="11305BF3"/>
    <w:rsid w:val="12075402"/>
    <w:rsid w:val="12775720"/>
    <w:rsid w:val="132556D1"/>
    <w:rsid w:val="1375326A"/>
    <w:rsid w:val="14CA2AC2"/>
    <w:rsid w:val="16251C1C"/>
    <w:rsid w:val="167A283D"/>
    <w:rsid w:val="16950B2A"/>
    <w:rsid w:val="16FA3255"/>
    <w:rsid w:val="16FC7E28"/>
    <w:rsid w:val="17660095"/>
    <w:rsid w:val="17B00DE2"/>
    <w:rsid w:val="181A60E1"/>
    <w:rsid w:val="18672007"/>
    <w:rsid w:val="187A789C"/>
    <w:rsid w:val="18803089"/>
    <w:rsid w:val="18D856DB"/>
    <w:rsid w:val="18DA3642"/>
    <w:rsid w:val="195A680E"/>
    <w:rsid w:val="19760048"/>
    <w:rsid w:val="19CA2ECA"/>
    <w:rsid w:val="1B3C39A5"/>
    <w:rsid w:val="1C644A2C"/>
    <w:rsid w:val="1D570647"/>
    <w:rsid w:val="1E0732AF"/>
    <w:rsid w:val="1E0E30D9"/>
    <w:rsid w:val="1E6314CD"/>
    <w:rsid w:val="1E894D63"/>
    <w:rsid w:val="1EFA1E5D"/>
    <w:rsid w:val="1F5533D5"/>
    <w:rsid w:val="1F8B443E"/>
    <w:rsid w:val="1F8F5075"/>
    <w:rsid w:val="20051693"/>
    <w:rsid w:val="20A6665E"/>
    <w:rsid w:val="214321E2"/>
    <w:rsid w:val="218362C8"/>
    <w:rsid w:val="221C4BB6"/>
    <w:rsid w:val="2264626D"/>
    <w:rsid w:val="226D40A1"/>
    <w:rsid w:val="22A46601"/>
    <w:rsid w:val="252A1E49"/>
    <w:rsid w:val="2694202E"/>
    <w:rsid w:val="26E20299"/>
    <w:rsid w:val="281856E0"/>
    <w:rsid w:val="29A7098E"/>
    <w:rsid w:val="29D3541D"/>
    <w:rsid w:val="29D659B2"/>
    <w:rsid w:val="2A082AF6"/>
    <w:rsid w:val="2A5963A6"/>
    <w:rsid w:val="2BDD3022"/>
    <w:rsid w:val="2BFF53AC"/>
    <w:rsid w:val="2C9545AB"/>
    <w:rsid w:val="2D0F6051"/>
    <w:rsid w:val="2E153F3A"/>
    <w:rsid w:val="2EA13FDC"/>
    <w:rsid w:val="2F5E6B71"/>
    <w:rsid w:val="2FB41A68"/>
    <w:rsid w:val="30171CBA"/>
    <w:rsid w:val="32655E8B"/>
    <w:rsid w:val="32FB03C0"/>
    <w:rsid w:val="341C6BF6"/>
    <w:rsid w:val="343828CA"/>
    <w:rsid w:val="34CB5781"/>
    <w:rsid w:val="34FE13D4"/>
    <w:rsid w:val="350712E6"/>
    <w:rsid w:val="35904812"/>
    <w:rsid w:val="36011941"/>
    <w:rsid w:val="363760A8"/>
    <w:rsid w:val="368857A8"/>
    <w:rsid w:val="36C97B0F"/>
    <w:rsid w:val="3719532D"/>
    <w:rsid w:val="37E82686"/>
    <w:rsid w:val="38037B01"/>
    <w:rsid w:val="3B0B6F71"/>
    <w:rsid w:val="3BDE27C2"/>
    <w:rsid w:val="3C5D2C7F"/>
    <w:rsid w:val="3D265F48"/>
    <w:rsid w:val="3D3E65A7"/>
    <w:rsid w:val="3D8F0F39"/>
    <w:rsid w:val="3DA3562F"/>
    <w:rsid w:val="3F381F02"/>
    <w:rsid w:val="3FEE4363"/>
    <w:rsid w:val="40E0559C"/>
    <w:rsid w:val="428D599D"/>
    <w:rsid w:val="43066D17"/>
    <w:rsid w:val="44CC6046"/>
    <w:rsid w:val="47397312"/>
    <w:rsid w:val="482F27B2"/>
    <w:rsid w:val="4851615C"/>
    <w:rsid w:val="487A5690"/>
    <w:rsid w:val="495D51AF"/>
    <w:rsid w:val="4B926D19"/>
    <w:rsid w:val="4BFA5388"/>
    <w:rsid w:val="4C5217A7"/>
    <w:rsid w:val="4CFF7284"/>
    <w:rsid w:val="4FB5638C"/>
    <w:rsid w:val="4FE82469"/>
    <w:rsid w:val="50180753"/>
    <w:rsid w:val="5055677D"/>
    <w:rsid w:val="5167011D"/>
    <w:rsid w:val="51D73634"/>
    <w:rsid w:val="522272EA"/>
    <w:rsid w:val="533F0D6D"/>
    <w:rsid w:val="536C50C0"/>
    <w:rsid w:val="55010CA8"/>
    <w:rsid w:val="55CC4FA5"/>
    <w:rsid w:val="560633D4"/>
    <w:rsid w:val="572774BD"/>
    <w:rsid w:val="57D92CAC"/>
    <w:rsid w:val="58106BE3"/>
    <w:rsid w:val="58F32559"/>
    <w:rsid w:val="596C19B2"/>
    <w:rsid w:val="59DF1F43"/>
    <w:rsid w:val="5A4A153E"/>
    <w:rsid w:val="5A704BAC"/>
    <w:rsid w:val="5AB35BCE"/>
    <w:rsid w:val="5B8F3970"/>
    <w:rsid w:val="5BBF33C9"/>
    <w:rsid w:val="5BFF1560"/>
    <w:rsid w:val="5C4B702F"/>
    <w:rsid w:val="5C6D163C"/>
    <w:rsid w:val="5CAA05E9"/>
    <w:rsid w:val="5CED6F60"/>
    <w:rsid w:val="5D78066B"/>
    <w:rsid w:val="5D925149"/>
    <w:rsid w:val="5DD764FD"/>
    <w:rsid w:val="5E69057B"/>
    <w:rsid w:val="5FFF575A"/>
    <w:rsid w:val="600005BF"/>
    <w:rsid w:val="6044370B"/>
    <w:rsid w:val="608B4990"/>
    <w:rsid w:val="60AE7934"/>
    <w:rsid w:val="6111328D"/>
    <w:rsid w:val="619A2C20"/>
    <w:rsid w:val="61C757F8"/>
    <w:rsid w:val="6330489C"/>
    <w:rsid w:val="63832ED6"/>
    <w:rsid w:val="643951DB"/>
    <w:rsid w:val="647D0948"/>
    <w:rsid w:val="651A2F96"/>
    <w:rsid w:val="652E1D94"/>
    <w:rsid w:val="659C6209"/>
    <w:rsid w:val="66CD1188"/>
    <w:rsid w:val="66F175D3"/>
    <w:rsid w:val="6807139C"/>
    <w:rsid w:val="680E5A30"/>
    <w:rsid w:val="68443713"/>
    <w:rsid w:val="69362DFE"/>
    <w:rsid w:val="69A644A7"/>
    <w:rsid w:val="6A8E7A40"/>
    <w:rsid w:val="6ABB3250"/>
    <w:rsid w:val="6ABC213D"/>
    <w:rsid w:val="6BA41A03"/>
    <w:rsid w:val="6BAF15CA"/>
    <w:rsid w:val="6BD11264"/>
    <w:rsid w:val="6C8F5322"/>
    <w:rsid w:val="6CC40055"/>
    <w:rsid w:val="6ED94837"/>
    <w:rsid w:val="718864D7"/>
    <w:rsid w:val="7191732E"/>
    <w:rsid w:val="74092A6E"/>
    <w:rsid w:val="741D6A33"/>
    <w:rsid w:val="74DE1991"/>
    <w:rsid w:val="76E316CF"/>
    <w:rsid w:val="77CC4996"/>
    <w:rsid w:val="78F446C7"/>
    <w:rsid w:val="7B3E1426"/>
    <w:rsid w:val="7B835F9F"/>
    <w:rsid w:val="7B8B271A"/>
    <w:rsid w:val="7B9E4A34"/>
    <w:rsid w:val="7C5C5A77"/>
    <w:rsid w:val="7CFD09F7"/>
    <w:rsid w:val="7D04710B"/>
    <w:rsid w:val="7D8B7EA0"/>
    <w:rsid w:val="7E086AC1"/>
    <w:rsid w:val="7E364CE0"/>
    <w:rsid w:val="7E972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149"/>
      <w:ind w:right="2721"/>
      <w:jc w:val="center"/>
      <w:outlineLvl w:val="0"/>
    </w:pPr>
    <w:rPr>
      <w:b/>
      <w:bCs/>
      <w:sz w:val="32"/>
      <w:szCs w:val="32"/>
    </w:rPr>
  </w:style>
  <w:style w:type="paragraph" w:styleId="4">
    <w:name w:val="heading 2"/>
    <w:basedOn w:val="1"/>
    <w:next w:val="1"/>
    <w:qFormat/>
    <w:uiPriority w:val="1"/>
    <w:pPr>
      <w:spacing w:before="2"/>
      <w:ind w:left="2664" w:right="2572"/>
      <w:jc w:val="center"/>
      <w:outlineLvl w:val="1"/>
    </w:pPr>
    <w:rPr>
      <w:b/>
      <w:bCs/>
      <w:sz w:val="30"/>
      <w:szCs w:val="30"/>
    </w:rPr>
  </w:style>
  <w:style w:type="paragraph" w:styleId="5">
    <w:name w:val="heading 3"/>
    <w:basedOn w:val="1"/>
    <w:next w:val="1"/>
    <w:qFormat/>
    <w:uiPriority w:val="1"/>
    <w:pPr>
      <w:spacing w:line="321" w:lineRule="exact"/>
      <w:ind w:left="20"/>
      <w:outlineLvl w:val="2"/>
    </w:pPr>
    <w:rPr>
      <w:b/>
      <w:bCs/>
      <w:sz w:val="28"/>
      <w:szCs w:val="28"/>
    </w:rPr>
  </w:style>
  <w:style w:type="paragraph" w:styleId="6">
    <w:name w:val="heading 4"/>
    <w:basedOn w:val="1"/>
    <w:next w:val="1"/>
    <w:qFormat/>
    <w:uiPriority w:val="1"/>
    <w:pPr>
      <w:ind w:left="1080"/>
      <w:outlineLvl w:val="3"/>
    </w:pPr>
    <w:rPr>
      <w:b/>
      <w:bCs/>
      <w:sz w:val="24"/>
      <w:szCs w:val="24"/>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7">
    <w:name w:val="Body Text"/>
    <w:basedOn w:val="1"/>
    <w:next w:val="1"/>
    <w:qFormat/>
    <w:uiPriority w:val="1"/>
    <w:rPr>
      <w:sz w:val="24"/>
      <w:szCs w:val="24"/>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toc 1"/>
    <w:basedOn w:val="1"/>
    <w:next w:val="1"/>
    <w:qFormat/>
    <w:uiPriority w:val="1"/>
    <w:pPr>
      <w:spacing w:before="472"/>
      <w:ind w:left="1500"/>
    </w:pPr>
    <w:rPr>
      <w:sz w:val="24"/>
      <w:szCs w:val="24"/>
    </w:rPr>
  </w:style>
  <w:style w:type="paragraph" w:styleId="11">
    <w:name w:val="Normal (Web)"/>
    <w:basedOn w:val="1"/>
    <w:qFormat/>
    <w:uiPriority w:val="0"/>
    <w:pPr>
      <w:widowControl/>
      <w:spacing w:before="100" w:beforeAutospacing="1" w:after="100" w:afterAutospacing="1"/>
      <w:jc w:val="left"/>
    </w:pPr>
    <w:rPr>
      <w:rFonts w:ascii="宋体" w:hAnsi="Times New Roman" w:eastAsia="宋体" w:cs="Times New Roman"/>
      <w:kern w:val="0"/>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spacing w:before="161"/>
      <w:ind w:left="1080" w:firstLine="480"/>
    </w:pPr>
  </w:style>
  <w:style w:type="paragraph" w:customStyle="1" w:styleId="17">
    <w:name w:val="Table Paragraph"/>
    <w:basedOn w:val="1"/>
    <w:qFormat/>
    <w:uiPriority w:val="1"/>
  </w:style>
  <w:style w:type="paragraph" w:customStyle="1" w:styleId="18">
    <w:name w:val="正文首行缩进两字符"/>
    <w:basedOn w:val="1"/>
    <w:qFormat/>
    <w:uiPriority w:val="0"/>
    <w:pPr>
      <w:spacing w:line="360" w:lineRule="auto"/>
      <w:ind w:firstLine="200" w:firstLineChars="200"/>
    </w:pPr>
  </w:style>
  <w:style w:type="character" w:customStyle="1" w:styleId="19">
    <w:name w:val="font31"/>
    <w:basedOn w:val="14"/>
    <w:qFormat/>
    <w:uiPriority w:val="0"/>
    <w:rPr>
      <w:rFonts w:hint="eastAsia" w:ascii="宋体" w:hAnsi="宋体" w:eastAsia="宋体" w:cs="宋体"/>
      <w:color w:val="FF0000"/>
      <w:sz w:val="21"/>
      <w:szCs w:val="21"/>
      <w:u w:val="none"/>
    </w:rPr>
  </w:style>
  <w:style w:type="character" w:customStyle="1" w:styleId="20">
    <w:name w:val="font41"/>
    <w:basedOn w:val="14"/>
    <w:qFormat/>
    <w:uiPriority w:val="0"/>
    <w:rPr>
      <w:rFonts w:hint="eastAsia" w:ascii="宋体" w:hAnsi="宋体" w:eastAsia="宋体" w:cs="宋体"/>
      <w:color w:val="000000"/>
      <w:sz w:val="21"/>
      <w:szCs w:val="21"/>
      <w:u w:val="none"/>
    </w:rPr>
  </w:style>
  <w:style w:type="character" w:customStyle="1" w:styleId="21">
    <w:name w:val="font51"/>
    <w:basedOn w:val="14"/>
    <w:qFormat/>
    <w:uiPriority w:val="0"/>
    <w:rPr>
      <w:rFonts w:hint="default" w:ascii="Times New Roman" w:hAnsi="Times New Roman" w:cs="Times New Roman"/>
      <w:color w:val="000000"/>
      <w:sz w:val="21"/>
      <w:szCs w:val="21"/>
      <w:u w:val="none"/>
    </w:rPr>
  </w:style>
  <w:style w:type="character" w:customStyle="1" w:styleId="22">
    <w:name w:val="font01"/>
    <w:basedOn w:val="14"/>
    <w:qFormat/>
    <w:uiPriority w:val="0"/>
    <w:rPr>
      <w:rFonts w:ascii="仿宋_GB2312" w:eastAsia="仿宋_GB2312" w:cs="仿宋_GB2312"/>
      <w:color w:val="000000"/>
      <w:sz w:val="21"/>
      <w:szCs w:val="21"/>
      <w:u w:val="none"/>
    </w:rPr>
  </w:style>
  <w:style w:type="paragraph" w:customStyle="1" w:styleId="23">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25">
    <w:name w:val="p0"/>
    <w:basedOn w:val="1"/>
    <w:qFormat/>
    <w:uiPriority w:val="0"/>
    <w:pPr>
      <w:widowControl/>
    </w:pPr>
    <w:rPr>
      <w:rFonts w:ascii="Calibri" w:cs="宋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33745</Words>
  <Characters>34506</Characters>
  <Lines>256</Lines>
  <Paragraphs>72</Paragraphs>
  <TotalTime>0</TotalTime>
  <ScaleCrop>false</ScaleCrop>
  <LinksUpToDate>false</LinksUpToDate>
  <CharactersWithSpaces>37903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2020-02-25T12:39:00Z</dcterms:created>
  <dc:creator>林传雨</dc:creator>
  <cp:lastModifiedBy>小怪兽</cp:lastModifiedBy>
  <dcterms:modified xsi:type="dcterms:W3CDTF">2021-05-07T08:36:17Z</dcterms:modified>
  <dc:title>四川建茂同方工程项目管理有限公司</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2019-03-06T00:00:00Z</vt:filetime>
  </property>
  <property fmtid="{D5CDD505-2E9C-101B-9397-08002B2CF9AE}" pid="3" name="Creator">
    <vt:lpwstr>WPS 文字</vt:lpwstr>
  </property>
  <property fmtid="{D5CDD505-2E9C-101B-9397-08002B2CF9AE}" pid="4" name="LastSaved">
    <vt:filetime>2020-02-25T00:00:00Z</vt:filetime>
  </property>
  <property fmtid="{D5CDD505-2E9C-101B-9397-08002B2CF9AE}" pid="5" name="KSOProductBuildVer">
    <vt:lpwstr>2052-11.1.0.10228</vt:lpwstr>
  </property>
  <property fmtid="{D5CDD505-2E9C-101B-9397-08002B2CF9AE}" pid="6" name="ICV">
    <vt:lpwstr>D6C1041A4B5D4EA4BB335AD69C1EB3EA</vt:lpwstr>
  </property>
</Properties>
</file>