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color w:val="000000" w:themeColor="text1"/>
          <w:sz w:val="36"/>
          <w:szCs w:val="36"/>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1087755" cy="1654810"/>
            <wp:effectExtent l="0" t="0" r="17145" b="25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stretch>
                      <a:fillRect/>
                    </a:stretch>
                  </pic:blipFill>
                  <pic:spPr>
                    <a:xfrm>
                      <a:off x="0" y="0"/>
                      <a:ext cx="1087755" cy="1654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p>
    <w:p>
      <w:pPr>
        <w:spacing w:line="360" w:lineRule="auto"/>
        <w:ind w:left="0" w:leftChars="0" w:firstLine="0" w:firstLineChars="0"/>
        <w:jc w:val="cente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lang w:val="en-US" w:eastAsia="zh-CN"/>
          <w14:textFill>
            <w14:solidFill>
              <w14:schemeClr w14:val="tx1"/>
            </w14:solidFill>
          </w14:textFill>
        </w:rPr>
        <w:t>项目</w:t>
      </w:r>
      <w:r>
        <w:rPr>
          <w:rFonts w:hint="eastAsia" w:ascii="宋体" w:hAnsi="宋体" w:eastAsia="宋体" w:cs="宋体"/>
          <w:b/>
          <w:color w:val="000000" w:themeColor="text1"/>
          <w:sz w:val="32"/>
          <w:szCs w:val="32"/>
          <w14:textFill>
            <w14:solidFill>
              <w14:schemeClr w14:val="tx1"/>
            </w14:solidFill>
          </w14:textFill>
        </w:rPr>
        <w:t>编号：</w:t>
      </w:r>
      <w:r>
        <w:rPr>
          <w:rFonts w:hint="eastAsia" w:ascii="宋体" w:hAnsi="宋体" w:cs="宋体"/>
          <w:b/>
          <w:color w:val="000000" w:themeColor="text1"/>
          <w:sz w:val="32"/>
          <w:szCs w:val="32"/>
          <w:u w:val="none"/>
          <w:lang w:eastAsia="zh-CN"/>
          <w14:textFill>
            <w14:solidFill>
              <w14:schemeClr w14:val="tx1"/>
            </w14:solidFill>
          </w14:textFill>
        </w:rPr>
        <w:t>510129202100144</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color w:val="000000" w:themeColor="text1"/>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cs="宋体"/>
          <w:b/>
          <w:color w:val="000000" w:themeColor="text1"/>
          <w:sz w:val="44"/>
          <w:szCs w:val="44"/>
          <w:highlight w:val="none"/>
          <w:lang w:eastAsia="zh-CN"/>
          <w14:textFill>
            <w14:solidFill>
              <w14:schemeClr w14:val="tx1"/>
            </w14:solidFill>
          </w14:textFill>
        </w:rPr>
      </w:pPr>
      <w:r>
        <w:rPr>
          <w:rFonts w:hint="eastAsia" w:ascii="宋体" w:hAnsi="宋体" w:cs="宋体"/>
          <w:b/>
          <w:color w:val="000000" w:themeColor="text1"/>
          <w:sz w:val="44"/>
          <w:szCs w:val="44"/>
          <w:highlight w:val="none"/>
          <w:lang w:eastAsia="zh-CN"/>
          <w14:textFill>
            <w14:solidFill>
              <w14:schemeClr w14:val="tx1"/>
            </w14:solidFill>
          </w14:textFill>
        </w:rPr>
        <w:t>大邑县教育局</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cs="宋体"/>
          <w:b/>
          <w:color w:val="000000" w:themeColor="text1"/>
          <w:sz w:val="44"/>
          <w:szCs w:val="44"/>
          <w:highlight w:val="none"/>
          <w:lang w:eastAsia="zh-CN"/>
          <w14:textFill>
            <w14:solidFill>
              <w14:schemeClr w14:val="tx1"/>
            </w14:solidFill>
          </w14:textFill>
        </w:rPr>
      </w:pPr>
      <w:r>
        <w:rPr>
          <w:rFonts w:hint="eastAsia" w:ascii="宋体" w:hAnsi="宋体" w:cs="宋体"/>
          <w:b/>
          <w:color w:val="000000" w:themeColor="text1"/>
          <w:sz w:val="44"/>
          <w:szCs w:val="44"/>
          <w:highlight w:val="none"/>
          <w:lang w:eastAsia="zh-CN"/>
          <w14:textFill>
            <w14:solidFill>
              <w14:schemeClr w14:val="tx1"/>
            </w14:solidFill>
          </w14:textFill>
        </w:rPr>
        <w:t>2021年度部分学校信息化设备（第二批）采购项目</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b/>
          <w:color w:val="000000" w:themeColor="text1"/>
          <w:sz w:val="44"/>
          <w:szCs w:val="44"/>
          <w:highlight w:val="none"/>
          <w:lang w:eastAsia="zh-CN"/>
          <w14:textFill>
            <w14:solidFill>
              <w14:schemeClr w14:val="tx1"/>
            </w14:solidFill>
          </w14:textFill>
        </w:rPr>
      </w:pPr>
      <w:r>
        <w:rPr>
          <w:rFonts w:hint="eastAsia" w:ascii="宋体" w:hAnsi="宋体" w:cs="宋体"/>
          <w:b/>
          <w:color w:val="000000" w:themeColor="text1"/>
          <w:sz w:val="44"/>
          <w:szCs w:val="44"/>
          <w:highlight w:val="none"/>
          <w:lang w:eastAsia="zh-CN"/>
          <w14:textFill>
            <w14:solidFill>
              <w14:schemeClr w14:val="tx1"/>
            </w14:solidFill>
          </w14:textFill>
        </w:rPr>
        <w:t>（第2次）</w:t>
      </w:r>
    </w:p>
    <w:p>
      <w:pPr>
        <w:bidi w:val="0"/>
        <w:rPr>
          <w:rFonts w:hint="eastAsia"/>
          <w:color w:val="000000" w:themeColor="text1"/>
          <w14:textFill>
            <w14:solidFill>
              <w14:schemeClr w14:val="tx1"/>
            </w14:solidFill>
          </w14:textFill>
        </w:rPr>
      </w:pPr>
    </w:p>
    <w:p>
      <w:pPr>
        <w:bidi w:val="0"/>
        <w:rPr>
          <w:rFonts w:hint="eastAsia"/>
          <w:color w:val="000000" w:themeColor="text1"/>
          <w14:textFill>
            <w14:solidFill>
              <w14:schemeClr w14:val="tx1"/>
            </w14:solidFill>
          </w14:textFill>
        </w:rPr>
      </w:pPr>
    </w:p>
    <w:p>
      <w:pPr>
        <w:bidi w:val="0"/>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1000" w:lineRule="exact"/>
        <w:ind w:firstLine="0" w:firstLineChars="0"/>
        <w:jc w:val="center"/>
        <w:textAlignment w:val="auto"/>
        <w:rPr>
          <w:rFonts w:hint="eastAsia" w:ascii="宋体" w:hAnsi="宋体" w:eastAsia="宋体" w:cs="宋体"/>
          <w:color w:val="000000" w:themeColor="text1"/>
          <w:sz w:val="84"/>
          <w:szCs w:val="84"/>
          <w:highlight w:val="none"/>
          <w14:textFill>
            <w14:solidFill>
              <w14:schemeClr w14:val="tx1"/>
            </w14:solidFill>
          </w14:textFill>
        </w:rPr>
      </w:pPr>
      <w:r>
        <w:rPr>
          <w:rFonts w:hint="eastAsia" w:ascii="宋体" w:hAnsi="宋体" w:eastAsia="宋体" w:cs="宋体"/>
          <w:b/>
          <w:color w:val="000000" w:themeColor="text1"/>
          <w:sz w:val="84"/>
          <w:szCs w:val="84"/>
          <w:highlight w:val="none"/>
          <w14:textFill>
            <w14:solidFill>
              <w14:schemeClr w14:val="tx1"/>
            </w14:solidFill>
          </w14:textFill>
        </w:rPr>
        <w:t>招标文件</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b/>
          <w:color w:val="000000" w:themeColor="text1"/>
          <w:sz w:val="52"/>
          <w:szCs w:val="52"/>
          <w:highlight w:val="none"/>
          <w14:textFill>
            <w14:solidFill>
              <w14:schemeClr w14:val="tx1"/>
            </w14:solidFill>
          </w14:textFill>
        </w:rPr>
      </w:pPr>
    </w:p>
    <w:p>
      <w:pPr>
        <w:bidi w:val="0"/>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b/>
          <w:color w:val="000000" w:themeColor="text1"/>
          <w:sz w:val="52"/>
          <w:szCs w:val="52"/>
          <w:highlight w:val="none"/>
          <w14:textFill>
            <w14:solidFill>
              <w14:schemeClr w14:val="tx1"/>
            </w14:solidFill>
          </w14:textFill>
        </w:rPr>
      </w:pPr>
    </w:p>
    <w:p>
      <w:pPr>
        <w:spacing w:line="360" w:lineRule="auto"/>
        <w:ind w:left="0" w:leftChars="0" w:firstLine="0" w:firstLineChars="0"/>
        <w:jc w:val="cente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中国·四川</w:t>
      </w:r>
    </w:p>
    <w:p>
      <w:pPr>
        <w:spacing w:line="360" w:lineRule="auto"/>
        <w:ind w:left="0" w:leftChars="0" w:firstLine="0" w:firstLineChars="0"/>
        <w:jc w:val="cente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大邑县教育局</w:t>
      </w:r>
    </w:p>
    <w:p>
      <w:pPr>
        <w:spacing w:line="360" w:lineRule="auto"/>
        <w:ind w:left="0" w:leftChars="0" w:firstLine="0" w:firstLineChars="0"/>
        <w:jc w:val="cente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四川浩行招标代理有限公司</w:t>
      </w:r>
    </w:p>
    <w:p>
      <w:pPr>
        <w:spacing w:line="360" w:lineRule="auto"/>
        <w:ind w:left="0" w:leftChars="0" w:firstLine="0" w:firstLineChars="0"/>
        <w:jc w:val="cente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共同编制</w:t>
      </w:r>
    </w:p>
    <w:p>
      <w:pPr>
        <w:spacing w:line="360" w:lineRule="auto"/>
        <w:ind w:left="0" w:leftChars="0" w:firstLine="0" w:firstLineChars="0"/>
        <w:jc w:val="center"/>
        <w:rPr>
          <w:rFonts w:hint="eastAsia" w:ascii="宋体" w:hAnsi="宋体" w:eastAsia="宋体" w:cs="宋体"/>
          <w:b/>
          <w:color w:val="000000" w:themeColor="text1"/>
          <w:sz w:val="32"/>
          <w:szCs w:val="32"/>
          <w:lang w:eastAsia="zh-CN"/>
          <w14:textFill>
            <w14:solidFill>
              <w14:schemeClr w14:val="tx1"/>
            </w14:solidFill>
          </w14:textFill>
        </w:rPr>
      </w:pPr>
      <w:r>
        <w:rPr>
          <w:rFonts w:hint="eastAsia" w:ascii="宋体" w:hAnsi="宋体" w:eastAsia="宋体" w:cs="宋体"/>
          <w:b/>
          <w:color w:val="000000" w:themeColor="text1"/>
          <w:sz w:val="32"/>
          <w:szCs w:val="32"/>
          <w:lang w:val="en-US" w:eastAsia="zh-CN"/>
          <w14:textFill>
            <w14:solidFill>
              <w14:schemeClr w14:val="tx1"/>
            </w14:solidFill>
          </w14:textFill>
        </w:rPr>
        <w:t>202</w:t>
      </w:r>
      <w:r>
        <w:rPr>
          <w:rFonts w:hint="eastAsia" w:ascii="宋体" w:hAnsi="宋体" w:cs="宋体"/>
          <w:b/>
          <w:color w:val="000000" w:themeColor="text1"/>
          <w:sz w:val="32"/>
          <w:szCs w:val="32"/>
          <w:lang w:val="en-US" w:eastAsia="zh-CN"/>
          <w14:textFill>
            <w14:solidFill>
              <w14:schemeClr w14:val="tx1"/>
            </w14:solidFill>
          </w14:textFill>
        </w:rPr>
        <w:t>2</w:t>
      </w:r>
      <w:r>
        <w:rPr>
          <w:rFonts w:hint="eastAsia" w:ascii="宋体" w:hAnsi="宋体" w:eastAsia="宋体" w:cs="宋体"/>
          <w:b/>
          <w:color w:val="000000" w:themeColor="text1"/>
          <w:sz w:val="32"/>
          <w:szCs w:val="32"/>
          <w:lang w:val="en-US" w:eastAsia="zh-CN"/>
          <w14:textFill>
            <w14:solidFill>
              <w14:schemeClr w14:val="tx1"/>
            </w14:solidFill>
          </w14:textFill>
        </w:rPr>
        <w:t>年</w:t>
      </w:r>
      <w:r>
        <w:rPr>
          <w:rFonts w:hint="eastAsia" w:ascii="宋体" w:hAnsi="宋体" w:cs="宋体"/>
          <w:b/>
          <w:color w:val="000000" w:themeColor="text1"/>
          <w:sz w:val="32"/>
          <w:szCs w:val="32"/>
          <w:lang w:val="en-US" w:eastAsia="zh-CN"/>
          <w14:textFill>
            <w14:solidFill>
              <w14:schemeClr w14:val="tx1"/>
            </w14:solidFill>
          </w14:textFill>
        </w:rPr>
        <w:t>1</w:t>
      </w:r>
      <w:r>
        <w:rPr>
          <w:rFonts w:hint="eastAsia" w:ascii="宋体" w:hAnsi="宋体" w:eastAsia="宋体" w:cs="宋体"/>
          <w:b/>
          <w:color w:val="000000" w:themeColor="text1"/>
          <w:sz w:val="32"/>
          <w:szCs w:val="32"/>
          <w:lang w:val="en-US" w:eastAsia="zh-CN"/>
          <w14:textFill>
            <w14:solidFill>
              <w14:schemeClr w14:val="tx1"/>
            </w14:solidFill>
          </w14:textFill>
        </w:rPr>
        <w:t>月</w:t>
      </w:r>
    </w:p>
    <w:p>
      <w:pPr>
        <w:pStyle w:val="27"/>
        <w:keepNext w:val="0"/>
        <w:keepLines w:val="0"/>
        <w:pageBreakBefore w:val="0"/>
        <w:widowControl/>
        <w:tabs>
          <w:tab w:val="right" w:leader="dot" w:pos="9184"/>
        </w:tabs>
        <w:kinsoku/>
        <w:wordWrap/>
        <w:overflowPunct/>
        <w:topLinePunct w:val="0"/>
        <w:autoSpaceDE/>
        <w:autoSpaceDN/>
        <w:bidi w:val="0"/>
        <w:adjustRightInd/>
        <w:snapToGrid/>
        <w:spacing w:before="260" w:after="260" w:line="360" w:lineRule="auto"/>
        <w:ind w:left="0" w:firstLine="0" w:firstLineChars="0"/>
        <w:jc w:val="center"/>
        <w:textAlignment w:val="auto"/>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目</w:t>
      </w: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32"/>
          <w:szCs w:val="32"/>
          <w:highlight w:val="none"/>
          <w14:textFill>
            <w14:solidFill>
              <w14:schemeClr w14:val="tx1"/>
            </w14:solidFill>
          </w14:textFill>
        </w:rPr>
        <w:t>录</w:t>
      </w:r>
    </w:p>
    <w:p>
      <w:pPr>
        <w:pStyle w:val="27"/>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left="0" w:leftChars="0" w:firstLine="0" w:firstLineChars="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TOC \o "1-3" \h \u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HYPERLINK \l _Toc25285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第一章</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 投标邀请</w:t>
      </w:r>
      <w:r>
        <w:rPr>
          <w:rFonts w:hint="eastAsia" w:ascii="宋体" w:hAnsi="宋体" w:eastAsia="宋体" w:cs="宋体"/>
          <w:b w:val="0"/>
          <w:bCs w:val="0"/>
          <w:color w:val="000000" w:themeColor="text1"/>
          <w:sz w:val="24"/>
          <w:szCs w:val="24"/>
          <w:highlight w:val="none"/>
          <w14:textFill>
            <w14:solidFill>
              <w14:schemeClr w14:val="tx1"/>
            </w14:solidFill>
          </w14:textFill>
        </w:rPr>
        <w:tab/>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PAGEREF _Toc25285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1</w: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p>
    <w:p>
      <w:pPr>
        <w:pStyle w:val="27"/>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left="0" w:leftChars="0" w:firstLine="0" w:firstLineChars="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HYPERLINK \l _Toc18470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第二章 </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14:textFill>
            <w14:solidFill>
              <w14:schemeClr w14:val="tx1"/>
            </w14:solidFill>
          </w14:textFill>
        </w:rPr>
        <w:t>投标人须知</w:t>
      </w:r>
      <w:r>
        <w:rPr>
          <w:rFonts w:hint="eastAsia" w:ascii="宋体" w:hAnsi="宋体" w:eastAsia="宋体" w:cs="宋体"/>
          <w:b w:val="0"/>
          <w:bCs w:val="0"/>
          <w:color w:val="000000" w:themeColor="text1"/>
          <w:sz w:val="24"/>
          <w:szCs w:val="24"/>
          <w:highlight w:val="none"/>
          <w14:textFill>
            <w14:solidFill>
              <w14:schemeClr w14:val="tx1"/>
            </w14:solidFill>
          </w14:textFill>
        </w:rPr>
        <w:tab/>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PAGEREF _Toc18470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4</w: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p>
    <w:p>
      <w:pPr>
        <w:pStyle w:val="27"/>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left="0" w:leftChars="0" w:firstLine="0" w:firstLineChars="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HYPERLINK \l _Toc20130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第三章 </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14:textFill>
            <w14:solidFill>
              <w14:schemeClr w14:val="tx1"/>
            </w14:solidFill>
          </w14:textFill>
        </w:rPr>
        <w:t>投标文件格式</w:t>
      </w:r>
      <w:r>
        <w:rPr>
          <w:rFonts w:hint="eastAsia" w:ascii="宋体" w:hAnsi="宋体" w:eastAsia="宋体" w:cs="宋体"/>
          <w:b w:val="0"/>
          <w:bCs w:val="0"/>
          <w:color w:val="000000" w:themeColor="text1"/>
          <w:sz w:val="24"/>
          <w:szCs w:val="24"/>
          <w:highlight w:val="none"/>
          <w14:textFill>
            <w14:solidFill>
              <w14:schemeClr w14:val="tx1"/>
            </w14:solidFill>
          </w14:textFill>
        </w:rPr>
        <w:tab/>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PAGEREF _Toc20130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20</w: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p>
    <w:p>
      <w:pPr>
        <w:pStyle w:val="23"/>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firstLine="0" w:firstLineChars="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HYPERLINK \l _Toc20909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第四章 </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14:textFill>
            <w14:solidFill>
              <w14:schemeClr w14:val="tx1"/>
            </w14:solidFill>
          </w14:textFill>
        </w:rPr>
        <w:t>投标人和投标产品的资格、资质性及其他类似效力要求</w:t>
      </w:r>
      <w:r>
        <w:rPr>
          <w:rFonts w:hint="eastAsia" w:ascii="宋体" w:hAnsi="宋体" w:eastAsia="宋体" w:cs="宋体"/>
          <w:b w:val="0"/>
          <w:bCs w:val="0"/>
          <w:color w:val="000000" w:themeColor="text1"/>
          <w:sz w:val="24"/>
          <w:szCs w:val="24"/>
          <w:highlight w:val="none"/>
          <w14:textFill>
            <w14:solidFill>
              <w14:schemeClr w14:val="tx1"/>
            </w14:solidFill>
          </w14:textFill>
        </w:rPr>
        <w:tab/>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PAGEREF _Toc20909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42</w: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p>
    <w:p>
      <w:pPr>
        <w:pStyle w:val="23"/>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firstLine="0" w:firstLineChars="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HYPERLINK \l _Toc31816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第五章</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14:textFill>
            <w14:solidFill>
              <w14:schemeClr w14:val="tx1"/>
            </w14:solidFill>
          </w14:textFill>
        </w:rPr>
        <w:t>投标人应当提供的资格、资质性及其他类似效力要求的相关证明材料</w:t>
      </w:r>
      <w:r>
        <w:rPr>
          <w:rFonts w:hint="eastAsia" w:ascii="宋体" w:hAnsi="宋体" w:eastAsia="宋体" w:cs="宋体"/>
          <w:b w:val="0"/>
          <w:bCs w:val="0"/>
          <w:color w:val="000000" w:themeColor="text1"/>
          <w:sz w:val="24"/>
          <w:szCs w:val="24"/>
          <w:highlight w:val="none"/>
          <w14:textFill>
            <w14:solidFill>
              <w14:schemeClr w14:val="tx1"/>
            </w14:solidFill>
          </w14:textFill>
        </w:rPr>
        <w:tab/>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PAGEREF _Toc31816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43</w: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p>
    <w:p>
      <w:pPr>
        <w:pStyle w:val="23"/>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firstLine="0" w:firstLineChars="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HYPERLINK \l _Toc12700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第六章 </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14:textFill>
            <w14:solidFill>
              <w14:schemeClr w14:val="tx1"/>
            </w14:solidFill>
          </w14:textFill>
        </w:rPr>
        <w:t>招标项目技术、服务及商务要求</w:t>
      </w:r>
      <w:r>
        <w:rPr>
          <w:rFonts w:hint="eastAsia" w:ascii="宋体" w:hAnsi="宋体" w:eastAsia="宋体" w:cs="宋体"/>
          <w:b w:val="0"/>
          <w:bCs w:val="0"/>
          <w:color w:val="000000" w:themeColor="text1"/>
          <w:sz w:val="24"/>
          <w:szCs w:val="24"/>
          <w:highlight w:val="none"/>
          <w14:textFill>
            <w14:solidFill>
              <w14:schemeClr w14:val="tx1"/>
            </w14:solidFill>
          </w14:textFill>
        </w:rPr>
        <w:tab/>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PAGEREF _Toc12700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45</w: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p>
    <w:p>
      <w:pPr>
        <w:pStyle w:val="23"/>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firstLine="0" w:firstLineChars="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HYPERLINK \l _Toc31190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第七章 </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14:textFill>
            <w14:solidFill>
              <w14:schemeClr w14:val="tx1"/>
            </w14:solidFill>
          </w14:textFill>
        </w:rPr>
        <w:t>资格审查及评标办法</w:t>
      </w:r>
      <w:r>
        <w:rPr>
          <w:rFonts w:hint="eastAsia" w:ascii="宋体" w:hAnsi="宋体" w:eastAsia="宋体" w:cs="宋体"/>
          <w:b w:val="0"/>
          <w:bCs w:val="0"/>
          <w:color w:val="000000" w:themeColor="text1"/>
          <w:sz w:val="24"/>
          <w:szCs w:val="24"/>
          <w:highlight w:val="none"/>
          <w14:textFill>
            <w14:solidFill>
              <w14:schemeClr w14:val="tx1"/>
            </w14:solidFill>
          </w14:textFill>
        </w:rPr>
        <w:tab/>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PAGEREF _Toc31190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74</w: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p>
    <w:p>
      <w:pPr>
        <w:pStyle w:val="23"/>
        <w:keepNext w:val="0"/>
        <w:keepLines w:val="0"/>
        <w:pageBreakBefore w:val="0"/>
        <w:widowControl/>
        <w:tabs>
          <w:tab w:val="right" w:leader="dot" w:pos="8640"/>
        </w:tabs>
        <w:kinsoku/>
        <w:wordWrap/>
        <w:overflowPunct/>
        <w:topLinePunct w:val="0"/>
        <w:autoSpaceDE/>
        <w:autoSpaceDN/>
        <w:bidi w:val="0"/>
        <w:adjustRightInd/>
        <w:snapToGrid/>
        <w:spacing w:after="327" w:afterLines="100" w:line="360" w:lineRule="auto"/>
        <w:ind w:firstLine="0" w:firstLineChars="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HYPERLINK \l _Toc31162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第八章</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 政府采购合同</w:t>
      </w:r>
      <w:r>
        <w:rPr>
          <w:rFonts w:hint="eastAsia" w:ascii="宋体" w:hAnsi="宋体" w:eastAsia="宋体" w:cs="宋体"/>
          <w:b w:val="0"/>
          <w:bCs w:val="0"/>
          <w:color w:val="000000" w:themeColor="text1"/>
          <w:sz w:val="24"/>
          <w:szCs w:val="24"/>
          <w:highlight w:val="none"/>
          <w14:textFill>
            <w14:solidFill>
              <w14:schemeClr w14:val="tx1"/>
            </w14:solidFill>
          </w14:textFill>
        </w:rPr>
        <w:tab/>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val="0"/>
          <w:bCs w:val="0"/>
          <w:color w:val="000000" w:themeColor="text1"/>
          <w:sz w:val="24"/>
          <w:szCs w:val="24"/>
          <w:highlight w:val="none"/>
          <w14:textFill>
            <w14:solidFill>
              <w14:schemeClr w14:val="tx1"/>
            </w14:solidFill>
          </w14:textFill>
        </w:rPr>
        <w:instrText xml:space="preserve"> PAGEREF _Toc31162 </w:instrTex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separate"/>
      </w:r>
      <w:r>
        <w:rPr>
          <w:rFonts w:hint="eastAsia" w:ascii="宋体" w:hAnsi="宋体" w:eastAsia="宋体" w:cs="宋体"/>
          <w:b w:val="0"/>
          <w:bCs w:val="0"/>
          <w:color w:val="000000" w:themeColor="text1"/>
          <w:sz w:val="24"/>
          <w:szCs w:val="24"/>
          <w:highlight w:val="none"/>
          <w14:textFill>
            <w14:solidFill>
              <w14:schemeClr w14:val="tx1"/>
            </w14:solidFill>
          </w14:textFill>
        </w:rPr>
        <w:t>89</w:t>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r>
        <w:rPr>
          <w:rFonts w:hint="eastAsia" w:ascii="宋体" w:hAnsi="宋体" w:eastAsia="宋体" w:cs="宋体"/>
          <w:b w:val="0"/>
          <w:bCs w:val="0"/>
          <w:color w:val="000000" w:themeColor="text1"/>
          <w:sz w:val="24"/>
          <w:szCs w:val="24"/>
          <w:highlight w:val="none"/>
          <w14:textFill>
            <w14:solidFill>
              <w14:schemeClr w14:val="tx1"/>
            </w14:solidFill>
          </w14:textFill>
        </w:rPr>
        <w:fldChar w:fldCharType="end"/>
      </w:r>
    </w:p>
    <w:p>
      <w:pPr>
        <w:pStyle w:val="27"/>
        <w:keepNext w:val="0"/>
        <w:keepLines w:val="0"/>
        <w:pageBreakBefore w:val="0"/>
        <w:widowControl/>
        <w:tabs>
          <w:tab w:val="right" w:leader="dot" w:pos="9184"/>
        </w:tabs>
        <w:kinsoku/>
        <w:wordWrap/>
        <w:overflowPunct/>
        <w:topLinePunct w:val="0"/>
        <w:autoSpaceDE/>
        <w:autoSpaceDN/>
        <w:bidi w:val="0"/>
        <w:adjustRightInd/>
        <w:snapToGrid/>
        <w:spacing w:after="120"/>
        <w:textAlignment w:val="auto"/>
        <w:rPr>
          <w:rFonts w:hint="eastAsia" w:ascii="宋体" w:hAnsi="宋体" w:eastAsia="宋体" w:cs="宋体"/>
          <w:b w:val="0"/>
          <w:bCs w:val="0"/>
          <w:color w:val="000000" w:themeColor="text1"/>
          <w:highlight w:val="none"/>
          <w14:textFill>
            <w14:solidFill>
              <w14:schemeClr w14:val="tx1"/>
            </w14:solidFill>
          </w14:textFill>
        </w:rPr>
      </w:pPr>
    </w:p>
    <w:p>
      <w:pPr>
        <w:spacing w:line="400" w:lineRule="exact"/>
        <w:ind w:firstLine="0" w:firstLineChars="0"/>
        <w:rPr>
          <w:rFonts w:hint="eastAsia" w:ascii="宋体" w:hAnsi="宋体" w:eastAsia="宋体" w:cs="宋体"/>
          <w:bCs/>
          <w:color w:val="000000" w:themeColor="text1"/>
          <w:sz w:val="36"/>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4"/>
        <w:spacing w:line="460" w:lineRule="exact"/>
        <w:ind w:firstLine="723"/>
        <w:jc w:val="center"/>
        <w:rPr>
          <w:rFonts w:hint="eastAsia" w:ascii="宋体" w:hAnsi="宋体" w:eastAsia="宋体" w:cs="宋体"/>
          <w:bCs w:val="0"/>
          <w:color w:val="000000" w:themeColor="text1"/>
          <w:sz w:val="36"/>
          <w:highlight w:val="none"/>
          <w14:textFill>
            <w14:solidFill>
              <w14:schemeClr w14:val="tx1"/>
            </w14:solidFill>
          </w14:textFill>
        </w:rPr>
        <w:sectPr>
          <w:headerReference r:id="rId5" w:type="default"/>
          <w:footerReference r:id="rId6" w:type="default"/>
          <w:pgSz w:w="11906" w:h="16838"/>
          <w:pgMar w:top="1440" w:right="1417" w:bottom="1440" w:left="1417" w:header="794" w:footer="992" w:gutter="0"/>
          <w:pgBorders>
            <w:top w:val="none" w:sz="0" w:space="0"/>
            <w:left w:val="none" w:sz="0" w:space="0"/>
            <w:bottom w:val="none" w:sz="0" w:space="0"/>
            <w:right w:val="none" w:sz="0" w:space="0"/>
          </w:pgBorders>
          <w:pgNumType w:fmt="decimal" w:start="0"/>
          <w:cols w:space="0" w:num="1"/>
          <w:rtlGutter w:val="0"/>
          <w:docGrid w:linePitch="326" w:charSpace="0"/>
        </w:sectPr>
      </w:pPr>
      <w:bookmarkStart w:id="0" w:name="_Toc25285"/>
      <w:bookmarkStart w:id="1" w:name="_Toc11699"/>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outlineLvl w:val="0"/>
        <w:rPr>
          <w:rFonts w:hint="eastAsia" w:ascii="宋体" w:hAnsi="宋体" w:eastAsia="宋体" w:cs="宋体"/>
          <w:bCs w:val="0"/>
          <w:color w:val="000000" w:themeColor="text1"/>
          <w:sz w:val="36"/>
          <w:highlight w:val="none"/>
          <w14:textFill>
            <w14:solidFill>
              <w14:schemeClr w14:val="tx1"/>
            </w14:solidFill>
          </w14:textFill>
        </w:rPr>
      </w:pPr>
      <w:r>
        <w:rPr>
          <w:rFonts w:hint="eastAsia" w:ascii="宋体" w:hAnsi="宋体" w:eastAsia="宋体" w:cs="宋体"/>
          <w:bCs w:val="0"/>
          <w:color w:val="000000" w:themeColor="text1"/>
          <w:sz w:val="36"/>
          <w:highlight w:val="none"/>
          <w14:textFill>
            <w14:solidFill>
              <w14:schemeClr w14:val="tx1"/>
            </w14:solidFill>
          </w14:textFill>
        </w:rPr>
        <w:t>第一章  投标邀请</w:t>
      </w:r>
      <w:bookmarkEnd w:id="0"/>
      <w:bookmarkEnd w:id="1"/>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四川浩行招标代理有限公司受大邑县教育局委托，拟对</w:t>
      </w:r>
      <w:r>
        <w:rPr>
          <w:rFonts w:hint="eastAsia" w:ascii="宋体" w:hAnsi="宋体" w:cs="宋体"/>
          <w:color w:val="000000" w:themeColor="text1"/>
          <w:highlight w:val="none"/>
          <w:lang w:eastAsia="zh-CN"/>
          <w14:textFill>
            <w14:solidFill>
              <w14:schemeClr w14:val="tx1"/>
            </w14:solidFill>
          </w14:textFill>
        </w:rPr>
        <w:t>大邑县教育局2021年度部分学校信息化设备（第二批）采购项目（第2次）</w:t>
      </w:r>
      <w:r>
        <w:rPr>
          <w:rFonts w:hint="eastAsia" w:ascii="宋体" w:hAnsi="宋体" w:eastAsia="宋体" w:cs="宋体"/>
          <w:color w:val="000000" w:themeColor="text1"/>
          <w:highlight w:val="none"/>
          <w:lang w:eastAsia="zh-CN"/>
          <w14:textFill>
            <w14:solidFill>
              <w14:schemeClr w14:val="tx1"/>
            </w14:solidFill>
          </w14:textFill>
        </w:rPr>
        <w:t>进行国内公开招标，兹邀请符合本次招标要求的供应商参加投标。</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一、</w:t>
      </w:r>
      <w:r>
        <w:rPr>
          <w:rFonts w:hint="eastAsia" w:ascii="宋体" w:hAnsi="宋体" w:eastAsia="宋体" w:cs="宋体"/>
          <w:b/>
          <w:bCs/>
          <w:color w:val="000000" w:themeColor="text1"/>
          <w:highlight w:val="none"/>
          <w:lang w:val="en-US" w:eastAsia="zh-CN"/>
          <w14:textFill>
            <w14:solidFill>
              <w14:schemeClr w14:val="tx1"/>
            </w14:solidFill>
          </w14:textFill>
        </w:rPr>
        <w:t>项目</w:t>
      </w:r>
      <w:r>
        <w:rPr>
          <w:rFonts w:hint="eastAsia" w:ascii="宋体" w:hAnsi="宋体" w:eastAsia="宋体" w:cs="宋体"/>
          <w:b/>
          <w:bCs/>
          <w:color w:val="000000" w:themeColor="text1"/>
          <w:highlight w:val="none"/>
          <w14:textFill>
            <w14:solidFill>
              <w14:schemeClr w14:val="tx1"/>
            </w14:solidFill>
          </w14:textFill>
        </w:rPr>
        <w:t>编号</w:t>
      </w:r>
      <w:r>
        <w:rPr>
          <w:rFonts w:hint="eastAsia" w:ascii="宋体" w:hAnsi="宋体" w:eastAsia="宋体" w:cs="宋体"/>
          <w:color w:val="000000" w:themeColor="text1"/>
          <w:highlight w:val="none"/>
          <w14:textFill>
            <w14:solidFill>
              <w14:schemeClr w14:val="tx1"/>
            </w14:solidFill>
          </w14:textFill>
        </w:rPr>
        <w:t>：</w:t>
      </w:r>
      <w:bookmarkStart w:id="391" w:name="_GoBack"/>
      <w:bookmarkEnd w:id="391"/>
      <w:r>
        <w:rPr>
          <w:rFonts w:hint="eastAsia" w:ascii="宋体" w:hAnsi="宋体" w:cs="宋体"/>
          <w:color w:val="000000" w:themeColor="text1"/>
          <w:highlight w:val="none"/>
          <w:lang w:eastAsia="zh-CN"/>
          <w14:textFill>
            <w14:solidFill>
              <w14:schemeClr w14:val="tx1"/>
            </w14:solidFill>
          </w14:textFill>
        </w:rPr>
        <w:t>510129202100144</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二、项目名称</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大邑县教育局2021年度部分学校信息化设备（第二批）采购项目（第2次）</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三、资金来源：</w:t>
      </w:r>
      <w:r>
        <w:rPr>
          <w:rFonts w:hint="eastAsia" w:ascii="宋体" w:hAnsi="宋体" w:eastAsia="宋体" w:cs="宋体"/>
          <w:color w:val="000000" w:themeColor="text1"/>
          <w:highlight w:val="none"/>
          <w14:textFill>
            <w14:solidFill>
              <w14:schemeClr w14:val="tx1"/>
            </w14:solidFill>
          </w14:textFill>
        </w:rPr>
        <w:t>财政性资金</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预算总金额：</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95</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,000.00元</w:t>
      </w:r>
      <w:r>
        <w:rPr>
          <w:rFonts w:hint="eastAsia" w:ascii="宋体" w:hAnsi="宋体" w:eastAsia="宋体" w:cs="宋体"/>
          <w:color w:val="000000" w:themeColor="text1"/>
          <w:highlight w:val="none"/>
          <w14:textFill>
            <w14:solidFill>
              <w14:schemeClr w14:val="tx1"/>
            </w14:solidFill>
          </w14:textFill>
        </w:rPr>
        <w:t>。品目编码及名称：</w:t>
      </w:r>
      <w:r>
        <w:rPr>
          <w:rFonts w:hint="eastAsia" w:ascii="宋体" w:hAnsi="宋体" w:cs="宋体"/>
          <w:color w:val="000000" w:themeColor="text1"/>
          <w:highlight w:val="none"/>
          <w:lang w:val="en-US" w:eastAsia="zh-CN"/>
          <w14:textFill>
            <w14:solidFill>
              <w14:schemeClr w14:val="tx1"/>
            </w14:solidFill>
          </w14:textFill>
        </w:rPr>
        <w:t>A020912 音频设备</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属于工业。</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四、招标项目简介：</w:t>
      </w:r>
      <w:r>
        <w:rPr>
          <w:rFonts w:hint="eastAsia" w:ascii="宋体" w:hAnsi="宋体" w:eastAsia="宋体" w:cs="宋体"/>
          <w:color w:val="000000" w:themeColor="text1"/>
          <w:sz w:val="24"/>
          <w:szCs w:val="24"/>
          <w:highlight w:val="none"/>
          <w:lang w:eastAsia="zh-CN"/>
          <w14:textFill>
            <w14:solidFill>
              <w14:schemeClr w14:val="tx1"/>
            </w14:solidFill>
          </w14:textFill>
        </w:rPr>
        <w:t>大邑县教育局</w:t>
      </w:r>
      <w:r>
        <w:rPr>
          <w:rFonts w:hint="eastAsia" w:ascii="宋体" w:hAnsi="宋体" w:eastAsia="宋体" w:cs="宋体"/>
          <w:color w:val="000000" w:themeColor="text1"/>
          <w:sz w:val="24"/>
          <w:szCs w:val="24"/>
          <w:highlight w:val="none"/>
          <w:lang w:val="en-US" w:eastAsia="zh-CN"/>
          <w14:textFill>
            <w14:solidFill>
              <w14:schemeClr w14:val="tx1"/>
            </w14:solidFill>
          </w14:textFill>
        </w:rPr>
        <w:t>拟采用公开招标方式，采购高清录播主机、教师高清摄像机、学生高清摄像机、广播控制主机、电视台主机、音频终端、功率放大器及其它信息化设备</w:t>
      </w:r>
      <w:r>
        <w:rPr>
          <w:rFonts w:hint="eastAsia" w:ascii="宋体" w:hAnsi="宋体" w:eastAsia="宋体" w:cs="宋体"/>
          <w:color w:val="000000" w:themeColor="text1"/>
          <w:highlight w:val="none"/>
          <w:lang w:val="en-US" w:eastAsia="zh-CN"/>
          <w14:textFill>
            <w14:solidFill>
              <w14:schemeClr w14:val="tx1"/>
            </w14:solidFill>
          </w14:textFill>
        </w:rPr>
        <w:t>一批</w:t>
      </w:r>
      <w:r>
        <w:rPr>
          <w:rFonts w:hint="eastAsia" w:ascii="宋体" w:hAnsi="宋体" w:eastAsia="宋体" w:cs="宋体"/>
          <w:color w:val="000000" w:themeColor="text1"/>
          <w:sz w:val="24"/>
          <w:szCs w:val="24"/>
          <w:highlight w:val="none"/>
          <w:lang w:val="en-US" w:eastAsia="zh-CN"/>
          <w14:textFill>
            <w14:solidFill>
              <w14:schemeClr w14:val="tx1"/>
            </w14:solidFill>
          </w14:textFill>
        </w:rPr>
        <w:t>。本次政府采购项目共</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个包件</w:t>
      </w:r>
      <w:r>
        <w:rPr>
          <w:rFonts w:hint="eastAsia" w:ascii="宋体" w:hAnsi="宋体" w:eastAsia="宋体" w:cs="宋体"/>
          <w:color w:val="000000" w:themeColor="text1"/>
          <w:highlight w:val="none"/>
          <w14:textFill>
            <w14:solidFill>
              <w14:schemeClr w14:val="tx1"/>
            </w14:solidFill>
          </w14:textFill>
        </w:rPr>
        <w:t>（采购需求详见招标文件第六章）。</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000000" w:themeColor="text1"/>
          <w:highlight w:val="none"/>
          <w14:textFill>
            <w14:solidFill>
              <w14:schemeClr w14:val="tx1"/>
            </w14:solidFill>
          </w14:textFill>
        </w:rPr>
      </w:pPr>
      <w:bookmarkStart w:id="2" w:name="OLE_LINK12"/>
      <w:r>
        <w:rPr>
          <w:rFonts w:hint="eastAsia" w:ascii="宋体" w:hAnsi="宋体" w:eastAsia="宋体" w:cs="宋体"/>
          <w:b/>
          <w:bCs/>
          <w:color w:val="000000" w:themeColor="text1"/>
          <w:highlight w:val="none"/>
          <w14:textFill>
            <w14:solidFill>
              <w14:schemeClr w14:val="tx1"/>
            </w14:solidFill>
          </w14:textFill>
        </w:rPr>
        <w:t>五、供应商参加本次政府采购活动</w:t>
      </w: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应当在提交投标文件前具备下列条件：</w:t>
      </w:r>
      <w:bookmarkEnd w:id="2"/>
      <w:bookmarkStart w:id="3" w:name="OLE_LINK31"/>
      <w:bookmarkEnd w:id="3"/>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具有独立承担民事责任的能力；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具有良好的商业信誉和健全的财务会计制度；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具有履行合同所必需的设备和专业技术能力；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有依法缴纳税收和社会保障资金的良好记录；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参加本次政府采购活动前三年内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在经营活动中没有重大违法记录； </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法律、行政法规规定的其他条件；</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根据采购项目提出的特殊条件：</w:t>
      </w:r>
      <w:r>
        <w:rPr>
          <w:rFonts w:hint="eastAsia" w:ascii="宋体" w:hAnsi="宋体" w:eastAsia="宋体" w:cs="宋体"/>
          <w:color w:val="000000" w:themeColor="text1"/>
          <w:sz w:val="24"/>
          <w14:textFill>
            <w14:solidFill>
              <w14:schemeClr w14:val="tx1"/>
            </w14:solidFill>
          </w14:textFill>
        </w:rPr>
        <w:t>供应商及现任法定代表人、主要负责人在参加本项目政府采购活动前3年内不具有行贿犯罪记录</w:t>
      </w:r>
      <w:r>
        <w:rPr>
          <w:rFonts w:hint="eastAsia" w:ascii="宋体" w:hAnsi="宋体" w:eastAsia="宋体" w:cs="宋体"/>
          <w:color w:val="000000" w:themeColor="text1"/>
          <w:highlight w:val="none"/>
          <w:lang w:eastAsia="zh-CN"/>
          <w14:textFill>
            <w14:solidFill>
              <w14:schemeClr w14:val="tx1"/>
            </w14:solidFill>
          </w14:textFill>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禁止参加本次采购活动的供应商</w:t>
      </w:r>
      <w:r>
        <w:rPr>
          <w:rFonts w:hint="eastAsia" w:ascii="宋体" w:hAnsi="宋体" w:eastAsia="宋体" w:cs="宋体"/>
          <w:b/>
          <w:bCs/>
          <w:color w:val="000000" w:themeColor="text1"/>
          <w:highlight w:val="none"/>
          <w:lang w:eastAsia="zh-CN"/>
          <w14:textFill>
            <w14:solidFill>
              <w14:schemeClr w14:val="tx1"/>
            </w14:solidFill>
          </w14:textFill>
        </w:rPr>
        <w:t>：</w:t>
      </w:r>
    </w:p>
    <w:p>
      <w:pPr>
        <w:pStyle w:val="12"/>
        <w:keepNext w:val="0"/>
        <w:keepLines w:val="0"/>
        <w:pageBreakBefore w:val="0"/>
        <w:numPr>
          <w:ilvl w:val="0"/>
          <w:numId w:val="3"/>
        </w:numPr>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000000" w:themeColor="text1"/>
          <w:kern w:val="0"/>
          <w:highlight w:val="none"/>
          <w:lang w:bidi="ar"/>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根据《财政部关于在政府采购活动中查询及使用信用记录的通知》（财库〔201</w:t>
      </w:r>
      <w:r>
        <w:rPr>
          <w:rFonts w:hint="eastAsia" w:ascii="宋体" w:hAnsi="宋体" w:eastAsia="宋体" w:cs="宋体"/>
          <w:color w:val="000000" w:themeColor="text1"/>
          <w:kern w:val="0"/>
          <w:highlight w:val="none"/>
          <w:lang w:val="en-US" w:eastAsia="zh-CN" w:bidi="ar"/>
          <w14:textFill>
            <w14:solidFill>
              <w14:schemeClr w14:val="tx1"/>
            </w14:solidFill>
          </w14:textFill>
        </w:rPr>
        <w:t>6〕</w:t>
      </w:r>
      <w:r>
        <w:rPr>
          <w:rFonts w:hint="eastAsia" w:ascii="宋体" w:hAnsi="宋体" w:eastAsia="宋体" w:cs="宋体"/>
          <w:color w:val="000000" w:themeColor="text1"/>
          <w:kern w:val="0"/>
          <w:highlight w:val="none"/>
          <w:lang w:bidi="ar"/>
          <w14:textFill>
            <w14:solidFill>
              <w14:schemeClr w14:val="tx1"/>
            </w14:solidFill>
          </w14:textFill>
        </w:rPr>
        <w:t>125号）的要求</w:t>
      </w:r>
      <w:r>
        <w:rPr>
          <w:rFonts w:hint="eastAsia" w:ascii="宋体" w:hAnsi="宋体" w:eastAsia="宋体" w:cs="宋体"/>
          <w:color w:val="000000" w:themeColor="text1"/>
          <w:kern w:val="0"/>
          <w:highlight w:val="none"/>
          <w:lang w:eastAsia="zh-CN" w:bidi="ar"/>
          <w14:textFill>
            <w14:solidFill>
              <w14:schemeClr w14:val="tx1"/>
            </w14:solidFill>
          </w14:textFill>
        </w:rPr>
        <w:t>，</w:t>
      </w:r>
      <w:r>
        <w:rPr>
          <w:rFonts w:hint="eastAsia" w:ascii="宋体" w:hAnsi="宋体" w:eastAsia="宋体" w:cs="宋体"/>
          <w:color w:val="000000" w:themeColor="text1"/>
          <w:kern w:val="0"/>
          <w:highlight w:val="none"/>
          <w:lang w:bidi="ar"/>
          <w14:textFill>
            <w14:solidFill>
              <w14:schemeClr w14:val="tx1"/>
            </w14:solidFill>
          </w14:textFill>
        </w:rPr>
        <w:t>采购代理机构将通过“信用中国”网站（www.creditchina.gov.cn）、“中国政府采购网”网站（www.ccgp.gov.cn）等渠道</w:t>
      </w:r>
      <w:r>
        <w:rPr>
          <w:rFonts w:hint="eastAsia" w:ascii="宋体" w:hAnsi="宋体" w:eastAsia="宋体" w:cs="宋体"/>
          <w:color w:val="000000" w:themeColor="text1"/>
          <w:kern w:val="0"/>
          <w:highlight w:val="none"/>
          <w:lang w:eastAsia="zh-CN" w:bidi="ar"/>
          <w14:textFill>
            <w14:solidFill>
              <w14:schemeClr w14:val="tx1"/>
            </w14:solidFill>
          </w14:textFill>
        </w:rPr>
        <w:t>，</w:t>
      </w:r>
      <w:r>
        <w:rPr>
          <w:rFonts w:hint="eastAsia" w:ascii="宋体" w:hAnsi="宋体" w:eastAsia="宋体" w:cs="宋体"/>
          <w:color w:val="000000" w:themeColor="text1"/>
          <w:kern w:val="0"/>
          <w:highlight w:val="none"/>
          <w:lang w:bidi="ar"/>
          <w14:textFill>
            <w14:solidFill>
              <w14:schemeClr w14:val="tx1"/>
            </w14:solidFill>
          </w14:textFill>
        </w:rPr>
        <w:t>查询投标人截止至投标截止时间前一个工作日的信用记录并保存信用记录结果网页截图</w:t>
      </w:r>
      <w:r>
        <w:rPr>
          <w:rFonts w:hint="eastAsia" w:ascii="宋体" w:hAnsi="宋体" w:eastAsia="宋体" w:cs="宋体"/>
          <w:color w:val="000000" w:themeColor="text1"/>
          <w:kern w:val="0"/>
          <w:highlight w:val="none"/>
          <w:lang w:eastAsia="zh-CN" w:bidi="ar"/>
          <w14:textFill>
            <w14:solidFill>
              <w14:schemeClr w14:val="tx1"/>
            </w14:solidFill>
          </w14:textFill>
        </w:rPr>
        <w:t>，</w:t>
      </w:r>
      <w:r>
        <w:rPr>
          <w:rFonts w:hint="eastAsia" w:ascii="宋体" w:hAnsi="宋体" w:eastAsia="宋体" w:cs="宋体"/>
          <w:color w:val="000000" w:themeColor="text1"/>
          <w:kern w:val="0"/>
          <w:highlight w:val="none"/>
          <w:lang w:bidi="ar"/>
          <w14:textFill>
            <w14:solidFill>
              <w14:schemeClr w14:val="tx1"/>
            </w14:solidFill>
          </w14:textFill>
        </w:rPr>
        <w:t>拒绝列入失信被执行人、重大税收违法案件当事人名单、政府采购严重违法失信行为记录名单中的投标人参加本项目的政府采购活动。</w:t>
      </w:r>
    </w:p>
    <w:p>
      <w:pPr>
        <w:pStyle w:val="12"/>
        <w:keepNext w:val="0"/>
        <w:keepLines w:val="0"/>
        <w:pageBreakBefore w:val="0"/>
        <w:numPr>
          <w:ilvl w:val="0"/>
          <w:numId w:val="3"/>
        </w:numPr>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000000" w:themeColor="text1"/>
          <w:kern w:val="0"/>
          <w:highlight w:val="none"/>
          <w:lang w:bidi="ar"/>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单位负责人为同一人或者存在直接控股、管理关系的不同供应商禁止参加同一合同项下的政府采购活动。</w:t>
      </w:r>
    </w:p>
    <w:p>
      <w:pPr>
        <w:pStyle w:val="12"/>
        <w:keepNext w:val="0"/>
        <w:keepLines w:val="0"/>
        <w:pageBreakBefore w:val="0"/>
        <w:numPr>
          <w:ilvl w:val="0"/>
          <w:numId w:val="3"/>
        </w:numPr>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eastAsia" w:ascii="宋体" w:hAnsi="宋体" w:eastAsia="宋体" w:cs="宋体"/>
          <w:color w:val="000000" w:themeColor="text1"/>
          <w:kern w:val="0"/>
          <w:highlight w:val="none"/>
          <w:lang w:bidi="ar"/>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为采购项目提供整体设计、规范编制或者项目管理、监理、检测等服务的供应商禁止参加本次采购项目。</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招标文件</w:t>
      </w:r>
      <w:r>
        <w:rPr>
          <w:rFonts w:hint="eastAsia" w:ascii="宋体" w:hAnsi="宋体" w:eastAsia="宋体" w:cs="宋体"/>
          <w:b/>
          <w:bCs/>
          <w:color w:val="000000" w:themeColor="text1"/>
          <w:highlight w:val="none"/>
          <w:lang w:val="en-US" w:eastAsia="zh-CN"/>
          <w14:textFill>
            <w14:solidFill>
              <w14:schemeClr w14:val="tx1"/>
            </w14:solidFill>
          </w14:textFill>
        </w:rPr>
        <w:t>获取</w:t>
      </w:r>
      <w:r>
        <w:rPr>
          <w:rFonts w:hint="eastAsia" w:ascii="宋体" w:hAnsi="宋体" w:eastAsia="宋体" w:cs="宋体"/>
          <w:b/>
          <w:bCs/>
          <w:color w:val="000000" w:themeColor="text1"/>
          <w:highlight w:val="none"/>
          <w14:textFill>
            <w14:solidFill>
              <w14:schemeClr w14:val="tx1"/>
            </w14:solidFill>
          </w14:textFill>
        </w:rPr>
        <w:t>时间、</w:t>
      </w:r>
      <w:r>
        <w:rPr>
          <w:rFonts w:hint="eastAsia" w:ascii="宋体" w:hAnsi="宋体" w:eastAsia="宋体" w:cs="宋体"/>
          <w:b/>
          <w:color w:val="000000" w:themeColor="text1"/>
          <w:sz w:val="24"/>
          <w:highlight w:val="none"/>
          <w14:textFill>
            <w14:solidFill>
              <w14:schemeClr w14:val="tx1"/>
            </w14:solidFill>
          </w14:textFill>
        </w:rPr>
        <w:t>方式、</w:t>
      </w:r>
      <w:r>
        <w:rPr>
          <w:rFonts w:hint="eastAsia" w:ascii="宋体" w:hAnsi="宋体" w:eastAsia="宋体" w:cs="宋体"/>
          <w:b/>
          <w:bCs/>
          <w:color w:val="000000" w:themeColor="text1"/>
          <w:highlight w:val="none"/>
          <w14:textFill>
            <w14:solidFill>
              <w14:schemeClr w14:val="tx1"/>
            </w14:solidFill>
          </w14:textFill>
        </w:rPr>
        <w:t>地点：</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1、招标文件获取时间：</w:t>
      </w:r>
      <w:r>
        <w:rPr>
          <w:rFonts w:hint="eastAsia" w:ascii="宋体" w:hAnsi="宋体" w:eastAsia="宋体" w:cs="宋体"/>
          <w:color w:val="000000" w:themeColor="text1"/>
          <w:highlight w:val="none"/>
          <w14:textFill>
            <w14:solidFill>
              <w14:schemeClr w14:val="tx1"/>
            </w14:solidFill>
          </w14:textFill>
        </w:rPr>
        <w:t>202</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日至202</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cs="宋体"/>
          <w:color w:val="000000" w:themeColor="text1"/>
          <w:highlight w:val="none"/>
          <w:u w:val="none"/>
          <w:lang w:val="en-US" w:eastAsia="zh-CN"/>
          <w14:textFill>
            <w14:solidFill>
              <w14:schemeClr w14:val="tx1"/>
            </w14:solidFill>
          </w14:textFill>
        </w:rPr>
        <w:t>14</w:t>
      </w:r>
      <w:r>
        <w:rPr>
          <w:rFonts w:hint="eastAsia" w:ascii="宋体" w:hAnsi="宋体" w:eastAsia="宋体" w:cs="宋体"/>
          <w:color w:val="000000" w:themeColor="text1"/>
          <w:highlight w:val="none"/>
          <w14:textFill>
            <w14:solidFill>
              <w14:schemeClr w14:val="tx1"/>
            </w14:solidFill>
          </w14:textFill>
        </w:rPr>
        <w:t>日，</w:t>
      </w:r>
      <w:r>
        <w:rPr>
          <w:rFonts w:hint="eastAsia" w:ascii="宋体" w:hAnsi="宋体" w:eastAsia="宋体" w:cs="宋体"/>
          <w:color w:val="000000" w:themeColor="text1"/>
          <w:highlight w:val="none"/>
          <w14:textFill>
            <w14:solidFill>
              <w14:schemeClr w14:val="tx1"/>
            </w14:solidFill>
          </w14:textFill>
        </w:rPr>
        <w:t>每天9：00至17：00（北京时间，法定节假日除外）</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2、招标文件获取方式：投标人从“政府采购云平台”获取采购文件（网址：</w:t>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"https://www.zcygov.cn）项目采购—获取采购文件—申请获取采购文件。_x0005_"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t>https://www.zcygov.cn）。登录政府采购云平台—项目采购—获取采购文件—申请获取采购文件</w:t>
      </w:r>
      <w:r>
        <w:rPr>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提示：</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（1）本项目招标文件免费获取。</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（2）投标人只有在“政府采购云平台”完成获取招标文件申请并下载招标文件后才视作依法参与本项目。如未在“政府采购云平台”内完成相关流程，引起的投标无效责任自负。</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本项目为电子招标投标项目，投标人参与本项目全过程中凡涉及系统操作请详见《成都市全流程电子化采购系统操作指南——供应商版》（操作指南请登录政府采购云平台后，点击“前台大厅—操作指南—供应商”处下载查看）。</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招标公告期限：5个工作日</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投标截止时间</w:t>
      </w:r>
      <w:r>
        <w:rPr>
          <w:rFonts w:hint="eastAsia" w:ascii="宋体" w:hAnsi="宋体" w:eastAsia="宋体" w:cs="宋体"/>
          <w:b/>
          <w:bCs/>
          <w:color w:val="000000" w:themeColor="text1"/>
          <w:highlight w:val="none"/>
          <w:lang w:val="en-US" w:eastAsia="zh-CN"/>
          <w14:textFill>
            <w14:solidFill>
              <w14:schemeClr w14:val="tx1"/>
            </w14:solidFill>
          </w14:textFill>
        </w:rPr>
        <w:t>及</w:t>
      </w:r>
      <w:r>
        <w:rPr>
          <w:rFonts w:hint="eastAsia" w:ascii="宋体" w:hAnsi="宋体" w:eastAsia="宋体" w:cs="宋体"/>
          <w:b/>
          <w:bCs/>
          <w:color w:val="000000" w:themeColor="text1"/>
          <w:highlight w:val="none"/>
          <w14:textFill>
            <w14:solidFill>
              <w14:schemeClr w14:val="tx1"/>
            </w14:solidFill>
          </w14:textFill>
        </w:rPr>
        <w:t>开标时间</w:t>
      </w:r>
      <w:r>
        <w:rPr>
          <w:rFonts w:hint="eastAsia" w:ascii="宋体" w:hAnsi="宋体" w:eastAsia="宋体" w:cs="宋体"/>
          <w:b/>
          <w:bCs/>
          <w:color w:val="000000" w:themeColor="text1"/>
          <w:highlight w:val="none"/>
          <w:lang w:val="en-US" w:eastAsia="zh-CN"/>
          <w14:textFill>
            <w14:solidFill>
              <w14:schemeClr w14:val="tx1"/>
            </w14:solidFill>
          </w14:textFill>
        </w:rPr>
        <w:t>、地点、方式</w:t>
      </w:r>
      <w:r>
        <w:rPr>
          <w:rFonts w:hint="eastAsia" w:ascii="宋体" w:hAnsi="宋体" w:eastAsia="宋体" w:cs="宋体"/>
          <w:b/>
          <w:bCs/>
          <w:color w:val="000000" w:themeColor="text1"/>
          <w:highlight w:val="none"/>
          <w14:textFill>
            <w14:solidFill>
              <w14:schemeClr w14:val="tx1"/>
            </w14:solidFill>
          </w14:textFill>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80" w:leftChars="20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投标文件提交截止时间及开标时间</w:t>
      </w:r>
      <w:r>
        <w:rPr>
          <w:rFonts w:hint="eastAsia" w:ascii="宋体" w:hAnsi="宋体" w:eastAsia="宋体" w:cs="宋体"/>
          <w:color w:val="000000" w:themeColor="text1"/>
          <w:highlight w:val="none"/>
          <w:lang w:val="en-US" w:eastAsia="zh-CN"/>
          <w14:textFill>
            <w14:solidFill>
              <w14:schemeClr w14:val="tx1"/>
            </w14:solidFill>
          </w14:textFill>
        </w:rPr>
        <w:t>：202</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cs="宋体"/>
          <w:color w:val="000000" w:themeColor="text1"/>
          <w:highlight w:val="none"/>
          <w:lang w:val="en-US" w:eastAsia="zh-CN"/>
          <w14:textFill>
            <w14:solidFill>
              <w14:schemeClr w14:val="tx1"/>
            </w14:solidFill>
          </w14:textFill>
        </w:rPr>
        <w:t>30</w:t>
      </w:r>
      <w:r>
        <w:rPr>
          <w:rFonts w:hint="eastAsia" w:ascii="宋体" w:hAnsi="宋体" w:eastAsia="宋体" w:cs="宋体"/>
          <w:color w:val="000000" w:themeColor="text1"/>
          <w:highlight w:val="none"/>
          <w14:textFill>
            <w14:solidFill>
              <w14:schemeClr w14:val="tx1"/>
            </w14:solidFill>
          </w14:textFill>
        </w:rPr>
        <w:t>日1</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（北京时间）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二</w:t>
      </w:r>
      <w:r>
        <w:rPr>
          <w:rFonts w:hint="eastAsia" w:ascii="宋体" w:hAnsi="宋体" w:eastAsia="宋体" w:cs="宋体"/>
          <w:color w:val="000000" w:themeColor="text1"/>
          <w:highlight w:val="none"/>
          <w:lang w:eastAsia="zh-CN"/>
          <w14:textFill>
            <w14:solidFill>
              <w14:schemeClr w14:val="tx1"/>
            </w14:solidFill>
          </w14:textFill>
        </w:rPr>
        <w:t>）投标文件提交方式、地点：投标截止时间前，投标人应按照</w:t>
      </w:r>
      <w:r>
        <w:rPr>
          <w:rFonts w:hint="eastAsia" w:ascii="宋体" w:hAnsi="宋体" w:eastAsia="宋体" w:cs="宋体"/>
          <w:color w:val="000000" w:themeColor="text1"/>
          <w:highlight w:val="none"/>
          <w:lang w:val="en-US" w:eastAsia="zh-CN"/>
          <w14:textFill>
            <w14:solidFill>
              <w14:schemeClr w14:val="tx1"/>
            </w14:solidFill>
          </w14:textFill>
        </w:rPr>
        <w:t>招标</w:t>
      </w:r>
      <w:r>
        <w:rPr>
          <w:rFonts w:hint="eastAsia" w:ascii="宋体" w:hAnsi="宋体" w:eastAsia="宋体" w:cs="宋体"/>
          <w:color w:val="000000" w:themeColor="text1"/>
          <w:highlight w:val="none"/>
          <w:lang w:eastAsia="zh-CN"/>
          <w14:textFill>
            <w14:solidFill>
              <w14:schemeClr w14:val="tx1"/>
            </w14:solidFill>
          </w14:textFill>
        </w:rPr>
        <w:t>文件规定加盖电子印章、加密后生成</w:t>
      </w:r>
      <w:r>
        <w:rPr>
          <w:rFonts w:hint="eastAsia" w:ascii="宋体" w:hAnsi="宋体" w:eastAsia="宋体" w:cs="宋体"/>
          <w:color w:val="000000" w:themeColor="text1"/>
          <w:highlight w:val="none"/>
          <w:lang w:val="en-US" w:eastAsia="zh-CN"/>
          <w14:textFill>
            <w14:solidFill>
              <w14:schemeClr w14:val="tx1"/>
            </w14:solidFill>
          </w14:textFill>
        </w:rPr>
        <w:t>投标</w:t>
      </w:r>
      <w:r>
        <w:rPr>
          <w:rFonts w:hint="eastAsia" w:ascii="宋体" w:hAnsi="宋体" w:eastAsia="宋体" w:cs="宋体"/>
          <w:color w:val="000000" w:themeColor="text1"/>
          <w:highlight w:val="none"/>
          <w:lang w:eastAsia="zh-CN"/>
          <w14:textFill>
            <w14:solidFill>
              <w14:schemeClr w14:val="tx1"/>
            </w14:solidFill>
          </w14:textFill>
        </w:rPr>
        <w:t>文件，通过“政府采购云平台”系统在线提交</w:t>
      </w:r>
      <w:r>
        <w:rPr>
          <w:rFonts w:hint="eastAsia" w:ascii="宋体" w:hAnsi="宋体" w:eastAsia="宋体" w:cs="宋体"/>
          <w:color w:val="000000" w:themeColor="text1"/>
          <w:highlight w:val="none"/>
          <w:lang w:val="en-US" w:eastAsia="zh-CN"/>
          <w14:textFill>
            <w14:solidFill>
              <w14:schemeClr w14:val="tx1"/>
            </w14:solidFill>
          </w14:textFill>
        </w:rPr>
        <w:t>至该系统</w:t>
      </w:r>
      <w:r>
        <w:rPr>
          <w:rFonts w:hint="eastAsia" w:ascii="宋体" w:hAnsi="宋体" w:eastAsia="宋体" w:cs="宋体"/>
          <w:color w:val="000000" w:themeColor="text1"/>
          <w:highlight w:val="none"/>
          <w:lang w:eastAsia="zh-CN"/>
          <w14:textFill>
            <w14:solidFill>
              <w14:schemeClr w14:val="tx1"/>
            </w14:solidFill>
          </w14:textFill>
        </w:rPr>
        <w:t>对应项目（包件）。逾期提交或者不按规定提交的不予接收。本次不接收其他方式提交的</w:t>
      </w:r>
      <w:r>
        <w:rPr>
          <w:rFonts w:hint="eastAsia" w:ascii="宋体" w:hAnsi="宋体" w:eastAsia="宋体" w:cs="宋体"/>
          <w:color w:val="000000" w:themeColor="text1"/>
          <w:highlight w:val="none"/>
          <w:lang w:val="en-US" w:eastAsia="zh-CN"/>
          <w14:textFill>
            <w14:solidFill>
              <w14:schemeClr w14:val="tx1"/>
            </w14:solidFill>
          </w14:textFill>
        </w:rPr>
        <w:t>投标</w:t>
      </w:r>
      <w:r>
        <w:rPr>
          <w:rFonts w:hint="eastAsia" w:ascii="宋体" w:hAnsi="宋体" w:eastAsia="宋体" w:cs="宋体"/>
          <w:color w:val="000000" w:themeColor="text1"/>
          <w:highlight w:val="none"/>
          <w:lang w:eastAsia="zh-CN"/>
          <w14:textFill>
            <w14:solidFill>
              <w14:schemeClr w14:val="tx1"/>
            </w14:solidFill>
          </w14:textFill>
        </w:rPr>
        <w:t>文件。</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（三）使用“政府采购云平台”（含政采云电子交易客户端）需要提前申领CA数字证书及电子签章，请自行前往四川CA、CFCA、天威</w:t>
      </w:r>
      <w:r>
        <w:rPr>
          <w:rFonts w:hint="eastAsia" w:ascii="宋体" w:hAnsi="宋体" w:eastAsia="宋体" w:cs="宋体"/>
          <w:color w:val="000000" w:themeColor="text1"/>
          <w:highlight w:val="none"/>
          <w:lang w:val="en-US" w:eastAsia="zh-CN"/>
          <w14:textFill>
            <w14:solidFill>
              <w14:schemeClr w14:val="tx1"/>
            </w14:solidFill>
          </w14:textFill>
        </w:rPr>
        <w:t>等</w:t>
      </w:r>
      <w:r>
        <w:rPr>
          <w:rFonts w:hint="eastAsia" w:ascii="宋体" w:hAnsi="宋体" w:eastAsia="宋体" w:cs="宋体"/>
          <w:color w:val="000000" w:themeColor="text1"/>
          <w:highlight w:val="none"/>
          <w:lang w:eastAsia="zh-CN"/>
          <w14:textFill>
            <w14:solidFill>
              <w14:schemeClr w14:val="tx1"/>
            </w14:solidFill>
          </w14:textFill>
        </w:rPr>
        <w:t>服务点办理，只需办理其中一家CA数字证书及签章（提示：办理时请说明参与成都市政府采购项目）。投标人应及时完成在“政府采购云平台”的CA账号绑定，确保顺利参与电子投标。</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highlight w:val="none"/>
          <w:lang w:eastAsia="zh-CN"/>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十、开标地点：</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本项目为不见面开标项目</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lang w:eastAsia="zh-CN"/>
          <w14:textFill>
            <w14:solidFill>
              <w14:schemeClr w14:val="tx1"/>
            </w14:solidFill>
          </w14:textFill>
        </w:rPr>
        <w:t>开标地点为“政府采购云平台”</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https://www.zcygov.cn/</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b/>
          <w:bCs/>
          <w:color w:val="000000" w:themeColor="text1"/>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十一、本投标邀请在四川政府采购网上以公告形式发布。</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十二、</w:t>
      </w:r>
      <w:r>
        <w:rPr>
          <w:rFonts w:hint="eastAsia" w:ascii="宋体" w:hAnsi="宋体" w:eastAsia="宋体" w:cs="宋体"/>
          <w:b/>
          <w:bCs/>
          <w:color w:val="000000" w:themeColor="text1"/>
          <w:highlight w:val="none"/>
          <w14:textFill>
            <w14:solidFill>
              <w14:schemeClr w14:val="tx1"/>
            </w14:solidFill>
          </w14:textFill>
        </w:rPr>
        <w:t>联系方式</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 购 人：大邑县教育局</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    址：成都市大邑县晋原镇富民路北段1号</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 系 人：</w:t>
      </w:r>
      <w:r>
        <w:rPr>
          <w:rFonts w:hint="eastAsia" w:ascii="宋体" w:hAnsi="宋体" w:cs="宋体"/>
          <w:color w:val="000000" w:themeColor="text1"/>
          <w:highlight w:val="none"/>
          <w:lang w:val="en-US" w:eastAsia="zh-CN"/>
          <w14:textFill>
            <w14:solidFill>
              <w14:schemeClr w14:val="tx1"/>
            </w14:solidFill>
          </w14:textFill>
        </w:rPr>
        <w:t>张</w:t>
      </w:r>
      <w:r>
        <w:rPr>
          <w:rFonts w:hint="eastAsia" w:ascii="宋体" w:hAnsi="宋体" w:eastAsia="宋体" w:cs="宋体"/>
          <w:color w:val="000000" w:themeColor="text1"/>
          <w:highlight w:val="none"/>
          <w14:textFill>
            <w14:solidFill>
              <w14:schemeClr w14:val="tx1"/>
            </w14:solidFill>
          </w14:textFill>
        </w:rPr>
        <w:t>老师</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联系电话：028-88292104</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t>采购代理机构：</w:t>
      </w:r>
      <w:r>
        <w:rPr>
          <w:rFonts w:hint="eastAsia" w:ascii="宋体" w:hAnsi="宋体" w:eastAsia="宋体" w:cs="宋体"/>
          <w:b w:val="0"/>
          <w:bCs w:val="0"/>
          <w:color w:val="000000" w:themeColor="text1"/>
          <w:highlight w:val="none"/>
          <w:lang w:eastAsia="zh-CN"/>
          <w14:textFill>
            <w14:solidFill>
              <w14:schemeClr w14:val="tx1"/>
            </w14:solidFill>
          </w14:textFill>
        </w:rPr>
        <w:t>四川浩</w:t>
      </w:r>
      <w:r>
        <w:rPr>
          <w:rFonts w:hint="eastAsia" w:ascii="宋体" w:hAnsi="宋体" w:eastAsia="宋体" w:cs="宋体"/>
          <w:color w:val="000000" w:themeColor="text1"/>
          <w:highlight w:val="none"/>
          <w:lang w:eastAsia="zh-CN"/>
          <w14:textFill>
            <w14:solidFill>
              <w14:schemeClr w14:val="tx1"/>
            </w14:solidFill>
          </w14:textFill>
        </w:rPr>
        <w:t>行招标代理有限公司</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zh-CN"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    址：</w:t>
      </w:r>
      <w:r>
        <w:rPr>
          <w:rFonts w:hint="eastAsia" w:ascii="宋体" w:hAnsi="宋体" w:eastAsia="宋体" w:cs="宋体"/>
          <w:color w:val="000000" w:themeColor="text1"/>
          <w:highlight w:val="none"/>
          <w:lang w:eastAsia="zh-CN"/>
          <w14:textFill>
            <w14:solidFill>
              <w14:schemeClr w14:val="tx1"/>
            </w14:solidFill>
          </w14:textFill>
        </w:rPr>
        <w:t>成都市高新区九兴大道14号凯乐国际5幢－503号</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 系 人：</w:t>
      </w:r>
      <w:r>
        <w:rPr>
          <w:rFonts w:hint="eastAsia" w:ascii="宋体" w:hAnsi="宋体" w:eastAsia="宋体" w:cs="宋体"/>
          <w:color w:val="000000" w:themeColor="text1"/>
          <w:highlight w:val="none"/>
          <w:lang w:eastAsia="zh-CN"/>
          <w14:textFill>
            <w14:solidFill>
              <w14:schemeClr w14:val="tx1"/>
            </w14:solidFill>
          </w14:textFill>
        </w:rPr>
        <w:t>刘女士</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蔡先生</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lang w:eastAsia="zh-CN"/>
          <w14:textFill>
            <w14:solidFill>
              <w14:schemeClr w14:val="tx1"/>
            </w14:solidFill>
          </w14:textFill>
        </w:rPr>
        <w:t>028-85588661</w:t>
      </w:r>
      <w:r>
        <w:rPr>
          <w:rFonts w:hint="eastAsia" w:ascii="宋体" w:hAnsi="宋体" w:eastAsia="宋体" w:cs="宋体"/>
          <w:color w:val="000000" w:themeColor="text1"/>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p>
    <w:p>
      <w:pPr>
        <w:pStyle w:val="2"/>
        <w:pageBreakBefore w:val="0"/>
        <w:kinsoku/>
        <w:overflowPunct/>
        <w:bidi w:val="0"/>
        <w:spacing w:after="50" w:afterAutospacing="0" w:line="360" w:lineRule="auto"/>
        <w:ind w:left="0" w:leftChars="0" w:right="0" w:right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outlineLvl w:val="0"/>
        <w:rPr>
          <w:rFonts w:hint="eastAsia" w:ascii="宋体" w:hAnsi="宋体" w:eastAsia="宋体" w:cs="宋体"/>
          <w:bCs w:val="0"/>
          <w:color w:val="000000" w:themeColor="text1"/>
          <w:sz w:val="36"/>
          <w:highlight w:val="none"/>
          <w14:textFill>
            <w14:solidFill>
              <w14:schemeClr w14:val="tx1"/>
            </w14:solidFill>
          </w14:textFill>
        </w:rPr>
      </w:pPr>
      <w:bookmarkStart w:id="4" w:name="_Toc18470"/>
      <w:bookmarkStart w:id="5" w:name="_Toc25331"/>
      <w:bookmarkStart w:id="6" w:name="_Toc213396759"/>
      <w:bookmarkStart w:id="7" w:name="_Toc213397009"/>
      <w:bookmarkStart w:id="8" w:name="_Toc213496267"/>
      <w:bookmarkStart w:id="9" w:name="_Toc213396945"/>
      <w:bookmarkStart w:id="10" w:name="_Toc217446031"/>
      <w:r>
        <w:rPr>
          <w:rFonts w:hint="eastAsia" w:ascii="宋体" w:hAnsi="宋体" w:eastAsia="宋体" w:cs="宋体"/>
          <w:bCs w:val="0"/>
          <w:color w:val="000000" w:themeColor="text1"/>
          <w:sz w:val="36"/>
          <w:highlight w:val="none"/>
          <w14:textFill>
            <w14:solidFill>
              <w14:schemeClr w14:val="tx1"/>
            </w14:solidFill>
          </w14:textFill>
        </w:rPr>
        <w:t>第二章  投标人须知</w:t>
      </w:r>
      <w:bookmarkEnd w:id="4"/>
      <w:bookmarkEnd w:id="5"/>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bookmarkStart w:id="11" w:name="_Toc6927"/>
      <w:bookmarkStart w:id="12" w:name="_Toc1590"/>
      <w:r>
        <w:rPr>
          <w:rFonts w:hint="eastAsia" w:ascii="宋体" w:hAnsi="宋体" w:eastAsia="宋体" w:cs="宋体"/>
          <w:color w:val="000000" w:themeColor="text1"/>
          <w:highlight w:val="none"/>
          <w14:textFill>
            <w14:solidFill>
              <w14:schemeClr w14:val="tx1"/>
            </w14:solidFill>
          </w14:textFill>
        </w:rPr>
        <w:t>一、投标人须知附表</w:t>
      </w:r>
      <w:bookmarkEnd w:id="6"/>
      <w:bookmarkEnd w:id="7"/>
      <w:bookmarkEnd w:id="8"/>
      <w:bookmarkEnd w:id="9"/>
      <w:bookmarkEnd w:id="10"/>
      <w:bookmarkEnd w:id="11"/>
      <w:bookmarkEnd w:id="12"/>
    </w:p>
    <w:tbl>
      <w:tblPr>
        <w:tblStyle w:val="33"/>
        <w:tblW w:w="1022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978"/>
        <w:gridCol w:w="767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序号</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条款名称</w:t>
            </w:r>
          </w:p>
        </w:tc>
        <w:tc>
          <w:tcPr>
            <w:tcW w:w="7675"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说明和要求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1</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采购预算</w:t>
            </w:r>
            <w:r>
              <w:rPr>
                <w:rFonts w:hint="eastAsia" w:ascii="宋体" w:hAnsi="宋体" w:eastAsia="宋体" w:cs="宋体"/>
                <w:color w:val="000000" w:themeColor="text1"/>
                <w:kern w:val="2"/>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最高限价</w:t>
            </w:r>
            <w:r>
              <w:rPr>
                <w:rFonts w:hint="eastAsia" w:ascii="宋体" w:hAnsi="宋体" w:eastAsia="宋体" w:cs="宋体"/>
                <w:color w:val="000000" w:themeColor="text1"/>
                <w:kern w:val="2"/>
                <w:highlight w:val="none"/>
                <w14:textFill>
                  <w14:solidFill>
                    <w14:schemeClr w14:val="tx1"/>
                  </w14:solidFill>
                </w14:textFill>
              </w:rPr>
              <w:t>及报价要求</w:t>
            </w:r>
          </w:p>
        </w:tc>
        <w:tc>
          <w:tcPr>
            <w:tcW w:w="7675" w:type="dxa"/>
            <w:tcBorders>
              <w:tl2br w:val="nil"/>
              <w:tr2bl w:val="nil"/>
            </w:tcBorders>
            <w:vAlign w:val="center"/>
          </w:tcPr>
          <w:p>
            <w:pPr>
              <w:pStyle w:val="48"/>
              <w:keepNext w:val="0"/>
              <w:keepLines w:val="0"/>
              <w:pageBreakBefore w:val="0"/>
              <w:kinsoku/>
              <w:wordWrap w:val="0"/>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本项目</w:t>
            </w:r>
            <w:r>
              <w:rPr>
                <w:rFonts w:hint="eastAsia" w:ascii="宋体" w:hAnsi="宋体" w:eastAsia="宋体" w:cs="宋体"/>
                <w:color w:val="000000" w:themeColor="text1"/>
                <w:highlight w:val="none"/>
                <w14:textFill>
                  <w14:solidFill>
                    <w14:schemeClr w14:val="tx1"/>
                  </w14:solidFill>
                </w14:textFill>
              </w:rPr>
              <w:t>预算金额</w:t>
            </w:r>
            <w:r>
              <w:rPr>
                <w:rFonts w:hint="eastAsia" w:cs="宋体"/>
                <w:color w:val="000000" w:themeColor="text1"/>
                <w:highlight w:val="none"/>
                <w:lang w:val="en-US" w:eastAsia="zh-CN"/>
                <w14:textFill>
                  <w14:solidFill>
                    <w14:schemeClr w14:val="tx1"/>
                  </w14:solidFill>
                </w14:textFill>
              </w:rPr>
              <w:t>及最高限价</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95</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,000.00元</w:t>
            </w:r>
            <w:r>
              <w:rPr>
                <w:rFonts w:hint="eastAsia" w:cs="宋体"/>
                <w:color w:val="000000" w:themeColor="text1"/>
                <w:highlight w:val="none"/>
                <w:lang w:eastAsia="zh-CN"/>
                <w14:textFill>
                  <w14:solidFill>
                    <w14:schemeClr w14:val="tx1"/>
                  </w14:solidFill>
                </w14:textFill>
              </w:rPr>
              <w:t>（</w:t>
            </w:r>
            <w:r>
              <w:rPr>
                <w:rFonts w:hint="eastAsia" w:cs="宋体"/>
                <w:color w:val="000000" w:themeColor="text1"/>
                <w:highlight w:val="none"/>
                <w:lang w:val="en-US" w:eastAsia="zh-CN"/>
                <w14:textFill>
                  <w14:solidFill>
                    <w14:schemeClr w14:val="tx1"/>
                  </w14:solidFill>
                </w14:textFill>
              </w:rPr>
              <w:t>大写：贰佰玖拾伍万元整</w:t>
            </w:r>
            <w:r>
              <w:rPr>
                <w:rFonts w:hint="eastAsia"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zh-CN"/>
                <w14:textFill>
                  <w14:solidFill>
                    <w14:schemeClr w14:val="tx1"/>
                  </w14:solidFill>
                </w14:textFill>
              </w:rPr>
              <w:t>；投标报价不能超过</w:t>
            </w:r>
            <w:r>
              <w:rPr>
                <w:rFonts w:hint="eastAsia" w:ascii="宋体" w:hAnsi="宋体" w:eastAsia="宋体" w:cs="宋体"/>
                <w:color w:val="000000" w:themeColor="text1"/>
                <w:highlight w:val="none"/>
                <w:lang w:val="en-US" w:eastAsia="zh-CN"/>
                <w14:textFill>
                  <w14:solidFill>
                    <w14:schemeClr w14:val="tx1"/>
                  </w14:solidFill>
                </w14:textFill>
              </w:rPr>
              <w:t>最高限价</w:t>
            </w:r>
            <w:r>
              <w:rPr>
                <w:rFonts w:hint="eastAsia" w:ascii="宋体" w:hAnsi="宋体" w:eastAsia="宋体" w:cs="宋体"/>
                <w:color w:val="000000" w:themeColor="text1"/>
                <w:highlight w:val="none"/>
                <w:lang w:val="zh-CN"/>
                <w14:textFill>
                  <w14:solidFill>
                    <w14:schemeClr w14:val="tx1"/>
                  </w14:solidFill>
                </w14:textFill>
              </w:rPr>
              <w:t>，否则投标无效。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2</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低于成本价不正当</w:t>
            </w:r>
          </w:p>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竞争预防措施</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在评标过程中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评标委员会认为投标人的报价明显低于其他通过符合性审查投标人的报价</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有可能影响货物质量或者不能诚信履约的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评标委员会应当要求其在评标现场合理的时间内提供成本构成书面说明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并提交相关证明材料。供应商书面说明应当按照国家财务会计制度的规定要求</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逐项就供应商提供的货物的主营业务成本、税金及附加、销售费用、管理费用、财务费用等成本构成事项详细陈述。</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供应商书面说明应当加盖公章</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u w:val="none"/>
                <w14:textFill>
                  <w14:solidFill>
                    <w14:schemeClr w14:val="tx1"/>
                  </w14:solidFill>
                </w14:textFill>
              </w:rPr>
              <w:t>单位</w:t>
            </w:r>
            <w:r>
              <w:rPr>
                <w:rFonts w:hint="eastAsia" w:ascii="宋体" w:hAnsi="宋体" w:eastAsia="宋体" w:cs="宋体"/>
                <w:color w:val="000000" w:themeColor="text1"/>
                <w:highlight w:val="none"/>
                <w:u w:val="none"/>
                <w:lang w:val="en-US" w:eastAsia="zh-CN"/>
                <w14:textFill>
                  <w14:solidFill>
                    <w14:schemeClr w14:val="tx1"/>
                  </w14:solidFill>
                </w14:textFill>
              </w:rPr>
              <w:t>电子印章</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在</w:t>
            </w:r>
            <w:r>
              <w:rPr>
                <w:rFonts w:hint="eastAsia" w:ascii="宋体" w:hAnsi="宋体" w:eastAsia="宋体" w:cs="宋体"/>
                <w:color w:val="000000" w:themeColor="text1"/>
                <w:highlight w:val="none"/>
                <w14:textFill>
                  <w14:solidFill>
                    <w14:schemeClr w14:val="tx1"/>
                  </w14:solidFill>
                </w14:textFill>
              </w:rPr>
              <w:t>评标委员会</w:t>
            </w:r>
            <w:r>
              <w:rPr>
                <w:rFonts w:hint="eastAsia" w:ascii="宋体" w:hAnsi="宋体" w:eastAsia="宋体" w:cs="宋体"/>
                <w:color w:val="000000" w:themeColor="text1"/>
                <w:highlight w:val="none"/>
                <w:lang w:val="en-US" w:eastAsia="zh-CN"/>
                <w14:textFill>
                  <w14:solidFill>
                    <w14:schemeClr w14:val="tx1"/>
                  </w14:solidFill>
                </w14:textFill>
              </w:rPr>
              <w:t>要求的时间内通过“政府采购云平台”提交</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否则无效。</w:t>
            </w:r>
            <w:r>
              <w:rPr>
                <w:rFonts w:hint="eastAsia" w:ascii="宋体" w:hAnsi="宋体" w:eastAsia="宋体" w:cs="宋体"/>
                <w:color w:val="000000" w:themeColor="text1"/>
                <w:highlight w:val="none"/>
                <w:lang w:val="zh-CN"/>
                <w14:textFill>
                  <w14:solidFill>
                    <w14:schemeClr w14:val="tx1"/>
                  </w14:solidFill>
                </w14:textFill>
              </w:rPr>
              <w:t>如因断电、断网、系统故障或其他不可抗力等因素，导致系统无法使用的，由投标人按评标委员会的要求进行澄清或者说明。</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供应商提供书面说明后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应当结合采购项目采购需求、专业实际情况、供应商财务状况报告、与其他供应商比较情况等就供应商书面说明进行审查评价。供应商拒绝或者变相拒绝提供有效书面说明或者书面说明不能证明其报价合理性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评标委员会应当将其投标文件作为无效处理。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lang w:val="zh-CN" w:eastAsia="zh-CN"/>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3</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bidi="ar"/>
                <w14:textFill>
                  <w14:solidFill>
                    <w14:schemeClr w14:val="tx1"/>
                  </w14:solidFill>
                </w14:textFill>
              </w:rPr>
              <w:t>禁止参加采购活动的供应商</w:t>
            </w:r>
          </w:p>
        </w:tc>
        <w:tc>
          <w:tcPr>
            <w:tcW w:w="7675" w:type="dxa"/>
            <w:tcBorders>
              <w:tl2br w:val="nil"/>
              <w:tr2bl w:val="nil"/>
            </w:tcBorders>
            <w:vAlign w:val="center"/>
          </w:tcPr>
          <w:p>
            <w:pPr>
              <w:pStyle w:val="2"/>
              <w:keepNext w:val="0"/>
              <w:keepLines w:val="0"/>
              <w:pageBreakBefore w:val="0"/>
              <w:widowControl w:val="0"/>
              <w:kinsoku/>
              <w:overflowPunct/>
              <w:topLinePunct w:val="0"/>
              <w:autoSpaceDE w:val="0"/>
              <w:autoSpaceDN w:val="0"/>
              <w:bidi w:val="0"/>
              <w:adjustRightInd w:val="0"/>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1</w:t>
            </w:r>
            <w:r>
              <w:rPr>
                <w:rFonts w:hint="eastAsia" w:ascii="宋体" w:hAnsi="宋体" w:eastAsia="宋体" w:cs="宋体"/>
                <w:b w:val="0"/>
                <w:bCs w:val="0"/>
                <w:color w:val="000000" w:themeColor="text1"/>
                <w:sz w:val="24"/>
                <w:szCs w:val="24"/>
                <w:highlight w:val="none"/>
                <w:lang w:val="en-US"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根据《财政部关于在政府采购活动中查询及使用信用记录的通知》（财库〔201</w:t>
            </w:r>
            <w:r>
              <w:rPr>
                <w:rFonts w:hint="eastAsia" w:ascii="宋体" w:hAnsi="宋体" w:eastAsia="宋体" w:cs="宋体"/>
                <w:b w:val="0"/>
                <w:bCs w:val="0"/>
                <w:color w:val="000000" w:themeColor="text1"/>
                <w:sz w:val="24"/>
                <w:szCs w:val="24"/>
                <w:highlight w:val="none"/>
                <w:lang w:val="en-US" w:eastAsia="zh-CN" w:bidi="ar"/>
                <w14:textFill>
                  <w14:solidFill>
                    <w14:schemeClr w14:val="tx1"/>
                  </w14:solidFill>
                </w14:textFill>
              </w:rPr>
              <w:t>6〕</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125号）的要求</w:t>
            </w: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采购代理机构将通过“信用中国”网站（www.creditchina.gov.cn）、“中国政府采购网”网站（www.ccgp.gov.cn）等渠道</w:t>
            </w: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查询投标人截止至投标截止时间前一个工作日的信用记录并保存信用记录结果网页截图</w:t>
            </w:r>
            <w:r>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拒绝列入失信被执行人、重大税收违法案件当事人名单、政府采购严重违法失信行为记录名单中的投标人参加本项目的政府采购活动。</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b w:val="0"/>
                <w:bCs w:val="0"/>
                <w:color w:val="000000" w:themeColor="text1"/>
                <w:sz w:val="24"/>
                <w:szCs w:val="24"/>
                <w:highlight w:val="none"/>
                <w:lang w:eastAsia="zh-CN"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2</w:t>
            </w:r>
            <w:r>
              <w:rPr>
                <w:rFonts w:hint="eastAsia" w:ascii="宋体" w:hAnsi="宋体" w:eastAsia="宋体" w:cs="宋体"/>
                <w:b w:val="0"/>
                <w:bCs w:val="0"/>
                <w:color w:val="000000" w:themeColor="text1"/>
                <w:sz w:val="24"/>
                <w:szCs w:val="24"/>
                <w:highlight w:val="none"/>
                <w:lang w:val="en-US"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单位负责人为同一人或者存在直接控股、管理关系的不同供应商禁止参加同一合同项下的政府采购活动。</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b w:val="0"/>
                <w:bCs w:val="0"/>
                <w:color w:val="000000" w:themeColor="text1"/>
                <w:sz w:val="24"/>
                <w:szCs w:val="24"/>
                <w:highlight w:val="none"/>
                <w:lang w:val="zh-CN" w:bidi="ar"/>
                <w14:textFill>
                  <w14:solidFill>
                    <w14:schemeClr w14:val="tx1"/>
                  </w14:solidFill>
                </w14:textFill>
              </w:rPr>
            </w:pPr>
            <w:r>
              <w:rPr>
                <w:rFonts w:hint="eastAsia" w:ascii="宋体" w:hAnsi="宋体" w:eastAsia="宋体" w:cs="宋体"/>
                <w:b w:val="0"/>
                <w:bCs w:val="0"/>
                <w:color w:val="000000" w:themeColor="text1"/>
                <w:sz w:val="24"/>
                <w:szCs w:val="24"/>
                <w:highlight w:val="none"/>
                <w:lang w:bidi="ar"/>
                <w14:textFill>
                  <w14:solidFill>
                    <w14:schemeClr w14:val="tx1"/>
                  </w14:solidFill>
                </w14:textFill>
              </w:rPr>
              <w:t>3</w:t>
            </w:r>
            <w:r>
              <w:rPr>
                <w:rFonts w:hint="eastAsia" w:ascii="宋体" w:hAnsi="宋体" w:eastAsia="宋体" w:cs="宋体"/>
                <w:b w:val="0"/>
                <w:bCs w:val="0"/>
                <w:color w:val="000000" w:themeColor="text1"/>
                <w:sz w:val="24"/>
                <w:szCs w:val="24"/>
                <w:highlight w:val="none"/>
                <w:lang w:val="en-US" w:eastAsia="zh-CN" w:bidi="ar"/>
                <w14:textFill>
                  <w14:solidFill>
                    <w14:schemeClr w14:val="tx1"/>
                  </w14:solidFill>
                </w14:textFill>
              </w:rPr>
              <w:t>.</w:t>
            </w:r>
            <w:r>
              <w:rPr>
                <w:rFonts w:hint="eastAsia" w:ascii="宋体" w:hAnsi="宋体" w:eastAsia="宋体" w:cs="宋体"/>
                <w:b w:val="0"/>
                <w:bCs w:val="0"/>
                <w:color w:val="000000" w:themeColor="text1"/>
                <w:sz w:val="24"/>
                <w:szCs w:val="24"/>
                <w:highlight w:val="none"/>
                <w:lang w:bidi="ar"/>
                <w14:textFill>
                  <w14:solidFill>
                    <w14:schemeClr w14:val="tx1"/>
                  </w14:solidFill>
                </w14:textFill>
              </w:rPr>
              <w:t>为采购项目提供整体设计、规范编制或者项目管理、监理、检测等服务的供应商禁止参加本次采购项目。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574" w:type="dxa"/>
            <w:tcBorders>
              <w:tl2br w:val="nil"/>
              <w:tr2bl w:val="nil"/>
            </w:tcBorders>
            <w:vAlign w:val="center"/>
          </w:tcPr>
          <w:p>
            <w:pPr>
              <w:pageBreakBefore w:val="0"/>
              <w:kinsoku/>
              <w:overflowPunct/>
              <w:bidi w:val="0"/>
              <w:spacing w:line="360" w:lineRule="auto"/>
              <w:ind w:left="0" w:leftChars="0" w:right="0" w:rightChars="0" w:firstLine="240" w:firstLineChars="100"/>
              <w:jc w:val="both"/>
              <w:rPr>
                <w:rFonts w:hint="eastAsia" w:ascii="宋体" w:hAnsi="宋体" w:eastAsia="宋体" w:cs="宋体"/>
                <w:color w:val="000000" w:themeColor="text1"/>
                <w:kern w:val="2"/>
                <w:highlight w:val="none"/>
                <w:lang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本项目需要落实的政府采购政策</w:t>
            </w:r>
          </w:p>
        </w:tc>
        <w:tc>
          <w:tcPr>
            <w:tcW w:w="7675"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rightChars="0" w:firstLine="0" w:firstLineChars="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一、</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促进中小企业发展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1.根据</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《政府采购促进中小企业发展管理办法》（财库〔2020〕46号）</w:t>
            </w:r>
            <w:r>
              <w:rPr>
                <w:rFonts w:hint="eastAsia" w:ascii="宋体" w:hAnsi="宋体" w:eastAsia="宋体" w:cs="宋体"/>
                <w:b w:val="0"/>
                <w:bCs w:val="0"/>
                <w:color w:val="000000" w:themeColor="text1"/>
                <w:sz w:val="24"/>
                <w:szCs w:val="24"/>
                <w:highlight w:val="none"/>
                <w14:textFill>
                  <w14:solidFill>
                    <w14:schemeClr w14:val="tx1"/>
                  </w14:solidFill>
                </w14:textFill>
              </w:rPr>
              <w:t>的规定，对小型和微型企业的价格给予</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b w:val="0"/>
                <w:bCs w:val="0"/>
                <w:color w:val="000000" w:themeColor="text1"/>
                <w:sz w:val="24"/>
                <w:szCs w:val="24"/>
                <w:highlight w:val="none"/>
                <w14:textFill>
                  <w14:solidFill>
                    <w14:schemeClr w14:val="tx1"/>
                  </w14:solidFill>
                </w14:textFill>
              </w:rPr>
              <w:t>%的价格扣除，用扣除后的价格参与评审。监狱企业、残疾人福利性单位视同小微企业</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 xml:space="preserve">2.参加政府采购活动的中小企业应当提供《中小企业声明函》原件。监狱企业应当提供《监狱企业证明》原件。残疾人福利性单位应当提供《残疾人福利性单位声明函》原件。 </w:t>
            </w:r>
          </w:p>
          <w:p>
            <w:pPr>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二、</w:t>
            </w:r>
            <w:r>
              <w:rPr>
                <w:rFonts w:hint="eastAsia" w:ascii="宋体" w:hAnsi="宋体" w:eastAsia="宋体" w:cs="宋体"/>
                <w:b w:val="0"/>
                <w:bCs w:val="0"/>
                <w:color w:val="000000" w:themeColor="text1"/>
                <w:highlight w:val="none"/>
                <w14:textFill>
                  <w14:solidFill>
                    <w14:schemeClr w14:val="tx1"/>
                  </w14:solidFill>
                </w14:textFill>
              </w:rPr>
              <w:t>优先采购节能环境标志产品</w:t>
            </w:r>
            <w:r>
              <w:rPr>
                <w:rFonts w:hint="eastAsia" w:ascii="宋体" w:hAnsi="宋体" w:eastAsia="宋体" w:cs="宋体"/>
                <w:b w:val="0"/>
                <w:bCs w:val="0"/>
                <w:color w:val="000000" w:themeColor="text1"/>
                <w:highlight w:val="none"/>
                <w:lang w:eastAsia="zh-CN"/>
                <w14:textFill>
                  <w14:solidFill>
                    <w14:schemeClr w14:val="tx1"/>
                  </w14:solidFill>
                </w14:textFill>
              </w:rPr>
              <w:t>（</w:t>
            </w:r>
            <w:r>
              <w:rPr>
                <w:rFonts w:hint="eastAsia" w:ascii="宋体" w:hAnsi="宋体" w:eastAsia="宋体" w:cs="宋体"/>
                <w:b w:val="0"/>
                <w:bCs w:val="0"/>
                <w:color w:val="000000" w:themeColor="text1"/>
                <w:highlight w:val="none"/>
                <w:lang w:val="en-US" w:eastAsia="zh-CN"/>
                <w14:textFill>
                  <w14:solidFill>
                    <w14:schemeClr w14:val="tx1"/>
                  </w14:solidFill>
                </w14:textFill>
              </w:rPr>
              <w:t>强制节能产品除外</w:t>
            </w:r>
            <w:r>
              <w:rPr>
                <w:rFonts w:hint="eastAsia" w:ascii="宋体" w:hAnsi="宋体" w:eastAsia="宋体" w:cs="宋体"/>
                <w:b w:val="0"/>
                <w:bCs w:val="0"/>
                <w:color w:val="000000" w:themeColor="text1"/>
                <w:highlight w:val="none"/>
                <w:lang w:eastAsia="zh-CN"/>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lang w:eastAsia="zh-CN"/>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5</w:t>
            </w:r>
          </w:p>
        </w:tc>
        <w:tc>
          <w:tcPr>
            <w:tcW w:w="1978" w:type="dxa"/>
            <w:tcBorders>
              <w:tl2br w:val="nil"/>
              <w:tr2bl w:val="nil"/>
            </w:tcBorders>
            <w:vAlign w:val="center"/>
          </w:tcPr>
          <w:p>
            <w:pPr>
              <w:pageBreakBefore w:val="0"/>
              <w:kinsoku/>
              <w:overflowPunct/>
              <w:bidi w:val="0"/>
              <w:spacing w:line="360" w:lineRule="auto"/>
              <w:ind w:left="0" w:leftChars="0" w:right="0" w:rightChars="0" w:firstLine="0" w:firstLineChars="0"/>
              <w:jc w:val="center"/>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资格审查及</w:t>
            </w:r>
          </w:p>
          <w:p>
            <w:pPr>
              <w:pageBreakBefore w:val="0"/>
              <w:kinsoku/>
              <w:overflowPunct/>
              <w:bidi w:val="0"/>
              <w:spacing w:line="360" w:lineRule="auto"/>
              <w:ind w:left="0" w:leftChars="0" w:right="0" w:rightChars="0" w:firstLine="0" w:firstLine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评标情况公告</w:t>
            </w:r>
          </w:p>
        </w:tc>
        <w:tc>
          <w:tcPr>
            <w:tcW w:w="7675" w:type="dxa"/>
            <w:tcBorders>
              <w:tl2br w:val="nil"/>
              <w:tr2bl w:val="nil"/>
            </w:tcBorders>
            <w:vAlign w:val="center"/>
          </w:tcPr>
          <w:p>
            <w:pPr>
              <w:keepNext w:val="0"/>
              <w:keepLines w:val="0"/>
              <w:pageBreakBefore w:val="0"/>
              <w:widowControl/>
              <w:kinsoku/>
              <w:overflowPunct/>
              <w:topLinePunct w:val="0"/>
              <w:bidi w:val="0"/>
              <w:snapToGrid/>
              <w:spacing w:line="360" w:lineRule="auto"/>
              <w:ind w:left="0" w:leftChars="0" w:right="0" w:rightChars="0" w:firstLine="0" w:firstLineChars="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所有供应商投标文件资格性、符合性检查情况、总得分和分项汇总得分情况、评标结果等将在四川政府采购网上采购结果公告栏中予以公告。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574"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000000" w:themeColor="text1"/>
                <w:kern w:val="2"/>
                <w:highlight w:val="none"/>
                <w:lang w:val="en-US" w:eastAsia="zh-CN"/>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6</w:t>
            </w:r>
          </w:p>
        </w:tc>
        <w:tc>
          <w:tcPr>
            <w:tcW w:w="1978" w:type="dxa"/>
            <w:tcBorders>
              <w:tl2br w:val="nil"/>
              <w:tr2bl w:val="nil"/>
            </w:tcBorders>
            <w:vAlign w:val="center"/>
          </w:tcPr>
          <w:p>
            <w:pPr>
              <w:pageBreakBefore w:val="0"/>
              <w:kinsoku/>
              <w:overflowPunct/>
              <w:bidi w:val="0"/>
              <w:spacing w:line="240" w:lineRule="auto"/>
              <w:ind w:left="0" w:leftChars="0" w:right="0" w:rightChars="0" w:firstLine="0" w:firstLineChars="0"/>
              <w:jc w:val="center"/>
              <w:rPr>
                <w:rFonts w:hint="eastAsia" w:ascii="宋体" w:hAnsi="宋体" w:eastAsia="宋体" w:cs="宋体"/>
                <w:color w:val="000000" w:themeColor="text1"/>
                <w:kern w:val="0"/>
                <w:highlight w:val="none"/>
                <w:lang w:val="en-US" w:eastAsia="zh-CN"/>
                <w14:textFill>
                  <w14:solidFill>
                    <w14:schemeClr w14:val="tx1"/>
                  </w14:solidFill>
                </w14:textFill>
              </w:rPr>
            </w:pPr>
            <w:r>
              <w:rPr>
                <w:rFonts w:hint="eastAsia" w:ascii="宋体" w:hAnsi="宋体" w:eastAsia="宋体" w:cs="宋体"/>
                <w:color w:val="000000" w:themeColor="text1"/>
                <w:kern w:val="0"/>
                <w:highlight w:val="none"/>
                <w:lang w:val="en-US" w:eastAsia="zh-CN"/>
                <w14:textFill>
                  <w14:solidFill>
                    <w14:schemeClr w14:val="tx1"/>
                  </w14:solidFill>
                </w14:textFill>
              </w:rPr>
              <w:t>投标保证金</w:t>
            </w:r>
          </w:p>
        </w:tc>
        <w:tc>
          <w:tcPr>
            <w:tcW w:w="7675" w:type="dxa"/>
            <w:tcBorders>
              <w:tl2br w:val="nil"/>
              <w:tr2bl w:val="nil"/>
            </w:tcBorders>
            <w:vAlign w:val="center"/>
          </w:tcPr>
          <w:p>
            <w:pPr>
              <w:keepNext w:val="0"/>
              <w:keepLines w:val="0"/>
              <w:pageBreakBefore w:val="0"/>
              <w:widowControl/>
              <w:kinsoku/>
              <w:overflowPunct/>
              <w:topLinePunct w:val="0"/>
              <w:bidi w:val="0"/>
              <w:snapToGrid/>
              <w:spacing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本项目不要求交纳投标保证金。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681" w:hRule="atLeast"/>
          <w:jc w:val="center"/>
        </w:trPr>
        <w:tc>
          <w:tcPr>
            <w:tcW w:w="574"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000000" w:themeColor="text1"/>
                <w:kern w:val="2"/>
                <w:highlight w:val="none"/>
                <w:lang w:val="en-US" w:eastAsia="zh-CN"/>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7</w:t>
            </w:r>
          </w:p>
        </w:tc>
        <w:tc>
          <w:tcPr>
            <w:tcW w:w="1978"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000000" w:themeColor="text1"/>
                <w:kern w:val="2"/>
                <w:highlight w:val="none"/>
                <w:lang w:val="zh-CN" w:eastAsia="zh-CN"/>
                <w14:textFill>
                  <w14:solidFill>
                    <w14:schemeClr w14:val="tx1"/>
                  </w14:solidFill>
                </w14:textFill>
              </w:rPr>
            </w:pPr>
            <w:r>
              <w:rPr>
                <w:rFonts w:hint="eastAsia" w:ascii="宋体" w:hAnsi="宋体" w:eastAsia="宋体" w:cs="宋体"/>
                <w:color w:val="000000" w:themeColor="text1"/>
                <w:kern w:val="2"/>
                <w:highlight w:val="none"/>
                <w:lang w:val="zh-CN" w:eastAsia="zh-CN"/>
                <w14:textFill>
                  <w14:solidFill>
                    <w14:schemeClr w14:val="tx1"/>
                  </w14:solidFill>
                </w14:textFill>
              </w:rPr>
              <w:t>履约保证金</w:t>
            </w:r>
          </w:p>
        </w:tc>
        <w:tc>
          <w:tcPr>
            <w:tcW w:w="7675" w:type="dxa"/>
            <w:tcBorders>
              <w:tl2br w:val="nil"/>
              <w:tr2bl w:val="nil"/>
            </w:tcBorders>
            <w:vAlign w:val="center"/>
          </w:tcPr>
          <w:p>
            <w:pPr>
              <w:pStyle w:val="48"/>
              <w:pageBreakBefore w:val="0"/>
              <w:kinsoku/>
              <w:overflowPunct/>
              <w:bidi w:val="0"/>
              <w:spacing w:line="420" w:lineRule="exact"/>
              <w:ind w:left="0" w:leftChars="0" w:right="0" w:rightChars="0"/>
              <w:jc w:val="both"/>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本项目不要求交纳履约保证金。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lang w:val="en-US" w:eastAsia="zh-CN"/>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8</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投标文件的制作和签章、加密</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详见投标人须知19. 投标文件的</w:t>
            </w:r>
            <w:r>
              <w:rPr>
                <w:rFonts w:hint="eastAsia" w:ascii="宋体" w:hAnsi="宋体" w:eastAsia="宋体" w:cs="宋体"/>
                <w:color w:val="000000" w:themeColor="text1"/>
                <w:highlight w:val="none"/>
                <w:lang w:val="zh-CN" w:eastAsia="zh-CN"/>
                <w14:textFill>
                  <w14:solidFill>
                    <w14:schemeClr w14:val="tx1"/>
                  </w14:solidFill>
                </w14:textFill>
              </w:rPr>
              <w:t>制作和签章、加密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lang w:val="en-US" w:eastAsia="zh-CN"/>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9</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投标文件的</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lang w:val="zh-CN"/>
                <w14:textFill>
                  <w14:solidFill>
                    <w14:schemeClr w14:val="tx1"/>
                  </w14:solidFill>
                </w14:textFill>
              </w:rPr>
              <w:t>交</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详见投标人须知20. 投标文件的</w:t>
            </w:r>
            <w:r>
              <w:rPr>
                <w:rFonts w:hint="eastAsia" w:ascii="宋体" w:hAnsi="宋体" w:eastAsia="宋体" w:cs="宋体"/>
                <w:color w:val="000000" w:themeColor="text1"/>
                <w:highlight w:val="none"/>
                <w:lang w:val="zh-CN" w:eastAsia="zh-CN"/>
                <w14:textFill>
                  <w14:solidFill>
                    <w14:schemeClr w14:val="tx1"/>
                  </w14:solidFill>
                </w14:textFill>
              </w:rPr>
              <w:t>提</w:t>
            </w:r>
            <w:r>
              <w:rPr>
                <w:rFonts w:hint="eastAsia" w:ascii="宋体" w:hAnsi="宋体" w:eastAsia="宋体" w:cs="宋体"/>
                <w:color w:val="000000" w:themeColor="text1"/>
                <w:highlight w:val="none"/>
                <w:lang w:val="zh-CN"/>
                <w14:textFill>
                  <w14:solidFill>
                    <w14:schemeClr w14:val="tx1"/>
                  </w14:solidFill>
                </w14:textFill>
              </w:rPr>
              <w:t>交</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lang w:val="en-US" w:eastAsia="zh-CN"/>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10</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b/>
                <w:bCs/>
                <w:color w:val="000000" w:themeColor="text1"/>
                <w:highlight w:val="none"/>
                <w:lang w:val="zh-CN"/>
                <w14:textFill>
                  <w14:solidFill>
                    <w14:schemeClr w14:val="tx1"/>
                  </w14:solidFill>
                </w14:textFill>
              </w:rPr>
              <w:t>开标及开标程序</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b/>
                <w:bCs/>
                <w:color w:val="000000" w:themeColor="text1"/>
                <w:highlight w:val="none"/>
                <w:lang w:val="zh-CN"/>
                <w14:textFill>
                  <w14:solidFill>
                    <w14:schemeClr w14:val="tx1"/>
                  </w14:solidFill>
                </w14:textFill>
              </w:rPr>
            </w:pPr>
            <w:r>
              <w:rPr>
                <w:rFonts w:hint="eastAsia" w:ascii="宋体" w:hAnsi="宋体" w:eastAsia="宋体" w:cs="宋体"/>
                <w:b/>
                <w:bCs/>
                <w:color w:val="000000" w:themeColor="text1"/>
                <w:highlight w:val="none"/>
                <w:lang w:val="zh-CN"/>
                <w14:textFill>
                  <w14:solidFill>
                    <w14:schemeClr w14:val="tx1"/>
                  </w14:solidFill>
                </w14:textFill>
              </w:rPr>
              <w:t>详见投标人须知2</w:t>
            </w:r>
            <w:r>
              <w:rPr>
                <w:rFonts w:hint="eastAsia" w:ascii="宋体" w:hAnsi="宋体" w:eastAsia="宋体" w:cs="宋体"/>
                <w:b/>
                <w:bCs/>
                <w:color w:val="000000" w:themeColor="text1"/>
                <w:highlight w:val="none"/>
                <w:lang w:val="zh-CN" w:eastAsia="zh-CN"/>
                <w14:textFill>
                  <w14:solidFill>
                    <w14:schemeClr w14:val="tx1"/>
                  </w14:solidFill>
                </w14:textFill>
              </w:rPr>
              <w:t>3</w:t>
            </w:r>
            <w:r>
              <w:rPr>
                <w:rFonts w:hint="eastAsia" w:ascii="宋体" w:hAnsi="宋体" w:eastAsia="宋体" w:cs="宋体"/>
                <w:b/>
                <w:bCs/>
                <w:color w:val="000000" w:themeColor="text1"/>
                <w:highlight w:val="none"/>
                <w:lang w:val="zh-CN"/>
                <w14:textFill>
                  <w14:solidFill>
                    <w14:schemeClr w14:val="tx1"/>
                  </w14:solidFill>
                </w14:textFill>
              </w:rPr>
              <w:t>．开标及开标程序。</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b/>
                <w:bCs/>
                <w:color w:val="000000" w:themeColor="text1"/>
                <w:highlight w:val="none"/>
                <w:lang w:val="zh-CN"/>
                <w14:textFill>
                  <w14:solidFill>
                    <w14:schemeClr w14:val="tx1"/>
                  </w14:solidFill>
                </w14:textFill>
              </w:rPr>
            </w:pPr>
            <w:r>
              <w:rPr>
                <w:rFonts w:hint="eastAsia" w:ascii="宋体" w:hAnsi="宋体" w:eastAsia="宋体" w:cs="宋体"/>
                <w:b/>
                <w:bCs/>
                <w:color w:val="000000" w:themeColor="text1"/>
                <w:highlight w:val="none"/>
                <w:lang w:val="zh-CN"/>
                <w14:textFill>
                  <w14:solidFill>
                    <w14:schemeClr w14:val="tx1"/>
                  </w14:solidFill>
                </w14:textFill>
              </w:rPr>
              <w:t>投标文件解密：开启解密后，投标人应在系统提示的解密开始时间后60分钟内 ，使用对投标文件进行加密的CA证书在线完成对投标人</w:t>
            </w:r>
            <w:r>
              <w:rPr>
                <w:rFonts w:hint="eastAsia" w:ascii="宋体" w:hAnsi="宋体" w:eastAsia="宋体" w:cs="宋体"/>
                <w:b/>
                <w:bCs/>
                <w:color w:val="000000" w:themeColor="text1"/>
                <w:highlight w:val="none"/>
                <w:lang w:val="en-US" w:eastAsia="zh-CN"/>
                <w14:textFill>
                  <w14:solidFill>
                    <w14:schemeClr w14:val="tx1"/>
                  </w14:solidFill>
                </w14:textFill>
              </w:rPr>
              <w:t>提</w:t>
            </w:r>
            <w:r>
              <w:rPr>
                <w:rFonts w:hint="eastAsia" w:ascii="宋体" w:hAnsi="宋体" w:eastAsia="宋体" w:cs="宋体"/>
                <w:b/>
                <w:bCs/>
                <w:color w:val="000000" w:themeColor="text1"/>
                <w:highlight w:val="none"/>
                <w:lang w:val="zh-CN"/>
                <w14:textFill>
                  <w14:solidFill>
                    <w14:schemeClr w14:val="tx1"/>
                  </w14:solidFill>
                </w14:textFill>
              </w:rPr>
              <w:t>交至政府采购云平台的投标文件的解密。</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b/>
                <w:bCs/>
                <w:color w:val="000000" w:themeColor="text1"/>
                <w:highlight w:val="none"/>
                <w:lang w:val="zh-CN"/>
                <w14:textFill>
                  <w14:solidFill>
                    <w14:schemeClr w14:val="tx1"/>
                  </w14:solidFill>
                </w14:textFill>
              </w:rPr>
              <w:t>投标人电脑终端等硬件设备和软件系统配置：投标人电脑终端等硬件设备和软件系统配置应符合</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电子投标（含不见面开标大厅）</w:t>
            </w:r>
            <w:r>
              <w:rPr>
                <w:rFonts w:hint="eastAsia" w:ascii="宋体" w:hAnsi="宋体" w:eastAsia="宋体" w:cs="宋体"/>
                <w:b/>
                <w:bCs/>
                <w:color w:val="000000" w:themeColor="text1"/>
                <w:highlight w:val="none"/>
                <w:lang w:val="zh-CN"/>
                <w14:textFill>
                  <w14:solidFill>
                    <w14:schemeClr w14:val="tx1"/>
                  </w14:solidFill>
                </w14:textFill>
              </w:rPr>
              <w:t>投标人电脑终端配置要求并运行正常，投标人承担因未尽职责产生的不利后果。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lang w:val="en-US" w:eastAsia="zh-CN"/>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11</w:t>
            </w:r>
          </w:p>
        </w:tc>
        <w:tc>
          <w:tcPr>
            <w:tcW w:w="1978" w:type="dxa"/>
            <w:tcBorders>
              <w:tl2br w:val="nil"/>
              <w:tr2bl w:val="nil"/>
            </w:tcBorders>
            <w:vAlign w:val="center"/>
          </w:tcPr>
          <w:p>
            <w:pPr>
              <w:pageBreakBefore w:val="0"/>
              <w:kinsoku/>
              <w:overflowPunct/>
              <w:bidi w:val="0"/>
              <w:spacing w:line="360" w:lineRule="auto"/>
              <w:ind w:left="0" w:leftChars="0" w:right="0" w:rightChars="0" w:firstLine="0" w:firstLine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中标通知书发放</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自中标供应商确定之日起2个工作日内，</w:t>
            </w:r>
            <w:r>
              <w:rPr>
                <w:rFonts w:hint="eastAsia" w:ascii="宋体" w:hAnsi="宋体" w:eastAsia="宋体" w:cs="宋体"/>
                <w:color w:val="000000" w:themeColor="text1"/>
                <w:highlight w:val="none"/>
                <w:lang w:val="en-US" w:eastAsia="zh-CN"/>
                <w14:textFill>
                  <w14:solidFill>
                    <w14:schemeClr w14:val="tx1"/>
                  </w14:solidFill>
                </w14:textFill>
              </w:rPr>
              <w:t>采购代理机构通过“</w:t>
            </w:r>
            <w:r>
              <w:rPr>
                <w:rFonts w:hint="eastAsia" w:ascii="宋体" w:hAnsi="宋体" w:eastAsia="宋体" w:cs="宋体"/>
                <w:color w:val="000000" w:themeColor="text1"/>
                <w:highlight w:val="none"/>
                <w:lang w:val="zh-CN" w:eastAsia="zh-CN"/>
                <w14:textFill>
                  <w14:solidFill>
                    <w14:schemeClr w14:val="tx1"/>
                  </w14:solidFill>
                </w14:textFill>
              </w:rPr>
              <w:t>政府采购云平台</w:t>
            </w:r>
            <w:r>
              <w:rPr>
                <w:rFonts w:hint="eastAsia" w:ascii="宋体" w:hAnsi="宋体" w:eastAsia="宋体" w:cs="宋体"/>
                <w:color w:val="000000" w:themeColor="text1"/>
                <w:highlight w:val="none"/>
                <w:lang w:val="en-US" w:eastAsia="zh-CN"/>
                <w14:textFill>
                  <w14:solidFill>
                    <w14:schemeClr w14:val="tx1"/>
                  </w14:solidFill>
                </w14:textFill>
              </w:rPr>
              <w:t>”向</w:t>
            </w:r>
            <w:r>
              <w:rPr>
                <w:rFonts w:hint="eastAsia" w:ascii="宋体" w:hAnsi="宋体" w:eastAsia="宋体" w:cs="宋体"/>
                <w:color w:val="000000" w:themeColor="text1"/>
                <w:highlight w:val="none"/>
                <w:lang w:val="zh-CN"/>
                <w14:textFill>
                  <w14:solidFill>
                    <w14:schemeClr w14:val="tx1"/>
                  </w14:solidFill>
                </w14:textFill>
              </w:rPr>
              <w:t>中标供应商发出中标通知书，中标供应商自行登录政府采购云平台下载中标通知书。</w:t>
            </w:r>
          </w:p>
          <w:p>
            <w:pPr>
              <w:pStyle w:val="48"/>
              <w:keepNext w:val="0"/>
              <w:keepLines w:val="0"/>
              <w:pageBreakBefore w:val="0"/>
              <w:kinsoku/>
              <w:overflowPunct/>
              <w:topLinePunct w:val="0"/>
              <w:bidi w:val="0"/>
              <w:snapToGrid/>
              <w:spacing w:line="360" w:lineRule="auto"/>
              <w:ind w:left="0" w:leftChars="0" w:right="0" w:rightChars="0" w:firstLine="0" w:firstLineChars="0"/>
              <w:jc w:val="both"/>
              <w:textAlignment w:val="auto"/>
              <w:rPr>
                <w:rFonts w:hint="eastAsia" w:ascii="宋体" w:hAnsi="宋体" w:eastAsia="宋体" w:cs="宋体"/>
                <w:color w:val="000000" w:themeColor="text1"/>
                <w:highlight w:val="none"/>
                <w:lang w:val="zh-CN" w:eastAsia="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联系人：</w:t>
            </w:r>
            <w:r>
              <w:rPr>
                <w:rFonts w:hint="eastAsia" w:ascii="宋体" w:hAnsi="宋体" w:eastAsia="宋体" w:cs="宋体"/>
                <w:color w:val="000000" w:themeColor="text1"/>
                <w:highlight w:val="none"/>
                <w:lang w:eastAsia="zh-CN"/>
                <w14:textFill>
                  <w14:solidFill>
                    <w14:schemeClr w14:val="tx1"/>
                  </w14:solidFill>
                </w14:textFill>
              </w:rPr>
              <w:t>刘女士</w:t>
            </w:r>
          </w:p>
          <w:p>
            <w:pPr>
              <w:keepNext w:val="0"/>
              <w:keepLines w:val="0"/>
              <w:pageBreakBefore w:val="0"/>
              <w:kinsoku/>
              <w:overflowPunct/>
              <w:topLinePunct w:val="0"/>
              <w:bidi w:val="0"/>
              <w:snapToGrid/>
              <w:spacing w:line="360" w:lineRule="auto"/>
              <w:ind w:left="0" w:leftChars="0" w:right="0" w:rightChars="0" w:firstLine="0" w:firstLineChars="0"/>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联系电话：028-85588661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lang w:val="en-US" w:eastAsia="zh-CN"/>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12</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供应商询问</w:t>
            </w:r>
          </w:p>
        </w:tc>
        <w:tc>
          <w:tcPr>
            <w:tcW w:w="7675" w:type="dxa"/>
            <w:tcBorders>
              <w:tl2br w:val="nil"/>
              <w:tr2bl w:val="nil"/>
            </w:tcBorders>
            <w:vAlign w:val="center"/>
          </w:tcPr>
          <w:p>
            <w:pPr>
              <w:keepNext w:val="0"/>
              <w:keepLines w:val="0"/>
              <w:pageBreakBefore w:val="0"/>
              <w:kinsoku/>
              <w:overflowPunct/>
              <w:topLinePunct w:val="0"/>
              <w:bidi w:val="0"/>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根据委托代理协议约定，关于采购需求方面的询问由采购人负责答复，其他方面的询问由四川浩行招标代理有限公司负责接收和处理</w:t>
            </w:r>
            <w:r>
              <w:rPr>
                <w:rFonts w:hint="eastAsia" w:ascii="宋体" w:hAnsi="宋体" w:eastAsia="宋体" w:cs="宋体"/>
                <w:color w:val="000000" w:themeColor="text1"/>
                <w:highlight w:val="none"/>
                <w:lang w:val="zh-CN"/>
                <w14:textFill>
                  <w14:solidFill>
                    <w14:schemeClr w14:val="tx1"/>
                  </w14:solidFill>
                </w14:textFill>
              </w:rPr>
              <w:t>。</w:t>
            </w:r>
          </w:p>
          <w:p>
            <w:pPr>
              <w:keepNext w:val="0"/>
              <w:keepLines w:val="0"/>
              <w:pageBreakBefore w:val="0"/>
              <w:kinsoku/>
              <w:overflowPunct/>
              <w:topLinePunct w:val="0"/>
              <w:bidi w:val="0"/>
              <w:snapToGrid/>
              <w:spacing w:line="360" w:lineRule="auto"/>
              <w:ind w:left="0" w:leftChars="0" w:right="0" w:rightChars="0" w:firstLine="0" w:firstLineChars="0"/>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联系人：刘女士</w:t>
            </w:r>
          </w:p>
          <w:p>
            <w:pPr>
              <w:keepNext w:val="0"/>
              <w:keepLines w:val="0"/>
              <w:pageBreakBefore w:val="0"/>
              <w:kinsoku/>
              <w:overflowPunct/>
              <w:topLinePunct w:val="0"/>
              <w:bidi w:val="0"/>
              <w:snapToGrid/>
              <w:spacing w:line="36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联系电话：028-85588661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lang w:val="en-US" w:eastAsia="zh-CN"/>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13</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供应商质疑</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360" w:lineRule="auto"/>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供应商质疑不得超出</w:t>
            </w:r>
            <w:r>
              <w:rPr>
                <w:rFonts w:hint="eastAsia" w:ascii="宋体" w:hAnsi="宋体" w:eastAsia="宋体" w:cs="宋体"/>
                <w:color w:val="000000" w:themeColor="text1"/>
                <w:highlight w:val="none"/>
                <w:lang w:eastAsia="zh-CN"/>
                <w14:textFill>
                  <w14:solidFill>
                    <w14:schemeClr w14:val="tx1"/>
                  </w14:solidFill>
                </w14:textFill>
              </w:rPr>
              <w:t>招标</w:t>
            </w:r>
            <w:r>
              <w:rPr>
                <w:rFonts w:hint="eastAsia" w:ascii="宋体" w:hAnsi="宋体" w:eastAsia="宋体" w:cs="宋体"/>
                <w:color w:val="000000" w:themeColor="text1"/>
                <w:highlight w:val="none"/>
                <w14:textFill>
                  <w14:solidFill>
                    <w14:schemeClr w14:val="tx1"/>
                  </w14:solidFill>
                </w14:textFill>
              </w:rPr>
              <w:t>文件、采购过程、采购结果的范围。</w:t>
            </w:r>
          </w:p>
          <w:p>
            <w:pPr>
              <w:pStyle w:val="48"/>
              <w:keepNext w:val="0"/>
              <w:keepLines w:val="0"/>
              <w:pageBreakBefore w:val="0"/>
              <w:kinsoku/>
              <w:overflowPunct/>
              <w:topLinePunct w:val="0"/>
              <w:bidi w:val="0"/>
              <w:snapToGrid/>
              <w:spacing w:line="360" w:lineRule="auto"/>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供应商针对同一采购程序环节的质疑应当在法定质疑期内一次性提出。</w:t>
            </w:r>
            <w:r>
              <w:rPr>
                <w:rFonts w:hint="eastAsia" w:ascii="宋体" w:hAnsi="宋体" w:eastAsia="宋体" w:cs="宋体"/>
                <w:color w:val="000000" w:themeColor="text1"/>
                <w:highlight w:val="none"/>
                <w:lang w:val="zh-CN"/>
                <w14:textFill>
                  <w14:solidFill>
                    <w14:schemeClr w14:val="tx1"/>
                  </w14:solidFill>
                </w14:textFill>
              </w:rPr>
              <w:t>供应商未按照采购公告规定的方式获取招标文件不属于依法获取其可质疑的招标文件，不具备对招标文件提出质疑的主体资格，不能对招标文件提出质疑。投标人未提交投标文件，采购过程、中标结果没有使其权益受到损害，不能对采购过程、中标结果提出质疑。</w:t>
            </w:r>
          </w:p>
          <w:p>
            <w:pPr>
              <w:keepNext w:val="0"/>
              <w:keepLines w:val="0"/>
              <w:pageBreakBefore w:val="0"/>
              <w:kinsoku/>
              <w:overflowPunct/>
              <w:topLinePunct w:val="0"/>
              <w:bidi w:val="0"/>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根据委托代理协议约定，关于采购需求方面的质疑由采购人负责答复，对于采购文件其他方面的质疑、采购过程的质疑、采购结果的质疑均由四川浩行招标代理有限公司负责答复。（如供应商采用邮寄或快递等方式提交质疑函，请电话告知采购代理机构）</w:t>
            </w:r>
          </w:p>
          <w:p>
            <w:pPr>
              <w:pStyle w:val="48"/>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联系人：</w:t>
            </w:r>
            <w:r>
              <w:rPr>
                <w:rFonts w:hint="eastAsia" w:ascii="宋体" w:hAnsi="宋体" w:eastAsia="宋体" w:cs="宋体"/>
                <w:color w:val="000000" w:themeColor="text1"/>
                <w:sz w:val="24"/>
                <w:szCs w:val="24"/>
                <w:highlight w:val="none"/>
                <w:lang w:val="en-US" w:eastAsia="zh-CN"/>
                <w14:textFill>
                  <w14:solidFill>
                    <w14:schemeClr w14:val="tx1"/>
                  </w14:solidFill>
                </w14:textFill>
              </w:rPr>
              <w:t>刘女士</w:t>
            </w:r>
          </w:p>
          <w:p>
            <w:pPr>
              <w:pStyle w:val="48"/>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联系电话：028-85588661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lang w:val="en-US" w:eastAsia="zh-CN"/>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14</w:t>
            </w:r>
          </w:p>
        </w:tc>
        <w:tc>
          <w:tcPr>
            <w:tcW w:w="1978" w:type="dxa"/>
            <w:tcBorders>
              <w:tl2br w:val="nil"/>
              <w:tr2bl w:val="nil"/>
            </w:tcBorders>
            <w:vAlign w:val="center"/>
          </w:tcPr>
          <w:p>
            <w:pPr>
              <w:pStyle w:val="48"/>
              <w:pageBreakBefore w:val="0"/>
              <w:kinsoku/>
              <w:overflowPunct/>
              <w:bidi w:val="0"/>
              <w:spacing w:line="360" w:lineRule="auto"/>
              <w:ind w:left="0" w:leftChars="0" w:right="0" w:rightChars="0"/>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供应商投诉</w:t>
            </w:r>
          </w:p>
        </w:tc>
        <w:tc>
          <w:tcPr>
            <w:tcW w:w="7675" w:type="dxa"/>
            <w:tcBorders>
              <w:tl2br w:val="nil"/>
              <w:tr2bl w:val="nil"/>
            </w:tcBorders>
            <w:vAlign w:val="center"/>
          </w:tcPr>
          <w:p>
            <w:pPr>
              <w:pStyle w:val="48"/>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000000" w:themeColor="text1"/>
                <w:sz w:val="24"/>
                <w:szCs w:val="20"/>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0"/>
                <w:highlight w:val="none"/>
                <w:lang w:val="en-US" w:eastAsia="zh-CN" w:bidi="ar-SA"/>
                <w14:textFill>
                  <w14:solidFill>
                    <w14:schemeClr w14:val="tx1"/>
                  </w14:solidFill>
                </w14:textFill>
              </w:rPr>
              <w:t>投诉受理单位：大邑县财政局</w:t>
            </w:r>
          </w:p>
          <w:p>
            <w:pPr>
              <w:pStyle w:val="48"/>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color w:val="000000" w:themeColor="text1"/>
                <w:sz w:val="24"/>
                <w:szCs w:val="20"/>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0"/>
                <w:highlight w:val="none"/>
                <w:lang w:val="en-US" w:eastAsia="zh-CN" w:bidi="ar-SA"/>
                <w14:textFill>
                  <w14:solidFill>
                    <w14:schemeClr w14:val="tx1"/>
                  </w14:solidFill>
                </w14:textFill>
              </w:rPr>
              <w:t>联系电话：028—88210759</w:t>
            </w:r>
          </w:p>
          <w:p>
            <w:pPr>
              <w:keepNext w:val="0"/>
              <w:keepLines w:val="0"/>
              <w:pageBreakBefore w:val="0"/>
              <w:kinsoku/>
              <w:overflowPunct/>
              <w:topLinePunct w:val="0"/>
              <w:bidi w:val="0"/>
              <w:snapToGrid/>
              <w:spacing w:line="36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20"/>
                <w:highlight w:val="none"/>
                <w:lang w:val="en-US" w:eastAsia="zh-CN" w:bidi="ar-SA"/>
                <w14:textFill>
                  <w14:solidFill>
                    <w14:schemeClr w14:val="tx1"/>
                  </w14:solidFill>
                </w14:textFill>
              </w:rPr>
              <w:t>地址：成都市桃源大道66号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ageBreakBefore w:val="0"/>
              <w:kinsoku/>
              <w:overflowPunct/>
              <w:bidi w:val="0"/>
              <w:spacing w:line="240" w:lineRule="auto"/>
              <w:ind w:left="0" w:leftChars="0" w:right="0" w:rightChars="0" w:firstLine="0" w:firstLineChars="0"/>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15</w:t>
            </w:r>
          </w:p>
        </w:tc>
        <w:tc>
          <w:tcPr>
            <w:tcW w:w="1978" w:type="dxa"/>
            <w:tcBorders>
              <w:tl2br w:val="nil"/>
              <w:tr2bl w:val="nil"/>
            </w:tcBorders>
            <w:vAlign w:val="center"/>
          </w:tcPr>
          <w:p>
            <w:pPr>
              <w:pageBreakBefore w:val="0"/>
              <w:kinsoku/>
              <w:overflowPunct/>
              <w:bidi w:val="0"/>
              <w:spacing w:line="240" w:lineRule="auto"/>
              <w:ind w:left="0" w:leftChars="0" w:right="0" w:rightChars="0" w:firstLine="0" w:firstLineChars="0"/>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政府采购合同公告</w:t>
            </w:r>
          </w:p>
          <w:p>
            <w:pPr>
              <w:pageBreakBefore w:val="0"/>
              <w:kinsoku/>
              <w:overflowPunct/>
              <w:bidi w:val="0"/>
              <w:spacing w:line="240" w:lineRule="auto"/>
              <w:ind w:left="0" w:leftChars="0" w:right="0" w:rightChars="0" w:firstLine="0" w:firstLineChars="0"/>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备案</w:t>
            </w:r>
          </w:p>
        </w:tc>
        <w:tc>
          <w:tcPr>
            <w:tcW w:w="7675" w:type="dxa"/>
            <w:tcBorders>
              <w:tl2br w:val="nil"/>
              <w:tr2bl w:val="nil"/>
            </w:tcBorders>
            <w:vAlign w:val="center"/>
          </w:tcPr>
          <w:p>
            <w:pPr>
              <w:keepNext w:val="0"/>
              <w:keepLines w:val="0"/>
              <w:pageBreakBefore w:val="0"/>
              <w:kinsoku/>
              <w:overflowPunct/>
              <w:topLinePunct w:val="0"/>
              <w:bidi w:val="0"/>
              <w:snapToGrid/>
              <w:spacing w:line="36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政府采购合同签订之日起2个工作日内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政府采购合同将在四川政府采购网公告；政府采购合同签订之日起</w:t>
            </w: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个工作日内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政府采购合同将向本采购项目同级财政部门</w:t>
            </w:r>
            <w:r>
              <w:rPr>
                <w:rFonts w:hint="eastAsia" w:ascii="宋体" w:hAnsi="宋体" w:eastAsia="宋体" w:cs="宋体"/>
                <w:color w:val="000000" w:themeColor="text1"/>
                <w:highlight w:val="none"/>
                <w:lang w:val="zh-CN"/>
                <w14:textFill>
                  <w14:solidFill>
                    <w14:schemeClr w14:val="tx1"/>
                  </w14:solidFill>
                </w14:textFill>
              </w:rPr>
              <w:t>备案。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574" w:type="dxa"/>
            <w:tcBorders>
              <w:tl2br w:val="nil"/>
              <w:tr2bl w:val="nil"/>
            </w:tcBorders>
            <w:vAlign w:val="center"/>
          </w:tcPr>
          <w:p>
            <w:pPr>
              <w:pageBreakBefore w:val="0"/>
              <w:kinsoku/>
              <w:overflowPunct/>
              <w:bidi w:val="0"/>
              <w:spacing w:line="240" w:lineRule="auto"/>
              <w:ind w:left="0" w:leftChars="0" w:right="0" w:rightChars="0" w:firstLine="120" w:firstLineChars="50"/>
              <w:jc w:val="both"/>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16</w:t>
            </w:r>
          </w:p>
        </w:tc>
        <w:tc>
          <w:tcPr>
            <w:tcW w:w="1978" w:type="dxa"/>
            <w:tcBorders>
              <w:tl2br w:val="nil"/>
              <w:tr2bl w:val="nil"/>
            </w:tcBorders>
            <w:vAlign w:val="center"/>
          </w:tcPr>
          <w:p>
            <w:pPr>
              <w:pageBreakBefore w:val="0"/>
              <w:kinsoku/>
              <w:overflowPunct/>
              <w:bidi w:val="0"/>
              <w:spacing w:line="240" w:lineRule="auto"/>
              <w:ind w:left="0" w:leftChars="0" w:right="0" w:rightChars="0" w:firstLine="120" w:firstLineChars="50"/>
              <w:jc w:val="center"/>
              <w:rPr>
                <w:rFonts w:hint="eastAsia" w:ascii="宋体" w:hAnsi="宋体" w:eastAsia="宋体" w:cs="宋体"/>
                <w:color w:val="000000" w:themeColor="text1"/>
                <w:highlight w:val="none"/>
                <w:lang w:val="zh-CN" w:eastAsia="zh-CN"/>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进口产品</w:t>
            </w:r>
          </w:p>
        </w:tc>
        <w:tc>
          <w:tcPr>
            <w:tcW w:w="7675" w:type="dxa"/>
            <w:tcBorders>
              <w:tl2br w:val="nil"/>
              <w:tr2bl w:val="nil"/>
            </w:tcBorders>
            <w:vAlign w:val="center"/>
          </w:tcPr>
          <w:p>
            <w:pPr>
              <w:pageBreakBefore w:val="0"/>
              <w:kinsoku/>
              <w:overflowPunct/>
              <w:bidi w:val="0"/>
              <w:spacing w:line="240" w:lineRule="auto"/>
              <w:ind w:left="0" w:leftChars="0" w:right="0" w:rightChars="0" w:firstLine="0" w:firstLineChars="0"/>
              <w:jc w:val="both"/>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本项目不允许采购进口产品。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574" w:type="dxa"/>
            <w:tcBorders>
              <w:tl2br w:val="nil"/>
              <w:tr2bl w:val="nil"/>
            </w:tcBorders>
            <w:vAlign w:val="center"/>
          </w:tcPr>
          <w:p>
            <w:pPr>
              <w:pageBreakBefore w:val="0"/>
              <w:kinsoku/>
              <w:overflowPunct/>
              <w:bidi w:val="0"/>
              <w:spacing w:line="240" w:lineRule="auto"/>
              <w:ind w:left="0" w:leftChars="0" w:right="0" w:rightChars="0" w:firstLine="120" w:firstLineChars="50"/>
              <w:jc w:val="both"/>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17</w:t>
            </w:r>
          </w:p>
        </w:tc>
        <w:tc>
          <w:tcPr>
            <w:tcW w:w="1978"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联合体投标</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240" w:lineRule="auto"/>
              <w:ind w:left="0" w:leftChars="0" w:right="0" w:rightChars="0" w:firstLine="0" w:firstLineChars="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本项目不允许联合体参加。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574" w:type="dxa"/>
            <w:tcBorders>
              <w:tl2br w:val="nil"/>
              <w:tr2bl w:val="nil"/>
            </w:tcBorders>
            <w:vAlign w:val="center"/>
          </w:tcPr>
          <w:p>
            <w:pPr>
              <w:pageBreakBefore w:val="0"/>
              <w:kinsoku/>
              <w:overflowPunct/>
              <w:bidi w:val="0"/>
              <w:spacing w:line="240" w:lineRule="auto"/>
              <w:ind w:left="0" w:leftChars="0" w:right="0" w:rightChars="0" w:firstLine="120" w:firstLineChars="50"/>
              <w:jc w:val="both"/>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18</w:t>
            </w:r>
          </w:p>
        </w:tc>
        <w:tc>
          <w:tcPr>
            <w:tcW w:w="1978"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投标有效期</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240" w:lineRule="auto"/>
              <w:ind w:left="0" w:leftChars="0" w:right="0" w:rightChars="0" w:firstLine="0" w:firstLineChars="0"/>
              <w:jc w:val="both"/>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本项目投标有效期为投标截止时间届满后60天</w:t>
            </w:r>
            <w:r>
              <w:rPr>
                <w:rFonts w:hint="eastAsia" w:ascii="宋体" w:hAnsi="宋体" w:eastAsia="宋体" w:cs="宋体"/>
                <w:color w:val="000000" w:themeColor="text1"/>
                <w:highlight w:val="none"/>
                <w:lang w:eastAsia="zh-CN"/>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574" w:type="dxa"/>
            <w:tcBorders>
              <w:tl2br w:val="nil"/>
              <w:tr2bl w:val="nil"/>
            </w:tcBorders>
            <w:vAlign w:val="center"/>
          </w:tcPr>
          <w:p>
            <w:pPr>
              <w:pageBreakBefore w:val="0"/>
              <w:kinsoku/>
              <w:overflowPunct/>
              <w:bidi w:val="0"/>
              <w:spacing w:line="240" w:lineRule="auto"/>
              <w:ind w:left="0" w:leftChars="0" w:right="0" w:rightChars="0" w:firstLine="120" w:firstLineChars="50"/>
              <w:jc w:val="both"/>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19</w:t>
            </w:r>
          </w:p>
        </w:tc>
        <w:tc>
          <w:tcPr>
            <w:tcW w:w="1978" w:type="dxa"/>
            <w:tcBorders>
              <w:tl2br w:val="nil"/>
              <w:tr2bl w:val="nil"/>
            </w:tcBorders>
            <w:vAlign w:val="center"/>
          </w:tcPr>
          <w:p>
            <w:pPr>
              <w:pStyle w:val="48"/>
              <w:pageBreakBefore w:val="0"/>
              <w:kinsoku/>
              <w:overflowPunct/>
              <w:bidi w:val="0"/>
              <w:spacing w:line="240" w:lineRule="auto"/>
              <w:ind w:left="0" w:leftChars="0" w:right="0" w:right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答疑会和现场</w:t>
            </w:r>
          </w:p>
          <w:p>
            <w:pPr>
              <w:pStyle w:val="48"/>
              <w:pageBreakBefore w:val="0"/>
              <w:kinsoku/>
              <w:overflowPunct/>
              <w:bidi w:val="0"/>
              <w:spacing w:line="240" w:lineRule="auto"/>
              <w:ind w:left="0" w:leftChars="0" w:right="0" w:right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考察</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240" w:lineRule="auto"/>
              <w:ind w:left="0" w:leftChars="0" w:right="0" w:rightChars="0" w:firstLine="0" w:firstLineChars="0"/>
              <w:jc w:val="both"/>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本项目不召开答疑会、不组织现场考察。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ageBreakBefore w:val="0"/>
              <w:kinsoku/>
              <w:overflowPunct/>
              <w:bidi w:val="0"/>
              <w:spacing w:line="360" w:lineRule="auto"/>
              <w:ind w:left="0" w:leftChars="0" w:right="0" w:rightChars="0" w:firstLine="120" w:firstLineChars="50"/>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20</w:t>
            </w:r>
          </w:p>
        </w:tc>
        <w:tc>
          <w:tcPr>
            <w:tcW w:w="1978" w:type="dxa"/>
            <w:tcBorders>
              <w:tl2br w:val="nil"/>
              <w:tr2bl w:val="nil"/>
            </w:tcBorders>
            <w:vAlign w:val="center"/>
          </w:tcPr>
          <w:p>
            <w:pPr>
              <w:pStyle w:val="48"/>
              <w:keepNext w:val="0"/>
              <w:keepLines w:val="0"/>
              <w:pageBreakBefore w:val="0"/>
              <w:widowControl w:val="0"/>
              <w:kinsoku/>
              <w:wordWrap/>
              <w:overflowPunct/>
              <w:topLinePunct w:val="0"/>
              <w:bidi w:val="0"/>
              <w:snapToGrid/>
              <w:spacing w:line="360" w:lineRule="auto"/>
              <w:ind w:left="0" w:leftChars="0" w:right="0" w:right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招标代理服务费</w:t>
            </w:r>
          </w:p>
        </w:tc>
        <w:tc>
          <w:tcPr>
            <w:tcW w:w="7675" w:type="dxa"/>
            <w:tcBorders>
              <w:tl2br w:val="nil"/>
              <w:tr2bl w:val="nil"/>
            </w:tcBorders>
            <w:vAlign w:val="center"/>
          </w:tcPr>
          <w:p>
            <w:pPr>
              <w:pStyle w:val="48"/>
              <w:spacing w:line="460" w:lineRule="exact"/>
              <w:jc w:val="both"/>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根据《政府采购代理机构管理暂行办法》（财库〔2018〕2号）的规定，本项目招标代理服务费由中标人向招标代理机构支付，收费标准参照原国家计委计价格[2002]1980号及发改办价格[2003]857号通知收取服务费，由中标人在领取中标通知书前向招标代理机构交纳招标服务费。</w:t>
            </w:r>
          </w:p>
          <w:p>
            <w:pPr>
              <w:pStyle w:val="48"/>
              <w:spacing w:line="460" w:lineRule="exact"/>
              <w:jc w:val="both"/>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收款单位：四川浩行招标代理有限公司</w:t>
            </w:r>
          </w:p>
          <w:p>
            <w:pPr>
              <w:pStyle w:val="48"/>
              <w:spacing w:line="460" w:lineRule="exact"/>
              <w:jc w:val="both"/>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开 户 行：中国民生银行神仙树支行</w:t>
            </w:r>
          </w:p>
          <w:p>
            <w:pPr>
              <w:pStyle w:val="48"/>
              <w:spacing w:line="460" w:lineRule="exact"/>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银行账号：160743916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574"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21</w:t>
            </w:r>
          </w:p>
        </w:tc>
        <w:tc>
          <w:tcPr>
            <w:tcW w:w="1978"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定向采购</w:t>
            </w:r>
          </w:p>
        </w:tc>
        <w:tc>
          <w:tcPr>
            <w:tcW w:w="7675" w:type="dxa"/>
            <w:tcBorders>
              <w:tl2br w:val="nil"/>
              <w:tr2bl w:val="nil"/>
            </w:tcBorders>
            <w:vAlign w:val="center"/>
          </w:tcPr>
          <w:p>
            <w:pPr>
              <w:pStyle w:val="48"/>
              <w:keepNext w:val="0"/>
              <w:keepLines w:val="0"/>
              <w:pageBreakBefore w:val="0"/>
              <w:kinsoku/>
              <w:overflowPunct/>
              <w:topLinePunct w:val="0"/>
              <w:bidi w:val="0"/>
              <w:snapToGrid/>
              <w:spacing w:line="240" w:lineRule="auto"/>
              <w:ind w:left="0" w:leftChars="0" w:right="0" w:rightChars="0" w:firstLine="0" w:firstLineChars="0"/>
              <w:jc w:val="both"/>
              <w:textAlignment w:val="auto"/>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w:t>
            </w:r>
            <w:r>
              <w:rPr>
                <w:rFonts w:hint="eastAsia" w:ascii="宋体" w:hAnsi="宋体" w:eastAsia="宋体" w:cs="宋体"/>
                <w:color w:val="000000" w:themeColor="text1"/>
                <w:highlight w:val="none"/>
                <w:lang w:val="en-US" w:eastAsia="zh-CN"/>
                <w14:textFill>
                  <w14:solidFill>
                    <w14:schemeClr w14:val="tx1"/>
                  </w14:solidFill>
                </w14:textFill>
              </w:rPr>
              <w:t>为非</w:t>
            </w:r>
            <w:r>
              <w:rPr>
                <w:rFonts w:hint="eastAsia" w:ascii="宋体" w:hAnsi="宋体" w:eastAsia="宋体" w:cs="宋体"/>
                <w:color w:val="000000" w:themeColor="text1"/>
                <w:highlight w:val="none"/>
                <w14:textFill>
                  <w14:solidFill>
                    <w14:schemeClr w14:val="tx1"/>
                  </w14:solidFill>
                </w14:textFill>
              </w:rPr>
              <w:t>专门面向中小企业</w:t>
            </w:r>
            <w:r>
              <w:rPr>
                <w:rFonts w:hint="eastAsia" w:ascii="宋体" w:hAnsi="宋体" w:eastAsia="宋体" w:cs="宋体"/>
                <w:color w:val="000000" w:themeColor="text1"/>
                <w:highlight w:val="none"/>
                <w:lang w:val="en-US" w:eastAsia="zh-CN"/>
                <w14:textFill>
                  <w14:solidFill>
                    <w14:schemeClr w14:val="tx1"/>
                  </w14:solidFill>
                </w14:textFill>
              </w:rPr>
              <w:t>采购的项目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22</w:t>
            </w:r>
          </w:p>
        </w:tc>
        <w:tc>
          <w:tcPr>
            <w:tcW w:w="1978"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声明承诺提醒</w:t>
            </w:r>
          </w:p>
        </w:tc>
        <w:tc>
          <w:tcPr>
            <w:tcW w:w="7675" w:type="dxa"/>
            <w:tcBorders>
              <w:tl2br w:val="nil"/>
              <w:tr2bl w:val="nil"/>
            </w:tcBorders>
            <w:vAlign w:val="center"/>
          </w:tcPr>
          <w:p>
            <w:pPr>
              <w:pStyle w:val="48"/>
              <w:keepNext w:val="0"/>
              <w:keepLines w:val="0"/>
              <w:pageBreakBefore w:val="0"/>
              <w:suppressLineNumbers w:val="0"/>
              <w:kinsoku/>
              <w:overflowPunct/>
              <w:topLinePunct w:val="0"/>
              <w:bidi w:val="0"/>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w:t>
            </w:r>
            <w:r>
              <w:rPr>
                <w:rFonts w:hint="eastAsia" w:ascii="宋体" w:hAnsi="宋体" w:eastAsia="宋体" w:cs="宋体"/>
                <w:color w:val="000000" w:themeColor="text1"/>
                <w:sz w:val="24"/>
                <w:szCs w:val="24"/>
                <w:highlight w:val="none"/>
                <w:lang w:val="zh-CN"/>
                <w14:textFill>
                  <w14:solidFill>
                    <w14:schemeClr w14:val="tx1"/>
                  </w14:solidFill>
                </w14:textFill>
              </w:rPr>
              <w:t>文件中提供的各种声明和承诺应当真实有效，无效声明和承诺、虚假声明和承诺将由供应商自己承担由此带来的任何不利后果，虚假声明和承诺还将报告监管部门追究法律责任。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23</w:t>
            </w:r>
          </w:p>
        </w:tc>
        <w:tc>
          <w:tcPr>
            <w:tcW w:w="1978"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中小企业政府采购信用融资</w:t>
            </w:r>
          </w:p>
        </w:tc>
        <w:tc>
          <w:tcPr>
            <w:tcW w:w="7675" w:type="dxa"/>
            <w:tcBorders>
              <w:tl2br w:val="nil"/>
              <w:tr2bl w:val="nil"/>
            </w:tcBorders>
            <w:vAlign w:val="center"/>
          </w:tcPr>
          <w:p>
            <w:pPr>
              <w:pStyle w:val="48"/>
              <w:keepNext w:val="0"/>
              <w:keepLines w:val="0"/>
              <w:pageBreakBefore w:val="0"/>
              <w:suppressLineNumbers w:val="0"/>
              <w:kinsoku/>
              <w:overflowPunct/>
              <w:topLinePunct w:val="0"/>
              <w:bidi w:val="0"/>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8"/>
              <w:keepNext w:val="0"/>
              <w:keepLines w:val="0"/>
              <w:pageBreakBefore w:val="0"/>
              <w:suppressLineNumbers w:val="0"/>
              <w:kinsoku/>
              <w:overflowPunct/>
              <w:topLinePunct w:val="0"/>
              <w:bidi w:val="0"/>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根据《四川省财政厅关于推进四川省政府采购供应商信用融资工作的通知》（川财采[2018]123号），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000000" w:themeColor="text1"/>
                <w:highlight w:val="none"/>
                <w:lang w:val="en-US" w:eastAsia="zh-CN"/>
                <w14:textFill>
                  <w14:solidFill>
                    <w14:schemeClr w14:val="tx1"/>
                  </w14:solidFill>
                </w14:textFill>
              </w:rPr>
            </w:pPr>
            <w:bookmarkStart w:id="13" w:name="_Toc10140"/>
            <w:bookmarkStart w:id="14" w:name="_Toc12630"/>
            <w:r>
              <w:rPr>
                <w:rFonts w:hint="eastAsia" w:ascii="宋体" w:hAnsi="宋体" w:eastAsia="宋体" w:cs="宋体"/>
                <w:color w:val="000000" w:themeColor="text1"/>
                <w:highlight w:val="none"/>
                <w:lang w:val="en-US" w:eastAsia="zh-CN"/>
                <w14:textFill>
                  <w14:solidFill>
                    <w14:schemeClr w14:val="tx1"/>
                  </w14:solidFill>
                </w14:textFill>
              </w:rPr>
              <w:t>24</w:t>
            </w:r>
          </w:p>
        </w:tc>
        <w:tc>
          <w:tcPr>
            <w:tcW w:w="1978" w:type="dxa"/>
            <w:tcBorders>
              <w:tl2br w:val="nil"/>
              <w:tr2bl w:val="nil"/>
            </w:tcBorders>
            <w:vAlign w:val="center"/>
          </w:tcPr>
          <w:p>
            <w:pPr>
              <w:autoSpaceDE w:val="0"/>
              <w:autoSpaceDN w:val="0"/>
              <w:adjustRightInd w:val="0"/>
              <w:spacing w:line="360" w:lineRule="auto"/>
              <w:ind w:left="0" w:leftChars="0" w:firstLine="0" w:firstLineChars="0"/>
              <w:jc w:val="center"/>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t>温馨提示</w:t>
            </w:r>
          </w:p>
        </w:tc>
        <w:tc>
          <w:tcPr>
            <w:tcW w:w="7675" w:type="dxa"/>
            <w:tcBorders>
              <w:tl2br w:val="nil"/>
              <w:tr2bl w:val="nil"/>
            </w:tcBorders>
            <w:vAlign w:val="center"/>
          </w:tcPr>
          <w:p>
            <w:pPr>
              <w:autoSpaceDE w:val="0"/>
              <w:autoSpaceDN w:val="0"/>
              <w:adjustRightInd w:val="0"/>
              <w:spacing w:line="360" w:lineRule="auto"/>
              <w:ind w:left="0" w:leftChars="0" w:firstLine="0" w:firstLineChars="0"/>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1.</w:t>
            </w:r>
            <w:r>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t>供应商需准备全流程所必需的硬件设备包括电脑（版本 win7 64位及以上）、麦克风、摄像头、CA证书等。建议使用同一台电脑完成投标、评标相关事宜，推荐安装 chrome 浏览器，且解密CA必须和加密CA为同一把。</w:t>
            </w:r>
          </w:p>
          <w:p>
            <w:pPr>
              <w:autoSpaceDE w:val="0"/>
              <w:autoSpaceDN w:val="0"/>
              <w:adjustRightInd w:val="0"/>
              <w:spacing w:line="360" w:lineRule="auto"/>
              <w:ind w:left="0" w:leftChars="0" w:firstLine="0" w:firstLineChars="0"/>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t>2.政府采购云平台供应商注册地址：</w:t>
            </w:r>
          </w:p>
          <w:p>
            <w:pPr>
              <w:autoSpaceDE w:val="0"/>
              <w:autoSpaceDN w:val="0"/>
              <w:adjustRightInd w:val="0"/>
              <w:spacing w:line="360" w:lineRule="auto"/>
              <w:ind w:left="0" w:leftChars="0" w:firstLine="0" w:firstLineChars="0"/>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t>https://middle.zcygov.cn/v-settle-front/registry?settleCategory=1&amp;entranceType=119&amp;utm=a0017.b1347.cl50.3.c0de9400b91b11eb870ad7da87d69c97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4" w:type="dxa"/>
            <w:tcBorders>
              <w:tl2br w:val="nil"/>
              <w:tr2bl w:val="nil"/>
            </w:tcBorders>
            <w:vAlign w:val="center"/>
          </w:tcPr>
          <w:p>
            <w:pPr>
              <w:pStyle w:val="48"/>
              <w:pageBreakBefore w:val="0"/>
              <w:kinsoku/>
              <w:overflowPunct/>
              <w:bidi w:val="0"/>
              <w:spacing w:line="240" w:lineRule="auto"/>
              <w:ind w:right="0" w:rightChars="0"/>
              <w:jc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25</w:t>
            </w:r>
          </w:p>
        </w:tc>
        <w:tc>
          <w:tcPr>
            <w:tcW w:w="1978" w:type="dxa"/>
            <w:tcBorders>
              <w:tl2br w:val="nil"/>
              <w:tr2bl w:val="nil"/>
            </w:tcBorders>
            <w:vAlign w:val="center"/>
          </w:tcPr>
          <w:p>
            <w:pPr>
              <w:autoSpaceDE w:val="0"/>
              <w:autoSpaceDN w:val="0"/>
              <w:adjustRightInd w:val="0"/>
              <w:spacing w:line="360" w:lineRule="auto"/>
              <w:ind w:left="0" w:leftChars="0" w:firstLine="0" w:firstLineChars="0"/>
              <w:jc w:val="center"/>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t>备注</w:t>
            </w:r>
          </w:p>
        </w:tc>
        <w:tc>
          <w:tcPr>
            <w:tcW w:w="7675" w:type="dxa"/>
            <w:tcBorders>
              <w:tl2br w:val="nil"/>
              <w:tr2bl w:val="nil"/>
            </w:tcBorders>
            <w:vAlign w:val="center"/>
          </w:tcPr>
          <w:p>
            <w:pPr>
              <w:autoSpaceDE w:val="0"/>
              <w:autoSpaceDN w:val="0"/>
              <w:adjustRightInd w:val="0"/>
              <w:spacing w:line="360" w:lineRule="auto"/>
              <w:ind w:left="0" w:leftChars="0" w:firstLine="0" w:firstLineChars="0"/>
              <w:jc w:val="left"/>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zh-CN" w:bidi="ar-SA"/>
                <w14:textFill>
                  <w14:solidFill>
                    <w14:schemeClr w14:val="tx1"/>
                  </w14:solidFill>
                </w14:textFill>
              </w:rPr>
              <w:t>本附表以外关于其他内容是对供应商须知的具体补充，如有矛盾，以本附表为准。</w:t>
            </w:r>
          </w:p>
        </w:tc>
      </w:tr>
    </w:tbl>
    <w:p>
      <w:pPr>
        <w:bidi w:val="0"/>
        <w:rPr>
          <w:rFonts w:hint="eastAsia"/>
          <w:color w:val="000000" w:themeColor="text1"/>
          <w14:textFill>
            <w14:solidFill>
              <w14:schemeClr w14:val="tx1"/>
            </w14:solidFill>
          </w14:textFill>
        </w:rPr>
      </w:pP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1"/>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二、总  则</w:t>
      </w:r>
      <w:bookmarkEnd w:id="13"/>
      <w:bookmarkEnd w:id="14"/>
    </w:p>
    <w:p>
      <w:pPr>
        <w:pStyle w:val="5"/>
        <w:pageBreakBefore w:val="0"/>
        <w:kinsoku/>
        <w:wordWrap/>
        <w:overflowPunct/>
        <w:topLinePunct w:val="0"/>
        <w:autoSpaceDN/>
        <w:bidi w:val="0"/>
        <w:snapToGrid/>
        <w:spacing w:before="0" w:after="0" w:line="360" w:lineRule="auto"/>
        <w:ind w:left="0" w:leftChars="0" w:right="0" w:rightChars="0"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5" w:name="_Toc183682342"/>
      <w:bookmarkStart w:id="16" w:name="_Toc183582205"/>
      <w:bookmarkStart w:id="17" w:name="_Toc32282"/>
      <w:bookmarkStart w:id="18" w:name="_Toc217446034"/>
      <w:bookmarkStart w:id="19" w:name="_Toc8218"/>
      <w:r>
        <w:rPr>
          <w:rFonts w:hint="eastAsia" w:ascii="宋体" w:hAnsi="宋体" w:eastAsia="宋体" w:cs="宋体"/>
          <w:color w:val="000000" w:themeColor="text1"/>
          <w:sz w:val="24"/>
          <w:highlight w:val="none"/>
          <w14:textFill>
            <w14:solidFill>
              <w14:schemeClr w14:val="tx1"/>
            </w14:solidFill>
          </w14:textFill>
        </w:rPr>
        <w:t>1.</w:t>
      </w:r>
      <w:bookmarkEnd w:id="15"/>
      <w:bookmarkEnd w:id="16"/>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适用范围</w:t>
      </w:r>
      <w:bookmarkEnd w:id="17"/>
      <w:bookmarkEnd w:id="18"/>
      <w:bookmarkEnd w:id="19"/>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 本招标文件仅适用于本次招标采购项目。</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000000" w:themeColor="text1"/>
          <w:sz w:val="24"/>
          <w:highlight w:val="none"/>
          <w14:textFill>
            <w14:solidFill>
              <w14:schemeClr w14:val="tx1"/>
            </w14:solidFill>
          </w14:textFill>
        </w:rPr>
      </w:pPr>
      <w:bookmarkStart w:id="20" w:name="_Toc183682343"/>
      <w:bookmarkStart w:id="21" w:name="_Toc183582206"/>
      <w:bookmarkStart w:id="22" w:name="_Toc14000"/>
      <w:bookmarkStart w:id="23" w:name="_Toc8762"/>
      <w:bookmarkStart w:id="24" w:name="_Toc217446035"/>
      <w:r>
        <w:rPr>
          <w:rFonts w:hint="eastAsia" w:ascii="宋体" w:hAnsi="宋体" w:eastAsia="宋体" w:cs="宋体"/>
          <w:color w:val="000000" w:themeColor="text1"/>
          <w:sz w:val="24"/>
          <w:highlight w:val="none"/>
          <w14:textFill>
            <w14:solidFill>
              <w14:schemeClr w14:val="tx1"/>
            </w14:solidFill>
          </w14:textFill>
        </w:rPr>
        <w:t xml:space="preserve">2. </w:t>
      </w:r>
      <w:bookmarkEnd w:id="20"/>
      <w:bookmarkEnd w:id="21"/>
      <w:r>
        <w:rPr>
          <w:rFonts w:hint="eastAsia" w:ascii="宋体" w:hAnsi="宋体" w:eastAsia="宋体" w:cs="宋体"/>
          <w:color w:val="000000" w:themeColor="text1"/>
          <w:sz w:val="24"/>
          <w:highlight w:val="none"/>
          <w14:textFill>
            <w14:solidFill>
              <w14:schemeClr w14:val="tx1"/>
            </w14:solidFill>
          </w14:textFill>
        </w:rPr>
        <w:t>有关</w:t>
      </w:r>
      <w:r>
        <w:rPr>
          <w:rFonts w:hint="eastAsia" w:ascii="宋体" w:hAnsi="宋体" w:eastAsia="宋体" w:cs="宋体"/>
          <w:color w:val="000000" w:themeColor="text1"/>
          <w:sz w:val="24"/>
          <w:szCs w:val="24"/>
          <w:highlight w:val="none"/>
          <w14:textFill>
            <w14:solidFill>
              <w14:schemeClr w14:val="tx1"/>
            </w14:solidFill>
          </w14:textFill>
        </w:rPr>
        <w:t>定义</w:t>
      </w:r>
      <w:bookmarkEnd w:id="22"/>
      <w:bookmarkEnd w:id="23"/>
      <w:bookmarkEnd w:id="24"/>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 “采购人”系指依法进行政府采购的国家机关、事业单位、团体组织。本次招标的采购人是</w:t>
      </w:r>
      <w:r>
        <w:rPr>
          <w:rFonts w:hint="eastAsia" w:ascii="宋体" w:hAnsi="宋体" w:eastAsia="宋体" w:cs="宋体"/>
          <w:color w:val="000000" w:themeColor="text1"/>
          <w:highlight w:val="none"/>
          <w:lang w:eastAsia="zh-CN"/>
          <w14:textFill>
            <w14:solidFill>
              <w14:schemeClr w14:val="tx1"/>
            </w14:solidFill>
          </w14:textFill>
        </w:rPr>
        <w:t>大邑县教育局</w:t>
      </w:r>
      <w:r>
        <w:rPr>
          <w:rFonts w:hint="eastAsia" w:ascii="宋体" w:hAnsi="宋体" w:eastAsia="宋体" w:cs="宋体"/>
          <w:color w:val="000000" w:themeColor="text1"/>
          <w:highlight w:val="none"/>
          <w14:textFill>
            <w14:solidFill>
              <w14:schemeClr w14:val="tx1"/>
            </w14:solidFill>
          </w14:textFill>
        </w:rPr>
        <w:t>。</w:t>
      </w:r>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 “采购代理机构” 系指根据采购人的委托依法办理招标事宜的采购机构。本次招标的采购代理机构是</w:t>
      </w:r>
      <w:r>
        <w:rPr>
          <w:rFonts w:hint="eastAsia" w:ascii="宋体" w:hAnsi="宋体" w:eastAsia="宋体" w:cs="宋体"/>
          <w:color w:val="000000" w:themeColor="text1"/>
          <w:highlight w:val="none"/>
          <w:lang w:eastAsia="zh-CN"/>
          <w14:textFill>
            <w14:solidFill>
              <w14:schemeClr w14:val="tx1"/>
            </w14:solidFill>
          </w14:textFill>
        </w:rPr>
        <w:t>四川浩行招标代理有限公司</w:t>
      </w:r>
      <w:r>
        <w:rPr>
          <w:rFonts w:hint="eastAsia" w:ascii="宋体" w:hAnsi="宋体" w:eastAsia="宋体" w:cs="宋体"/>
          <w:color w:val="000000" w:themeColor="text1"/>
          <w:highlight w:val="none"/>
          <w14:textFill>
            <w14:solidFill>
              <w14:schemeClr w14:val="tx1"/>
            </w14:solidFill>
          </w14:textFill>
        </w:rPr>
        <w:t>。</w:t>
      </w:r>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 “投标人”系指响应招标、参加投标竞争的法人、其他组织或者自然人。</w:t>
      </w:r>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2.4 本招标文件各部分规定的期间以时、日、月、年计算。期间开始的时和日，不计算在期间内，而从次日开始计算。期间届满的最后一天是节假日的，以节假日后的第一日为期间届满的日期。</w:t>
      </w:r>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2.5 本招标文件各部分规定的“以上”、“以下”、“内”、“以内”，包括本数；所称的“不足”，不包括本数。</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000000" w:themeColor="text1"/>
          <w:sz w:val="24"/>
          <w:highlight w:val="none"/>
          <w14:textFill>
            <w14:solidFill>
              <w14:schemeClr w14:val="tx1"/>
            </w14:solidFill>
          </w14:textFill>
        </w:rPr>
      </w:pPr>
      <w:bookmarkStart w:id="25" w:name="_Toc30717"/>
      <w:bookmarkStart w:id="26" w:name="_Toc9019"/>
      <w:bookmarkStart w:id="27" w:name="_Toc183582207"/>
      <w:bookmarkStart w:id="28" w:name="_Toc217446036"/>
      <w:bookmarkStart w:id="29" w:name="_Toc217390843"/>
      <w:bookmarkStart w:id="30" w:name="_Toc183682344"/>
      <w:r>
        <w:rPr>
          <w:rFonts w:hint="eastAsia" w:ascii="宋体" w:hAnsi="宋体" w:eastAsia="宋体" w:cs="宋体"/>
          <w:color w:val="000000" w:themeColor="text1"/>
          <w:sz w:val="24"/>
          <w:highlight w:val="none"/>
          <w14:textFill>
            <w14:solidFill>
              <w14:schemeClr w14:val="tx1"/>
            </w14:solidFill>
          </w14:textFill>
        </w:rPr>
        <w:t>3. 合格的投标人</w:t>
      </w:r>
      <w:bookmarkEnd w:id="25"/>
      <w:bookmarkEnd w:id="26"/>
      <w:bookmarkEnd w:id="27"/>
      <w:bookmarkEnd w:id="28"/>
      <w:bookmarkEnd w:id="29"/>
      <w:bookmarkEnd w:id="30"/>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bookmarkStart w:id="31" w:name="_Toc488"/>
      <w:bookmarkStart w:id="32" w:name="_Toc217446037"/>
      <w:bookmarkStart w:id="33" w:name="_Toc17786"/>
      <w:bookmarkStart w:id="34" w:name="_Toc183582208"/>
      <w:bookmarkStart w:id="35" w:name="_Toc183682345"/>
      <w:r>
        <w:rPr>
          <w:rFonts w:hint="eastAsia" w:ascii="宋体" w:hAnsi="宋体" w:eastAsia="宋体" w:cs="宋体"/>
          <w:color w:val="000000" w:themeColor="text1"/>
          <w:sz w:val="24"/>
          <w:highlight w:val="none"/>
          <w:lang w:val="en-US" w:eastAsia="zh-CN"/>
          <w14:textFill>
            <w14:solidFill>
              <w14:schemeClr w14:val="tx1"/>
            </w14:solidFill>
          </w14:textFill>
        </w:rPr>
        <w:t xml:space="preserve"> 合格的投标人应具备以下条件：</w:t>
      </w:r>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（1）具备法律法规和本采购文件规定的资格条件；</w:t>
      </w:r>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（2）不属于禁止参加本项目采购活动的供应商；</w:t>
      </w:r>
    </w:p>
    <w:p>
      <w:pPr>
        <w:pageBreakBefore w:val="0"/>
        <w:tabs>
          <w:tab w:val="left" w:pos="7665"/>
        </w:tabs>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（3）按照规定获取了招标文件。</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 投标费用</w:t>
      </w:r>
      <w:bookmarkEnd w:id="31"/>
      <w:bookmarkEnd w:id="32"/>
      <w:bookmarkEnd w:id="33"/>
      <w:bookmarkEnd w:id="34"/>
      <w:bookmarkEnd w:id="35"/>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投标人参加投标的有关费用由投标人自行承担。</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000000" w:themeColor="text1"/>
          <w:sz w:val="24"/>
          <w:highlight w:val="none"/>
          <w14:textFill>
            <w14:solidFill>
              <w14:schemeClr w14:val="tx1"/>
            </w14:solidFill>
          </w14:textFill>
        </w:rPr>
      </w:pPr>
      <w:bookmarkStart w:id="36" w:name="_Toc28964"/>
      <w:bookmarkStart w:id="37" w:name="_Toc6503"/>
      <w:r>
        <w:rPr>
          <w:rFonts w:hint="eastAsia" w:ascii="宋体" w:hAnsi="宋体" w:eastAsia="宋体" w:cs="宋体"/>
          <w:color w:val="000000" w:themeColor="text1"/>
          <w:sz w:val="24"/>
          <w:highlight w:val="none"/>
          <w14:textFill>
            <w14:solidFill>
              <w14:schemeClr w14:val="tx1"/>
            </w14:solidFill>
          </w14:textFill>
        </w:rPr>
        <w:t>5. 充分、公平竞争保障措施</w:t>
      </w:r>
      <w:bookmarkEnd w:id="36"/>
      <w:bookmarkEnd w:id="37"/>
    </w:p>
    <w:p>
      <w:pPr>
        <w:pStyle w:val="2"/>
        <w:pageBreakBefore w:val="0"/>
        <w:kinsoku/>
        <w:wordWrap/>
        <w:overflowPunct/>
        <w:topLinePunct w:val="0"/>
        <w:autoSpaceDE w:val="0"/>
        <w:autoSpaceDN/>
        <w:bidi w:val="0"/>
        <w:snapToGrid/>
        <w:spacing w:before="0" w:beforeAutospacing="0" w:after="0" w:afterAutospacing="0" w:line="360" w:lineRule="auto"/>
        <w:ind w:left="0" w:leftChars="0" w:right="0" w:rightChars="0" w:firstLine="482"/>
        <w:jc w:val="both"/>
        <w:rPr>
          <w:rFonts w:hint="eastAsia" w:ascii="宋体" w:hAnsi="宋体" w:eastAsia="宋体" w:cs="宋体"/>
          <w:b w:val="0"/>
          <w:bCs w:val="0"/>
          <w:color w:val="000000" w:themeColor="text1"/>
          <w:sz w:val="24"/>
          <w:szCs w:val="24"/>
          <w:highlight w:val="none"/>
          <w:shd w:val="clear" w:color="auto" w:fill="FFFFFF"/>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5.1提供相同品牌产品处理</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提供相同品牌产品且通过资格审查、符合性审查的不同投标人参加同一合同项下投标的</w:t>
      </w:r>
      <w:r>
        <w:rPr>
          <w:rFonts w:hint="eastAsia" w:ascii="宋体" w:hAnsi="宋体" w:eastAsia="宋体" w:cs="宋体"/>
          <w:color w:val="000000" w:themeColor="text1"/>
          <w:sz w:val="24"/>
          <w:szCs w:val="24"/>
          <w:highlight w:val="none"/>
          <w:shd w:val="clear" w:color="auto" w:fill="FFFFFF"/>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按一家投标人计算</w:t>
      </w:r>
      <w:r>
        <w:rPr>
          <w:rFonts w:hint="eastAsia" w:ascii="宋体" w:hAnsi="宋体" w:eastAsia="宋体" w:cs="宋体"/>
          <w:color w:val="000000" w:themeColor="text1"/>
          <w:sz w:val="24"/>
          <w:szCs w:val="24"/>
          <w:highlight w:val="none"/>
          <w:shd w:val="clear" w:color="auto" w:fill="FFFFFF"/>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评审后得分最高的同品牌投标人获得中标人推荐资格；评审得分相同的</w:t>
      </w:r>
      <w:r>
        <w:rPr>
          <w:rFonts w:hint="eastAsia" w:ascii="宋体" w:hAnsi="宋体" w:eastAsia="宋体" w:cs="宋体"/>
          <w:color w:val="000000" w:themeColor="text1"/>
          <w:sz w:val="24"/>
          <w:szCs w:val="24"/>
          <w:highlight w:val="none"/>
          <w:shd w:val="clear" w:color="auto" w:fill="FFFFFF"/>
          <w:lang w:eastAsia="zh-CN"/>
          <w14:textFill>
            <w14:solidFill>
              <w14:schemeClr w14:val="tx1"/>
            </w14:solidFill>
          </w14:textFill>
        </w:rPr>
        <w:t>，</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由采购人或者采购人委托评标委员会采取随</w:t>
      </w:r>
      <w:r>
        <w:rPr>
          <w:rFonts w:hint="eastAsia" w:ascii="宋体" w:hAnsi="宋体" w:eastAsia="宋体" w:cs="宋体"/>
          <w:b w:val="0"/>
          <w:bCs w:val="0"/>
          <w:color w:val="000000" w:themeColor="text1"/>
          <w:sz w:val="24"/>
          <w:szCs w:val="24"/>
          <w:highlight w:val="none"/>
          <w:shd w:val="clear" w:color="auto" w:fill="FFFFFF"/>
          <w14:textFill>
            <w14:solidFill>
              <w14:schemeClr w14:val="tx1"/>
            </w14:solidFill>
          </w14:textFill>
        </w:rPr>
        <w:t>机抽取方式确定</w:t>
      </w:r>
      <w:r>
        <w:rPr>
          <w:rFonts w:hint="eastAsia" w:ascii="宋体" w:hAnsi="宋体" w:eastAsia="宋体" w:cs="宋体"/>
          <w:b w:val="0"/>
          <w:bCs w:val="0"/>
          <w:color w:val="000000" w:themeColor="text1"/>
          <w:sz w:val="24"/>
          <w:szCs w:val="24"/>
          <w:highlight w:val="none"/>
          <w:shd w:val="clear" w:color="auto" w:fill="FFFFFF"/>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shd w:val="clear" w:color="auto" w:fill="FFFFFF"/>
          <w14:textFill>
            <w14:solidFill>
              <w14:schemeClr w14:val="tx1"/>
            </w14:solidFill>
          </w14:textFill>
        </w:rPr>
        <w:t>其他同品牌投标人不作为中标候选人。</w:t>
      </w:r>
    </w:p>
    <w:p>
      <w:pPr>
        <w:pStyle w:val="2"/>
        <w:pageBreakBefore w:val="0"/>
        <w:shd w:val="clear"/>
        <w:kinsoku/>
        <w:wordWrap/>
        <w:overflowPunct/>
        <w:topLinePunct w:val="0"/>
        <w:autoSpaceDE w:val="0"/>
        <w:autoSpaceDN/>
        <w:bidi w:val="0"/>
        <w:snapToGrid/>
        <w:spacing w:before="0" w:beforeAutospacing="0" w:after="0" w:afterAutospacing="0" w:line="360" w:lineRule="auto"/>
        <w:ind w:left="0" w:leftChars="0" w:right="0" w:rightChars="0" w:firstLine="482"/>
        <w:jc w:val="both"/>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14:textFill>
            <w14:solidFill>
              <w14:schemeClr w14:val="tx1"/>
            </w14:solidFill>
          </w14:textFill>
        </w:rPr>
        <w:t>非单一产品采购项目中</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14:textFill>
            <w14:solidFill>
              <w14:schemeClr w14:val="tx1"/>
            </w14:solidFill>
          </w14:textFill>
        </w:rPr>
        <w:t>多家供应商提供的部分或所有核心产品品牌相同的</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14:textFill>
            <w14:solidFill>
              <w14:schemeClr w14:val="tx1"/>
            </w14:solidFill>
          </w14:textFill>
        </w:rPr>
        <w:t>视为提供相同品牌产品</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w:t>
      </w:r>
    </w:p>
    <w:p>
      <w:pPr>
        <w:pStyle w:val="53"/>
        <w:pageBreakBefore w:val="0"/>
        <w:kinsoku/>
        <w:wordWrap/>
        <w:overflowPunct/>
        <w:topLinePunct w:val="0"/>
        <w:autoSpaceDN/>
        <w:bidi w:val="0"/>
        <w:snapToGrid/>
        <w:spacing w:line="360" w:lineRule="auto"/>
        <w:ind w:left="0" w:leftChars="0" w:right="0" w:rightChars="0" w:firstLine="482"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5.2利害关系供应商处理。</w:t>
      </w:r>
      <w:r>
        <w:rPr>
          <w:rFonts w:hint="eastAsia" w:ascii="宋体" w:hAnsi="宋体" w:eastAsia="宋体" w:cs="宋体"/>
          <w:color w:val="000000" w:themeColor="text1"/>
          <w:sz w:val="24"/>
          <w:highlight w:val="none"/>
          <w14:textFill>
            <w14:solidFill>
              <w14:schemeClr w14:val="tx1"/>
            </w14:solidFill>
          </w14:textFill>
        </w:rPr>
        <w:t>单位负责人为同一人或者存在直接控股、管理关系的不同供应商禁止参加同一合同项下的政府采购活动。</w:t>
      </w:r>
    </w:p>
    <w:p>
      <w:pPr>
        <w:pageBreakBefore w:val="0"/>
        <w:kinsoku/>
        <w:wordWrap/>
        <w:overflowPunct/>
        <w:topLinePunct w:val="0"/>
        <w:autoSpaceDN/>
        <w:bidi w:val="0"/>
        <w:snapToGrid/>
        <w:spacing w:line="360" w:lineRule="auto"/>
        <w:ind w:left="0" w:leftChars="0" w:right="0" w:rightChars="0" w:firstLine="48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5.3前期参与供应商处理。</w:t>
      </w:r>
      <w:r>
        <w:rPr>
          <w:rFonts w:hint="eastAsia" w:ascii="宋体" w:hAnsi="宋体" w:eastAsia="宋体" w:cs="宋体"/>
          <w:color w:val="000000" w:themeColor="text1"/>
          <w:highlight w:val="none"/>
          <w14:textFill>
            <w14:solidFill>
              <w14:schemeClr w14:val="tx1"/>
            </w14:solidFill>
          </w14:textFill>
        </w:rPr>
        <w:t>为采购项目提供整体设计、规范编制或者项目管理、监理、检测等服务的供应商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禁止参加本次采购项目。供应商为采购人、采购代理机构在确定采购需求、编制采购文件过程中提供咨询论证</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其提供的咨询论证意见成为采购文件中规定的供应商资格条件、技术服务商务要求、评标因素和标准、政府采购合同等实质性内容条款的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视同为采购项目提供规范编制。</w:t>
      </w:r>
    </w:p>
    <w:p>
      <w:pPr>
        <w:pageBreakBefore w:val="0"/>
        <w:kinsoku/>
        <w:wordWrap/>
        <w:overflowPunct/>
        <w:topLinePunct w:val="0"/>
        <w:autoSpaceDN/>
        <w:bidi w:val="0"/>
        <w:snapToGrid/>
        <w:spacing w:line="360" w:lineRule="auto"/>
        <w:ind w:left="0" w:leftChars="0" w:right="0" w:rightChars="0"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5.4 有下列情形之一的</w:t>
      </w: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视为投标人串通投标</w:t>
      </w: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其投标无效</w:t>
      </w:r>
      <w:r>
        <w:rPr>
          <w:rFonts w:hint="eastAsia" w:ascii="宋体" w:hAnsi="宋体" w:eastAsia="宋体" w:cs="宋体"/>
          <w:b/>
          <w:bCs/>
          <w:color w:val="000000" w:themeColor="text1"/>
          <w:highlight w:val="none"/>
          <w:lang w:eastAsia="zh-CN"/>
          <w14:textFill>
            <w14:solidFill>
              <w14:schemeClr w14:val="tx1"/>
            </w14:solidFill>
          </w14:textFill>
        </w:rPr>
        <w:t>：</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5.4.1不同投标人的投标文件由同一单位或者个人编制；</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5.4.2不同投标人委托同一单位或者个人办理投标事宜；</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5.4.3不同投标人的投标文件载明的项目管理成员或者联系人员为同一人；</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5.4.4不同投标人的投标文件异常一致或者投标报价呈规律性差异；</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5.4.5不同投标人的投标文件相互混装；</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5.4.6不同投标人的投标保证金从同一单位或者个人的账户转出。</w:t>
      </w:r>
    </w:p>
    <w:p>
      <w:pPr>
        <w:pStyle w:val="53"/>
        <w:pageBreakBefore w:val="0"/>
        <w:kinsoku/>
        <w:wordWrap/>
        <w:overflowPunct/>
        <w:topLinePunct w:val="0"/>
        <w:autoSpaceDN/>
        <w:bidi w:val="0"/>
        <w:snapToGrid/>
        <w:spacing w:line="360" w:lineRule="auto"/>
        <w:ind w:left="0" w:leftChars="0" w:right="0" w:rightChars="0"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5.5政府采购活动中</w:t>
      </w:r>
      <w:r>
        <w:rPr>
          <w:rFonts w:hint="eastAsia" w:ascii="宋体" w:hAnsi="宋体" w:eastAsia="宋体" w:cs="宋体"/>
          <w:b/>
          <w:bCs/>
          <w:color w:val="000000" w:themeColor="text1"/>
          <w:sz w:val="24"/>
          <w:highlight w:val="none"/>
          <w:lang w:eastAsia="zh-CN"/>
          <w14:textFill>
            <w14:solidFill>
              <w14:schemeClr w14:val="tx1"/>
            </w14:solidFill>
          </w14:textFill>
        </w:rPr>
        <w:t>，</w:t>
      </w:r>
      <w:r>
        <w:rPr>
          <w:rFonts w:hint="eastAsia" w:ascii="宋体" w:hAnsi="宋体" w:eastAsia="宋体" w:cs="宋体"/>
          <w:b/>
          <w:bCs/>
          <w:color w:val="000000" w:themeColor="text1"/>
          <w:sz w:val="24"/>
          <w:highlight w:val="none"/>
          <w14:textFill>
            <w14:solidFill>
              <w14:schemeClr w14:val="tx1"/>
            </w14:solidFill>
          </w14:textFill>
        </w:rPr>
        <w:t>采购人员及相关人员与供应商有下列利害关系之一的</w:t>
      </w:r>
      <w:r>
        <w:rPr>
          <w:rFonts w:hint="eastAsia" w:ascii="宋体" w:hAnsi="宋体" w:eastAsia="宋体" w:cs="宋体"/>
          <w:b/>
          <w:bCs/>
          <w:color w:val="000000" w:themeColor="text1"/>
          <w:sz w:val="24"/>
          <w:highlight w:val="none"/>
          <w:lang w:eastAsia="zh-CN"/>
          <w14:textFill>
            <w14:solidFill>
              <w14:schemeClr w14:val="tx1"/>
            </w14:solidFill>
          </w14:textFill>
        </w:rPr>
        <w:t>，</w:t>
      </w:r>
      <w:r>
        <w:rPr>
          <w:rFonts w:hint="eastAsia" w:ascii="宋体" w:hAnsi="宋体" w:eastAsia="宋体" w:cs="宋体"/>
          <w:b/>
          <w:bCs/>
          <w:color w:val="000000" w:themeColor="text1"/>
          <w:sz w:val="24"/>
          <w:highlight w:val="none"/>
          <w14:textFill>
            <w14:solidFill>
              <w14:schemeClr w14:val="tx1"/>
            </w14:solidFill>
          </w14:textFill>
        </w:rPr>
        <w:t xml:space="preserve">应当回避： </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5.5.1 参加采购活动前3年内与供应商存在劳动关系；</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5.5.2 参加采购活动前3年内担任供应商的董事、监事；</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5.5.3 参加采购活动前3年内是供应商的控股股东或者实际控制人；</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5.5.4 与供应商的法定代表人或者负责人有夫妻、直系血亲、三代以内旁系血亲或者近</w:t>
      </w:r>
      <w:r>
        <w:rPr>
          <w:rFonts w:hint="eastAsia" w:ascii="宋体" w:hAnsi="宋体" w:eastAsia="宋体" w:cs="宋体"/>
          <w:color w:val="000000" w:themeColor="text1"/>
          <w:sz w:val="24"/>
          <w:highlight w:val="none"/>
          <w:lang w:eastAsia="zh-CN"/>
          <w14:textFill>
            <w14:solidFill>
              <w14:schemeClr w14:val="tx1"/>
            </w14:solidFill>
          </w14:textFill>
        </w:rPr>
        <w:t>姻亲</w:t>
      </w:r>
      <w:r>
        <w:rPr>
          <w:rFonts w:hint="eastAsia" w:ascii="宋体" w:hAnsi="宋体" w:eastAsia="宋体" w:cs="宋体"/>
          <w:color w:val="000000" w:themeColor="text1"/>
          <w:sz w:val="24"/>
          <w:highlight w:val="none"/>
          <w14:textFill>
            <w14:solidFill>
              <w14:schemeClr w14:val="tx1"/>
            </w14:solidFill>
          </w14:textFill>
        </w:rPr>
        <w:t>关系；</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5.5.5 与供应商有其他可能影响采购活动公平、公正进行的关系。</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在政府采购活动中需要依法回避的采购人员包括采购人内部负责采购项目的具体经办工作人员和直接分管采购项目的负责人</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以及采购代理机构负责采购项目的具体经办工作人员和直接分管采购活动的负责人。采购人员自知道或者应当知道其与参加政府采购活动的供应商存在利害关系后主动回避。</w:t>
      </w:r>
    </w:p>
    <w:p>
      <w:pPr>
        <w:pStyle w:val="53"/>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供应商认为采购人员及相关人员与其他供应商有利害关系的</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可以向采购人或者采购代理机构书面提出回避申请</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并说明理由。采购人或者采购代理机构应当及时询问被申请回避人员</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有利害关系的被申请回避人员应当回避。</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1"/>
        <w:rPr>
          <w:rFonts w:hint="eastAsia" w:ascii="宋体" w:hAnsi="宋体" w:eastAsia="宋体" w:cs="宋体"/>
          <w:color w:val="000000" w:themeColor="text1"/>
          <w:sz w:val="32"/>
          <w:szCs w:val="32"/>
          <w:highlight w:val="none"/>
          <w14:textFill>
            <w14:solidFill>
              <w14:schemeClr w14:val="tx1"/>
            </w14:solidFill>
          </w14:textFill>
        </w:rPr>
      </w:pPr>
      <w:bookmarkStart w:id="38" w:name="_Toc183582209"/>
      <w:bookmarkStart w:id="39" w:name="_Toc89075875"/>
      <w:bookmarkStart w:id="40" w:name="_Toc28791"/>
      <w:bookmarkStart w:id="41" w:name="_Toc183682346"/>
      <w:bookmarkStart w:id="42" w:name="_Toc77400779"/>
      <w:bookmarkStart w:id="43" w:name="_Toc217446038"/>
      <w:bookmarkStart w:id="44" w:name="_Toc5890"/>
      <w:r>
        <w:rPr>
          <w:rFonts w:hint="eastAsia" w:ascii="宋体" w:hAnsi="宋体" w:eastAsia="宋体" w:cs="宋体"/>
          <w:color w:val="000000" w:themeColor="text1"/>
          <w:sz w:val="32"/>
          <w:szCs w:val="32"/>
          <w:highlight w:val="none"/>
          <w14:textFill>
            <w14:solidFill>
              <w14:schemeClr w14:val="tx1"/>
            </w14:solidFill>
          </w14:textFill>
        </w:rPr>
        <w:t>三、招标文件</w:t>
      </w:r>
      <w:bookmarkEnd w:id="38"/>
      <w:bookmarkEnd w:id="39"/>
      <w:bookmarkEnd w:id="40"/>
      <w:bookmarkEnd w:id="41"/>
      <w:bookmarkEnd w:id="42"/>
      <w:bookmarkEnd w:id="43"/>
      <w:bookmarkEnd w:id="44"/>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000000" w:themeColor="text1"/>
          <w:sz w:val="24"/>
          <w:highlight w:val="none"/>
          <w14:textFill>
            <w14:solidFill>
              <w14:schemeClr w14:val="tx1"/>
            </w14:solidFill>
          </w14:textFill>
        </w:rPr>
      </w:pPr>
      <w:bookmarkStart w:id="45" w:name="_Toc217446039"/>
      <w:bookmarkStart w:id="46" w:name="_Toc30170"/>
      <w:bookmarkStart w:id="47" w:name="_Toc183582210"/>
      <w:bookmarkStart w:id="48" w:name="_Toc183682347"/>
      <w:bookmarkStart w:id="49" w:name="_Toc28539"/>
      <w:r>
        <w:rPr>
          <w:rFonts w:hint="eastAsia" w:ascii="宋体" w:hAnsi="宋体" w:eastAsia="宋体" w:cs="宋体"/>
          <w:color w:val="000000" w:themeColor="text1"/>
          <w:sz w:val="24"/>
          <w:highlight w:val="none"/>
          <w14:textFill>
            <w14:solidFill>
              <w14:schemeClr w14:val="tx1"/>
            </w14:solidFill>
          </w14:textFill>
        </w:rPr>
        <w:t>6．招标文件的构成</w:t>
      </w:r>
      <w:bookmarkEnd w:id="45"/>
      <w:bookmarkEnd w:id="46"/>
      <w:bookmarkEnd w:id="47"/>
      <w:bookmarkEnd w:id="48"/>
      <w:bookmarkEnd w:id="49"/>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招标文件是供应商准备投标文件和参加投标的依据</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同时也是评标的重要依据</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具有准法律文件性质。招标文件用以阐明招标项目所需的资质、技术、服务及报价等要求、招标投标程序、有关规定和注意事项以及合同主要条款等。本招标文件包括以下内容：</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（一）投标邀请；</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（二）投标人须知；</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（三）投标文件格式；</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（四）投标人和投标产品的资格、资质性及其他类似效力要求；</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（五）投标人应当提供的资格、资质性及其他类似效力要求的相关证明材料；</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（六）招标项目技术、</w:t>
      </w:r>
      <w:r>
        <w:rPr>
          <w:rFonts w:hint="eastAsia" w:ascii="宋体" w:hAnsi="宋体" w:eastAsia="宋体" w:cs="宋体"/>
          <w:color w:val="000000" w:themeColor="text1"/>
          <w:highlight w:val="none"/>
          <w:lang w:val="en-US" w:eastAsia="zh-CN"/>
          <w14:textFill>
            <w14:solidFill>
              <w14:schemeClr w14:val="tx1"/>
            </w14:solidFill>
          </w14:textFill>
        </w:rPr>
        <w:t>服务</w:t>
      </w:r>
      <w:r>
        <w:rPr>
          <w:rFonts w:hint="eastAsia" w:ascii="宋体" w:hAnsi="宋体" w:eastAsia="宋体" w:cs="宋体"/>
          <w:color w:val="000000" w:themeColor="text1"/>
          <w:highlight w:val="none"/>
          <w14:textFill>
            <w14:solidFill>
              <w14:schemeClr w14:val="tx1"/>
            </w14:solidFill>
          </w14:textFill>
        </w:rPr>
        <w:t>及商务要求；</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（七）</w:t>
      </w:r>
      <w:r>
        <w:rPr>
          <w:rFonts w:hint="eastAsia" w:ascii="宋体" w:hAnsi="宋体" w:eastAsia="宋体" w:cs="宋体"/>
          <w:color w:val="000000" w:themeColor="text1"/>
          <w:highlight w:val="none"/>
          <w:lang w:val="en-US" w:eastAsia="zh-CN"/>
          <w14:textFill>
            <w14:solidFill>
              <w14:schemeClr w14:val="tx1"/>
            </w14:solidFill>
          </w14:textFill>
        </w:rPr>
        <w:t>资格审查及</w:t>
      </w:r>
      <w:r>
        <w:rPr>
          <w:rFonts w:hint="eastAsia" w:ascii="宋体" w:hAnsi="宋体" w:eastAsia="宋体" w:cs="宋体"/>
          <w:color w:val="000000" w:themeColor="text1"/>
          <w:highlight w:val="none"/>
          <w14:textFill>
            <w14:solidFill>
              <w14:schemeClr w14:val="tx1"/>
            </w14:solidFill>
          </w14:textFill>
        </w:rPr>
        <w:t>评标办法；</w:t>
      </w:r>
    </w:p>
    <w:p>
      <w:pPr>
        <w:pageBreakBefore w:val="0"/>
        <w:tabs>
          <w:tab w:val="left" w:pos="720"/>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（八）政府采购合同。</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000000" w:themeColor="text1"/>
          <w:sz w:val="24"/>
          <w:highlight w:val="none"/>
          <w14:textFill>
            <w14:solidFill>
              <w14:schemeClr w14:val="tx1"/>
            </w14:solidFill>
          </w14:textFill>
        </w:rPr>
      </w:pPr>
      <w:bookmarkStart w:id="50" w:name="_Toc183682348"/>
      <w:bookmarkStart w:id="51" w:name="_Toc183582211"/>
      <w:bookmarkStart w:id="52" w:name="_Toc12193"/>
      <w:bookmarkStart w:id="53" w:name="_Toc9867"/>
      <w:bookmarkStart w:id="54" w:name="_Toc217446040"/>
      <w:r>
        <w:rPr>
          <w:rFonts w:hint="eastAsia" w:ascii="宋体" w:hAnsi="宋体" w:eastAsia="宋体" w:cs="宋体"/>
          <w:color w:val="000000" w:themeColor="text1"/>
          <w:sz w:val="24"/>
          <w:highlight w:val="none"/>
          <w14:textFill>
            <w14:solidFill>
              <w14:schemeClr w14:val="tx1"/>
            </w14:solidFill>
          </w14:textFill>
        </w:rPr>
        <w:t>7. 招标文件的澄清</w:t>
      </w:r>
      <w:bookmarkEnd w:id="50"/>
      <w:bookmarkEnd w:id="51"/>
      <w:r>
        <w:rPr>
          <w:rFonts w:hint="eastAsia" w:ascii="宋体" w:hAnsi="宋体" w:eastAsia="宋体" w:cs="宋体"/>
          <w:color w:val="000000" w:themeColor="text1"/>
          <w:sz w:val="24"/>
          <w:highlight w:val="none"/>
          <w14:textFill>
            <w14:solidFill>
              <w14:schemeClr w14:val="tx1"/>
            </w14:solidFill>
          </w14:textFill>
        </w:rPr>
        <w:t>和修改</w:t>
      </w:r>
      <w:bookmarkEnd w:id="52"/>
      <w:bookmarkEnd w:id="53"/>
      <w:bookmarkEnd w:id="54"/>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7.1采购代理机构可以对已发出的招标文件进行必要的澄清或者修改。</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7.2 采购代理机构对已发出的招标文件进行澄清或者修改</w:t>
      </w:r>
      <w:r>
        <w:rPr>
          <w:rFonts w:hint="eastAsia" w:ascii="宋体" w:hAnsi="宋体" w:eastAsia="宋体" w:cs="宋体"/>
          <w:color w:val="000000" w:themeColor="text1"/>
          <w:highlight w:val="none"/>
          <w:lang w:val="en-US" w:eastAsia="zh-CN"/>
          <w14:textFill>
            <w14:solidFill>
              <w14:schemeClr w14:val="tx1"/>
            </w14:solidFill>
          </w14:textFill>
        </w:rPr>
        <w:t>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澄清或者修改在</w:t>
      </w:r>
      <w:r>
        <w:rPr>
          <w:rFonts w:hint="eastAsia" w:ascii="宋体" w:hAnsi="宋体" w:eastAsia="宋体" w:cs="宋体"/>
          <w:color w:val="000000" w:themeColor="text1"/>
          <w:highlight w:val="none"/>
          <w:lang w:val="en-US" w:eastAsia="zh-CN"/>
          <w14:textFill>
            <w14:solidFill>
              <w14:schemeClr w14:val="tx1"/>
            </w14:solidFill>
          </w14:textFill>
        </w:rPr>
        <w:t>四川政府采购网</w:t>
      </w:r>
      <w:r>
        <w:rPr>
          <w:rFonts w:hint="eastAsia" w:ascii="宋体" w:hAnsi="宋体" w:eastAsia="宋体" w:cs="宋体"/>
          <w:color w:val="000000" w:themeColor="text1"/>
          <w:highlight w:val="none"/>
          <w14:textFill>
            <w14:solidFill>
              <w14:schemeClr w14:val="tx1"/>
            </w14:solidFill>
          </w14:textFill>
        </w:rPr>
        <w:t>上发布澄清公告。同时通过</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政府采购云平台</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将澄清或者修改的内容告知所有成功获取招标文件的潜在投标人（投标人通过账号或CA证书登录云平台查看）</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澄清或者修改的内容为招标文件的组成部分</w:t>
      </w:r>
      <w:r>
        <w:rPr>
          <w:rFonts w:hint="eastAsia" w:ascii="宋体" w:hAnsi="宋体" w:eastAsia="宋体" w:cs="宋体"/>
          <w:color w:val="000000" w:themeColor="text1"/>
          <w:highlight w:val="none"/>
          <w:lang w:eastAsia="zh-CN"/>
          <w14:textFill>
            <w14:solidFill>
              <w14:schemeClr w14:val="tx1"/>
            </w14:solidFill>
          </w14:textFill>
        </w:rPr>
        <w:t>。</w:t>
      </w:r>
    </w:p>
    <w:p>
      <w:pPr>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澄清或者修改的内容可能影响投标文件编制的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采购代理机构在投标截止时间至少15日前</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以书面形式通知所有获取招标文件的潜在投标人；不足15日的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采购代理机构顺延提交投标文件的截止时间。</w:t>
      </w:r>
    </w:p>
    <w:p>
      <w:pPr>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供应商应于</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14:textFill>
            <w14:solidFill>
              <w14:schemeClr w14:val="tx1"/>
            </w14:solidFill>
          </w14:textFill>
        </w:rPr>
        <w:t>交</w:t>
      </w:r>
      <w:r>
        <w:rPr>
          <w:rFonts w:hint="eastAsia" w:ascii="宋体" w:hAnsi="宋体" w:eastAsia="宋体" w:cs="宋体"/>
          <w:color w:val="000000" w:themeColor="text1"/>
          <w:highlight w:val="none"/>
          <w:lang w:val="en-US" w:eastAsia="zh-CN"/>
          <w14:textFill>
            <w14:solidFill>
              <w14:schemeClr w14:val="tx1"/>
            </w14:solidFill>
          </w14:textFill>
        </w:rPr>
        <w:t>投标</w:t>
      </w:r>
      <w:r>
        <w:rPr>
          <w:rFonts w:hint="eastAsia" w:ascii="宋体" w:hAnsi="宋体" w:eastAsia="宋体" w:cs="宋体"/>
          <w:color w:val="000000" w:themeColor="text1"/>
          <w:highlight w:val="none"/>
          <w14:textFill>
            <w14:solidFill>
              <w14:schemeClr w14:val="tx1"/>
            </w14:solidFill>
          </w14:textFill>
        </w:rPr>
        <w:t>文件截止</w:t>
      </w:r>
      <w:r>
        <w:rPr>
          <w:rFonts w:hint="eastAsia" w:ascii="宋体" w:hAnsi="宋体" w:eastAsia="宋体" w:cs="宋体"/>
          <w:color w:val="000000" w:themeColor="text1"/>
          <w:highlight w:val="none"/>
          <w:lang w:val="en-US" w:eastAsia="zh-CN"/>
          <w14:textFill>
            <w14:solidFill>
              <w14:schemeClr w14:val="tx1"/>
            </w14:solidFill>
          </w14:textFill>
        </w:rPr>
        <w:t>时间</w:t>
      </w:r>
      <w:r>
        <w:rPr>
          <w:rFonts w:hint="eastAsia" w:ascii="宋体" w:hAnsi="宋体" w:eastAsia="宋体" w:cs="宋体"/>
          <w:color w:val="000000" w:themeColor="text1"/>
          <w:highlight w:val="none"/>
          <w14:textFill>
            <w14:solidFill>
              <w14:schemeClr w14:val="tx1"/>
            </w14:solidFill>
          </w14:textFill>
        </w:rPr>
        <w:t>前，及时关注</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政府采购云平台</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推送信息</w:t>
      </w:r>
      <w:r>
        <w:rPr>
          <w:rFonts w:hint="eastAsia" w:ascii="宋体" w:hAnsi="宋体" w:eastAsia="宋体" w:cs="宋体"/>
          <w:color w:val="000000" w:themeColor="text1"/>
          <w:highlight w:val="none"/>
          <w:lang w:val="en-US" w:eastAsia="zh-CN"/>
          <w14:textFill>
            <w14:solidFill>
              <w14:schemeClr w14:val="tx1"/>
            </w14:solidFill>
          </w14:textFill>
        </w:rPr>
        <w:t>或</w:t>
      </w:r>
      <w:r>
        <w:rPr>
          <w:rFonts w:hint="eastAsia" w:ascii="宋体" w:hAnsi="宋体" w:eastAsia="宋体" w:cs="宋体"/>
          <w:color w:val="000000" w:themeColor="text1"/>
          <w:highlight w:val="none"/>
          <w14:textFill>
            <w14:solidFill>
              <w14:schemeClr w14:val="tx1"/>
            </w14:solidFill>
          </w14:textFill>
        </w:rPr>
        <w:t>四川政府采购网</w:t>
      </w:r>
      <w:r>
        <w:rPr>
          <w:rFonts w:hint="eastAsia" w:ascii="宋体" w:hAnsi="宋体" w:eastAsia="宋体" w:cs="宋体"/>
          <w:color w:val="000000" w:themeColor="text1"/>
          <w:highlight w:val="none"/>
          <w:lang w:val="en-US" w:eastAsia="zh-CN"/>
          <w14:textFill>
            <w14:solidFill>
              <w14:schemeClr w14:val="tx1"/>
            </w14:solidFill>
          </w14:textFill>
        </w:rPr>
        <w:t>发布</w:t>
      </w:r>
      <w:r>
        <w:rPr>
          <w:rFonts w:hint="eastAsia" w:ascii="宋体" w:hAnsi="宋体" w:eastAsia="宋体" w:cs="宋体"/>
          <w:color w:val="000000" w:themeColor="text1"/>
          <w:highlight w:val="none"/>
          <w14:textFill>
            <w14:solidFill>
              <w14:schemeClr w14:val="tx1"/>
            </w14:solidFill>
          </w14:textFill>
        </w:rPr>
        <w:t>本项目的更正公告，以保证其对</w:t>
      </w:r>
      <w:r>
        <w:rPr>
          <w:rFonts w:hint="eastAsia" w:ascii="宋体" w:hAnsi="宋体" w:eastAsia="宋体" w:cs="宋体"/>
          <w:color w:val="000000" w:themeColor="text1"/>
          <w:highlight w:val="none"/>
          <w:lang w:val="en-US" w:eastAsia="zh-CN"/>
          <w14:textFill>
            <w14:solidFill>
              <w14:schemeClr w14:val="tx1"/>
            </w14:solidFill>
          </w14:textFill>
        </w:rPr>
        <w:t>招标</w:t>
      </w:r>
      <w:r>
        <w:rPr>
          <w:rFonts w:hint="eastAsia" w:ascii="宋体" w:hAnsi="宋体" w:eastAsia="宋体" w:cs="宋体"/>
          <w:color w:val="000000" w:themeColor="text1"/>
          <w:highlight w:val="none"/>
          <w14:textFill>
            <w14:solidFill>
              <w14:schemeClr w14:val="tx1"/>
            </w14:solidFill>
          </w14:textFill>
        </w:rPr>
        <w:t>文件做出正确的响应。供应商未及时关注相关信息</w:t>
      </w:r>
      <w:r>
        <w:rPr>
          <w:rFonts w:hint="eastAsia" w:ascii="宋体" w:hAnsi="宋体" w:eastAsia="宋体" w:cs="宋体"/>
          <w:color w:val="000000" w:themeColor="text1"/>
          <w:highlight w:val="none"/>
          <w:lang w:val="en-US" w:eastAsia="zh-CN"/>
          <w14:textFill>
            <w14:solidFill>
              <w14:schemeClr w14:val="tx1"/>
            </w14:solidFill>
          </w14:textFill>
        </w:rPr>
        <w:t>或</w:t>
      </w:r>
      <w:r>
        <w:rPr>
          <w:rFonts w:hint="eastAsia" w:ascii="宋体" w:hAnsi="宋体" w:eastAsia="宋体" w:cs="宋体"/>
          <w:color w:val="000000" w:themeColor="text1"/>
          <w:highlight w:val="none"/>
          <w14:textFill>
            <w14:solidFill>
              <w14:schemeClr w14:val="tx1"/>
            </w14:solidFill>
          </w14:textFill>
        </w:rPr>
        <w:t>更正公告</w:t>
      </w:r>
      <w:r>
        <w:rPr>
          <w:rFonts w:hint="eastAsia" w:ascii="宋体" w:hAnsi="宋体" w:eastAsia="宋体" w:cs="宋体"/>
          <w:color w:val="000000" w:themeColor="text1"/>
          <w:highlight w:val="none"/>
          <w:lang w:val="en-US" w:eastAsia="zh-CN"/>
          <w14:textFill>
            <w14:solidFill>
              <w14:schemeClr w14:val="tx1"/>
            </w14:solidFill>
          </w14:textFill>
        </w:rPr>
        <w:t>所</w:t>
      </w:r>
      <w:r>
        <w:rPr>
          <w:rFonts w:hint="eastAsia" w:ascii="宋体" w:hAnsi="宋体" w:eastAsia="宋体" w:cs="宋体"/>
          <w:color w:val="000000" w:themeColor="text1"/>
          <w:highlight w:val="none"/>
          <w14:textFill>
            <w14:solidFill>
              <w14:schemeClr w14:val="tx1"/>
            </w14:solidFill>
          </w14:textFill>
        </w:rPr>
        <w:t>造成的</w:t>
      </w:r>
      <w:r>
        <w:rPr>
          <w:rFonts w:hint="eastAsia" w:ascii="宋体" w:hAnsi="宋体" w:eastAsia="宋体" w:cs="宋体"/>
          <w:color w:val="000000" w:themeColor="text1"/>
          <w:highlight w:val="none"/>
          <w:lang w:val="en-US" w:eastAsia="zh-CN"/>
          <w14:textFill>
            <w14:solidFill>
              <w14:schemeClr w14:val="tx1"/>
            </w14:solidFill>
          </w14:textFill>
        </w:rPr>
        <w:t>不利</w:t>
      </w:r>
      <w:r>
        <w:rPr>
          <w:rFonts w:hint="eastAsia" w:ascii="宋体" w:hAnsi="宋体" w:eastAsia="宋体" w:cs="宋体"/>
          <w:color w:val="000000" w:themeColor="text1"/>
          <w:highlight w:val="none"/>
          <w14:textFill>
            <w14:solidFill>
              <w14:schemeClr w14:val="tx1"/>
            </w14:solidFill>
          </w14:textFill>
        </w:rPr>
        <w:t>后果，由供应商自行承担。</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7.3</w:t>
      </w:r>
      <w:r>
        <w:rPr>
          <w:rFonts w:hint="eastAsia" w:ascii="宋体" w:hAnsi="宋体" w:eastAsia="宋体" w:cs="宋体"/>
          <w:color w:val="000000" w:themeColor="text1"/>
          <w:highlight w:val="none"/>
          <w14:textFill>
            <w14:solidFill>
              <w14:schemeClr w14:val="tx1"/>
            </w14:solidFill>
          </w14:textFill>
        </w:rPr>
        <w:t>提供</w:t>
      </w:r>
      <w:r>
        <w:rPr>
          <w:rFonts w:hint="eastAsia" w:ascii="宋体" w:hAnsi="宋体" w:eastAsia="宋体" w:cs="宋体"/>
          <w:color w:val="000000" w:themeColor="text1"/>
          <w:highlight w:val="none"/>
          <w:lang w:val="en-US" w:eastAsia="zh-CN"/>
          <w14:textFill>
            <w14:solidFill>
              <w14:schemeClr w14:val="tx1"/>
            </w14:solidFill>
          </w14:textFill>
        </w:rPr>
        <w:t>招标文件</w:t>
      </w:r>
      <w:r>
        <w:rPr>
          <w:rFonts w:hint="eastAsia" w:ascii="宋体" w:hAnsi="宋体" w:eastAsia="宋体" w:cs="宋体"/>
          <w:color w:val="000000" w:themeColor="text1"/>
          <w:highlight w:val="none"/>
          <w14:textFill>
            <w14:solidFill>
              <w14:schemeClr w14:val="tx1"/>
            </w14:solidFill>
          </w14:textFill>
        </w:rPr>
        <w:t>期限届满后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获取招标文件的潜在投标人不足3家的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可以</w:t>
      </w:r>
      <w:r>
        <w:rPr>
          <w:rFonts w:hint="eastAsia" w:ascii="宋体" w:hAnsi="宋体" w:eastAsia="宋体" w:cs="宋体"/>
          <w:color w:val="000000" w:themeColor="text1"/>
          <w:highlight w:val="none"/>
          <w14:textFill>
            <w14:solidFill>
              <w14:schemeClr w14:val="tx1"/>
            </w14:solidFill>
          </w14:textFill>
        </w:rPr>
        <w:t>顺延提供期限</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并予公告。</w:t>
      </w:r>
    </w:p>
    <w:p>
      <w:pPr>
        <w:pageBreakBefore w:val="0"/>
        <w:kinsoku/>
        <w:wordWrap/>
        <w:overflowPunct/>
        <w:topLinePunct w:val="0"/>
        <w:autoSpaceDN/>
        <w:bidi w:val="0"/>
        <w:snapToGrid/>
        <w:spacing w:line="360" w:lineRule="auto"/>
        <w:ind w:left="0" w:leftChars="0" w:right="0" w:righ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 xml:space="preserve"> 投标人认为需要对招标文件进行澄清或者修改的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可以以书面形式向采购人或者采购代理机构提出申请</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但采购人或者采购代理机构可以决定是否采纳投标人的申请事项。</w:t>
      </w:r>
    </w:p>
    <w:p>
      <w:pPr>
        <w:pStyle w:val="5"/>
        <w:pageBreakBefore w:val="0"/>
        <w:kinsoku/>
        <w:wordWrap/>
        <w:overflowPunct/>
        <w:topLinePunct w:val="0"/>
        <w:autoSpaceDN/>
        <w:bidi w:val="0"/>
        <w:snapToGrid/>
        <w:spacing w:before="0" w:after="0" w:line="360" w:lineRule="auto"/>
        <w:ind w:left="0" w:leftChars="0" w:right="0" w:rightChars="0" w:firstLine="482"/>
        <w:rPr>
          <w:rFonts w:hint="eastAsia" w:ascii="宋体" w:hAnsi="宋体" w:eastAsia="宋体" w:cs="宋体"/>
          <w:color w:val="000000" w:themeColor="text1"/>
          <w:sz w:val="24"/>
          <w:highlight w:val="none"/>
          <w14:textFill>
            <w14:solidFill>
              <w14:schemeClr w14:val="tx1"/>
            </w14:solidFill>
          </w14:textFill>
        </w:rPr>
      </w:pPr>
      <w:bookmarkStart w:id="55" w:name="_Toc23305"/>
      <w:bookmarkStart w:id="56" w:name="_Toc28730"/>
      <w:bookmarkStart w:id="57" w:name="_Toc208848971"/>
      <w:bookmarkStart w:id="58" w:name="_Toc217446041"/>
      <w:r>
        <w:rPr>
          <w:rFonts w:hint="eastAsia" w:ascii="宋体" w:hAnsi="宋体" w:eastAsia="宋体" w:cs="宋体"/>
          <w:color w:val="000000" w:themeColor="text1"/>
          <w:sz w:val="24"/>
          <w:highlight w:val="none"/>
          <w14:textFill>
            <w14:solidFill>
              <w14:schemeClr w14:val="tx1"/>
            </w14:solidFill>
          </w14:textFill>
        </w:rPr>
        <w:t>8. 答疑会和现场考察</w:t>
      </w:r>
      <w:bookmarkEnd w:id="55"/>
      <w:bookmarkEnd w:id="56"/>
      <w:bookmarkEnd w:id="57"/>
      <w:bookmarkEnd w:id="58"/>
    </w:p>
    <w:p>
      <w:pPr>
        <w:pageBreakBefore w:val="0"/>
        <w:tabs>
          <w:tab w:val="left" w:pos="7665"/>
        </w:tabs>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本项目不召开答疑会、不组织现场考察。</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bCs w:val="0"/>
          <w:color w:val="000000" w:themeColor="text1"/>
          <w:highlight w:val="none"/>
          <w14:textFill>
            <w14:solidFill>
              <w14:schemeClr w14:val="tx1"/>
            </w14:solidFill>
          </w14:textFill>
        </w:rPr>
      </w:pPr>
      <w:bookmarkStart w:id="59" w:name="_Toc183582214"/>
      <w:bookmarkStart w:id="60" w:name="_Toc77400780"/>
      <w:bookmarkStart w:id="61" w:name="_Toc89075876"/>
      <w:bookmarkStart w:id="62" w:name="_Toc30103"/>
      <w:bookmarkStart w:id="63" w:name="_Toc217446042"/>
      <w:bookmarkStart w:id="64" w:name="_Toc27381"/>
      <w:bookmarkStart w:id="65" w:name="_Toc183682351"/>
      <w:r>
        <w:rPr>
          <w:rFonts w:hint="eastAsia" w:ascii="宋体" w:hAnsi="宋体" w:eastAsia="宋体" w:cs="宋体"/>
          <w:bCs w:val="0"/>
          <w:color w:val="000000" w:themeColor="text1"/>
          <w:highlight w:val="none"/>
          <w14:textFill>
            <w14:solidFill>
              <w14:schemeClr w14:val="tx1"/>
            </w14:solidFill>
          </w14:textFill>
        </w:rPr>
        <w:t>四、投标文件</w:t>
      </w:r>
      <w:bookmarkEnd w:id="59"/>
      <w:bookmarkEnd w:id="60"/>
      <w:bookmarkEnd w:id="61"/>
      <w:bookmarkEnd w:id="62"/>
      <w:bookmarkEnd w:id="63"/>
      <w:bookmarkEnd w:id="64"/>
      <w:bookmarkEnd w:id="65"/>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000000" w:themeColor="text1"/>
          <w:sz w:val="24"/>
          <w:highlight w:val="none"/>
          <w14:textFill>
            <w14:solidFill>
              <w14:schemeClr w14:val="tx1"/>
            </w14:solidFill>
          </w14:textFill>
        </w:rPr>
      </w:pPr>
      <w:bookmarkStart w:id="66" w:name="_Toc183682352"/>
      <w:bookmarkStart w:id="67" w:name="_Toc183582215"/>
      <w:bookmarkStart w:id="68" w:name="_Toc17337"/>
      <w:bookmarkStart w:id="69" w:name="_Toc7471"/>
      <w:bookmarkStart w:id="70" w:name="_Toc217446043"/>
      <w:r>
        <w:rPr>
          <w:rFonts w:hint="eastAsia" w:ascii="宋体" w:hAnsi="宋体" w:eastAsia="宋体" w:cs="宋体"/>
          <w:bCs w:val="0"/>
          <w:color w:val="000000" w:themeColor="text1"/>
          <w:sz w:val="24"/>
          <w:highlight w:val="none"/>
          <w14:textFill>
            <w14:solidFill>
              <w14:schemeClr w14:val="tx1"/>
            </w14:solidFill>
          </w14:textFill>
        </w:rPr>
        <w:t>9. 投标文件的语言</w:t>
      </w:r>
      <w:bookmarkEnd w:id="66"/>
      <w:bookmarkEnd w:id="67"/>
      <w:bookmarkEnd w:id="68"/>
      <w:bookmarkEnd w:id="69"/>
      <w:bookmarkEnd w:id="70"/>
    </w:p>
    <w:p>
      <w:pPr>
        <w:pageBreakBefore w:val="0"/>
        <w:widowControl w:val="0"/>
        <w:tabs>
          <w:tab w:val="left" w:pos="1134"/>
        </w:tabs>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highlight w:val="none"/>
          <w:lang w:eastAsia="zh-CN"/>
          <w14:textFill>
            <w14:solidFill>
              <w14:schemeClr w14:val="tx1"/>
            </w14:solidFill>
          </w14:textFill>
        </w:rPr>
      </w:pPr>
      <w:bookmarkStart w:id="71" w:name="_Toc183582216"/>
      <w:bookmarkStart w:id="72" w:name="_Toc217446044"/>
      <w:bookmarkStart w:id="73" w:name="_Toc183682353"/>
      <w:r>
        <w:rPr>
          <w:rFonts w:hint="eastAsia" w:ascii="宋体" w:hAnsi="宋体" w:eastAsia="宋体" w:cs="宋体"/>
          <w:color w:val="000000" w:themeColor="text1"/>
          <w:highlight w:val="none"/>
          <w14:textFill>
            <w14:solidFill>
              <w14:schemeClr w14:val="tx1"/>
            </w14:solidFill>
          </w14:textFill>
        </w:rPr>
        <w:t>9.1 投标人提交的投标文件以及投标人与采购人或者采购代理机构就有关投标的所有来往书面文件均须使用简体中文。投标文件中如附有外文资料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必须逐一对应翻译成简体中文并加盖投标人公章后附在相关外文资料后面</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否则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所提供的外文资料将可能被视为无效材料（说明：供应商的法定代表人为外籍人士的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法定代表人的护照除外）</w:t>
      </w:r>
      <w:r>
        <w:rPr>
          <w:rFonts w:hint="eastAsia" w:ascii="宋体" w:hAnsi="宋体" w:eastAsia="宋体" w:cs="宋体"/>
          <w:color w:val="000000" w:themeColor="text1"/>
          <w:highlight w:val="none"/>
          <w:lang w:eastAsia="zh-CN"/>
          <w14:textFill>
            <w14:solidFill>
              <w14:schemeClr w14:val="tx1"/>
            </w14:solidFill>
          </w14:textFill>
        </w:rPr>
        <w:t>。</w:t>
      </w:r>
    </w:p>
    <w:p>
      <w:pPr>
        <w:pageBreakBefore w:val="0"/>
        <w:widowControl w:val="0"/>
        <w:tabs>
          <w:tab w:val="left" w:pos="1134"/>
        </w:tabs>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9.2 翻译的中文资料与外文资料如果出现差异和矛盾时</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以中文为准。涉嫌虚假响应的按照相关法律法规处理。</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bookmarkStart w:id="74" w:name="_Toc8843"/>
      <w:bookmarkStart w:id="75" w:name="_Toc8966"/>
      <w:r>
        <w:rPr>
          <w:rFonts w:hint="eastAsia" w:ascii="宋体" w:hAnsi="宋体" w:eastAsia="宋体" w:cs="宋体"/>
          <w:color w:val="000000" w:themeColor="text1"/>
          <w:sz w:val="24"/>
          <w:highlight w:val="none"/>
          <w14:textFill>
            <w14:solidFill>
              <w14:schemeClr w14:val="tx1"/>
            </w14:solidFill>
          </w14:textFill>
        </w:rPr>
        <w:t>10. 计量单位</w:t>
      </w:r>
      <w:bookmarkEnd w:id="71"/>
      <w:bookmarkEnd w:id="72"/>
      <w:bookmarkEnd w:id="73"/>
      <w:bookmarkEnd w:id="74"/>
      <w:bookmarkEnd w:id="75"/>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除招标文件中另有规定外</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本次采购项目所有合同项下的投标均采用国家法定的计量单位。</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76" w:name="_Toc29822"/>
      <w:bookmarkStart w:id="77" w:name="_Toc32446"/>
      <w:bookmarkStart w:id="78" w:name="_Toc217446045"/>
      <w:r>
        <w:rPr>
          <w:rFonts w:hint="eastAsia" w:ascii="宋体" w:hAnsi="宋体" w:eastAsia="宋体" w:cs="宋体"/>
          <w:color w:val="000000" w:themeColor="text1"/>
          <w:sz w:val="24"/>
          <w:szCs w:val="24"/>
          <w:highlight w:val="none"/>
          <w14:textFill>
            <w14:solidFill>
              <w14:schemeClr w14:val="tx1"/>
            </w14:solidFill>
          </w14:textFill>
        </w:rPr>
        <w:t>11. 投标货币</w:t>
      </w:r>
      <w:bookmarkEnd w:id="76"/>
      <w:bookmarkEnd w:id="77"/>
      <w:bookmarkEnd w:id="78"/>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本次招标项目的投标均以人民币报价。</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79" w:name="_Toc217446046"/>
      <w:bookmarkStart w:id="80" w:name="_Toc5439"/>
      <w:bookmarkStart w:id="81" w:name="_Toc7016"/>
      <w:r>
        <w:rPr>
          <w:rFonts w:hint="eastAsia" w:ascii="宋体" w:hAnsi="宋体" w:eastAsia="宋体" w:cs="宋体"/>
          <w:color w:val="000000" w:themeColor="text1"/>
          <w:sz w:val="24"/>
          <w:szCs w:val="24"/>
          <w:highlight w:val="none"/>
          <w14:textFill>
            <w14:solidFill>
              <w14:schemeClr w14:val="tx1"/>
            </w14:solidFill>
          </w14:textFill>
        </w:rPr>
        <w:t>12. 联合体投标</w:t>
      </w:r>
      <w:bookmarkEnd w:id="79"/>
      <w:bookmarkEnd w:id="80"/>
      <w:bookmarkEnd w:id="81"/>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bookmarkStart w:id="82" w:name="_Toc31008"/>
      <w:bookmarkStart w:id="83" w:name="_Toc308164797"/>
      <w:bookmarkStart w:id="84" w:name="_Toc8165"/>
      <w:bookmarkStart w:id="85" w:name="_Toc217446047"/>
      <w:r>
        <w:rPr>
          <w:rFonts w:hint="eastAsia" w:ascii="宋体" w:hAnsi="宋体" w:eastAsia="宋体" w:cs="宋体"/>
          <w:color w:val="000000" w:themeColor="text1"/>
          <w:highlight w:val="none"/>
          <w:lang w:val="en-US" w:eastAsia="zh-CN"/>
          <w14:textFill>
            <w14:solidFill>
              <w14:schemeClr w14:val="tx1"/>
            </w14:solidFill>
          </w14:textFill>
        </w:rPr>
        <w:t>本项目不允许联合体参加</w:t>
      </w:r>
      <w:r>
        <w:rPr>
          <w:rFonts w:hint="eastAsia" w:ascii="宋体" w:hAnsi="宋体" w:eastAsia="宋体" w:cs="宋体"/>
          <w:color w:val="000000" w:themeColor="text1"/>
          <w:highlight w:val="none"/>
          <w14:textFill>
            <w14:solidFill>
              <w14:schemeClr w14:val="tx1"/>
            </w14:solidFill>
          </w14:textFill>
        </w:rPr>
        <w:t>。</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 知识产权</w:t>
      </w:r>
      <w:bookmarkEnd w:id="82"/>
      <w:bookmarkEnd w:id="83"/>
      <w:bookmarkEnd w:id="84"/>
      <w:bookmarkEnd w:id="85"/>
    </w:p>
    <w:p>
      <w:pPr>
        <w:pStyle w:val="13"/>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13.1 投标人应保证在本项目使用的任何产品和服务（包括部分使用）时</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不会产生因第三方提出侵犯其专利权、商标权</w:t>
      </w:r>
      <w:r>
        <w:rPr>
          <w:rFonts w:hint="eastAsia" w:ascii="宋体" w:hAnsi="宋体" w:eastAsia="宋体" w:cs="宋体"/>
          <w:color w:val="000000" w:themeColor="text1"/>
          <w:sz w:val="24"/>
          <w:szCs w:val="24"/>
          <w:highlight w:val="none"/>
          <w:lang w:eastAsia="zh-CN"/>
          <w14:textFill>
            <w14:solidFill>
              <w14:schemeClr w14:val="tx1"/>
            </w14:solidFill>
          </w14:textFill>
        </w:rPr>
        <w:t>或其他</w:t>
      </w:r>
      <w:r>
        <w:rPr>
          <w:rFonts w:hint="eastAsia" w:ascii="宋体" w:hAnsi="宋体" w:eastAsia="宋体" w:cs="宋体"/>
          <w:color w:val="000000" w:themeColor="text1"/>
          <w:sz w:val="24"/>
          <w:szCs w:val="24"/>
          <w:highlight w:val="none"/>
          <w14:textFill>
            <w14:solidFill>
              <w14:schemeClr w14:val="tx1"/>
            </w14:solidFill>
          </w14:textFill>
        </w:rPr>
        <w:t>知识产权而引起的法律和经济纠纷</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如因专利权、商标权</w:t>
      </w:r>
      <w:r>
        <w:rPr>
          <w:rFonts w:hint="eastAsia" w:ascii="宋体" w:hAnsi="宋体" w:eastAsia="宋体" w:cs="宋体"/>
          <w:color w:val="000000" w:themeColor="text1"/>
          <w:sz w:val="24"/>
          <w:szCs w:val="24"/>
          <w:highlight w:val="none"/>
          <w:lang w:eastAsia="zh-CN"/>
          <w14:textFill>
            <w14:solidFill>
              <w14:schemeClr w14:val="tx1"/>
            </w14:solidFill>
          </w14:textFill>
        </w:rPr>
        <w:t>或其他</w:t>
      </w:r>
      <w:r>
        <w:rPr>
          <w:rFonts w:hint="eastAsia" w:ascii="宋体" w:hAnsi="宋体" w:eastAsia="宋体" w:cs="宋体"/>
          <w:color w:val="000000" w:themeColor="text1"/>
          <w:sz w:val="24"/>
          <w:szCs w:val="24"/>
          <w:highlight w:val="none"/>
          <w14:textFill>
            <w14:solidFill>
              <w14:schemeClr w14:val="tx1"/>
            </w14:solidFill>
          </w14:textFill>
        </w:rPr>
        <w:t>知识产权而引起法律和经济纠纷</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由投标人承担所有相关责任。</w:t>
      </w:r>
    </w:p>
    <w:p>
      <w:pPr>
        <w:pStyle w:val="13"/>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13.2 采购人享有本项目实施过程中产生的知识成果及知识产权。</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13.3 投标人如欲在项目实施过程中采用自有知识成果</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需在投标文件中声明。使用该知识成果后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投标人需提供开发接口和开发手册等技术文档</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并承诺提供无限期技术支持</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采购人享有永久使用权（含采购人委托第三方在该项目后续开发的使用权）。</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13.4 如采用投标人所不拥有的知识产权</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则在投标报价中必须包括合法获取该知识产权的相关费用。 </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bookmarkStart w:id="86" w:name="_Toc183682354"/>
      <w:bookmarkStart w:id="87" w:name="_Toc308164798"/>
      <w:bookmarkStart w:id="88" w:name="_Toc1326"/>
      <w:bookmarkStart w:id="89" w:name="_Toc217446048"/>
      <w:bookmarkStart w:id="90" w:name="_Toc7493"/>
      <w:bookmarkStart w:id="91" w:name="_Toc183582217"/>
      <w:r>
        <w:rPr>
          <w:rFonts w:hint="eastAsia" w:ascii="宋体" w:hAnsi="宋体" w:eastAsia="宋体" w:cs="宋体"/>
          <w:color w:val="000000" w:themeColor="text1"/>
          <w:sz w:val="24"/>
          <w:highlight w:val="none"/>
          <w14:textFill>
            <w14:solidFill>
              <w14:schemeClr w14:val="tx1"/>
            </w14:solidFill>
          </w14:textFill>
        </w:rPr>
        <w:t>14. 投标文件的组成</w:t>
      </w:r>
      <w:bookmarkEnd w:id="86"/>
      <w:bookmarkEnd w:id="87"/>
      <w:bookmarkEnd w:id="88"/>
      <w:bookmarkEnd w:id="89"/>
      <w:bookmarkEnd w:id="90"/>
      <w:bookmarkEnd w:id="91"/>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投标人应按照招标文件的规定和要求编制投标文件。投标人编写的投标文件应包括下列部分：</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 xml:space="preserve">第一部分：资格性投标文件（用于资格性审查） </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（一）法定代表人身份证明书</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（二）承诺函</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（三）投标人应当提供的资格、资质性及其他类似效力要求的相关证明材料（按招标文件第五章要求及资格审查办法提供）；</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第二部分：其他投标文件（用于资格审查以外的评审）</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一、报价</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（一）开标一览表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（二）分项报价明细表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二、商务资信</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（三）投标函</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（四）商务偏离表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（五）投标人基本情况表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六</w:t>
      </w:r>
      <w:r>
        <w:rPr>
          <w:rFonts w:hint="eastAsia" w:ascii="宋体" w:hAnsi="宋体" w:eastAsia="宋体" w:cs="宋体"/>
          <w:color w:val="000000" w:themeColor="text1"/>
          <w:highlight w:val="none"/>
          <w14:textFill>
            <w14:solidFill>
              <w14:schemeClr w14:val="tx1"/>
            </w14:solidFill>
          </w14:textFill>
        </w:rPr>
        <w:t>）业绩一览表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（七）中小企业声明函</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（八）残疾人福利性单位声明函</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三、技术</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（九）投标产品技术参数的详细描述</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（十）投标产品技术偏离表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十一</w:t>
      </w:r>
      <w:r>
        <w:rPr>
          <w:rFonts w:hint="eastAsia" w:ascii="宋体" w:hAnsi="宋体" w:eastAsia="宋体" w:cs="宋体"/>
          <w:color w:val="000000" w:themeColor="text1"/>
          <w:highlight w:val="none"/>
          <w14:textFill>
            <w14:solidFill>
              <w14:schemeClr w14:val="tx1"/>
            </w14:solidFill>
          </w14:textFill>
        </w:rPr>
        <w:t>）投标人本项目管理、技术、售后服务人员情况表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（十</w:t>
      </w:r>
      <w:r>
        <w:rPr>
          <w:rFonts w:hint="eastAsia" w:ascii="宋体" w:hAnsi="宋体" w:eastAsia="宋体" w:cs="宋体"/>
          <w:color w:val="000000" w:themeColor="text1"/>
          <w:highlight w:val="none"/>
          <w:lang w:val="en-US" w:eastAsia="zh-CN"/>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）售后</w:t>
      </w:r>
      <w:r>
        <w:rPr>
          <w:rFonts w:hint="eastAsia" w:ascii="宋体" w:hAnsi="宋体" w:eastAsia="宋体" w:cs="宋体"/>
          <w:color w:val="000000" w:themeColor="text1"/>
          <w:highlight w:val="none"/>
          <w:lang w:val="en-US" w:eastAsia="zh-CN"/>
          <w14:textFill>
            <w14:solidFill>
              <w14:schemeClr w14:val="tx1"/>
            </w14:solidFill>
          </w14:textFill>
        </w:rPr>
        <w:t>及培训</w:t>
      </w:r>
      <w:r>
        <w:rPr>
          <w:rFonts w:hint="eastAsia" w:ascii="宋体" w:hAnsi="宋体" w:eastAsia="宋体" w:cs="宋体"/>
          <w:color w:val="000000" w:themeColor="text1"/>
          <w:highlight w:val="none"/>
          <w14:textFill>
            <w14:solidFill>
              <w14:schemeClr w14:val="tx1"/>
            </w14:solidFill>
          </w14:textFill>
        </w:rPr>
        <w:t>服务</w:t>
      </w:r>
      <w:r>
        <w:rPr>
          <w:rFonts w:hint="eastAsia" w:ascii="宋体" w:hAnsi="宋体" w:eastAsia="宋体" w:cs="宋体"/>
          <w:color w:val="000000" w:themeColor="text1"/>
          <w:highlight w:val="none"/>
          <w:lang w:val="en-US" w:eastAsia="zh-CN"/>
          <w14:textFill>
            <w14:solidFill>
              <w14:schemeClr w14:val="tx1"/>
            </w14:solidFill>
          </w14:textFill>
        </w:rPr>
        <w:t>方案</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（十三）投标人认为需要提供的其他材料</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说明：以上仅第（一）至第（五）项和第（十）项为本项目投标文件必备格式和内容，属于符合性审查内容。投标人按自身理解对格式文件进行重新排序的或未提供以上剩余项格式内容的，可能影响得分，但并不影响投标文件的有效性。</w:t>
      </w:r>
    </w:p>
    <w:p>
      <w:pPr>
        <w:pStyle w:val="5"/>
        <w:pageBreakBefore w:val="0"/>
        <w:widowControl w:val="0"/>
        <w:tabs>
          <w:tab w:val="left" w:pos="3480"/>
        </w:tabs>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bookmarkStart w:id="92" w:name="_Toc6894"/>
      <w:bookmarkStart w:id="93" w:name="_Toc13958"/>
      <w:r>
        <w:rPr>
          <w:rFonts w:hint="eastAsia" w:ascii="宋体" w:hAnsi="宋体" w:eastAsia="宋体" w:cs="宋体"/>
          <w:color w:val="000000" w:themeColor="text1"/>
          <w:sz w:val="24"/>
          <w:highlight w:val="none"/>
          <w14:textFill>
            <w14:solidFill>
              <w14:schemeClr w14:val="tx1"/>
            </w14:solidFill>
          </w14:textFill>
        </w:rPr>
        <w:t>15. 投标报价及优惠承诺</w:t>
      </w:r>
      <w:bookmarkEnd w:id="92"/>
      <w:bookmarkEnd w:id="93"/>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15.1投标人的报价是投标人响应招标项目要求的全部工作内容的价格体现</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包括投标人完成本项目所需的一切费用。</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15.2投标人每种货物只允许有一个报价</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并且在合同履行过程中是固定不变的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任何有选择或可调整的报价将不予接受</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并按无效投标处理。</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15.3投标人承诺给予招标采购单位的各种优惠条件（优惠条件事项不能包括采购项目本身所包含的采购事项。投标人不能以“赠送、赠予”等任何名义提供货物和服务以规避招标文件的约束。否则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投标人提供的投标文件将作为无效投标处理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即使中标也将取消中标资格）。</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15.4</w:t>
      </w:r>
      <w:r>
        <w:rPr>
          <w:rFonts w:hint="eastAsia" w:ascii="宋体" w:hAnsi="宋体" w:eastAsia="宋体" w:cs="宋体"/>
          <w:color w:val="000000" w:themeColor="text1"/>
          <w:highlight w:val="none"/>
          <w14:textFill>
            <w14:solidFill>
              <w14:schemeClr w14:val="tx1"/>
            </w14:solidFill>
          </w14:textFill>
        </w:rPr>
        <w:t>在本次投标之前一周年内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本次投标中对同一品牌同一型号相同配置的产品报价与其在中国境内其他地方的最低报价</w:t>
      </w:r>
      <w:r>
        <w:rPr>
          <w:rFonts w:hint="eastAsia" w:ascii="宋体" w:hAnsi="宋体" w:eastAsia="宋体" w:cs="宋体"/>
          <w:color w:val="000000" w:themeColor="text1"/>
          <w:highlight w:val="none"/>
          <w:lang w:val="en-US" w:eastAsia="zh-CN"/>
          <w14:textFill>
            <w14:solidFill>
              <w14:schemeClr w14:val="tx1"/>
            </w14:solidFill>
          </w14:textFill>
        </w:rPr>
        <w:t>相比</w:t>
      </w:r>
      <w:r>
        <w:rPr>
          <w:rFonts w:hint="eastAsia" w:ascii="宋体" w:hAnsi="宋体" w:eastAsia="宋体" w:cs="宋体"/>
          <w:color w:val="000000" w:themeColor="text1"/>
          <w:highlight w:val="none"/>
          <w14:textFill>
            <w14:solidFill>
              <w14:schemeClr w14:val="tx1"/>
            </w14:solidFill>
          </w14:textFill>
        </w:rPr>
        <w:t>不高于</w:t>
      </w:r>
      <w:r>
        <w:rPr>
          <w:rFonts w:hint="eastAsia" w:ascii="宋体" w:hAnsi="宋体" w:eastAsia="宋体" w:cs="宋体"/>
          <w:color w:val="000000" w:themeColor="text1"/>
          <w:highlight w:val="none"/>
          <w:lang w:val="en-US" w:eastAsia="zh-CN"/>
          <w14:textFill>
            <w14:solidFill>
              <w14:schemeClr w14:val="tx1"/>
            </w14:solidFill>
          </w14:textFill>
        </w:rPr>
        <w:t>20</w:t>
      </w:r>
      <w:r>
        <w:rPr>
          <w:rFonts w:hint="eastAsia" w:ascii="宋体" w:hAnsi="宋体" w:eastAsia="宋体" w:cs="宋体"/>
          <w:color w:val="000000" w:themeColor="text1"/>
          <w:highlight w:val="none"/>
          <w14:textFill>
            <w14:solidFill>
              <w14:schemeClr w14:val="tx1"/>
            </w14:solidFill>
          </w14:textFill>
        </w:rPr>
        <w:t>%。</w:t>
      </w:r>
    </w:p>
    <w:p>
      <w:pPr>
        <w:pStyle w:val="5"/>
        <w:pageBreakBefore w:val="0"/>
        <w:widowControl w:val="0"/>
        <w:tabs>
          <w:tab w:val="left" w:pos="3480"/>
        </w:tabs>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bookmarkStart w:id="94" w:name="_Toc183582218"/>
      <w:bookmarkStart w:id="95" w:name="_Toc5976"/>
      <w:bookmarkStart w:id="96" w:name="_Toc308164799"/>
      <w:bookmarkStart w:id="97" w:name="_Toc217446049"/>
      <w:bookmarkStart w:id="98" w:name="_Toc183682355"/>
      <w:bookmarkStart w:id="99" w:name="_Toc4762"/>
      <w:r>
        <w:rPr>
          <w:rFonts w:hint="eastAsia" w:ascii="宋体" w:hAnsi="宋体" w:eastAsia="宋体" w:cs="宋体"/>
          <w:color w:val="000000" w:themeColor="text1"/>
          <w:sz w:val="24"/>
          <w:highlight w:val="none"/>
          <w14:textFill>
            <w14:solidFill>
              <w14:schemeClr w14:val="tx1"/>
            </w14:solidFill>
          </w14:textFill>
        </w:rPr>
        <w:t>16. 投标文件格式</w:t>
      </w:r>
      <w:bookmarkEnd w:id="94"/>
      <w:bookmarkEnd w:id="95"/>
      <w:bookmarkEnd w:id="96"/>
      <w:bookmarkEnd w:id="97"/>
      <w:bookmarkEnd w:id="98"/>
      <w:bookmarkEnd w:id="99"/>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16.1 投标人应执行招标文件第三章的规定要求。</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16.2 对于没有格式要求的投标文件由投标人自行编写。</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highlight w:val="none"/>
          <w:lang w:eastAsia="zh-CN"/>
          <w14:textFill>
            <w14:solidFill>
              <w14:schemeClr w14:val="tx1"/>
            </w14:solidFill>
          </w14:textFill>
        </w:rPr>
      </w:pPr>
      <w:bookmarkStart w:id="100" w:name="_Toc183682360"/>
      <w:bookmarkStart w:id="101" w:name="_Toc217446050"/>
      <w:bookmarkStart w:id="102" w:name="_Toc13047"/>
      <w:bookmarkStart w:id="103" w:name="_Toc183582223"/>
      <w:bookmarkStart w:id="104" w:name="_Toc308164800"/>
      <w:bookmarkStart w:id="105" w:name="_Toc26332"/>
      <w:r>
        <w:rPr>
          <w:rFonts w:hint="eastAsia" w:ascii="宋体" w:hAnsi="宋体" w:eastAsia="宋体" w:cs="宋体"/>
          <w:bCs w:val="0"/>
          <w:color w:val="000000" w:themeColor="text1"/>
          <w:sz w:val="24"/>
          <w:highlight w:val="none"/>
          <w14:textFill>
            <w14:solidFill>
              <w14:schemeClr w14:val="tx1"/>
            </w14:solidFill>
          </w14:textFill>
        </w:rPr>
        <w:t>17. 投标保证金</w:t>
      </w:r>
      <w:bookmarkEnd w:id="100"/>
      <w:bookmarkEnd w:id="101"/>
      <w:bookmarkEnd w:id="102"/>
      <w:bookmarkEnd w:id="103"/>
      <w:bookmarkEnd w:id="104"/>
      <w:bookmarkEnd w:id="105"/>
      <w:r>
        <w:rPr>
          <w:rFonts w:hint="eastAsia" w:ascii="宋体" w:hAnsi="宋体" w:eastAsia="宋体" w:cs="宋体"/>
          <w:bCs w:val="0"/>
          <w:color w:val="000000" w:themeColor="text1"/>
          <w:sz w:val="24"/>
          <w:highlight w:val="none"/>
          <w:lang w:eastAsia="zh-CN"/>
          <w14:textFill>
            <w14:solidFill>
              <w14:schemeClr w14:val="tx1"/>
            </w14:solidFill>
          </w14:textFill>
        </w:rPr>
        <w:t>（</w:t>
      </w:r>
      <w:r>
        <w:rPr>
          <w:rFonts w:hint="eastAsia" w:ascii="宋体" w:hAnsi="宋体" w:eastAsia="宋体" w:cs="宋体"/>
          <w:bCs w:val="0"/>
          <w:color w:val="000000" w:themeColor="text1"/>
          <w:sz w:val="24"/>
          <w:highlight w:val="none"/>
          <w:lang w:val="en-US" w:eastAsia="zh-CN"/>
          <w14:textFill>
            <w14:solidFill>
              <w14:schemeClr w14:val="tx1"/>
            </w14:solidFill>
          </w14:textFill>
        </w:rPr>
        <w:t>本项目不涉及</w:t>
      </w:r>
      <w:r>
        <w:rPr>
          <w:rFonts w:hint="eastAsia" w:ascii="宋体" w:hAnsi="宋体" w:eastAsia="宋体" w:cs="宋体"/>
          <w:bCs w:val="0"/>
          <w:color w:val="000000" w:themeColor="text1"/>
          <w:sz w:val="24"/>
          <w:highlight w:val="none"/>
          <w:lang w:eastAsia="zh-CN"/>
          <w14:textFill>
            <w14:solidFill>
              <w14:schemeClr w14:val="tx1"/>
            </w14:solidFill>
          </w14:textFill>
        </w:rPr>
        <w:t>）</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000000" w:themeColor="text1"/>
          <w:sz w:val="24"/>
          <w:highlight w:val="none"/>
          <w14:textFill>
            <w14:solidFill>
              <w14:schemeClr w14:val="tx1"/>
            </w14:solidFill>
          </w14:textFill>
        </w:rPr>
      </w:pPr>
      <w:bookmarkStart w:id="106" w:name="_Toc31545"/>
      <w:bookmarkStart w:id="107" w:name="_Toc308164801"/>
      <w:bookmarkStart w:id="108" w:name="_Toc217446051"/>
      <w:bookmarkStart w:id="109" w:name="_Toc183682361"/>
      <w:bookmarkStart w:id="110" w:name="_Toc25920"/>
      <w:bookmarkStart w:id="111" w:name="_Toc183582224"/>
      <w:r>
        <w:rPr>
          <w:rFonts w:hint="eastAsia" w:ascii="宋体" w:hAnsi="宋体" w:eastAsia="宋体" w:cs="宋体"/>
          <w:bCs w:val="0"/>
          <w:color w:val="000000" w:themeColor="text1"/>
          <w:sz w:val="24"/>
          <w:highlight w:val="none"/>
          <w14:textFill>
            <w14:solidFill>
              <w14:schemeClr w14:val="tx1"/>
            </w14:solidFill>
          </w14:textFill>
        </w:rPr>
        <w:t>18. 投标有效期</w:t>
      </w:r>
      <w:bookmarkEnd w:id="106"/>
      <w:bookmarkEnd w:id="107"/>
      <w:bookmarkEnd w:id="108"/>
      <w:bookmarkEnd w:id="109"/>
      <w:bookmarkEnd w:id="110"/>
      <w:bookmarkEnd w:id="111"/>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18.1 本项目投标有效期为投标截止时间届满后60天。投标人投标文件中必须载明投标有效期</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投标文件中载明的投标有效期可以长于招标文件规定的期限</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但不得短于招标文件规定的期限。否则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其投标文件将作为无效投标处理。</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18.2 因不可抗力事件</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采购人可于投标有效期届满之前与投标人协商延长投标有效期。投标人拒绝延长投标有效期的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不得再参与该项目后续采购活动</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但由此给投标人造成的损失</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采购人可以自主决定是否可以给予适当补偿。投标人同意延长投标有效期的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不能修改投标文件。 </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18.3 因采购人采购需求作出必要调整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采购人可于投标有效期届满之前与投标人协商延长投标有效期。投标人拒绝延长投标有效期的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不得再参与该项目后续采购活动</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但由此给投标人造成的损失</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采购人应当予以赔偿或者合理补偿。投标人同意延长投标有效期的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不能修改投标文件。</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000000" w:themeColor="text1"/>
          <w:sz w:val="24"/>
          <w:highlight w:val="none"/>
          <w:lang w:val="en-US" w:eastAsia="zh-CN"/>
          <w14:textFill>
            <w14:solidFill>
              <w14:schemeClr w14:val="tx1"/>
            </w14:solidFill>
          </w14:textFill>
        </w:rPr>
      </w:pPr>
      <w:bookmarkStart w:id="112" w:name="_Toc183682362"/>
      <w:bookmarkStart w:id="113" w:name="_Toc308164802"/>
      <w:bookmarkStart w:id="114" w:name="_Toc183582225"/>
      <w:bookmarkStart w:id="115" w:name="_Toc16565"/>
      <w:bookmarkStart w:id="116" w:name="_Toc471"/>
      <w:bookmarkStart w:id="117" w:name="_Toc217446052"/>
      <w:r>
        <w:rPr>
          <w:rFonts w:hint="eastAsia" w:ascii="宋体" w:hAnsi="宋体" w:eastAsia="宋体" w:cs="宋体"/>
          <w:bCs w:val="0"/>
          <w:color w:val="000000" w:themeColor="text1"/>
          <w:sz w:val="24"/>
          <w:highlight w:val="none"/>
          <w14:textFill>
            <w14:solidFill>
              <w14:schemeClr w14:val="tx1"/>
            </w14:solidFill>
          </w14:textFill>
        </w:rPr>
        <w:t>19. 投标文件的</w:t>
      </w:r>
      <w:bookmarkEnd w:id="112"/>
      <w:bookmarkEnd w:id="113"/>
      <w:bookmarkEnd w:id="114"/>
      <w:bookmarkEnd w:id="115"/>
      <w:bookmarkEnd w:id="116"/>
      <w:bookmarkEnd w:id="117"/>
      <w:r>
        <w:rPr>
          <w:rFonts w:hint="eastAsia" w:ascii="宋体" w:hAnsi="宋体" w:eastAsia="宋体" w:cs="宋体"/>
          <w:bCs w:val="0"/>
          <w:color w:val="000000" w:themeColor="text1"/>
          <w:sz w:val="24"/>
          <w:highlight w:val="none"/>
          <w:lang w:val="en-US" w:eastAsia="zh-CN"/>
          <w14:textFill>
            <w14:solidFill>
              <w14:schemeClr w14:val="tx1"/>
            </w14:solidFill>
          </w14:textFill>
        </w:rPr>
        <w:t>制作和签章、加密</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19.1 投标文件应根据招标文件的要求</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通过“</w:t>
      </w:r>
      <w:r>
        <w:rPr>
          <w:rFonts w:hint="eastAsia" w:ascii="宋体" w:hAnsi="宋体" w:eastAsia="宋体" w:cs="宋体"/>
          <w:color w:val="000000" w:themeColor="text1"/>
          <w:highlight w:val="none"/>
          <w14:textFill>
            <w14:solidFill>
              <w14:schemeClr w14:val="tx1"/>
            </w14:solidFill>
          </w14:textFill>
        </w:rPr>
        <w:t>政府采购云平台</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制作</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加密提交。（说明：1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招标文件中要求提供复印件证明材料的，包含提供原件的影印件或复印件。2</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要求提供复印件的证明材料须清晰可辨。）</w:t>
      </w:r>
    </w:p>
    <w:p>
      <w:pPr>
        <w:pageBreakBefore w:val="0"/>
        <w:widowControl w:val="0"/>
        <w:tabs>
          <w:tab w:val="left" w:pos="108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19.2投标文件分资格性投标文件及其他投标文件两部分。</w:t>
      </w:r>
    </w:p>
    <w:p>
      <w:pPr>
        <w:pageBreakBefore w:val="0"/>
        <w:widowControl w:val="0"/>
        <w:tabs>
          <w:tab w:val="left" w:pos="108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19.3</w:t>
      </w:r>
      <w:r>
        <w:rPr>
          <w:rFonts w:hint="eastAsia" w:ascii="宋体" w:hAnsi="宋体" w:eastAsia="宋体" w:cs="宋体"/>
          <w:color w:val="000000" w:themeColor="text1"/>
          <w:highlight w:val="none"/>
          <w14:textFill>
            <w14:solidFill>
              <w14:schemeClr w14:val="tx1"/>
            </w14:solidFill>
          </w14:textFill>
        </w:rPr>
        <w:t>“投标文件格式”中所有要求加盖</w:t>
      </w:r>
      <w:r>
        <w:rPr>
          <w:rFonts w:hint="eastAsia" w:ascii="宋体" w:hAnsi="宋体" w:eastAsia="宋体" w:cs="宋体"/>
          <w:color w:val="000000" w:themeColor="text1"/>
          <w:highlight w:val="none"/>
          <w:lang w:val="en-US" w:eastAsia="zh-CN"/>
          <w14:textFill>
            <w14:solidFill>
              <w14:schemeClr w14:val="tx1"/>
            </w14:solidFill>
          </w14:textFill>
        </w:rPr>
        <w:t>单位电子印章</w:t>
      </w:r>
      <w:r>
        <w:rPr>
          <w:rFonts w:hint="eastAsia" w:ascii="宋体" w:hAnsi="宋体" w:eastAsia="宋体" w:cs="宋体"/>
          <w:color w:val="000000" w:themeColor="text1"/>
          <w:highlight w:val="none"/>
          <w14:textFill>
            <w14:solidFill>
              <w14:schemeClr w14:val="tx1"/>
            </w14:solidFill>
          </w14:textFill>
        </w:rPr>
        <w:t>的地方都应加盖投标人（法定名称）统一对外的正式公章</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不得使用专用章（如经济合同章、投标专用章等）或下属单位印章代替。</w:t>
      </w:r>
    </w:p>
    <w:p>
      <w:pPr>
        <w:pageBreakBefore w:val="0"/>
        <w:widowControl w:val="0"/>
        <w:tabs>
          <w:tab w:val="left" w:pos="108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19.4</w:t>
      </w:r>
      <w:r>
        <w:rPr>
          <w:rFonts w:hint="eastAsia" w:ascii="宋体" w:hAnsi="宋体" w:eastAsia="宋体" w:cs="宋体"/>
          <w:color w:val="000000" w:themeColor="text1"/>
          <w:highlight w:val="none"/>
          <w14:textFill>
            <w14:solidFill>
              <w14:schemeClr w14:val="tx1"/>
            </w14:solidFill>
          </w14:textFill>
        </w:rPr>
        <w:t>投标人应使用本企业CA数字证书对投标文件进行加密。</w:t>
      </w:r>
    </w:p>
    <w:p>
      <w:pPr>
        <w:pageBreakBefore w:val="0"/>
        <w:widowControl w:val="0"/>
        <w:tabs>
          <w:tab w:val="left" w:pos="108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19.5</w:t>
      </w:r>
      <w:r>
        <w:rPr>
          <w:rFonts w:hint="eastAsia" w:ascii="宋体" w:hAnsi="宋体" w:eastAsia="宋体" w:cs="宋体"/>
          <w:color w:val="000000" w:themeColor="text1"/>
          <w:highlight w:val="none"/>
          <w14:textFill>
            <w14:solidFill>
              <w14:schemeClr w14:val="tx1"/>
            </w14:solidFill>
          </w14:textFill>
        </w:rPr>
        <w:t>招标文件有修改的，投标人须重新下载修改后的招标文件（修改后的招标文件在更正公告中下载），根据修改后的招标文件制作、撤回修改，并</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14:textFill>
            <w14:solidFill>
              <w14:schemeClr w14:val="tx1"/>
            </w14:solidFill>
          </w14:textFill>
        </w:rPr>
        <w:t>交投标文件。</w:t>
      </w:r>
    </w:p>
    <w:p>
      <w:pPr>
        <w:pageBreakBefore w:val="0"/>
        <w:widowControl w:val="0"/>
        <w:tabs>
          <w:tab w:val="left" w:pos="1080"/>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19.6</w:t>
      </w:r>
      <w:r>
        <w:rPr>
          <w:rFonts w:hint="eastAsia" w:ascii="宋体" w:hAnsi="宋体" w:eastAsia="宋体" w:cs="宋体"/>
          <w:color w:val="000000" w:themeColor="text1"/>
          <w:highlight w:val="none"/>
          <w14:textFill>
            <w14:solidFill>
              <w14:schemeClr w14:val="tx1"/>
            </w14:solidFill>
          </w14:textFill>
        </w:rPr>
        <w:t>使用“政府采购云平台”（含政采云电子交易客户端）需要提前申领CA数字证书及电子签章，请自行前往四川CA、CFCA、天威CA</w:t>
      </w:r>
      <w:r>
        <w:rPr>
          <w:rFonts w:hint="eastAsia" w:ascii="宋体" w:hAnsi="宋体" w:eastAsia="宋体" w:cs="宋体"/>
          <w:color w:val="000000" w:themeColor="text1"/>
          <w:highlight w:val="none"/>
          <w:lang w:val="en-US" w:eastAsia="zh-CN"/>
          <w14:textFill>
            <w14:solidFill>
              <w14:schemeClr w14:val="tx1"/>
            </w14:solidFill>
          </w14:textFill>
        </w:rPr>
        <w:t>等</w:t>
      </w:r>
      <w:r>
        <w:rPr>
          <w:rFonts w:hint="eastAsia" w:ascii="宋体" w:hAnsi="宋体" w:eastAsia="宋体" w:cs="宋体"/>
          <w:color w:val="000000" w:themeColor="text1"/>
          <w:highlight w:val="none"/>
          <w14:textFill>
            <w14:solidFill>
              <w14:schemeClr w14:val="tx1"/>
            </w14:solidFill>
          </w14:textFill>
        </w:rPr>
        <w:t>服务点办理，只需办理其中一家CA数字证书及签章（提示：办理时请说明参与成都市政府采购项目）。投标人应及时完成在“政府采购云平台”的CA账号绑定，确保顺利参与电子投标。</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000000" w:themeColor="text1"/>
          <w:sz w:val="24"/>
          <w:szCs w:val="24"/>
          <w:highlight w:val="none"/>
          <w14:textFill>
            <w14:solidFill>
              <w14:schemeClr w14:val="tx1"/>
            </w14:solidFill>
          </w14:textFill>
        </w:rPr>
      </w:pPr>
      <w:bookmarkStart w:id="118" w:name="_Toc217446053"/>
      <w:bookmarkStart w:id="119" w:name="_Toc4633"/>
      <w:bookmarkStart w:id="120" w:name="_Toc183582226"/>
      <w:bookmarkStart w:id="121" w:name="_Toc32137"/>
      <w:bookmarkStart w:id="122" w:name="_Toc308164803"/>
      <w:bookmarkStart w:id="123" w:name="_Toc183682363"/>
      <w:bookmarkStart w:id="124" w:name="_Toc89075877"/>
      <w:bookmarkStart w:id="125" w:name="_Toc77400781"/>
      <w:r>
        <w:rPr>
          <w:rFonts w:hint="eastAsia" w:ascii="宋体" w:hAnsi="宋体" w:eastAsia="宋体" w:cs="宋体"/>
          <w:bCs w:val="0"/>
          <w:color w:val="000000" w:themeColor="text1"/>
          <w:sz w:val="24"/>
          <w:szCs w:val="24"/>
          <w:highlight w:val="none"/>
          <w14:textFill>
            <w14:solidFill>
              <w14:schemeClr w14:val="tx1"/>
            </w14:solidFill>
          </w14:textFill>
        </w:rPr>
        <w:t>20</w:t>
      </w:r>
      <w:bookmarkEnd w:id="118"/>
      <w:bookmarkEnd w:id="119"/>
      <w:bookmarkEnd w:id="120"/>
      <w:bookmarkEnd w:id="121"/>
      <w:bookmarkEnd w:id="122"/>
      <w:bookmarkEnd w:id="123"/>
      <w:bookmarkEnd w:id="124"/>
      <w:bookmarkEnd w:id="125"/>
      <w:bookmarkStart w:id="126" w:name="_Toc183682364"/>
      <w:bookmarkStart w:id="127" w:name="_Toc183582227"/>
      <w:bookmarkStart w:id="128" w:name="_Toc217446054"/>
      <w:bookmarkStart w:id="129" w:name="_Toc3008"/>
      <w:bookmarkStart w:id="130" w:name="_Toc661"/>
      <w:bookmarkStart w:id="131" w:name="_Toc308164804"/>
      <w:r>
        <w:rPr>
          <w:rFonts w:hint="eastAsia" w:ascii="宋体" w:hAnsi="宋体" w:eastAsia="宋体" w:cs="宋体"/>
          <w:bCs w:val="0"/>
          <w:color w:val="000000" w:themeColor="text1"/>
          <w:sz w:val="24"/>
          <w:szCs w:val="24"/>
          <w:highlight w:val="none"/>
          <w14:textFill>
            <w14:solidFill>
              <w14:schemeClr w14:val="tx1"/>
            </w14:solidFill>
          </w14:textFill>
        </w:rPr>
        <w:t>. 投标文件的</w:t>
      </w:r>
      <w:bookmarkEnd w:id="126"/>
      <w:bookmarkEnd w:id="127"/>
      <w:r>
        <w:rPr>
          <w:rFonts w:hint="eastAsia" w:ascii="宋体" w:hAnsi="宋体" w:eastAsia="宋体" w:cs="宋体"/>
          <w:bCs w:val="0"/>
          <w:color w:val="000000" w:themeColor="text1"/>
          <w:sz w:val="24"/>
          <w:szCs w:val="24"/>
          <w:highlight w:val="none"/>
          <w:lang w:val="en-US" w:eastAsia="zh-CN"/>
          <w14:textFill>
            <w14:solidFill>
              <w14:schemeClr w14:val="tx1"/>
            </w14:solidFill>
          </w14:textFill>
        </w:rPr>
        <w:t>提</w:t>
      </w:r>
      <w:r>
        <w:rPr>
          <w:rFonts w:hint="eastAsia" w:ascii="宋体" w:hAnsi="宋体" w:eastAsia="宋体" w:cs="宋体"/>
          <w:bCs w:val="0"/>
          <w:color w:val="000000" w:themeColor="text1"/>
          <w:sz w:val="24"/>
          <w:szCs w:val="24"/>
          <w:highlight w:val="none"/>
          <w14:textFill>
            <w14:solidFill>
              <w14:schemeClr w14:val="tx1"/>
            </w14:solidFill>
          </w14:textFill>
        </w:rPr>
        <w:t>交</w:t>
      </w:r>
      <w:bookmarkEnd w:id="128"/>
      <w:bookmarkEnd w:id="129"/>
      <w:bookmarkEnd w:id="130"/>
      <w:bookmarkEnd w:id="131"/>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.1 投标人应当在投标文件</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14:textFill>
            <w14:solidFill>
              <w14:schemeClr w14:val="tx1"/>
            </w14:solidFill>
          </w14:textFill>
        </w:rPr>
        <w:t>交截止时间前，将生成的已加密的电子投标文件成功</w:t>
      </w:r>
      <w:r>
        <w:rPr>
          <w:rFonts w:hint="eastAsia" w:ascii="宋体" w:hAnsi="宋体" w:eastAsia="宋体" w:cs="宋体"/>
          <w:color w:val="000000" w:themeColor="text1"/>
          <w:highlight w:val="none"/>
          <w:lang w:val="en-US" w:eastAsia="zh-CN"/>
          <w14:textFill>
            <w14:solidFill>
              <w14:schemeClr w14:val="tx1"/>
            </w14:solidFill>
          </w14:textFill>
        </w:rPr>
        <w:t>提交</w:t>
      </w:r>
      <w:r>
        <w:rPr>
          <w:rFonts w:hint="eastAsia" w:ascii="宋体" w:hAnsi="宋体" w:eastAsia="宋体" w:cs="宋体"/>
          <w:color w:val="000000" w:themeColor="text1"/>
          <w:highlight w:val="none"/>
          <w14:textFill>
            <w14:solidFill>
              <w14:schemeClr w14:val="tx1"/>
            </w14:solidFill>
          </w14:textFill>
        </w:rPr>
        <w:t>至“政府采购云平台”。</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20.2</w:t>
      </w:r>
      <w:r>
        <w:rPr>
          <w:rFonts w:hint="eastAsia" w:ascii="宋体" w:hAnsi="宋体" w:eastAsia="宋体" w:cs="宋体"/>
          <w:color w:val="000000" w:themeColor="text1"/>
          <w:highlight w:val="none"/>
          <w14:textFill>
            <w14:solidFill>
              <w14:schemeClr w14:val="tx1"/>
            </w14:solidFill>
          </w14:textFill>
        </w:rPr>
        <w:t>因招标文件的修改推迟投标截止日期的，投标人</w:t>
      </w:r>
      <w:r>
        <w:rPr>
          <w:rFonts w:hint="eastAsia" w:ascii="宋体" w:hAnsi="宋体" w:eastAsia="宋体" w:cs="宋体"/>
          <w:color w:val="000000" w:themeColor="text1"/>
          <w:highlight w:val="none"/>
          <w:lang w:val="en-US" w:eastAsia="zh-CN"/>
          <w14:textFill>
            <w14:solidFill>
              <w14:schemeClr w14:val="tx1"/>
            </w14:solidFill>
          </w14:textFill>
        </w:rPr>
        <w:t>应</w:t>
      </w:r>
      <w:r>
        <w:rPr>
          <w:rFonts w:hint="eastAsia" w:ascii="宋体" w:hAnsi="宋体" w:eastAsia="宋体" w:cs="宋体"/>
          <w:color w:val="000000" w:themeColor="text1"/>
          <w:highlight w:val="none"/>
          <w14:textFill>
            <w14:solidFill>
              <w14:schemeClr w14:val="tx1"/>
            </w14:solidFill>
          </w14:textFill>
        </w:rPr>
        <w:t>按“四川政府采购网”上发布的澄清公告中修改的时间</w:t>
      </w:r>
      <w:r>
        <w:rPr>
          <w:rFonts w:hint="eastAsia" w:ascii="宋体" w:hAnsi="宋体" w:eastAsia="宋体" w:cs="宋体"/>
          <w:color w:val="000000" w:themeColor="text1"/>
          <w:highlight w:val="none"/>
          <w:lang w:val="en-US" w:eastAsia="zh-CN"/>
          <w14:textFill>
            <w14:solidFill>
              <w14:schemeClr w14:val="tx1"/>
            </w14:solidFill>
          </w14:textFill>
        </w:rPr>
        <w:t>提交</w:t>
      </w:r>
      <w:r>
        <w:rPr>
          <w:rFonts w:hint="eastAsia" w:ascii="宋体" w:hAnsi="宋体" w:eastAsia="宋体" w:cs="宋体"/>
          <w:color w:val="000000" w:themeColor="text1"/>
          <w:highlight w:val="none"/>
          <w14:textFill>
            <w14:solidFill>
              <w14:schemeClr w14:val="tx1"/>
            </w14:solidFill>
          </w14:textFill>
        </w:rPr>
        <w:t>投标文件。</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20.3</w:t>
      </w:r>
      <w:r>
        <w:rPr>
          <w:rFonts w:hint="eastAsia" w:ascii="宋体" w:hAnsi="宋体" w:eastAsia="宋体" w:cs="宋体"/>
          <w:color w:val="000000" w:themeColor="text1"/>
          <w:highlight w:val="none"/>
          <w14:textFill>
            <w14:solidFill>
              <w14:schemeClr w14:val="tx1"/>
            </w14:solidFill>
          </w14:textFill>
        </w:rPr>
        <w:t>投标人应充分考虑</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14:textFill>
            <w14:solidFill>
              <w14:schemeClr w14:val="tx1"/>
            </w14:solidFill>
          </w14:textFill>
        </w:rPr>
        <w:t>交文件的不可预见因素，未在投标截止时间前完成</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14:textFill>
            <w14:solidFill>
              <w14:schemeClr w14:val="tx1"/>
            </w14:solidFill>
          </w14:textFill>
        </w:rPr>
        <w:t>交的，在投标截止时间后将无法</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14:textFill>
            <w14:solidFill>
              <w14:schemeClr w14:val="tx1"/>
            </w14:solidFill>
          </w14:textFill>
        </w:rPr>
        <w:t>交。</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000000" w:themeColor="text1"/>
          <w:sz w:val="24"/>
          <w:szCs w:val="24"/>
          <w:highlight w:val="none"/>
          <w14:textFill>
            <w14:solidFill>
              <w14:schemeClr w14:val="tx1"/>
            </w14:solidFill>
          </w14:textFill>
        </w:rPr>
      </w:pPr>
      <w:bookmarkStart w:id="132" w:name="_Toc183682365"/>
      <w:bookmarkStart w:id="133" w:name="_Toc183582228"/>
      <w:bookmarkStart w:id="134" w:name="_Toc3425"/>
      <w:bookmarkStart w:id="135" w:name="_Toc4958"/>
      <w:bookmarkStart w:id="136" w:name="_Toc217446055"/>
      <w:r>
        <w:rPr>
          <w:rFonts w:hint="eastAsia" w:ascii="宋体" w:hAnsi="宋体" w:eastAsia="宋体" w:cs="宋体"/>
          <w:bCs w:val="0"/>
          <w:color w:val="000000" w:themeColor="text1"/>
          <w:sz w:val="24"/>
          <w:szCs w:val="24"/>
          <w:highlight w:val="none"/>
          <w14:textFill>
            <w14:solidFill>
              <w14:schemeClr w14:val="tx1"/>
            </w14:solidFill>
          </w14:textFill>
        </w:rPr>
        <w:t>2</w:t>
      </w:r>
      <w:r>
        <w:rPr>
          <w:rFonts w:hint="eastAsia" w:ascii="宋体" w:hAnsi="宋体" w:eastAsia="宋体" w:cs="宋体"/>
          <w:bCs w:val="0"/>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Cs w:val="0"/>
          <w:color w:val="000000" w:themeColor="text1"/>
          <w:sz w:val="24"/>
          <w:szCs w:val="24"/>
          <w:highlight w:val="none"/>
          <w14:textFill>
            <w14:solidFill>
              <w14:schemeClr w14:val="tx1"/>
            </w14:solidFill>
          </w14:textFill>
        </w:rPr>
        <w:t>. 投标文件的补充、修改或者撤</w:t>
      </w:r>
      <w:bookmarkEnd w:id="132"/>
      <w:bookmarkEnd w:id="133"/>
      <w:r>
        <w:rPr>
          <w:rFonts w:hint="eastAsia" w:ascii="宋体" w:hAnsi="宋体" w:eastAsia="宋体" w:cs="宋体"/>
          <w:bCs w:val="0"/>
          <w:color w:val="000000" w:themeColor="text1"/>
          <w:sz w:val="24"/>
          <w:szCs w:val="24"/>
          <w:highlight w:val="none"/>
          <w14:textFill>
            <w14:solidFill>
              <w14:schemeClr w14:val="tx1"/>
            </w14:solidFill>
          </w14:textFill>
        </w:rPr>
        <w:t>回</w:t>
      </w:r>
      <w:bookmarkEnd w:id="134"/>
      <w:bookmarkEnd w:id="135"/>
      <w:bookmarkEnd w:id="136"/>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21</w:t>
      </w:r>
      <w:r>
        <w:rPr>
          <w:rFonts w:hint="eastAsia" w:ascii="宋体" w:hAnsi="宋体" w:eastAsia="宋体" w:cs="宋体"/>
          <w:color w:val="000000" w:themeColor="text1"/>
          <w:highlight w:val="none"/>
          <w14:textFill>
            <w14:solidFill>
              <w14:schemeClr w14:val="tx1"/>
            </w14:solidFill>
          </w14:textFill>
        </w:rPr>
        <w:t>.1 在投标截止时间之前，投标人可对已</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14:textFill>
            <w14:solidFill>
              <w14:schemeClr w14:val="tx1"/>
            </w14:solidFill>
          </w14:textFill>
        </w:rPr>
        <w:t>交的投标文件进行补充、修改。补充或者修改投标文件的，应当先撤回已</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14:textFill>
            <w14:solidFill>
              <w14:schemeClr w14:val="tx1"/>
            </w14:solidFill>
          </w14:textFill>
        </w:rPr>
        <w:t>交的投标文件，在“政府采购云平台”补充、修改投标文件并签章、加密后重新</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14:textFill>
            <w14:solidFill>
              <w14:schemeClr w14:val="tx1"/>
            </w14:solidFill>
          </w14:textFill>
        </w:rPr>
        <w:t>交。撤回投标文件进行补充、修改，在投标截止时间前未重新</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14:textFill>
            <w14:solidFill>
              <w14:schemeClr w14:val="tx1"/>
            </w14:solidFill>
          </w14:textFill>
        </w:rPr>
        <w:t>交的，视为撤回投标文件。</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 xml:space="preserve"> 在投标截止时间之后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投标人不得对其</w:t>
      </w:r>
      <w:r>
        <w:rPr>
          <w:rFonts w:hint="eastAsia" w:ascii="宋体" w:hAnsi="宋体" w:eastAsia="宋体" w:cs="宋体"/>
          <w:color w:val="000000" w:themeColor="text1"/>
          <w:highlight w:val="none"/>
          <w:lang w:val="en-US" w:eastAsia="zh-CN"/>
          <w14:textFill>
            <w14:solidFill>
              <w14:schemeClr w14:val="tx1"/>
            </w14:solidFill>
          </w14:textFill>
        </w:rPr>
        <w:t>提</w:t>
      </w:r>
      <w:r>
        <w:rPr>
          <w:rFonts w:hint="eastAsia" w:ascii="宋体" w:hAnsi="宋体" w:eastAsia="宋体" w:cs="宋体"/>
          <w:color w:val="000000" w:themeColor="text1"/>
          <w:highlight w:val="none"/>
          <w14:textFill>
            <w14:solidFill>
              <w14:schemeClr w14:val="tx1"/>
            </w14:solidFill>
          </w14:textFill>
        </w:rPr>
        <w:t>交的投标文件做任何补充、修改</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撤销投标文件的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将按照有关规定进行相应处理。</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en-US" w:eastAsia="zh-CN"/>
          <w14:textFill>
            <w14:solidFill>
              <w14:schemeClr w14:val="tx1"/>
            </w14:solidFill>
          </w14:textFill>
        </w:rPr>
        <w:t>22.投标文件的解密</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137" w:name="_Toc77400782"/>
      <w:bookmarkStart w:id="138" w:name="_Toc13087"/>
      <w:bookmarkStart w:id="139" w:name="_Toc183582231"/>
      <w:bookmarkStart w:id="140" w:name="_Toc217446056"/>
      <w:bookmarkStart w:id="141" w:name="_Toc18874"/>
      <w:bookmarkStart w:id="142" w:name="_Toc308164805"/>
      <w:bookmarkStart w:id="143" w:name="_Toc89075878"/>
      <w:bookmarkStart w:id="144" w:name="_Toc183682368"/>
      <w:r>
        <w:rPr>
          <w:rFonts w:hint="eastAsia" w:ascii="宋体" w:hAnsi="宋体" w:eastAsia="宋体" w:cs="宋体"/>
          <w:color w:val="000000" w:themeColor="text1"/>
          <w:highlight w:val="none"/>
          <w:lang w:val="en-US" w:eastAsia="zh-CN"/>
          <w14:textFill>
            <w14:solidFill>
              <w14:schemeClr w14:val="tx1"/>
            </w14:solidFill>
          </w14:textFill>
        </w:rPr>
        <w:t>投标人登录政府采购云平台，点击“项目采购—开标评标”模块，找到对应项目，进入“开标大厅”，等待采购代理机构开启解密后，进行线上解密。除因采购代理机构断电、断网、系统故障或其他不可抗力等因素，导致系统无法使用外，投标人在规定的解密时间内，未成功解密的投标文件将视为无效投标文件。</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五、开标和中标</w:t>
      </w:r>
      <w:bookmarkEnd w:id="137"/>
      <w:bookmarkEnd w:id="138"/>
      <w:bookmarkEnd w:id="139"/>
      <w:bookmarkEnd w:id="140"/>
      <w:bookmarkEnd w:id="141"/>
      <w:bookmarkEnd w:id="142"/>
      <w:bookmarkEnd w:id="143"/>
      <w:bookmarkEnd w:id="144"/>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textAlignment w:val="auto"/>
        <w:rPr>
          <w:rFonts w:hint="eastAsia" w:ascii="宋体" w:hAnsi="宋体" w:eastAsia="宋体" w:cs="宋体"/>
          <w:bCs w:val="0"/>
          <w:color w:val="000000" w:themeColor="text1"/>
          <w:sz w:val="24"/>
          <w:highlight w:val="none"/>
          <w14:textFill>
            <w14:solidFill>
              <w14:schemeClr w14:val="tx1"/>
            </w14:solidFill>
          </w14:textFill>
        </w:rPr>
      </w:pPr>
      <w:bookmarkStart w:id="145" w:name="_Toc308164806"/>
      <w:bookmarkStart w:id="146" w:name="_Toc29620"/>
      <w:bookmarkStart w:id="147" w:name="_Toc217446057"/>
      <w:bookmarkStart w:id="148" w:name="_Toc183682369"/>
      <w:bookmarkStart w:id="149" w:name="_Toc32300"/>
      <w:bookmarkStart w:id="150" w:name="_Toc183582232"/>
      <w:r>
        <w:rPr>
          <w:rFonts w:hint="eastAsia" w:ascii="宋体" w:hAnsi="宋体" w:eastAsia="宋体" w:cs="宋体"/>
          <w:bCs w:val="0"/>
          <w:color w:val="000000" w:themeColor="text1"/>
          <w:sz w:val="24"/>
          <w:highlight w:val="none"/>
          <w14:textFill>
            <w14:solidFill>
              <w14:schemeClr w14:val="tx1"/>
            </w14:solidFill>
          </w14:textFill>
        </w:rPr>
        <w:t>2</w:t>
      </w:r>
      <w:r>
        <w:rPr>
          <w:rFonts w:hint="eastAsia" w:ascii="宋体" w:hAnsi="宋体" w:eastAsia="宋体" w:cs="宋体"/>
          <w:bCs w:val="0"/>
          <w:color w:val="000000" w:themeColor="text1"/>
          <w:sz w:val="24"/>
          <w:highlight w:val="none"/>
          <w:lang w:val="en-US" w:eastAsia="zh-CN"/>
          <w14:textFill>
            <w14:solidFill>
              <w14:schemeClr w14:val="tx1"/>
            </w14:solidFill>
          </w14:textFill>
        </w:rPr>
        <w:t>3</w:t>
      </w:r>
      <w:r>
        <w:rPr>
          <w:rFonts w:hint="eastAsia" w:ascii="宋体" w:hAnsi="宋体" w:eastAsia="宋体" w:cs="宋体"/>
          <w:bCs w:val="0"/>
          <w:color w:val="000000" w:themeColor="text1"/>
          <w:sz w:val="24"/>
          <w:highlight w:val="none"/>
          <w14:textFill>
            <w14:solidFill>
              <w14:schemeClr w14:val="tx1"/>
            </w14:solidFill>
          </w14:textFill>
        </w:rPr>
        <w:t>．</w:t>
      </w:r>
      <w:bookmarkEnd w:id="145"/>
      <w:bookmarkEnd w:id="146"/>
      <w:bookmarkEnd w:id="147"/>
      <w:bookmarkEnd w:id="148"/>
      <w:bookmarkEnd w:id="149"/>
      <w:bookmarkEnd w:id="150"/>
      <w:r>
        <w:rPr>
          <w:rFonts w:hint="eastAsia" w:ascii="宋体" w:hAnsi="宋体" w:eastAsia="宋体" w:cs="宋体"/>
          <w:bCs w:val="0"/>
          <w:color w:val="000000" w:themeColor="text1"/>
          <w:sz w:val="24"/>
          <w:highlight w:val="none"/>
          <w14:textFill>
            <w14:solidFill>
              <w14:schemeClr w14:val="tx1"/>
            </w14:solidFill>
          </w14:textFill>
        </w:rPr>
        <w:t>开标及开标程序</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23.1本项目为不见面开标项目。提交电子投标文件的投标人不足3家的，不予开标。</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23.2开标准备工作。投标人需在开标当日、投标截止时间前登录“政府采购云平台”，通过“开标大厅”参与不见面开标。登录政府采购云平台—项目采购—开标评标—开标大厅（找到对应项目）。提示：投标人未按时登录不见面开标系统，错过开标解密时间的，由投标人自行承担不利后果。</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23.3解密投标文件。等待采购代理机构开启解密后，投标人进行线上解密。开启解密后，投标人应在60分钟内，使用加密该投标文件的CA数字证书在线完成投标文件的解密。除因采购代理机构断电、断网、系统故障或其他不可抗力等因素，导致系统无法使用外，投标人在规定的解密时间内，未成功解密的投标文件将视为无效投标文件。</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23.4确认开标记录。解密时间截止或者所有投标人投标文件均完成解密后（以发生在先的时间为准），由“政府采购云平台”系统展示投标人名称、投标文件解密情况、投标报价等内容。如成功解密投标文件的投标人不足三家的，则只展示投标人名称、投标文件解密情况。投标人对开标记录（包含解密情况、投标报价、其他情况等）在规定时间内确认，如未确认，视为认同开标记录。</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23.5投标人对开标过程和开标记录有疑义，以及认为采购人、采购代理机构相关工作人员有需要回避的情形的，及时向工作人员提出询问或者回避申请。采购人、采购代理机构对投标人提出的询问或者回避申请应当及时处理。</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23.6投标人电脑终端等硬件设备和软件系统配置：投标人电脑终端等硬件设备和软件系统配置应符合电子投标（含不见面开标大厅）投标人电脑终端配置要求并运行正常，投标人承担因未尽职责产生的不利后果。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23.7因采购代理机构断电、断网、系统故障或其他不可抗力等因素导致不见面开标系统无法正常运行的，开标活动中止或延迟，待系统恢复正常后继续进行开标活动。</w:t>
      </w:r>
    </w:p>
    <w:p>
      <w:pPr>
        <w:pStyle w:val="94"/>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23.8不见面开标过程中，各方主体均应遵守互联网有关规定，不得发表与交易活动无关的言论。</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textAlignment w:val="auto"/>
        <w:rPr>
          <w:rFonts w:hint="eastAsia" w:ascii="宋体" w:hAnsi="宋体" w:eastAsia="宋体" w:cs="宋体"/>
          <w:bCs w:val="0"/>
          <w:color w:val="000000" w:themeColor="text1"/>
          <w:sz w:val="24"/>
          <w:highlight w:val="none"/>
          <w14:textFill>
            <w14:solidFill>
              <w14:schemeClr w14:val="tx1"/>
            </w14:solidFill>
          </w14:textFill>
        </w:rPr>
      </w:pPr>
      <w:bookmarkStart w:id="151" w:name="_Toc16949"/>
      <w:bookmarkStart w:id="152" w:name="_Toc19138"/>
      <w:bookmarkStart w:id="153" w:name="_Toc183582238"/>
      <w:bookmarkStart w:id="154" w:name="_Toc183682375"/>
      <w:bookmarkStart w:id="155" w:name="_Toc308164809"/>
      <w:bookmarkStart w:id="156" w:name="_Toc217446063"/>
      <w:r>
        <w:rPr>
          <w:rFonts w:hint="eastAsia" w:ascii="宋体" w:hAnsi="宋体" w:eastAsia="宋体" w:cs="宋体"/>
          <w:bCs w:val="0"/>
          <w:color w:val="000000" w:themeColor="text1"/>
          <w:sz w:val="24"/>
          <w:highlight w:val="none"/>
          <w14:textFill>
            <w14:solidFill>
              <w14:schemeClr w14:val="tx1"/>
            </w14:solidFill>
          </w14:textFill>
        </w:rPr>
        <w:t>2</w:t>
      </w:r>
      <w:r>
        <w:rPr>
          <w:rFonts w:hint="eastAsia" w:ascii="宋体" w:hAnsi="宋体" w:eastAsia="宋体" w:cs="宋体"/>
          <w:bCs w:val="0"/>
          <w:color w:val="000000" w:themeColor="text1"/>
          <w:sz w:val="24"/>
          <w:highlight w:val="none"/>
          <w:lang w:val="en-US" w:eastAsia="zh-CN"/>
          <w14:textFill>
            <w14:solidFill>
              <w14:schemeClr w14:val="tx1"/>
            </w14:solidFill>
          </w14:textFill>
        </w:rPr>
        <w:t>4</w:t>
      </w:r>
      <w:r>
        <w:rPr>
          <w:rFonts w:hint="eastAsia" w:ascii="宋体" w:hAnsi="宋体" w:eastAsia="宋体" w:cs="宋体"/>
          <w:bCs w:val="0"/>
          <w:color w:val="000000" w:themeColor="text1"/>
          <w:sz w:val="24"/>
          <w:highlight w:val="none"/>
          <w14:textFill>
            <w14:solidFill>
              <w14:schemeClr w14:val="tx1"/>
            </w14:solidFill>
          </w14:textFill>
        </w:rPr>
        <w:t>. 开评标过程存档</w:t>
      </w:r>
      <w:bookmarkEnd w:id="151"/>
      <w:bookmarkEnd w:id="152"/>
    </w:p>
    <w:p>
      <w:pPr>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开标和评标过程进行全过程电子监控</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并将电子监控资料存储介质留存归档。</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textAlignment w:val="auto"/>
        <w:rPr>
          <w:rFonts w:hint="eastAsia" w:ascii="宋体" w:hAnsi="宋体" w:eastAsia="宋体" w:cs="宋体"/>
          <w:color w:val="000000" w:themeColor="text1"/>
          <w:sz w:val="24"/>
          <w:highlight w:val="none"/>
          <w14:textFill>
            <w14:solidFill>
              <w14:schemeClr w14:val="tx1"/>
            </w14:solidFill>
          </w14:textFill>
        </w:rPr>
      </w:pPr>
      <w:bookmarkStart w:id="157" w:name="_Toc18310"/>
      <w:bookmarkStart w:id="158" w:name="_Toc22364"/>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lang w:val="en-US" w:eastAsia="zh-CN"/>
          <w14:textFill>
            <w14:solidFill>
              <w14:schemeClr w14:val="tx1"/>
            </w14:solidFill>
          </w14:textFill>
        </w:rPr>
        <w:t>5</w:t>
      </w:r>
      <w:r>
        <w:rPr>
          <w:rFonts w:hint="eastAsia" w:ascii="宋体" w:hAnsi="宋体" w:eastAsia="宋体" w:cs="宋体"/>
          <w:color w:val="000000" w:themeColor="text1"/>
          <w:sz w:val="24"/>
          <w:highlight w:val="none"/>
          <w14:textFill>
            <w14:solidFill>
              <w14:schemeClr w14:val="tx1"/>
            </w14:solidFill>
          </w14:textFill>
        </w:rPr>
        <w:t>. 资格审查及评标情况公告</w:t>
      </w:r>
      <w:bookmarkEnd w:id="157"/>
      <w:bookmarkEnd w:id="158"/>
    </w:p>
    <w:p>
      <w:pPr>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25.1</w:t>
      </w:r>
      <w:r>
        <w:rPr>
          <w:rFonts w:hint="eastAsia" w:ascii="宋体" w:hAnsi="宋体" w:eastAsia="宋体" w:cs="宋体"/>
          <w:color w:val="000000" w:themeColor="text1"/>
          <w:highlight w:val="none"/>
          <w14:textFill>
            <w14:solidFill>
              <w14:schemeClr w14:val="tx1"/>
            </w14:solidFill>
          </w14:textFill>
        </w:rPr>
        <w:t>开标结束后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采购人或采购代理机构对投标人的资格进行审查。资格审查未通过的按无效投标处理。通过资格审查的合格投标人不足三家的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不得评标。</w:t>
      </w:r>
    </w:p>
    <w:p>
      <w:pPr>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25.2</w:t>
      </w:r>
      <w:r>
        <w:rPr>
          <w:rFonts w:hint="eastAsia" w:ascii="宋体" w:hAnsi="宋体" w:eastAsia="宋体" w:cs="宋体"/>
          <w:color w:val="000000" w:themeColor="text1"/>
          <w:highlight w:val="none"/>
          <w14:textFill>
            <w14:solidFill>
              <w14:schemeClr w14:val="tx1"/>
            </w14:solidFill>
          </w14:textFill>
        </w:rPr>
        <w:t>通过资格审查的合格投标人不少于三家的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资格审查完成后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w:t>
      </w:r>
      <w:r>
        <w:rPr>
          <w:rFonts w:hint="eastAsia" w:ascii="宋体" w:hAnsi="宋体" w:eastAsia="宋体" w:cs="宋体"/>
          <w:color w:val="000000" w:themeColor="text1"/>
          <w:highlight w:val="none"/>
          <w:lang w:val="en-US" w:eastAsia="zh-CN"/>
          <w14:textFill>
            <w14:solidFill>
              <w14:schemeClr w14:val="tx1"/>
            </w14:solidFill>
          </w14:textFill>
        </w:rPr>
        <w:t>进行评审</w:t>
      </w:r>
      <w:r>
        <w:rPr>
          <w:rFonts w:hint="eastAsia" w:ascii="宋体" w:hAnsi="宋体" w:eastAsia="宋体" w:cs="宋体"/>
          <w:color w:val="000000" w:themeColor="text1"/>
          <w:highlight w:val="none"/>
          <w14:textFill>
            <w14:solidFill>
              <w14:schemeClr w14:val="tx1"/>
            </w14:solidFill>
          </w14:textFill>
        </w:rPr>
        <w:t>。</w:t>
      </w:r>
    </w:p>
    <w:p>
      <w:pPr>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25.3</w:t>
      </w:r>
      <w:r>
        <w:rPr>
          <w:rFonts w:hint="eastAsia" w:ascii="宋体" w:hAnsi="宋体" w:eastAsia="宋体" w:cs="宋体"/>
          <w:color w:val="000000" w:themeColor="text1"/>
          <w:highlight w:val="none"/>
          <w14:textFill>
            <w14:solidFill>
              <w14:schemeClr w14:val="tx1"/>
            </w14:solidFill>
          </w14:textFill>
        </w:rPr>
        <w:t>所有供应商投标文件资格性、符合性检查情况、总得分和分项汇总得分情况、评标结果、中标供应商诚信情况承诺内容等将在四川政府采购网上采购结果公告栏中予以公告。</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textAlignment w:val="auto"/>
        <w:rPr>
          <w:rFonts w:hint="eastAsia" w:ascii="宋体" w:hAnsi="宋体" w:eastAsia="宋体" w:cs="宋体"/>
          <w:bCs w:val="0"/>
          <w:color w:val="000000" w:themeColor="text1"/>
          <w:sz w:val="24"/>
          <w:szCs w:val="24"/>
          <w:highlight w:val="none"/>
          <w14:textFill>
            <w14:solidFill>
              <w14:schemeClr w14:val="tx1"/>
            </w14:solidFill>
          </w14:textFill>
        </w:rPr>
      </w:pPr>
      <w:bookmarkStart w:id="159" w:name="_Toc11276"/>
      <w:bookmarkStart w:id="160" w:name="_Toc30245"/>
      <w:r>
        <w:rPr>
          <w:rFonts w:hint="eastAsia" w:ascii="宋体" w:hAnsi="宋体" w:eastAsia="宋体" w:cs="宋体"/>
          <w:bCs w:val="0"/>
          <w:color w:val="000000" w:themeColor="text1"/>
          <w:sz w:val="24"/>
          <w:szCs w:val="24"/>
          <w:highlight w:val="none"/>
          <w14:textFill>
            <w14:solidFill>
              <w14:schemeClr w14:val="tx1"/>
            </w14:solidFill>
          </w14:textFill>
        </w:rPr>
        <w:t>2</w:t>
      </w:r>
      <w:r>
        <w:rPr>
          <w:rFonts w:hint="eastAsia" w:ascii="宋体" w:hAnsi="宋体" w:eastAsia="宋体" w:cs="宋体"/>
          <w:bCs w:val="0"/>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Cs w:val="0"/>
          <w:color w:val="000000" w:themeColor="text1"/>
          <w:sz w:val="24"/>
          <w:szCs w:val="24"/>
          <w:highlight w:val="none"/>
          <w14:textFill>
            <w14:solidFill>
              <w14:schemeClr w14:val="tx1"/>
            </w14:solidFill>
          </w14:textFill>
        </w:rPr>
        <w:t>. 中标通知</w:t>
      </w:r>
      <w:bookmarkEnd w:id="153"/>
      <w:bookmarkEnd w:id="154"/>
      <w:r>
        <w:rPr>
          <w:rFonts w:hint="eastAsia" w:ascii="宋体" w:hAnsi="宋体" w:eastAsia="宋体" w:cs="宋体"/>
          <w:bCs w:val="0"/>
          <w:color w:val="000000" w:themeColor="text1"/>
          <w:sz w:val="24"/>
          <w:szCs w:val="24"/>
          <w:highlight w:val="none"/>
          <w14:textFill>
            <w14:solidFill>
              <w14:schemeClr w14:val="tx1"/>
            </w14:solidFill>
          </w14:textFill>
        </w:rPr>
        <w:t>书</w:t>
      </w:r>
      <w:bookmarkEnd w:id="155"/>
      <w:bookmarkEnd w:id="156"/>
      <w:bookmarkEnd w:id="159"/>
      <w:bookmarkEnd w:id="160"/>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bCs/>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1 中标通知书为签订政府采购合同的依据之一</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是合同的有效组成部分。</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 xml:space="preserve"> 中标通知书对采购人和中标人均具有法律效力。中标通知书发出后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采购人改变中标结果</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或者中标人无正当理由放弃中标的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应当承担相应的法律责任。</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中标人的投标文件本应作为无效投标处理或者有政府采购法律法规规章制度规定的中标无效情形的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采购人或者采购代理机构在取得有权主体的认定以后</w:t>
      </w:r>
      <w:r>
        <w:rPr>
          <w:rFonts w:hint="eastAsia" w:ascii="宋体" w:hAnsi="宋体" w:eastAsia="宋体" w:cs="宋体"/>
          <w:color w:val="000000" w:themeColor="text1"/>
          <w:highlight w:val="none"/>
          <w:lang w:eastAsia="zh-CN"/>
          <w14:textFill>
            <w14:solidFill>
              <w14:schemeClr w14:val="tx1"/>
            </w14:solidFill>
          </w14:textFill>
        </w:rPr>
        <w:t>，将以公告形式宣布发出的中标通知书无效，中标通知书将自动失效，</w:t>
      </w:r>
      <w:r>
        <w:rPr>
          <w:rFonts w:hint="eastAsia" w:ascii="宋体" w:hAnsi="宋体" w:eastAsia="宋体" w:cs="宋体"/>
          <w:color w:val="000000" w:themeColor="text1"/>
          <w:highlight w:val="none"/>
          <w:lang w:val="en-US" w:eastAsia="zh-CN"/>
          <w14:textFill>
            <w14:solidFill>
              <w14:schemeClr w14:val="tx1"/>
            </w14:solidFill>
          </w14:textFill>
        </w:rPr>
        <w:t>并</w:t>
      </w:r>
      <w:r>
        <w:rPr>
          <w:rFonts w:hint="eastAsia" w:ascii="宋体" w:hAnsi="宋体" w:eastAsia="宋体" w:cs="宋体"/>
          <w:color w:val="000000" w:themeColor="text1"/>
          <w:highlight w:val="none"/>
          <w14:textFill>
            <w14:solidFill>
              <w14:schemeClr w14:val="tx1"/>
            </w14:solidFill>
          </w14:textFill>
        </w:rPr>
        <w:t>依法重新确定中标人或者重新开展采购活动。</w:t>
      </w:r>
    </w:p>
    <w:p>
      <w:pPr>
        <w:pageBreakBefore w:val="0"/>
        <w:widowControl w:val="0"/>
        <w:tabs>
          <w:tab w:val="left" w:pos="7665"/>
        </w:tabs>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中标公告发出后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zh-CN" w:eastAsia="zh-CN"/>
          <w14:textFill>
            <w14:solidFill>
              <w14:schemeClr w14:val="tx1"/>
            </w14:solidFill>
          </w14:textFill>
        </w:rPr>
        <w:t>中标供应商自行登录政府采购云平台下载中标通知书</w:t>
      </w:r>
      <w:r>
        <w:rPr>
          <w:rFonts w:hint="eastAsia" w:ascii="宋体" w:hAnsi="宋体" w:eastAsia="宋体" w:cs="宋体"/>
          <w:color w:val="000000" w:themeColor="text1"/>
          <w:highlight w:val="none"/>
          <w14:textFill>
            <w14:solidFill>
              <w14:schemeClr w14:val="tx1"/>
            </w14:solidFill>
          </w14:textFill>
        </w:rPr>
        <w:t>。联系人：</w:t>
      </w:r>
      <w:r>
        <w:rPr>
          <w:rFonts w:hint="eastAsia" w:ascii="宋体" w:hAnsi="宋体" w:eastAsia="宋体" w:cs="宋体"/>
          <w:color w:val="000000" w:themeColor="text1"/>
          <w:highlight w:val="none"/>
          <w:lang w:eastAsia="zh-CN"/>
          <w14:textFill>
            <w14:solidFill>
              <w14:schemeClr w14:val="tx1"/>
            </w14:solidFill>
          </w14:textFill>
        </w:rPr>
        <w:t>刘女士，</w:t>
      </w: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lang w:val="en-US" w:eastAsia="zh-CN"/>
          <w14:textFill>
            <w14:solidFill>
              <w14:schemeClr w14:val="tx1"/>
            </w14:solidFill>
          </w14:textFill>
        </w:rPr>
        <w:t>028-85588661</w:t>
      </w:r>
      <w:r>
        <w:rPr>
          <w:rFonts w:hint="eastAsia" w:ascii="宋体" w:hAnsi="宋体" w:eastAsia="宋体" w:cs="宋体"/>
          <w:color w:val="000000" w:themeColor="text1"/>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000000" w:themeColor="text1"/>
          <w:szCs w:val="28"/>
          <w:highlight w:val="none"/>
          <w14:textFill>
            <w14:solidFill>
              <w14:schemeClr w14:val="tx1"/>
            </w14:solidFill>
          </w14:textFill>
        </w:rPr>
      </w:pPr>
      <w:bookmarkStart w:id="161" w:name="_Toc26494"/>
      <w:bookmarkStart w:id="162" w:name="_Toc217446064"/>
      <w:bookmarkStart w:id="163" w:name="_Toc4465"/>
      <w:bookmarkStart w:id="164" w:name="_Toc308164810"/>
      <w:bookmarkStart w:id="165" w:name="_Toc183582240"/>
      <w:bookmarkStart w:id="166" w:name="_Toc183682377"/>
      <w:r>
        <w:rPr>
          <w:rFonts w:hint="eastAsia" w:ascii="宋体" w:hAnsi="宋体" w:eastAsia="宋体" w:cs="宋体"/>
          <w:color w:val="000000" w:themeColor="text1"/>
          <w:szCs w:val="28"/>
          <w:highlight w:val="none"/>
          <w14:textFill>
            <w14:solidFill>
              <w14:schemeClr w14:val="tx1"/>
            </w14:solidFill>
          </w14:textFill>
        </w:rPr>
        <w:t>六、签订及履行合同和验收</w:t>
      </w:r>
      <w:bookmarkEnd w:id="161"/>
      <w:bookmarkEnd w:id="162"/>
      <w:bookmarkEnd w:id="163"/>
      <w:bookmarkEnd w:id="164"/>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 w:val="0"/>
          <w:color w:val="000000" w:themeColor="text1"/>
          <w:sz w:val="24"/>
          <w:szCs w:val="24"/>
          <w:highlight w:val="none"/>
          <w14:textFill>
            <w14:solidFill>
              <w14:schemeClr w14:val="tx1"/>
            </w14:solidFill>
          </w14:textFill>
        </w:rPr>
      </w:pPr>
      <w:bookmarkStart w:id="167" w:name="_Toc308164811"/>
      <w:bookmarkStart w:id="168" w:name="_Toc18496"/>
      <w:bookmarkStart w:id="169" w:name="_Toc26323"/>
      <w:bookmarkStart w:id="170" w:name="_Toc217446065"/>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lang w:val="en-US" w:eastAsia="zh-CN"/>
          <w14:textFill>
            <w14:solidFill>
              <w14:schemeClr w14:val="tx1"/>
            </w14:solidFill>
          </w14:textFill>
        </w:rPr>
        <w:t>7</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b w:val="0"/>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签订合同</w:t>
      </w:r>
      <w:bookmarkEnd w:id="167"/>
      <w:bookmarkEnd w:id="168"/>
      <w:bookmarkEnd w:id="169"/>
      <w:bookmarkEnd w:id="170"/>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.1 中标人应在中标通知书发出之日起30日内与采购人签订采购合同。由于中标人的原因逾期未与采购人签订采购合同的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将视为放弃中标</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取消其中标资格并将按相关规定进行处理。</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.2 采购人不得向中标人提出任何不合理的要求</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作为签订合同的条件</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不得与中标人私下订立背离合同实质性内容的任何协议</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所签订的合同不得对招标文件确定的事项和中标人投标文件作实质性修改。</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.3 中标人因不可抗力原因不能履行采购合同或放弃中标的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采购人可以与排在中标人之后第一位的中标候选人签订采购合同</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以此类推。</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bookmarkStart w:id="171" w:name="_Toc31044"/>
      <w:bookmarkStart w:id="172" w:name="_Toc20268"/>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lang w:val="en-US" w:eastAsia="zh-CN"/>
          <w14:textFill>
            <w14:solidFill>
              <w14:schemeClr w14:val="tx1"/>
            </w14:solidFill>
          </w14:textFill>
        </w:rPr>
        <w:t>8</w:t>
      </w:r>
      <w:r>
        <w:rPr>
          <w:rFonts w:hint="eastAsia" w:ascii="宋体" w:hAnsi="宋体" w:eastAsia="宋体" w:cs="宋体"/>
          <w:color w:val="000000" w:themeColor="text1"/>
          <w:sz w:val="24"/>
          <w:highlight w:val="none"/>
          <w14:textFill>
            <w14:solidFill>
              <w14:schemeClr w14:val="tx1"/>
            </w14:solidFill>
          </w14:textFill>
        </w:rPr>
        <w:t>. 合同分包</w:t>
      </w:r>
      <w:bookmarkEnd w:id="171"/>
      <w:bookmarkEnd w:id="172"/>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本项目不允许合同分包。</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bookmarkStart w:id="173" w:name="_Toc24657"/>
      <w:bookmarkStart w:id="174" w:name="_Toc10256"/>
      <w:r>
        <w:rPr>
          <w:rFonts w:hint="eastAsia" w:ascii="宋体" w:hAnsi="宋体" w:eastAsia="宋体" w:cs="宋体"/>
          <w:color w:val="000000" w:themeColor="text1"/>
          <w:sz w:val="24"/>
          <w:highlight w:val="none"/>
          <w:lang w:val="en-US" w:eastAsia="zh-CN"/>
          <w14:textFill>
            <w14:solidFill>
              <w14:schemeClr w14:val="tx1"/>
            </w14:solidFill>
          </w14:textFill>
        </w:rPr>
        <w:t>29</w:t>
      </w:r>
      <w:r>
        <w:rPr>
          <w:rFonts w:hint="eastAsia" w:ascii="宋体" w:hAnsi="宋体" w:eastAsia="宋体" w:cs="宋体"/>
          <w:color w:val="000000" w:themeColor="text1"/>
          <w:sz w:val="24"/>
          <w:highlight w:val="none"/>
          <w14:textFill>
            <w14:solidFill>
              <w14:schemeClr w14:val="tx1"/>
            </w14:solidFill>
          </w14:textFill>
        </w:rPr>
        <w:t>. 合同转包</w:t>
      </w:r>
      <w:bookmarkEnd w:id="173"/>
      <w:bookmarkEnd w:id="174"/>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29.1</w:t>
      </w:r>
      <w:r>
        <w:rPr>
          <w:rFonts w:hint="eastAsia" w:ascii="宋体" w:hAnsi="宋体" w:eastAsia="宋体" w:cs="宋体"/>
          <w:color w:val="000000" w:themeColor="text1"/>
          <w:highlight w:val="none"/>
          <w14:textFill>
            <w14:solidFill>
              <w14:schemeClr w14:val="tx1"/>
            </w14:solidFill>
          </w14:textFill>
        </w:rPr>
        <w:t>本采购项目严禁中标人将任何政府采购合同义务转包。本项目所称转包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是指中标人将政府采购合同义务转让给第三人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并退出现有政府采购合同当事人双方的权利义务关系</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受让人（即第三人）成为政府采购合同的另一方当事人的行为。</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29.2</w:t>
      </w:r>
      <w:r>
        <w:rPr>
          <w:rFonts w:hint="eastAsia" w:ascii="宋体" w:hAnsi="宋体" w:eastAsia="宋体" w:cs="宋体"/>
          <w:color w:val="000000" w:themeColor="text1"/>
          <w:highlight w:val="none"/>
          <w14:textFill>
            <w14:solidFill>
              <w14:schemeClr w14:val="tx1"/>
            </w14:solidFill>
          </w14:textFill>
        </w:rPr>
        <w:t>中标人转包的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视同拒绝履行政府采购合同义务</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将依法追究法律责任。</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75" w:name="_Toc217446066"/>
      <w:bookmarkStart w:id="176" w:name="_Toc17758"/>
      <w:bookmarkStart w:id="177" w:name="_Toc8443"/>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w:t>
      </w:r>
      <w:bookmarkEnd w:id="175"/>
      <w:r>
        <w:rPr>
          <w:rFonts w:hint="eastAsia" w:ascii="宋体" w:hAnsi="宋体" w:eastAsia="宋体" w:cs="宋体"/>
          <w:color w:val="000000" w:themeColor="text1"/>
          <w:sz w:val="24"/>
          <w:szCs w:val="24"/>
          <w:highlight w:val="none"/>
          <w14:textFill>
            <w14:solidFill>
              <w14:schemeClr w14:val="tx1"/>
            </w14:solidFill>
          </w14:textFill>
        </w:rPr>
        <w:t xml:space="preserve"> 补充合同</w:t>
      </w:r>
      <w:bookmarkEnd w:id="176"/>
      <w:bookmarkEnd w:id="177"/>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采购合同履行过程中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采购人需要追加与合同标的相同的货物</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在不改变合同其他条款的前提下</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可以与中标供应商协商签订补充合同</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但所有补充合同的采购金额不得超过原合同采购金额的百分之十</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该补充合同应当在原政府采购合同履行过程中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不得在原政府采购合同履行结束后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且采购货物的名称、价格、履约方式、验收标准等必须与原政府采购合同一致。 </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 w:val="0"/>
          <w:color w:val="000000" w:themeColor="text1"/>
          <w:sz w:val="24"/>
          <w:szCs w:val="24"/>
          <w:highlight w:val="none"/>
          <w14:textFill>
            <w14:solidFill>
              <w14:schemeClr w14:val="tx1"/>
            </w14:solidFill>
          </w14:textFill>
        </w:rPr>
      </w:pPr>
      <w:bookmarkStart w:id="178" w:name="_Toc217446068"/>
      <w:bookmarkStart w:id="179" w:name="_Toc25270"/>
      <w:bookmarkStart w:id="180" w:name="_Toc19129"/>
      <w:bookmarkStart w:id="181" w:name="_Toc308164812"/>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val="0"/>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履约保证金</w:t>
      </w:r>
      <w:bookmarkEnd w:id="178"/>
      <w:bookmarkEnd w:id="179"/>
      <w:bookmarkEnd w:id="180"/>
      <w:bookmarkEnd w:id="181"/>
    </w:p>
    <w:p>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31.1中标人</w:t>
      </w:r>
      <w:r>
        <w:rPr>
          <w:rFonts w:hint="eastAsia" w:ascii="宋体" w:hAnsi="宋体" w:eastAsia="宋体" w:cs="宋体"/>
          <w:color w:val="000000" w:themeColor="text1"/>
          <w:highlight w:val="none"/>
          <w14:textFill>
            <w14:solidFill>
              <w14:schemeClr w14:val="tx1"/>
            </w14:solidFill>
          </w14:textFill>
        </w:rPr>
        <w:t>应在合同签订之前</w:t>
      </w:r>
      <w:r>
        <w:rPr>
          <w:rFonts w:hint="eastAsia" w:ascii="宋体" w:hAnsi="宋体" w:eastAsia="宋体" w:cs="宋体"/>
          <w:color w:val="000000" w:themeColor="text1"/>
          <w:highlight w:val="none"/>
          <w:lang w:val="en-US" w:eastAsia="zh-CN"/>
          <w14:textFill>
            <w14:solidFill>
              <w14:schemeClr w14:val="tx1"/>
            </w14:solidFill>
          </w14:textFill>
        </w:rPr>
        <w:t>3个工作日</w:t>
      </w:r>
      <w:r>
        <w:rPr>
          <w:rFonts w:hint="eastAsia" w:ascii="宋体" w:hAnsi="宋体" w:eastAsia="宋体" w:cs="宋体"/>
          <w:color w:val="000000" w:themeColor="text1"/>
          <w:highlight w:val="none"/>
          <w14:textFill>
            <w14:solidFill>
              <w14:schemeClr w14:val="tx1"/>
            </w14:solidFill>
          </w14:textFill>
        </w:rPr>
        <w:t>交纳</w:t>
      </w:r>
      <w:r>
        <w:rPr>
          <w:rFonts w:hint="eastAsia" w:ascii="宋体" w:hAnsi="宋体" w:eastAsia="宋体" w:cs="宋体"/>
          <w:color w:val="000000" w:themeColor="text1"/>
          <w:highlight w:val="none"/>
          <w:lang w:val="en-US" w:eastAsia="zh-CN"/>
          <w14:textFill>
            <w14:solidFill>
              <w14:schemeClr w14:val="tx1"/>
            </w14:solidFill>
          </w14:textFill>
        </w:rPr>
        <w:t>招标</w:t>
      </w:r>
      <w:r>
        <w:rPr>
          <w:rFonts w:hint="eastAsia" w:ascii="宋体" w:hAnsi="宋体" w:eastAsia="宋体" w:cs="宋体"/>
          <w:color w:val="000000" w:themeColor="text1"/>
          <w:highlight w:val="none"/>
          <w14:textFill>
            <w14:solidFill>
              <w14:schemeClr w14:val="tx1"/>
            </w14:solidFill>
          </w14:textFill>
        </w:rPr>
        <w:t>文件规定数额的履约保证金。</w:t>
      </w:r>
    </w:p>
    <w:p>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31</w:t>
      </w:r>
      <w:r>
        <w:rPr>
          <w:rFonts w:hint="eastAsia" w:ascii="宋体" w:hAnsi="宋体" w:eastAsia="宋体" w:cs="宋体"/>
          <w:color w:val="000000" w:themeColor="text1"/>
          <w:highlight w:val="none"/>
          <w14:textFill>
            <w14:solidFill>
              <w14:schemeClr w14:val="tx1"/>
            </w14:solidFill>
          </w14:textFill>
        </w:rPr>
        <w:t>.2 如果</w:t>
      </w:r>
      <w:r>
        <w:rPr>
          <w:rFonts w:hint="eastAsia" w:ascii="宋体" w:hAnsi="宋体" w:eastAsia="宋体" w:cs="宋体"/>
          <w:color w:val="000000" w:themeColor="text1"/>
          <w:highlight w:val="none"/>
          <w:lang w:val="en-US" w:eastAsia="zh-CN"/>
          <w14:textFill>
            <w14:solidFill>
              <w14:schemeClr w14:val="tx1"/>
            </w14:solidFill>
          </w14:textFill>
        </w:rPr>
        <w:t>中标人</w:t>
      </w:r>
      <w:r>
        <w:rPr>
          <w:rFonts w:hint="eastAsia" w:ascii="宋体" w:hAnsi="宋体" w:eastAsia="宋体" w:cs="宋体"/>
          <w:color w:val="000000" w:themeColor="text1"/>
          <w:highlight w:val="none"/>
          <w14:textFill>
            <w14:solidFill>
              <w14:schemeClr w14:val="tx1"/>
            </w14:solidFill>
          </w14:textFill>
        </w:rPr>
        <w:t>在规定的合同签订时间内，没有按照</w:t>
      </w:r>
      <w:r>
        <w:rPr>
          <w:rFonts w:hint="eastAsia" w:ascii="宋体" w:hAnsi="宋体" w:eastAsia="宋体" w:cs="宋体"/>
          <w:color w:val="000000" w:themeColor="text1"/>
          <w:highlight w:val="none"/>
          <w:lang w:val="en-US" w:eastAsia="zh-CN"/>
          <w14:textFill>
            <w14:solidFill>
              <w14:schemeClr w14:val="tx1"/>
            </w14:solidFill>
          </w14:textFill>
        </w:rPr>
        <w:t>招标</w:t>
      </w:r>
      <w:r>
        <w:rPr>
          <w:rFonts w:hint="eastAsia" w:ascii="宋体" w:hAnsi="宋体" w:eastAsia="宋体" w:cs="宋体"/>
          <w:color w:val="000000" w:themeColor="text1"/>
          <w:highlight w:val="none"/>
          <w14:textFill>
            <w14:solidFill>
              <w14:schemeClr w14:val="tx1"/>
            </w14:solidFill>
          </w14:textFill>
        </w:rPr>
        <w:t>文件的规定交纳履约保证金，且又无正当理由的，将视为放弃</w:t>
      </w:r>
      <w:r>
        <w:rPr>
          <w:rFonts w:hint="eastAsia" w:ascii="宋体" w:hAnsi="宋体" w:eastAsia="宋体" w:cs="宋体"/>
          <w:color w:val="000000" w:themeColor="text1"/>
          <w:highlight w:val="none"/>
          <w:lang w:val="en-US" w:eastAsia="zh-CN"/>
          <w14:textFill>
            <w14:solidFill>
              <w14:schemeClr w14:val="tx1"/>
            </w14:solidFill>
          </w14:textFill>
        </w:rPr>
        <w:t>中标</w:t>
      </w:r>
      <w:r>
        <w:rPr>
          <w:rFonts w:hint="eastAsia" w:ascii="宋体" w:hAnsi="宋体" w:eastAsia="宋体" w:cs="宋体"/>
          <w:color w:val="000000" w:themeColor="text1"/>
          <w:highlight w:val="none"/>
          <w14:textFill>
            <w14:solidFill>
              <w14:schemeClr w14:val="tx1"/>
            </w14:solidFill>
          </w14:textFill>
        </w:rPr>
        <w:t>。</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31.3验收合格后，采购人退还履约保证金；验收不合格的，不予退还履约保证金</w:t>
      </w:r>
      <w:r>
        <w:rPr>
          <w:rFonts w:hint="eastAsia" w:ascii="宋体" w:hAnsi="宋体" w:eastAsia="宋体" w:cs="宋体"/>
          <w:color w:val="000000" w:themeColor="text1"/>
          <w:highlight w:val="none"/>
          <w14:textFill>
            <w14:solidFill>
              <w14:schemeClr w14:val="tx1"/>
            </w14:solidFill>
          </w14:textFill>
        </w:rPr>
        <w:t>。</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82" w:name="_Toc25276"/>
      <w:bookmarkStart w:id="183" w:name="_Toc9044"/>
      <w:bookmarkStart w:id="184" w:name="_Toc308164813"/>
      <w:bookmarkStart w:id="185" w:name="_Toc217446069"/>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 合同公告</w:t>
      </w:r>
      <w:bookmarkEnd w:id="182"/>
      <w:bookmarkEnd w:id="183"/>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采购人应当自政府采购合同签订（双方均已盖章）之日起2个工作日内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将政府采购合同在省级以上人民政府财政部门指定的媒体上公告（四川政府采购网）</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但政府采购合同中涉及国家秘密、商业秘密的内容除外。</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86" w:name="_Toc28218"/>
      <w:bookmarkStart w:id="187" w:name="_Toc4523"/>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 合同备案</w:t>
      </w:r>
      <w:bookmarkEnd w:id="186"/>
      <w:bookmarkEnd w:id="187"/>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采购人应当将政府采购合同副本自签订（双方均已盖章）之日起</w:t>
      </w: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个工作日内通过四川政府采购网报同级财政部门备案。</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 w:val="0"/>
          <w:color w:val="000000" w:themeColor="text1"/>
          <w:sz w:val="24"/>
          <w:szCs w:val="24"/>
          <w:highlight w:val="none"/>
          <w14:textFill>
            <w14:solidFill>
              <w14:schemeClr w14:val="tx1"/>
            </w14:solidFill>
          </w14:textFill>
        </w:rPr>
      </w:pPr>
      <w:bookmarkStart w:id="188" w:name="_Toc15339"/>
      <w:bookmarkStart w:id="189" w:name="_Toc20294"/>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 履行合同</w:t>
      </w:r>
      <w:bookmarkEnd w:id="184"/>
      <w:bookmarkEnd w:id="185"/>
      <w:bookmarkEnd w:id="188"/>
      <w:bookmarkEnd w:id="189"/>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.1 采购人与中标人应当根据合同的约定依法履行合同义务。</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.2政府采购合同的履行、违约责任和解决争议的方法等适用《中华人民共和国</w:t>
      </w:r>
      <w:r>
        <w:rPr>
          <w:rFonts w:hint="eastAsia" w:ascii="宋体" w:hAnsi="宋体" w:eastAsia="宋体" w:cs="宋体"/>
          <w:color w:val="000000" w:themeColor="text1"/>
          <w:highlight w:val="none"/>
          <w:lang w:val="en-US" w:eastAsia="zh-CN"/>
          <w14:textFill>
            <w14:solidFill>
              <w14:schemeClr w14:val="tx1"/>
            </w14:solidFill>
          </w14:textFill>
        </w:rPr>
        <w:t>民法典</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合同编的规定</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 w:val="0"/>
          <w:color w:val="000000" w:themeColor="text1"/>
          <w:sz w:val="24"/>
          <w:szCs w:val="24"/>
          <w:highlight w:val="none"/>
          <w14:textFill>
            <w14:solidFill>
              <w14:schemeClr w14:val="tx1"/>
            </w14:solidFill>
          </w14:textFill>
        </w:rPr>
      </w:pPr>
      <w:bookmarkStart w:id="190" w:name="_Toc308164814"/>
      <w:bookmarkStart w:id="191" w:name="_Toc1074"/>
      <w:bookmarkStart w:id="192" w:name="_Toc1383"/>
      <w:bookmarkStart w:id="193" w:name="_Toc217446070"/>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 验收</w:t>
      </w:r>
      <w:bookmarkEnd w:id="190"/>
      <w:bookmarkEnd w:id="191"/>
      <w:bookmarkEnd w:id="192"/>
      <w:bookmarkEnd w:id="193"/>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bookmarkStart w:id="194" w:name="_Toc217446071"/>
      <w:r>
        <w:rPr>
          <w:rFonts w:hint="eastAsia" w:ascii="宋体" w:hAnsi="宋体" w:eastAsia="宋体" w:cs="宋体"/>
          <w:color w:val="000000" w:themeColor="text1"/>
          <w:highlight w:val="none"/>
          <w14:textFill>
            <w14:solidFill>
              <w14:schemeClr w14:val="tx1"/>
            </w14:solidFill>
          </w14:textFill>
        </w:rPr>
        <w:t>详见招标文件第六章商务要求。</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195" w:name="_Toc217446077"/>
      <w:bookmarkStart w:id="196" w:name="_Toc20918"/>
      <w:bookmarkStart w:id="197" w:name="_Toc308164818"/>
      <w:bookmarkStart w:id="198" w:name="_Toc8694"/>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 资金支付</w:t>
      </w:r>
      <w:bookmarkEnd w:id="165"/>
      <w:bookmarkEnd w:id="166"/>
      <w:bookmarkEnd w:id="194"/>
      <w:bookmarkEnd w:id="195"/>
      <w:bookmarkEnd w:id="196"/>
      <w:bookmarkEnd w:id="197"/>
      <w:bookmarkEnd w:id="198"/>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bCs/>
          <w:color w:val="000000" w:themeColor="text1"/>
          <w:highlight w:val="none"/>
          <w14:textFill>
            <w14:solidFill>
              <w14:schemeClr w14:val="tx1"/>
            </w14:solidFill>
          </w14:textFill>
        </w:rPr>
      </w:pPr>
      <w:bookmarkStart w:id="199" w:name="_Toc217446074"/>
      <w:bookmarkStart w:id="200" w:name="_Toc308164815"/>
      <w:bookmarkStart w:id="201" w:name="_Toc183582243"/>
      <w:bookmarkStart w:id="202" w:name="_Toc183682380"/>
      <w:r>
        <w:rPr>
          <w:rFonts w:hint="eastAsia" w:ascii="宋体" w:hAnsi="宋体" w:eastAsia="宋体" w:cs="宋体"/>
          <w:bCs/>
          <w:color w:val="000000" w:themeColor="text1"/>
          <w:highlight w:val="none"/>
          <w14:textFill>
            <w14:solidFill>
              <w14:schemeClr w14:val="tx1"/>
            </w14:solidFill>
          </w14:textFill>
        </w:rPr>
        <w:t>详见招标文件第六章商务要求。</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03" w:name="_Toc9020"/>
      <w:bookmarkStart w:id="204" w:name="_Toc17362"/>
      <w:bookmarkStart w:id="205" w:name="_Toc1638"/>
      <w:r>
        <w:rPr>
          <w:rFonts w:hint="eastAsia" w:ascii="宋体" w:hAnsi="宋体" w:eastAsia="宋体" w:cs="宋体"/>
          <w:color w:val="000000" w:themeColor="text1"/>
          <w:sz w:val="24"/>
          <w:szCs w:val="24"/>
          <w:highlight w:val="none"/>
          <w:lang w:val="en-US" w:eastAsia="zh-CN"/>
          <w14:textFill>
            <w14:solidFill>
              <w14:schemeClr w14:val="tx1"/>
            </w14:solidFill>
          </w14:textFill>
        </w:rPr>
        <w:t>37</w:t>
      </w:r>
      <w:r>
        <w:rPr>
          <w:rFonts w:hint="eastAsia" w:ascii="宋体" w:hAnsi="宋体" w:eastAsia="宋体" w:cs="宋体"/>
          <w:color w:val="000000" w:themeColor="text1"/>
          <w:sz w:val="24"/>
          <w:szCs w:val="24"/>
          <w:highlight w:val="none"/>
          <w14:textFill>
            <w14:solidFill>
              <w14:schemeClr w14:val="tx1"/>
            </w14:solidFill>
          </w14:textFill>
        </w:rPr>
        <w:t>. 招标代理服务费</w:t>
      </w:r>
      <w:bookmarkEnd w:id="203"/>
      <w:bookmarkEnd w:id="204"/>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详见投标人须知附表</w:t>
      </w:r>
      <w:r>
        <w:rPr>
          <w:rFonts w:hint="eastAsia" w:ascii="宋体" w:hAnsi="宋体" w:eastAsia="宋体" w:cs="宋体"/>
          <w:color w:val="000000" w:themeColor="text1"/>
          <w:highlight w:val="none"/>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color w:val="000000" w:themeColor="text1"/>
          <w:szCs w:val="28"/>
          <w:highlight w:val="none"/>
          <w14:textFill>
            <w14:solidFill>
              <w14:schemeClr w14:val="tx1"/>
            </w14:solidFill>
          </w14:textFill>
        </w:rPr>
      </w:pPr>
      <w:bookmarkStart w:id="206" w:name="_Toc18659"/>
      <w:r>
        <w:rPr>
          <w:rFonts w:hint="eastAsia" w:ascii="宋体" w:hAnsi="宋体" w:eastAsia="宋体" w:cs="宋体"/>
          <w:color w:val="000000" w:themeColor="text1"/>
          <w:szCs w:val="28"/>
          <w:highlight w:val="none"/>
          <w14:textFill>
            <w14:solidFill>
              <w14:schemeClr w14:val="tx1"/>
            </w14:solidFill>
          </w14:textFill>
        </w:rPr>
        <w:t>七、投标纪律要求</w:t>
      </w:r>
      <w:bookmarkEnd w:id="199"/>
      <w:bookmarkEnd w:id="200"/>
      <w:bookmarkEnd w:id="205"/>
      <w:bookmarkEnd w:id="206"/>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Cs w:val="0"/>
          <w:color w:val="000000" w:themeColor="text1"/>
          <w:sz w:val="24"/>
          <w:szCs w:val="24"/>
          <w:highlight w:val="none"/>
          <w14:textFill>
            <w14:solidFill>
              <w14:schemeClr w14:val="tx1"/>
            </w14:solidFill>
          </w14:textFill>
        </w:rPr>
      </w:pPr>
      <w:bookmarkStart w:id="207" w:name="_Toc26384"/>
      <w:bookmarkStart w:id="208" w:name="_Toc1518"/>
      <w:bookmarkStart w:id="209" w:name="_Toc308164816"/>
      <w:bookmarkStart w:id="210" w:name="_Toc217446075"/>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eastAsia="宋体" w:cs="宋体"/>
          <w:color w:val="000000" w:themeColor="text1"/>
          <w:sz w:val="24"/>
          <w:highlight w:val="none"/>
          <w:lang w:val="en-US" w:eastAsia="zh-CN"/>
          <w14:textFill>
            <w14:solidFill>
              <w14:schemeClr w14:val="tx1"/>
            </w14:solidFill>
          </w14:textFill>
        </w:rPr>
        <w:t>8</w:t>
      </w: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bCs w:val="0"/>
          <w:color w:val="000000" w:themeColor="text1"/>
          <w:sz w:val="24"/>
          <w:szCs w:val="24"/>
          <w:highlight w:val="none"/>
          <w14:textFill>
            <w14:solidFill>
              <w14:schemeClr w14:val="tx1"/>
            </w14:solidFill>
          </w14:textFill>
        </w:rPr>
        <w:t>投标人不得具有的情形</w:t>
      </w:r>
      <w:bookmarkEnd w:id="207"/>
      <w:bookmarkEnd w:id="208"/>
      <w:bookmarkEnd w:id="209"/>
      <w:bookmarkEnd w:id="210"/>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投标人参加本项目投标不得有下列情形：</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（1）提供虚假材料谋取中标；</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（2）采取不正当手段诋毁、排挤其他投标人；</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（3）与采购人、采购代理机构、其他投标人恶意串通；</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（4）向采购人、采购代理机构、评标委员会成员行贿或者提供其他不正当利益；</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（5）在招标过程中与采购人、采购代理机构进行协商谈判；</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（6）中标或者成交后无正当理由拒不与采购人签订政府采购合同；</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（7）未按照采购文件确定的事项签订政府采购合同；</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（8）将政府采购合同转包或者违规分包；</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（9）提供假冒伪劣产品；</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（10）擅自变更、中止或者终止政府采购合同；</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（11）拒绝有关部门的监督检查或者向监督检查部门提供虚假情况；</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（12）法律法规规定的其他情形。</w:t>
      </w:r>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投标人有上述情形的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按照规定追究法律责任</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具备（1）-（10）条情形之一的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同时将取消中标资格或者认定中标无效。</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bCs w:val="0"/>
          <w:color w:val="000000" w:themeColor="text1"/>
          <w:szCs w:val="28"/>
          <w:highlight w:val="none"/>
          <w14:textFill>
            <w14:solidFill>
              <w14:schemeClr w14:val="tx1"/>
            </w14:solidFill>
          </w14:textFill>
        </w:rPr>
      </w:pPr>
      <w:bookmarkStart w:id="211" w:name="_Toc12092"/>
      <w:bookmarkStart w:id="212" w:name="_Toc3776"/>
      <w:bookmarkStart w:id="213" w:name="_Toc308164819"/>
      <w:bookmarkStart w:id="214" w:name="_Toc217446078"/>
      <w:r>
        <w:rPr>
          <w:rFonts w:hint="eastAsia" w:ascii="宋体" w:hAnsi="宋体" w:eastAsia="宋体" w:cs="宋体"/>
          <w:bCs w:val="0"/>
          <w:color w:val="000000" w:themeColor="text1"/>
          <w:szCs w:val="28"/>
          <w:highlight w:val="none"/>
          <w14:textFill>
            <w14:solidFill>
              <w14:schemeClr w14:val="tx1"/>
            </w14:solidFill>
          </w14:textFill>
        </w:rPr>
        <w:t>八、询问、质疑和投诉</w:t>
      </w:r>
      <w:bookmarkEnd w:id="201"/>
      <w:bookmarkEnd w:id="202"/>
      <w:bookmarkEnd w:id="211"/>
      <w:bookmarkEnd w:id="212"/>
      <w:bookmarkEnd w:id="213"/>
      <w:bookmarkEnd w:id="214"/>
      <w:bookmarkStart w:id="215" w:name="_Toc217446079"/>
      <w:bookmarkEnd w:id="215"/>
    </w:p>
    <w:p>
      <w:pPr>
        <w:pageBreakBefore w:val="0"/>
        <w:kinsoku/>
        <w:wordWrap/>
        <w:overflowPunct/>
        <w:topLinePunct w:val="0"/>
        <w:autoSpaceDN/>
        <w:bidi w:val="0"/>
        <w:snapToGrid/>
        <w:spacing w:line="360" w:lineRule="auto"/>
        <w:ind w:left="0" w:leftChars="0" w:right="0" w:rightChars="0" w:firstLine="48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lang w:val="en-US" w:eastAsia="zh-CN"/>
          <w14:textFill>
            <w14:solidFill>
              <w14:schemeClr w14:val="tx1"/>
            </w14:solidFill>
          </w14:textFill>
        </w:rPr>
        <w:t>39</w:t>
      </w:r>
      <w:r>
        <w:rPr>
          <w:rFonts w:hint="eastAsia" w:ascii="宋体" w:hAnsi="宋体" w:eastAsia="宋体" w:cs="宋体"/>
          <w:color w:val="000000" w:themeColor="text1"/>
          <w:highlight w:val="none"/>
          <w14:textFill>
            <w14:solidFill>
              <w14:schemeClr w14:val="tx1"/>
            </w14:solidFill>
          </w14:textFill>
        </w:rPr>
        <w:t>．供应商对政府采购活动有疑问的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可以向采购人或其委托的采购代理机构提出询问。询问应当明确询问事项</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以书面形式提出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并由供应商签字或者加盖公章。采购人及有权答复的采购代理机构应当以书面形式答复供应商的询问。本项目政府采购项目代理协议中约定：关于采购需求方面的询问和质疑由采购人负责答复</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其他方面的询问、质疑由采购代理机构负责接收和处理。</w:t>
      </w:r>
    </w:p>
    <w:p>
      <w:pPr>
        <w:pageBreakBefore w:val="0"/>
        <w:kinsoku/>
        <w:wordWrap/>
        <w:overflowPunct/>
        <w:topLinePunct w:val="0"/>
        <w:autoSpaceDN/>
        <w:bidi w:val="0"/>
        <w:snapToGrid/>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质疑、投诉的接收和处理严格按照《中华人</w:t>
      </w:r>
      <w:r>
        <w:rPr>
          <w:rFonts w:hint="eastAsia" w:ascii="宋体" w:hAnsi="宋体" w:eastAsia="宋体" w:cs="宋体"/>
          <w:color w:val="000000" w:themeColor="text1"/>
          <w:highlight w:val="none"/>
          <w:lang w:val="en-US" w:eastAsia="zh-CN"/>
          <w14:textFill>
            <w14:solidFill>
              <w14:schemeClr w14:val="tx1"/>
            </w14:solidFill>
          </w14:textFill>
        </w:rPr>
        <w:t>民</w:t>
      </w:r>
      <w:r>
        <w:rPr>
          <w:rFonts w:hint="eastAsia" w:ascii="宋体" w:hAnsi="宋体" w:eastAsia="宋体" w:cs="宋体"/>
          <w:color w:val="000000" w:themeColor="text1"/>
          <w:highlight w:val="none"/>
          <w14:textFill>
            <w14:solidFill>
              <w14:schemeClr w14:val="tx1"/>
            </w14:solidFill>
          </w14:textFill>
        </w:rPr>
        <w:t>共和国政府采购法》、《中华人民共和国政府采购法实施条例》、《政府采购质疑和投诉办法》等规定办理（详细规定请在四川政府采购网法律法规模块查询）。</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eastAsia="宋体" w:cs="宋体"/>
          <w:bCs w:val="0"/>
          <w:color w:val="000000" w:themeColor="text1"/>
          <w:szCs w:val="28"/>
          <w:highlight w:val="none"/>
          <w14:textFill>
            <w14:solidFill>
              <w14:schemeClr w14:val="tx1"/>
            </w14:solidFill>
          </w14:textFill>
        </w:rPr>
      </w:pPr>
      <w:bookmarkStart w:id="216" w:name="_Toc28755"/>
      <w:bookmarkStart w:id="217" w:name="_Toc4857"/>
      <w:r>
        <w:rPr>
          <w:rFonts w:hint="eastAsia" w:ascii="宋体" w:hAnsi="宋体" w:eastAsia="宋体" w:cs="宋体"/>
          <w:bCs w:val="0"/>
          <w:color w:val="000000" w:themeColor="text1"/>
          <w:szCs w:val="28"/>
          <w:highlight w:val="none"/>
          <w14:textFill>
            <w14:solidFill>
              <w14:schemeClr w14:val="tx1"/>
            </w14:solidFill>
          </w14:textFill>
        </w:rPr>
        <w:t>九、其他</w:t>
      </w:r>
      <w:bookmarkEnd w:id="216"/>
      <w:bookmarkEnd w:id="217"/>
    </w:p>
    <w:p>
      <w:pPr>
        <w:pageBreakBefore w:val="0"/>
        <w:kinsoku/>
        <w:wordWrap/>
        <w:overflowPunct/>
        <w:topLinePunct w:val="0"/>
        <w:autoSpaceDN/>
        <w:bidi w:val="0"/>
        <w:snapToGrid/>
        <w:spacing w:line="360" w:lineRule="auto"/>
        <w:ind w:left="0" w:leftChars="0" w:right="0" w:rightChars="0" w:firstLine="482"/>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4</w:t>
      </w:r>
      <w:r>
        <w:rPr>
          <w:rFonts w:hint="eastAsia" w:ascii="宋体" w:hAnsi="宋体" w:eastAsia="宋体" w:cs="宋体"/>
          <w:b/>
          <w:color w:val="000000" w:themeColor="text1"/>
          <w:highlight w:val="none"/>
          <w:lang w:val="en-US" w:eastAsia="zh-CN"/>
          <w14:textFill>
            <w14:solidFill>
              <w14:schemeClr w14:val="tx1"/>
            </w14:solidFill>
          </w14:textFill>
        </w:rPr>
        <w:t>0</w:t>
      </w:r>
      <w:r>
        <w:rPr>
          <w:rFonts w:hint="eastAsia" w:ascii="宋体" w:hAnsi="宋体" w:eastAsia="宋体" w:cs="宋体"/>
          <w:b/>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本招标文件中所引相关法律制度规定</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在政府采购中有变化的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按照变化后的相关法律制度规定执行。本章和第七章中“1.总则、2.评标方法、3.评标程序”规定的内容条款</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在本项目投标截止时间届满后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因相关法律制度规定的变化导致不符合相关法律制度规定的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直接按照变化后的相关法律制度规定执行</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本招标文件不再做调整。</w:t>
      </w:r>
      <w:bookmarkStart w:id="218" w:name="_Toc6141"/>
      <w:bookmarkStart w:id="219" w:name="_Toc217446083"/>
      <w:r>
        <w:rPr>
          <w:rFonts w:hint="eastAsia" w:ascii="宋体" w:hAnsi="宋体" w:eastAsia="宋体" w:cs="宋体"/>
          <w:b/>
          <w:bCs/>
          <w:color w:val="000000" w:themeColor="text1"/>
          <w:sz w:val="36"/>
          <w:szCs w:val="36"/>
          <w:highlight w:val="none"/>
          <w14:textFill>
            <w14:solidFill>
              <w14:schemeClr w14:val="tx1"/>
            </w14:solidFill>
          </w14:textFill>
        </w:rPr>
        <w:br w:type="page"/>
      </w:r>
    </w:p>
    <w:p>
      <w:pPr>
        <w:pageBreakBefore w:val="0"/>
        <w:widowControl/>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outlineLvl w:val="0"/>
        <w:rPr>
          <w:rFonts w:hint="eastAsia" w:ascii="宋体" w:hAnsi="宋体" w:eastAsia="宋体" w:cs="宋体"/>
          <w:b/>
          <w:bCs/>
          <w:color w:val="000000" w:themeColor="text1"/>
          <w:sz w:val="36"/>
          <w:szCs w:val="36"/>
          <w:highlight w:val="none"/>
          <w14:textFill>
            <w14:solidFill>
              <w14:schemeClr w14:val="tx1"/>
            </w14:solidFill>
          </w14:textFill>
        </w:rPr>
      </w:pPr>
      <w:bookmarkStart w:id="220" w:name="_Toc20130"/>
      <w:r>
        <w:rPr>
          <w:rFonts w:hint="eastAsia" w:ascii="宋体" w:hAnsi="宋体" w:eastAsia="宋体" w:cs="宋体"/>
          <w:b/>
          <w:bCs w:val="0"/>
          <w:color w:val="000000" w:themeColor="text1"/>
          <w:kern w:val="2"/>
          <w:sz w:val="36"/>
          <w:szCs w:val="32"/>
          <w:highlight w:val="none"/>
          <w:lang w:val="en-US" w:eastAsia="zh-CN" w:bidi="ar-SA"/>
          <w14:textFill>
            <w14:solidFill>
              <w14:schemeClr w14:val="tx1"/>
            </w14:solidFill>
          </w14:textFill>
        </w:rPr>
        <w:t>第三章 投标文件格式</w:t>
      </w:r>
      <w:bookmarkEnd w:id="218"/>
      <w:bookmarkEnd w:id="220"/>
      <w:bookmarkStart w:id="221" w:name="_Toc308164821"/>
      <w:bookmarkStart w:id="222" w:name="_Toc217446082"/>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一、本章所制投标文件格式有关表格中的备注栏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由投标人根据自身投标情况作解释性说明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不作为必填项。</w:t>
      </w: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二、本章所制投标文件格式中需要填写的相关内容事项</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可能会与本采购项目无关</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在不改变投标文件原</w:t>
      </w:r>
      <w:r>
        <w:rPr>
          <w:rFonts w:hint="eastAsia" w:ascii="宋体" w:hAnsi="宋体" w:eastAsia="宋体" w:cs="宋体"/>
          <w:color w:val="000000" w:themeColor="text1"/>
          <w:highlight w:val="none"/>
          <w:lang w:val="en-US" w:eastAsia="zh-CN"/>
          <w14:textFill>
            <w14:solidFill>
              <w14:schemeClr w14:val="tx1"/>
            </w14:solidFill>
          </w14:textFill>
        </w:rPr>
        <w:t>意</w:t>
      </w:r>
      <w:r>
        <w:rPr>
          <w:rFonts w:hint="eastAsia" w:ascii="宋体" w:hAnsi="宋体" w:eastAsia="宋体" w:cs="宋体"/>
          <w:color w:val="000000" w:themeColor="text1"/>
          <w:highlight w:val="none"/>
          <w14:textFill>
            <w14:solidFill>
              <w14:schemeClr w14:val="tx1"/>
            </w14:solidFill>
          </w14:textFill>
        </w:rPr>
        <w:t>、不影响本项目采购需求的情况下</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投标人可以不予填写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但应当注明。</w:t>
      </w: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三、对于投标文件格式中表格下方的说明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投标人在投标文件中自行删除备注且在该格式中无其他特别说明的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视为默认接受该项条款。</w:t>
      </w: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p>
    <w:p>
      <w:pPr>
        <w:pStyle w:val="4"/>
        <w:spacing w:line="460" w:lineRule="exact"/>
        <w:jc w:val="center"/>
        <w:rPr>
          <w:rFonts w:hint="eastAsia" w:ascii="宋体" w:hAnsi="宋体" w:eastAsia="宋体" w:cs="宋体"/>
          <w:b/>
          <w:bCs/>
          <w:color w:val="000000" w:themeColor="text1"/>
          <w:szCs w:val="28"/>
          <w:highlight w:val="none"/>
          <w14:textFill>
            <w14:solidFill>
              <w14:schemeClr w14:val="tx1"/>
            </w14:solidFill>
          </w14:textFill>
        </w:rPr>
      </w:pPr>
      <w:bookmarkStart w:id="223" w:name="_Toc21526"/>
      <w:bookmarkStart w:id="224" w:name="_Toc470867084"/>
      <w:bookmarkStart w:id="225" w:name="_Toc14940"/>
      <w:r>
        <w:rPr>
          <w:rFonts w:hint="eastAsia" w:ascii="宋体" w:hAnsi="宋体" w:eastAsia="宋体" w:cs="宋体"/>
          <w:b/>
          <w:bCs/>
          <w:color w:val="000000" w:themeColor="text1"/>
          <w:highlight w:val="none"/>
          <w:lang w:eastAsia="zh-CN"/>
          <w14:textFill>
            <w14:solidFill>
              <w14:schemeClr w14:val="tx1"/>
            </w14:solidFill>
          </w14:textFill>
        </w:rPr>
        <w:t>第</w:t>
      </w:r>
      <w:r>
        <w:rPr>
          <w:rFonts w:hint="eastAsia" w:ascii="宋体" w:hAnsi="宋体" w:eastAsia="宋体" w:cs="宋体"/>
          <w:b/>
          <w:bCs/>
          <w:color w:val="000000" w:themeColor="text1"/>
          <w:highlight w:val="none"/>
          <w14:textFill>
            <w14:solidFill>
              <w14:schemeClr w14:val="tx1"/>
            </w14:solidFill>
          </w14:textFill>
        </w:rPr>
        <w:t>一</w:t>
      </w:r>
      <w:r>
        <w:rPr>
          <w:rFonts w:hint="eastAsia" w:ascii="宋体" w:hAnsi="宋体" w:eastAsia="宋体" w:cs="宋体"/>
          <w:b/>
          <w:bCs/>
          <w:color w:val="000000" w:themeColor="text1"/>
          <w:highlight w:val="none"/>
          <w:lang w:eastAsia="zh-CN"/>
          <w14:textFill>
            <w14:solidFill>
              <w14:schemeClr w14:val="tx1"/>
            </w14:solidFill>
          </w14:textFill>
        </w:rPr>
        <w:t>部分：</w:t>
      </w:r>
      <w:r>
        <w:rPr>
          <w:rFonts w:hint="eastAsia" w:ascii="宋体" w:hAnsi="宋体" w:eastAsia="宋体" w:cs="宋体"/>
          <w:b/>
          <w:bCs/>
          <w:color w:val="000000" w:themeColor="text1"/>
          <w:highlight w:val="none"/>
          <w:lang w:val="en-US" w:eastAsia="zh-CN"/>
          <w14:textFill>
            <w14:solidFill>
              <w14:schemeClr w14:val="tx1"/>
            </w14:solidFill>
          </w14:textFill>
        </w:rPr>
        <w:t>资格性</w:t>
      </w:r>
      <w:r>
        <w:rPr>
          <w:rFonts w:hint="eastAsia" w:ascii="宋体" w:hAnsi="宋体" w:eastAsia="宋体" w:cs="宋体"/>
          <w:b/>
          <w:bCs/>
          <w:color w:val="000000" w:themeColor="text1"/>
          <w:szCs w:val="28"/>
          <w:highlight w:val="none"/>
          <w14:textFill>
            <w14:solidFill>
              <w14:schemeClr w14:val="tx1"/>
            </w14:solidFill>
          </w14:textFill>
        </w:rPr>
        <w:t>投标文件</w:t>
      </w:r>
    </w:p>
    <w:p>
      <w:pPr>
        <w:ind w:firstLine="640"/>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资格性</w:t>
      </w:r>
      <w:r>
        <w:rPr>
          <w:rFonts w:hint="eastAsia" w:ascii="宋体" w:hAnsi="宋体" w:eastAsia="宋体" w:cs="宋体"/>
          <w:b/>
          <w:bCs/>
          <w:color w:val="000000" w:themeColor="text1"/>
          <w:sz w:val="32"/>
          <w:szCs w:val="32"/>
          <w:highlight w:val="none"/>
          <w14:textFill>
            <w14:solidFill>
              <w14:schemeClr w14:val="tx1"/>
            </w14:solidFill>
          </w14:textFill>
        </w:rPr>
        <w:t>投标文件封面格式</w:t>
      </w:r>
    </w:p>
    <w:p>
      <w:pPr>
        <w:spacing w:line="360" w:lineRule="auto"/>
        <w:ind w:firstLine="480"/>
        <w:rPr>
          <w:rFonts w:hint="eastAsia" w:ascii="宋体" w:hAnsi="宋体" w:eastAsia="宋体" w:cs="宋体"/>
          <w:b/>
          <w:bCs/>
          <w:color w:val="000000" w:themeColor="text1"/>
          <w:szCs w:val="21"/>
          <w:highlight w:val="none"/>
          <w14:textFill>
            <w14:solidFill>
              <w14:schemeClr w14:val="tx1"/>
            </w14:solidFill>
          </w14:textFill>
        </w:rPr>
      </w:pPr>
    </w:p>
    <w:p>
      <w:pPr>
        <w:spacing w:line="360" w:lineRule="auto"/>
        <w:ind w:left="0" w:leftChars="0" w:firstLine="0" w:firstLineChars="0"/>
        <w:rPr>
          <w:rFonts w:hint="eastAsia" w:ascii="宋体" w:hAnsi="宋体" w:eastAsia="宋体" w:cs="宋体"/>
          <w:b/>
          <w:bCs/>
          <w:color w:val="000000" w:themeColor="text1"/>
          <w:szCs w:val="21"/>
          <w:highlight w:val="none"/>
          <w14:textFill>
            <w14:solidFill>
              <w14:schemeClr w14:val="tx1"/>
            </w14:solidFill>
          </w14:textFill>
        </w:rPr>
      </w:pPr>
    </w:p>
    <w:p>
      <w:pPr>
        <w:spacing w:line="360" w:lineRule="auto"/>
        <w:ind w:firstLine="480"/>
        <w:jc w:val="right"/>
        <w:rPr>
          <w:rFonts w:hint="eastAsia" w:ascii="宋体" w:hAnsi="宋体" w:eastAsia="宋体" w:cs="宋体"/>
          <w:b/>
          <w:bCs/>
          <w:color w:val="000000" w:themeColor="text1"/>
          <w:highlight w:val="none"/>
          <w14:textFill>
            <w14:solidFill>
              <w14:schemeClr w14:val="tx1"/>
            </w14:solidFill>
          </w14:textFill>
        </w:rPr>
      </w:pPr>
    </w:p>
    <w:p>
      <w:pPr>
        <w:spacing w:line="360" w:lineRule="auto"/>
        <w:ind w:firstLine="2712"/>
        <w:jc w:val="center"/>
        <w:rPr>
          <w:rFonts w:hint="eastAsia" w:ascii="宋体" w:hAnsi="宋体" w:eastAsia="宋体" w:cs="宋体"/>
          <w:b/>
          <w:bCs/>
          <w:color w:val="000000" w:themeColor="text1"/>
          <w:sz w:val="36"/>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资格性</w:t>
      </w:r>
      <w:r>
        <w:rPr>
          <w:rFonts w:hint="eastAsia" w:ascii="宋体" w:hAnsi="宋体" w:eastAsia="宋体" w:cs="宋体"/>
          <w:b/>
          <w:bCs/>
          <w:color w:val="000000" w:themeColor="text1"/>
          <w:sz w:val="32"/>
          <w:szCs w:val="32"/>
          <w:highlight w:val="none"/>
          <w14:textFill>
            <w14:solidFill>
              <w14:schemeClr w14:val="tx1"/>
            </w14:solidFill>
          </w14:textFill>
        </w:rPr>
        <w:t>投标文件</w:t>
      </w:r>
    </w:p>
    <w:p>
      <w:pPr>
        <w:pStyle w:val="19"/>
        <w:wordWrap w:val="0"/>
        <w:topLinePunct/>
        <w:spacing w:after="0" w:line="1000" w:lineRule="exact"/>
        <w:ind w:left="480" w:firstLine="600"/>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 xml:space="preserve">      </w:t>
      </w:r>
    </w:p>
    <w:p>
      <w:pPr>
        <w:pStyle w:val="19"/>
        <w:wordWrap w:val="0"/>
        <w:topLinePunct/>
        <w:spacing w:after="0" w:line="1000" w:lineRule="exact"/>
        <w:ind w:left="480" w:firstLine="1506" w:firstLineChars="500"/>
        <w:rPr>
          <w:rFonts w:hint="eastAsia" w:ascii="宋体" w:hAnsi="宋体" w:eastAsia="宋体" w:cs="宋体"/>
          <w:b/>
          <w:bCs/>
          <w:color w:val="000000" w:themeColor="text1"/>
          <w:sz w:val="30"/>
          <w:szCs w:val="30"/>
          <w:highlight w:val="none"/>
          <w:u w:val="singl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项目名称：</w:t>
      </w:r>
      <w:r>
        <w:rPr>
          <w:rFonts w:hint="eastAsia" w:ascii="宋体" w:hAnsi="宋体" w:eastAsia="宋体" w:cs="宋体"/>
          <w:b/>
          <w:bCs/>
          <w:color w:val="000000" w:themeColor="text1"/>
          <w:sz w:val="30"/>
          <w:szCs w:val="30"/>
          <w:highlight w:val="none"/>
          <w:u w:val="single"/>
          <w14:textFill>
            <w14:solidFill>
              <w14:schemeClr w14:val="tx1"/>
            </w14:solidFill>
          </w14:textFill>
        </w:rPr>
        <w:t xml:space="preserve">                           </w:t>
      </w:r>
    </w:p>
    <w:p>
      <w:pPr>
        <w:pStyle w:val="19"/>
        <w:wordWrap w:val="0"/>
        <w:topLinePunct/>
        <w:spacing w:after="0" w:line="1000" w:lineRule="exact"/>
        <w:ind w:left="480" w:firstLine="600"/>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 xml:space="preserve">      项目编号： </w:t>
      </w:r>
      <w:r>
        <w:rPr>
          <w:rFonts w:hint="eastAsia" w:ascii="宋体" w:hAnsi="宋体" w:eastAsia="宋体" w:cs="宋体"/>
          <w:b/>
          <w:bCs/>
          <w:color w:val="000000" w:themeColor="text1"/>
          <w:sz w:val="30"/>
          <w:szCs w:val="30"/>
          <w:highlight w:val="none"/>
          <w:u w:val="single"/>
          <w14:textFill>
            <w14:solidFill>
              <w14:schemeClr w14:val="tx1"/>
            </w14:solidFill>
          </w14:textFill>
        </w:rPr>
        <w:t xml:space="preserve">               </w:t>
      </w:r>
      <w:r>
        <w:rPr>
          <w:rFonts w:hint="eastAsia" w:ascii="宋体" w:hAnsi="宋体" w:eastAsia="宋体" w:cs="宋体"/>
          <w:b/>
          <w:bCs/>
          <w:color w:val="000000" w:themeColor="text1"/>
          <w:sz w:val="30"/>
          <w:szCs w:val="30"/>
          <w:highlight w:val="none"/>
          <w:u w:val="singl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highlight w:val="none"/>
          <w:u w:val="single"/>
          <w14:textFill>
            <w14:solidFill>
              <w14:schemeClr w14:val="tx1"/>
            </w14:solidFill>
          </w14:textFill>
        </w:rPr>
        <w:t xml:space="preserve">        </w:t>
      </w:r>
      <w:r>
        <w:rPr>
          <w:rFonts w:hint="eastAsia" w:ascii="宋体" w:hAnsi="宋体" w:eastAsia="宋体" w:cs="宋体"/>
          <w:b/>
          <w:bCs/>
          <w:color w:val="000000" w:themeColor="text1"/>
          <w:sz w:val="30"/>
          <w:szCs w:val="30"/>
          <w:highlight w:val="none"/>
          <w14:textFill>
            <w14:solidFill>
              <w14:schemeClr w14:val="tx1"/>
            </w14:solidFill>
          </w14:textFill>
        </w:rPr>
        <w:t xml:space="preserve"> </w:t>
      </w:r>
    </w:p>
    <w:p>
      <w:pPr>
        <w:pStyle w:val="19"/>
        <w:wordWrap w:val="0"/>
        <w:topLinePunct/>
        <w:spacing w:after="0" w:line="1000" w:lineRule="exact"/>
        <w:ind w:left="480" w:firstLine="1506" w:firstLineChars="500"/>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投标人名称：</w:t>
      </w:r>
      <w:r>
        <w:rPr>
          <w:rFonts w:hint="eastAsia" w:ascii="宋体" w:hAnsi="宋体" w:eastAsia="宋体" w:cs="宋体"/>
          <w:b/>
          <w:bCs/>
          <w:color w:val="000000" w:themeColor="text1"/>
          <w:sz w:val="30"/>
          <w:szCs w:val="30"/>
          <w:highlight w:val="none"/>
          <w:u w:val="single"/>
          <w14:textFill>
            <w14:solidFill>
              <w14:schemeClr w14:val="tx1"/>
            </w14:solidFill>
          </w14:textFill>
        </w:rPr>
        <w:t xml:space="preserve">                         </w:t>
      </w:r>
    </w:p>
    <w:p>
      <w:pPr>
        <w:pStyle w:val="19"/>
        <w:wordWrap w:val="0"/>
        <w:topLinePunct/>
        <w:spacing w:after="0" w:line="1000" w:lineRule="exact"/>
        <w:ind w:left="480" w:firstLine="600"/>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 xml:space="preserve">      投标日期：</w:t>
      </w:r>
      <w:r>
        <w:rPr>
          <w:rFonts w:hint="eastAsia" w:ascii="宋体" w:hAnsi="宋体" w:eastAsia="宋体" w:cs="宋体"/>
          <w:b/>
          <w:bCs/>
          <w:color w:val="000000" w:themeColor="text1"/>
          <w:sz w:val="30"/>
          <w:szCs w:val="30"/>
          <w:highlight w:val="none"/>
          <w:u w:val="single"/>
          <w14:textFill>
            <w14:solidFill>
              <w14:schemeClr w14:val="tx1"/>
            </w14:solidFill>
          </w14:textFill>
        </w:rPr>
        <w:t xml:space="preserve">                           </w:t>
      </w:r>
    </w:p>
    <w:p>
      <w:pPr>
        <w:ind w:firstLine="480"/>
        <w:rPr>
          <w:rFonts w:hint="eastAsia" w:ascii="宋体" w:hAnsi="宋体" w:eastAsia="宋体" w:cs="宋体"/>
          <w:b/>
          <w:bCs/>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b/>
          <w:bCs/>
          <w:color w:val="000000" w:themeColor="text1"/>
          <w:kern w:val="44"/>
          <w:sz w:val="32"/>
          <w:szCs w:val="32"/>
          <w:highlight w:val="none"/>
          <w:lang w:val="zh-CN" w:eastAsia="zh-CN" w:bidi="ar-SA"/>
          <w14:textFill>
            <w14:solidFill>
              <w14:schemeClr w14:val="tx1"/>
            </w14:solidFill>
          </w14:textFill>
        </w:rPr>
      </w:pPr>
      <w:r>
        <w:rPr>
          <w:rFonts w:hint="eastAsia" w:ascii="宋体" w:hAnsi="宋体" w:eastAsia="宋体" w:cs="宋体"/>
          <w:b/>
          <w:bCs/>
          <w:color w:val="000000" w:themeColor="text1"/>
          <w:kern w:val="44"/>
          <w:sz w:val="32"/>
          <w:szCs w:val="32"/>
          <w:highlight w:val="none"/>
          <w:lang w:val="zh-CN" w:eastAsia="zh-CN" w:bidi="ar-SA"/>
          <w14:textFill>
            <w14:solidFill>
              <w14:schemeClr w14:val="tx1"/>
            </w14:solidFill>
          </w14:textFill>
        </w:rPr>
        <w:br w:type="page"/>
      </w:r>
    </w:p>
    <w:p>
      <w:pPr>
        <w:pStyle w:val="5"/>
        <w:pageBreakBefore w:val="0"/>
        <w:kinsoku/>
        <w:overflowPunct/>
        <w:bidi w:val="0"/>
        <w:spacing w:before="0" w:after="0" w:line="360" w:lineRule="auto"/>
        <w:ind w:left="0" w:leftChars="0" w:right="0" w:rightChars="0" w:firstLine="0" w:firstLineChars="0"/>
        <w:jc w:val="center"/>
        <w:textAlignment w:val="auto"/>
        <w:rPr>
          <w:rFonts w:hint="eastAsia" w:ascii="宋体" w:hAnsi="宋体" w:eastAsia="宋体" w:cs="宋体"/>
          <w:b/>
          <w:bCs/>
          <w:color w:val="000000" w:themeColor="text1"/>
          <w:kern w:val="44"/>
          <w:sz w:val="32"/>
          <w:szCs w:val="32"/>
          <w:highlight w:val="none"/>
          <w:lang w:val="zh-CN" w:eastAsia="zh-CN" w:bidi="ar-SA"/>
          <w14:textFill>
            <w14:solidFill>
              <w14:schemeClr w14:val="tx1"/>
            </w14:solidFill>
          </w14:textFill>
        </w:rPr>
      </w:pPr>
      <w:r>
        <w:rPr>
          <w:rFonts w:hint="eastAsia" w:ascii="宋体" w:hAnsi="宋体" w:eastAsia="宋体" w:cs="宋体"/>
          <w:b/>
          <w:bCs/>
          <w:color w:val="000000" w:themeColor="text1"/>
          <w:kern w:val="44"/>
          <w:sz w:val="32"/>
          <w:szCs w:val="32"/>
          <w:highlight w:val="none"/>
          <w:lang w:val="zh-CN" w:eastAsia="zh-CN" w:bidi="ar-SA"/>
          <w14:textFill>
            <w14:solidFill>
              <w14:schemeClr w14:val="tx1"/>
            </w14:solidFill>
          </w14:textFill>
        </w:rPr>
        <w:t>（</w:t>
      </w:r>
      <w:r>
        <w:rPr>
          <w:rFonts w:hint="eastAsia" w:ascii="宋体" w:hAnsi="宋体" w:eastAsia="宋体" w:cs="宋体"/>
          <w:b/>
          <w:bCs/>
          <w:color w:val="000000" w:themeColor="text1"/>
          <w:kern w:val="44"/>
          <w:sz w:val="32"/>
          <w:szCs w:val="32"/>
          <w:highlight w:val="none"/>
          <w:lang w:val="en-US" w:eastAsia="zh-CN" w:bidi="ar-SA"/>
          <w14:textFill>
            <w14:solidFill>
              <w14:schemeClr w14:val="tx1"/>
            </w14:solidFill>
          </w14:textFill>
        </w:rPr>
        <w:t>一</w:t>
      </w:r>
      <w:r>
        <w:rPr>
          <w:rFonts w:hint="eastAsia" w:ascii="宋体" w:hAnsi="宋体" w:eastAsia="宋体" w:cs="宋体"/>
          <w:b/>
          <w:bCs/>
          <w:color w:val="000000" w:themeColor="text1"/>
          <w:kern w:val="44"/>
          <w:sz w:val="32"/>
          <w:szCs w:val="32"/>
          <w:highlight w:val="none"/>
          <w:lang w:val="zh-CN" w:eastAsia="zh-CN" w:bidi="ar-SA"/>
          <w14:textFill>
            <w14:solidFill>
              <w14:schemeClr w14:val="tx1"/>
            </w14:solidFill>
          </w14:textFill>
        </w:rPr>
        <w:t>）法定代表人身份证明书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lang w:val="zh-CN"/>
          <w14:textFill>
            <w14:solidFill>
              <w14:schemeClr w14:val="tx1"/>
            </w14:solidFill>
          </w14:textFill>
        </w:rPr>
        <w:t>（法定代表人姓名）</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lang w:val="zh-CN"/>
          <w14:textFill>
            <w14:solidFill>
              <w14:schemeClr w14:val="tx1"/>
            </w14:solidFill>
          </w14:textFill>
        </w:rPr>
        <w:t>在</w:t>
      </w: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投标人名称</w:t>
      </w:r>
      <w:r>
        <w:rPr>
          <w:rFonts w:hint="eastAsia" w:ascii="宋体" w:hAnsi="宋体" w:eastAsia="宋体" w:cs="宋体"/>
          <w:color w:val="000000" w:themeColor="text1"/>
          <w:sz w:val="24"/>
          <w:szCs w:val="24"/>
          <w:highlight w:val="none"/>
          <w:u w:val="single"/>
          <w:lang w:val="zh-CN"/>
          <w14:textFill>
            <w14:solidFill>
              <w14:schemeClr w14:val="tx1"/>
            </w14:solidFill>
          </w14:textFill>
        </w:rPr>
        <w:t>）</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lang w:val="zh-CN"/>
          <w14:textFill>
            <w14:solidFill>
              <w14:schemeClr w14:val="tx1"/>
            </w14:solidFill>
          </w14:textFill>
        </w:rPr>
        <w:t>处任</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（职务）    </w:t>
      </w:r>
      <w:r>
        <w:rPr>
          <w:rFonts w:hint="eastAsia" w:ascii="宋体" w:hAnsi="宋体" w:eastAsia="宋体" w:cs="宋体"/>
          <w:color w:val="000000" w:themeColor="text1"/>
          <w:highlight w:val="none"/>
          <w:lang w:val="zh-CN"/>
          <w14:textFill>
            <w14:solidFill>
              <w14:schemeClr w14:val="tx1"/>
            </w14:solidFill>
          </w14:textFill>
        </w:rPr>
        <w:t xml:space="preserve"> ，是 </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highlight w:val="none"/>
          <w:u w:val="single"/>
          <w:lang w:val="zh-CN"/>
          <w14:textFill>
            <w14:solidFill>
              <w14:schemeClr w14:val="tx1"/>
            </w14:solidFill>
          </w14:textFill>
        </w:rPr>
        <w:t>（</w:t>
      </w:r>
      <w:r>
        <w:rPr>
          <w:rFonts w:hint="eastAsia" w:ascii="宋体" w:hAnsi="宋体" w:eastAsia="宋体" w:cs="宋体"/>
          <w:color w:val="000000" w:themeColor="text1"/>
          <w:highlight w:val="none"/>
          <w:u w:val="single"/>
          <w:lang w:val="en-US" w:eastAsia="zh-CN"/>
          <w14:textFill>
            <w14:solidFill>
              <w14:schemeClr w14:val="tx1"/>
            </w14:solidFill>
          </w14:textFill>
        </w:rPr>
        <w:t>投标人</w:t>
      </w:r>
      <w:r>
        <w:rPr>
          <w:rFonts w:hint="eastAsia" w:ascii="宋体" w:hAnsi="宋体" w:eastAsia="宋体" w:cs="宋体"/>
          <w:color w:val="000000" w:themeColor="text1"/>
          <w:highlight w:val="none"/>
          <w:u w:val="single"/>
          <w:lang w:val="zh-CN"/>
          <w14:textFill>
            <w14:solidFill>
              <w14:schemeClr w14:val="tx1"/>
            </w14:solidFill>
          </w14:textFill>
        </w:rPr>
        <w:t>名称）</w:t>
      </w:r>
      <w:r>
        <w:rPr>
          <w:rFonts w:hint="eastAsia" w:ascii="宋体" w:hAnsi="宋体" w:eastAsia="宋体" w:cs="宋体"/>
          <w:color w:val="000000" w:themeColor="text1"/>
          <w:highlight w:val="none"/>
          <w:lang w:val="zh-CN"/>
          <w14:textFill>
            <w14:solidFill>
              <w14:schemeClr w14:val="tx1"/>
            </w14:solidFill>
          </w14:textFill>
        </w:rPr>
        <w:t>的法定代表人。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特此证明。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    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lang w:val="zh-CN"/>
          <w14:textFill>
            <w14:solidFill>
              <w14:schemeClr w14:val="tx1"/>
            </w14:solidFill>
          </w14:textFill>
        </w:rPr>
      </w:pPr>
    </w:p>
    <w:p>
      <w:pPr>
        <w:pStyle w:val="12"/>
        <w:pageBreakBefore w:val="0"/>
        <w:kinsoku/>
        <w:overflowPunct/>
        <w:bidi w:val="0"/>
        <w:spacing w:after="0" w:line="360" w:lineRule="auto"/>
        <w:ind w:left="0" w:leftChars="0" w:right="0" w:rightChars="0"/>
        <w:textAlignment w:val="auto"/>
        <w:rPr>
          <w:rFonts w:hint="eastAsia" w:ascii="宋体" w:hAnsi="宋体" w:eastAsia="宋体" w:cs="宋体"/>
          <w:color w:val="000000" w:themeColor="text1"/>
          <w:highlight w:val="none"/>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注</w:t>
      </w:r>
      <w:r>
        <w:rPr>
          <w:rFonts w:hint="eastAsia" w:ascii="宋体" w:hAnsi="宋体" w:eastAsia="宋体" w:cs="宋体"/>
          <w:color w:val="000000" w:themeColor="text1"/>
          <w:highlight w:val="none"/>
          <w:lang w:val="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附法定代表人身份证</w:t>
      </w:r>
      <w:r>
        <w:rPr>
          <w:rFonts w:hint="eastAsia" w:ascii="宋体" w:hAnsi="宋体" w:eastAsia="宋体" w:cs="宋体"/>
          <w:color w:val="000000" w:themeColor="text1"/>
          <w:highlight w:val="none"/>
          <w:lang w:val="en-US" w:eastAsia="zh-CN"/>
          <w14:textFill>
            <w14:solidFill>
              <w14:schemeClr w14:val="tx1"/>
            </w14:solidFill>
          </w14:textFill>
        </w:rPr>
        <w:t>明材料</w:t>
      </w:r>
      <w:r>
        <w:rPr>
          <w:rFonts w:hint="eastAsia" w:ascii="宋体" w:hAnsi="宋体" w:eastAsia="宋体" w:cs="宋体"/>
          <w:color w:val="000000" w:themeColor="text1"/>
          <w:highlight w:val="none"/>
          <w14:textFill>
            <w14:solidFill>
              <w14:schemeClr w14:val="tx1"/>
            </w14:solidFill>
          </w14:textFill>
        </w:rPr>
        <w:t>复印件（</w:t>
      </w:r>
      <w:r>
        <w:rPr>
          <w:rFonts w:hint="eastAsia" w:ascii="宋体" w:hAnsi="宋体" w:eastAsia="宋体" w:cs="宋体"/>
          <w:color w:val="000000" w:themeColor="text1"/>
          <w:highlight w:val="none"/>
          <w:lang w:val="en-US" w:eastAsia="zh-CN"/>
          <w14:textFill>
            <w14:solidFill>
              <w14:schemeClr w14:val="tx1"/>
            </w14:solidFill>
          </w14:textFill>
        </w:rPr>
        <w:t>提供身份证或护照复印件，若提供身份证时</w:t>
      </w:r>
      <w:r>
        <w:rPr>
          <w:rFonts w:hint="eastAsia" w:ascii="宋体" w:hAnsi="宋体" w:eastAsia="宋体" w:cs="宋体"/>
          <w:color w:val="000000" w:themeColor="text1"/>
          <w:highlight w:val="none"/>
          <w14:textFill>
            <w14:solidFill>
              <w14:schemeClr w14:val="tx1"/>
            </w14:solidFill>
          </w14:textFill>
        </w:rPr>
        <w:t>正反两面均</w:t>
      </w:r>
      <w:r>
        <w:rPr>
          <w:rFonts w:hint="eastAsia" w:ascii="宋体" w:hAnsi="宋体" w:eastAsia="宋体" w:cs="宋体"/>
          <w:color w:val="000000" w:themeColor="text1"/>
          <w:highlight w:val="none"/>
          <w:lang w:eastAsia="zh-CN"/>
          <w14:textFill>
            <w14:solidFill>
              <w14:schemeClr w14:val="tx1"/>
            </w14:solidFill>
          </w14:textFill>
        </w:rPr>
        <w:t>需</w:t>
      </w:r>
      <w:r>
        <w:rPr>
          <w:rFonts w:hint="eastAsia" w:ascii="宋体" w:hAnsi="宋体" w:eastAsia="宋体" w:cs="宋体"/>
          <w:color w:val="000000" w:themeColor="text1"/>
          <w:highlight w:val="none"/>
          <w14:textFill>
            <w14:solidFill>
              <w14:schemeClr w14:val="tx1"/>
            </w14:solidFill>
          </w14:textFill>
        </w:rPr>
        <w:t>复印）</w:t>
      </w:r>
      <w:r>
        <w:rPr>
          <w:rFonts w:hint="eastAsia" w:ascii="宋体" w:hAnsi="宋体" w:eastAsia="宋体" w:cs="宋体"/>
          <w:color w:val="000000" w:themeColor="text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2</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提供的证件材料必须在有效期内</w:t>
      </w:r>
      <w:r>
        <w:rPr>
          <w:rFonts w:hint="eastAsia" w:ascii="宋体" w:hAnsi="宋体" w:eastAsia="宋体" w:cs="宋体"/>
          <w:color w:val="000000" w:themeColor="text1"/>
          <w:highlight w:val="none"/>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供应商为“其他组织”时</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法定代表人对应为“主要负责人”或“经营者”</w:t>
      </w:r>
      <w:r>
        <w:rPr>
          <w:rFonts w:hint="eastAsia" w:ascii="宋体" w:hAnsi="宋体" w:eastAsia="宋体" w:cs="宋体"/>
          <w:color w:val="000000" w:themeColor="text1"/>
          <w:highlight w:val="none"/>
          <w:lang w:val="en-US" w:eastAsia="zh-CN"/>
          <w14:textFill>
            <w14:solidFill>
              <w14:schemeClr w14:val="tx1"/>
            </w14:solidFill>
          </w14:textFill>
        </w:rPr>
        <w:t>等</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lang w:val="zh-CN"/>
          <w14:textFill>
            <w14:solidFill>
              <w14:schemeClr w14:val="tx1"/>
            </w14:solidFill>
          </w14:textFill>
        </w:rPr>
      </w:pPr>
    </w:p>
    <w:p>
      <w:pPr>
        <w:pageBreakBefore w:val="0"/>
        <w:kinsoku/>
        <w:overflowPunct/>
        <w:bidi w:val="0"/>
        <w:spacing w:line="360" w:lineRule="auto"/>
        <w:ind w:left="0" w:leftChars="0" w:right="0" w:rightChars="0"/>
        <w:textAlignment w:val="auto"/>
        <w:rPr>
          <w:rFonts w:hint="eastAsia" w:ascii="宋体" w:hAnsi="宋体" w:eastAsia="宋体" w:cs="宋体"/>
          <w:color w:val="000000" w:themeColor="text1"/>
          <w:highlight w:val="none"/>
          <w:lang w:val="en-US" w:eastAsia="zh-CN"/>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lang w:val="zh-CN"/>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textAlignment w:val="auto"/>
        <w:rPr>
          <w:rFonts w:hint="eastAsia" w:ascii="宋体" w:hAnsi="宋体" w:eastAsia="宋体" w:cs="宋体"/>
          <w:color w:val="000000" w:themeColor="text1"/>
          <w:highlight w:val="none"/>
          <w:lang w:eastAsia="zh-CN"/>
          <w14:textFill>
            <w14:solidFill>
              <w14:schemeClr w14:val="tx1"/>
            </w14:solidFill>
          </w14:textFill>
        </w:rPr>
      </w:pPr>
    </w:p>
    <w:p>
      <w:pPr>
        <w:rPr>
          <w:rFonts w:hint="eastAsia" w:ascii="宋体" w:hAnsi="宋体" w:eastAsia="宋体" w:cs="宋体"/>
          <w:b/>
          <w:color w:val="000000" w:themeColor="text1"/>
          <w:sz w:val="32"/>
          <w:szCs w:val="32"/>
          <w:highlight w:val="none"/>
          <w:lang w:eastAsia="zh-CN"/>
          <w14:textFill>
            <w14:solidFill>
              <w14:schemeClr w14:val="tx1"/>
            </w14:solidFill>
          </w14:textFill>
        </w:rPr>
      </w:pPr>
      <w:r>
        <w:rPr>
          <w:rFonts w:hint="eastAsia" w:ascii="宋体" w:hAnsi="宋体" w:eastAsia="宋体" w:cs="宋体"/>
          <w:b/>
          <w:color w:val="000000" w:themeColor="text1"/>
          <w:sz w:val="32"/>
          <w:szCs w:val="32"/>
          <w:highlight w:val="none"/>
          <w:lang w:eastAsia="zh-CN"/>
          <w14:textFill>
            <w14:solidFill>
              <w14:schemeClr w14:val="tx1"/>
            </w14:solidFill>
          </w14:textFill>
        </w:rPr>
        <w:br w:type="page"/>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2"/>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lang w:eastAsia="zh-CN"/>
          <w14:textFill>
            <w14:solidFill>
              <w14:schemeClr w14:val="tx1"/>
            </w14:solidFill>
          </w14:textFill>
        </w:rPr>
        <w:t>（</w:t>
      </w:r>
      <w:r>
        <w:rPr>
          <w:rFonts w:hint="eastAsia" w:ascii="宋体" w:hAnsi="宋体" w:eastAsia="宋体" w:cs="宋体"/>
          <w:b/>
          <w:color w:val="000000" w:themeColor="text1"/>
          <w:sz w:val="32"/>
          <w:szCs w:val="32"/>
          <w:highlight w:val="none"/>
          <w:lang w:val="en-US" w:eastAsia="zh-CN"/>
          <w14:textFill>
            <w14:solidFill>
              <w14:schemeClr w14:val="tx1"/>
            </w14:solidFill>
          </w14:textFill>
        </w:rPr>
        <w:t>二</w:t>
      </w:r>
      <w:r>
        <w:rPr>
          <w:rFonts w:hint="eastAsia" w:ascii="宋体" w:hAnsi="宋体" w:eastAsia="宋体" w:cs="宋体"/>
          <w:b/>
          <w:color w:val="000000" w:themeColor="text1"/>
          <w:sz w:val="32"/>
          <w:szCs w:val="32"/>
          <w:highlight w:val="none"/>
          <w:lang w:eastAsia="zh-CN"/>
          <w14:textFill>
            <w14:solidFill>
              <w14:schemeClr w14:val="tx1"/>
            </w14:solidFill>
          </w14:textFill>
        </w:rPr>
        <w:t>）</w:t>
      </w:r>
      <w:r>
        <w:rPr>
          <w:rFonts w:hint="eastAsia" w:ascii="宋体" w:hAnsi="宋体" w:eastAsia="宋体" w:cs="宋体"/>
          <w:b/>
          <w:color w:val="000000" w:themeColor="text1"/>
          <w:sz w:val="32"/>
          <w:szCs w:val="32"/>
          <w:highlight w:val="none"/>
          <w14:textFill>
            <w14:solidFill>
              <w14:schemeClr w14:val="tx1"/>
            </w14:solidFill>
          </w14:textFill>
        </w:rPr>
        <w:t>承诺函</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四川浩行招标代理有限公司</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我</w:t>
      </w:r>
      <w:r>
        <w:rPr>
          <w:rFonts w:hint="eastAsia" w:ascii="宋体" w:hAnsi="宋体" w:eastAsia="宋体" w:cs="宋体"/>
          <w:color w:val="000000" w:themeColor="text1"/>
          <w:highlight w:val="none"/>
          <w:lang w:val="en-US" w:eastAsia="zh-CN"/>
          <w14:textFill>
            <w14:solidFill>
              <w14:schemeClr w14:val="tx1"/>
            </w14:solidFill>
          </w14:textFill>
        </w:rPr>
        <w:t>单位</w:t>
      </w:r>
      <w:r>
        <w:rPr>
          <w:rFonts w:hint="eastAsia" w:ascii="宋体" w:hAnsi="宋体" w:eastAsia="宋体" w:cs="宋体"/>
          <w:color w:val="000000" w:themeColor="text1"/>
          <w:highlight w:val="none"/>
          <w14:textFill>
            <w14:solidFill>
              <w14:schemeClr w14:val="tx1"/>
            </w14:solidFill>
          </w14:textFill>
        </w:rPr>
        <w:t>作为本次采购项目的投标人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根据招标文件要求</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现郑重承诺如下：</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一、具备《中华人民共和国政府采购法》第二十二条第一款和本项目规定的条件：</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具有独立承担民事责任的能力； </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具有良好的商业信誉和健全的财务会计制度； </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具有履行合同所必需的设备和专业技术能力； </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有依法缴纳税收和社会保障资金的良好记录； </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参加本次政府采购活动前三年内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在经营活动中没有重大违法记录； </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法律、行政法规规定的其他条件；</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我单位</w:t>
      </w:r>
      <w:r>
        <w:rPr>
          <w:rFonts w:hint="eastAsia" w:ascii="宋体" w:hAnsi="宋体" w:eastAsia="宋体" w:cs="宋体"/>
          <w:color w:val="000000" w:themeColor="text1"/>
          <w:sz w:val="24"/>
          <w14:textFill>
            <w14:solidFill>
              <w14:schemeClr w14:val="tx1"/>
            </w14:solidFill>
          </w14:textFill>
        </w:rPr>
        <w:t>及现任法定代表人、主要负责人在参加本项目政府采购活动前3年内</w:t>
      </w:r>
      <w:r>
        <w:rPr>
          <w:rFonts w:hint="eastAsia" w:ascii="宋体" w:hAnsi="宋体" w:eastAsia="宋体" w:cs="宋体"/>
          <w:color w:val="000000" w:themeColor="text1"/>
          <w:sz w:val="24"/>
          <w:lang w:val="en-US" w:eastAsia="zh-CN"/>
          <w14:textFill>
            <w14:solidFill>
              <w14:schemeClr w14:val="tx1"/>
            </w14:solidFill>
          </w14:textFill>
        </w:rPr>
        <w:t>没</w:t>
      </w:r>
      <w:r>
        <w:rPr>
          <w:rFonts w:hint="eastAsia" w:ascii="宋体" w:hAnsi="宋体" w:eastAsia="宋体" w:cs="宋体"/>
          <w:color w:val="000000" w:themeColor="text1"/>
          <w:sz w:val="24"/>
          <w14:textFill>
            <w14:solidFill>
              <w14:schemeClr w14:val="tx1"/>
            </w14:solidFill>
          </w14:textFill>
        </w:rPr>
        <w:t>有行贿犯罪记录</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二、完全接受和满足本项目招标文件中规定的实质性要求（包括计量单位、语言、报价货币、投标有效期、知识产权）</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如对招标文件有异议</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已经在投标截止时间届满前依法进行维权救济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不存在对招标文件有异议的同时又参加投标以求侥幸中标或者为实现其他非法目的的行为。</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三、参加本次招标采购活动</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不存在与单位负责人为同一人或者存在直接控股、管理关系的其他供应商参与同一合同项下的政府采购活动</w:t>
      </w:r>
      <w:r>
        <w:rPr>
          <w:rFonts w:hint="eastAsia" w:ascii="宋体" w:hAnsi="宋体" w:eastAsia="宋体" w:cs="宋体"/>
          <w:color w:val="000000" w:themeColor="text1"/>
          <w:highlight w:val="none"/>
          <w:lang w:val="en-US" w:eastAsia="zh-CN"/>
          <w14:textFill>
            <w14:solidFill>
              <w14:schemeClr w14:val="tx1"/>
            </w14:solidFill>
          </w14:textFill>
        </w:rPr>
        <w:t>的行为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没有为项目提供整体设计、规范编制或者项目管理、监理、检测等服务。</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四、参加本次招标采购活动</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不存在和其他供应商在同一合同项下的采购项目中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同时委托同一个自然人、同一家庭的人员、同一单位的人员作为代理人的行为。</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五</w:t>
      </w:r>
      <w:r>
        <w:rPr>
          <w:rFonts w:hint="eastAsia" w:ascii="宋体" w:hAnsi="宋体" w:eastAsia="宋体" w:cs="宋体"/>
          <w:color w:val="000000" w:themeColor="text1"/>
          <w:highlight w:val="none"/>
          <w14:textFill>
            <w14:solidFill>
              <w14:schemeClr w14:val="tx1"/>
            </w14:solidFill>
          </w14:textFill>
        </w:rPr>
        <w:t>、投标文件中提供的能够给予我单位带来优惠、好处的任何材料资料和技术、服务、商务等响应承诺情况都是真实的、有效的、合法的。</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六</w:t>
      </w:r>
      <w:r>
        <w:rPr>
          <w:rFonts w:hint="eastAsia" w:ascii="宋体" w:hAnsi="宋体" w:eastAsia="宋体" w:cs="宋体"/>
          <w:color w:val="000000" w:themeColor="text1"/>
          <w:highlight w:val="none"/>
          <w14:textFill>
            <w14:solidFill>
              <w14:schemeClr w14:val="tx1"/>
            </w14:solidFill>
          </w14:textFill>
        </w:rPr>
        <w:t>、我单位不属于国家相关法律法规及制度规定的禁止参加本次政府采购活动的供应商。</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七</w:t>
      </w:r>
      <w:r>
        <w:rPr>
          <w:rFonts w:hint="eastAsia" w:ascii="宋体" w:hAnsi="宋体" w:eastAsia="宋体" w:cs="宋体"/>
          <w:color w:val="000000" w:themeColor="text1"/>
          <w:highlight w:val="none"/>
          <w14:textFill>
            <w14:solidFill>
              <w14:schemeClr w14:val="tx1"/>
            </w14:solidFill>
          </w14:textFill>
        </w:rPr>
        <w:t>、我</w:t>
      </w:r>
      <w:r>
        <w:rPr>
          <w:rFonts w:hint="eastAsia" w:ascii="宋体" w:hAnsi="宋体" w:eastAsia="宋体" w:cs="宋体"/>
          <w:color w:val="000000" w:themeColor="text1"/>
          <w:highlight w:val="none"/>
          <w:lang w:val="en-US" w:eastAsia="zh-CN"/>
          <w14:textFill>
            <w14:solidFill>
              <w14:schemeClr w14:val="tx1"/>
            </w14:solidFill>
          </w14:textFill>
        </w:rPr>
        <w:t>单位</w:t>
      </w:r>
      <w:r>
        <w:rPr>
          <w:rFonts w:hint="eastAsia" w:ascii="宋体" w:hAnsi="宋体" w:eastAsia="宋体" w:cs="宋体"/>
          <w:color w:val="000000" w:themeColor="text1"/>
          <w:highlight w:val="none"/>
          <w14:textFill>
            <w14:solidFill>
              <w14:schemeClr w14:val="tx1"/>
            </w14:solidFill>
          </w14:textFill>
        </w:rPr>
        <w:t>对上述承诺的内容事项真实性负责。如经查实上述承诺的内容事项存在虚假</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我</w:t>
      </w:r>
      <w:r>
        <w:rPr>
          <w:rFonts w:hint="eastAsia" w:ascii="宋体" w:hAnsi="宋体" w:eastAsia="宋体" w:cs="宋体"/>
          <w:color w:val="000000" w:themeColor="text1"/>
          <w:highlight w:val="none"/>
          <w:lang w:val="en-US" w:eastAsia="zh-CN"/>
          <w14:textFill>
            <w14:solidFill>
              <w14:schemeClr w14:val="tx1"/>
            </w14:solidFill>
          </w14:textFill>
        </w:rPr>
        <w:t>单位</w:t>
      </w:r>
      <w:r>
        <w:rPr>
          <w:rFonts w:hint="eastAsia" w:ascii="宋体" w:hAnsi="宋体" w:eastAsia="宋体" w:cs="宋体"/>
          <w:color w:val="000000" w:themeColor="text1"/>
          <w:highlight w:val="none"/>
          <w14:textFill>
            <w14:solidFill>
              <w14:schemeClr w14:val="tx1"/>
            </w14:solidFill>
          </w14:textFill>
        </w:rPr>
        <w:t>愿意</w:t>
      </w:r>
      <w:r>
        <w:rPr>
          <w:rFonts w:hint="eastAsia" w:ascii="宋体" w:hAnsi="宋体" w:eastAsia="宋体" w:cs="宋体"/>
          <w:color w:val="000000" w:themeColor="text1"/>
          <w:highlight w:val="none"/>
          <w:lang w:val="en-US" w:eastAsia="zh-CN"/>
          <w14:textFill>
            <w14:solidFill>
              <w14:schemeClr w14:val="tx1"/>
            </w14:solidFill>
          </w14:textFill>
        </w:rPr>
        <w:t>承担</w:t>
      </w:r>
      <w:r>
        <w:rPr>
          <w:rFonts w:hint="eastAsia" w:ascii="宋体" w:hAnsi="宋体" w:eastAsia="宋体" w:cs="宋体"/>
          <w:color w:val="000000" w:themeColor="text1"/>
          <w:highlight w:val="none"/>
          <w14:textFill>
            <w14:solidFill>
              <w14:schemeClr w14:val="tx1"/>
            </w14:solidFill>
          </w14:textFill>
        </w:rPr>
        <w:t>以提供虚假材料谋取中标</w:t>
      </w:r>
      <w:r>
        <w:rPr>
          <w:rFonts w:hint="eastAsia" w:ascii="宋体" w:hAnsi="宋体" w:eastAsia="宋体" w:cs="宋体"/>
          <w:color w:val="000000" w:themeColor="text1"/>
          <w:highlight w:val="none"/>
          <w:lang w:val="en-US" w:eastAsia="zh-CN"/>
          <w14:textFill>
            <w14:solidFill>
              <w14:schemeClr w14:val="tx1"/>
            </w14:solidFill>
          </w14:textFill>
        </w:rPr>
        <w:t>的</w:t>
      </w:r>
      <w:r>
        <w:rPr>
          <w:rFonts w:hint="eastAsia" w:ascii="宋体" w:hAnsi="宋体" w:eastAsia="宋体" w:cs="宋体"/>
          <w:color w:val="000000" w:themeColor="text1"/>
          <w:highlight w:val="none"/>
          <w14:textFill>
            <w14:solidFill>
              <w14:schemeClr w14:val="tx1"/>
            </w14:solidFill>
          </w14:textFill>
        </w:rPr>
        <w:t>法律责任。</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p>
    <w:p>
      <w:pPr>
        <w:pStyle w:val="12"/>
        <w:pageBreakBefore w:val="0"/>
        <w:kinsoku/>
        <w:overflowPunct/>
        <w:bidi w:val="0"/>
        <w:spacing w:after="0" w:line="360" w:lineRule="auto"/>
        <w:ind w:left="0" w:leftChars="0" w:right="0" w:rightChars="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    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pStyle w:val="12"/>
        <w:pageBreakBefore w:val="0"/>
        <w:kinsoku/>
        <w:overflowPunct/>
        <w:bidi w:val="0"/>
        <w:spacing w:after="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说明：1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供应商在参加政府采购活动前</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被纳入法院、工商行政管理部门、税务部门、银行认定的失信人名单且在有效期内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或者在前三年政府采购合同履约过程中及其他经营活动履约过程中未依法履约被有关部门</w:t>
      </w:r>
      <w:r>
        <w:rPr>
          <w:rFonts w:hint="eastAsia" w:ascii="宋体" w:hAnsi="宋体" w:eastAsia="宋体" w:cs="宋体"/>
          <w:color w:val="000000" w:themeColor="text1"/>
          <w:highlight w:val="none"/>
          <w:lang w:val="en-US" w:eastAsia="zh-CN"/>
          <w14:textFill>
            <w14:solidFill>
              <w14:schemeClr w14:val="tx1"/>
            </w14:solidFill>
          </w14:textFill>
        </w:rPr>
        <w:t>处罚（</w:t>
      </w:r>
      <w:r>
        <w:rPr>
          <w:rFonts w:hint="eastAsia" w:ascii="宋体" w:hAnsi="宋体" w:eastAsia="宋体" w:cs="宋体"/>
          <w:color w:val="000000" w:themeColor="text1"/>
          <w:highlight w:val="none"/>
          <w14:textFill>
            <w14:solidFill>
              <w14:schemeClr w14:val="tx1"/>
            </w14:solidFill>
          </w14:textFill>
        </w:rPr>
        <w:t>处理</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不能认定为具有良好的商业信誉。</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供应商在参加政府采购活动前3年内因违法经营被禁止在一定期限内参加政府采购活动</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期限届满的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可以参加政府采购活动。</w:t>
      </w:r>
      <w:r>
        <w:rPr>
          <w:rFonts w:hint="eastAsia" w:ascii="宋体" w:hAnsi="宋体" w:eastAsia="宋体" w:cs="宋体"/>
          <w:color w:val="000000" w:themeColor="text1"/>
          <w:highlight w:val="none"/>
          <w:lang w:val="en-US" w:eastAsia="zh-CN"/>
          <w14:textFill>
            <w14:solidFill>
              <w14:schemeClr w14:val="tx1"/>
            </w14:solidFill>
          </w14:textFill>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重大违法记录是指供应商因违法经营受到刑事处罚或者责令停产停业、吊销许可证或者执照、较大数额罚款等行政处罚。重大违法记录中的较大数额罚款的具体金额标准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 317 号）规定的行政处罚罚款听证标准金额为准（对在经营活动中的违法行为处以罚款5万元以上属于较大数额罚款）。</w:t>
      </w:r>
    </w:p>
    <w:p>
      <w:pPr>
        <w:pStyle w:val="12"/>
        <w:pageBreakBefore w:val="0"/>
        <w:kinsoku/>
        <w:overflowPunct/>
        <w:bidi w:val="0"/>
        <w:spacing w:after="0" w:line="360" w:lineRule="auto"/>
        <w:ind w:left="0" w:leftChars="0" w:right="0" w:rightChars="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textAlignment w:val="auto"/>
        <w:rPr>
          <w:rFonts w:hint="eastAsia" w:ascii="宋体" w:hAnsi="宋体" w:eastAsia="宋体" w:cs="宋体"/>
          <w:color w:val="000000" w:themeColor="text1"/>
          <w:highlight w:val="none"/>
          <w:lang w:val="en-US" w:eastAsia="zh-CN"/>
          <w14:textFill>
            <w14:solidFill>
              <w14:schemeClr w14:val="tx1"/>
            </w14:solidFill>
          </w14:textFill>
        </w:rPr>
      </w:pPr>
    </w:p>
    <w:p>
      <w:pPr>
        <w:rPr>
          <w:rFonts w:hint="eastAsia" w:ascii="宋体" w:hAnsi="宋体" w:eastAsia="宋体" w:cs="宋体"/>
          <w:b/>
          <w:bCs w:val="0"/>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bCs w:val="0"/>
          <w:color w:val="000000" w:themeColor="text1"/>
          <w:kern w:val="2"/>
          <w:sz w:val="32"/>
          <w:szCs w:val="32"/>
          <w:highlight w:val="none"/>
          <w:lang w:val="en-US" w:eastAsia="zh-CN" w:bidi="ar-SA"/>
          <w14:textFill>
            <w14:solidFill>
              <w14:schemeClr w14:val="tx1"/>
            </w14:solidFill>
          </w14:textFill>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
          <w:bCs w:val="0"/>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bCs w:val="0"/>
          <w:color w:val="000000" w:themeColor="text1"/>
          <w:kern w:val="2"/>
          <w:sz w:val="32"/>
          <w:szCs w:val="32"/>
          <w:highlight w:val="none"/>
          <w:lang w:val="en-US" w:eastAsia="zh-CN" w:bidi="ar-SA"/>
          <w14:textFill>
            <w14:solidFill>
              <w14:schemeClr w14:val="tx1"/>
            </w14:solidFill>
          </w14:textFill>
        </w:rPr>
        <w:t>（三）投标人应当提供的资格、资质性及其他类似效力要求的相关证明材料</w:t>
      </w:r>
    </w:p>
    <w:p>
      <w:pPr>
        <w:pageBreakBefore w:val="0"/>
        <w:kinsoku/>
        <w:overflowPunct/>
        <w:bidi w:val="0"/>
        <w:spacing w:line="360" w:lineRule="auto"/>
        <w:ind w:left="0" w:leftChars="0" w:right="0" w:rightChars="0"/>
        <w:jc w:val="center"/>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（按招标文件第五章要求及资格审查办法提供）</w:t>
      </w: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bidi w:val="0"/>
        <w:rPr>
          <w:rFonts w:hint="eastAsia" w:ascii="宋体" w:hAnsi="宋体" w:eastAsia="宋体" w:cs="宋体"/>
          <w:color w:val="000000" w:themeColor="text1"/>
          <w:highlight w:val="none"/>
          <w:lang w:val="en-US" w:eastAsia="zh-CN"/>
          <w14:textFill>
            <w14:solidFill>
              <w14:schemeClr w14:val="tx1"/>
            </w14:solidFill>
          </w14:textFill>
        </w:rPr>
      </w:pPr>
    </w:p>
    <w:p>
      <w:pPr>
        <w:bidi w:val="0"/>
        <w:ind w:left="0" w:leftChars="0" w:firstLine="0" w:firstLineChars="0"/>
        <w:rPr>
          <w:rFonts w:hint="eastAsia" w:ascii="宋体" w:hAnsi="宋体" w:eastAsia="宋体" w:cs="宋体"/>
          <w:color w:val="000000" w:themeColor="text1"/>
          <w:highlight w:val="none"/>
          <w:lang w:val="en-US" w:eastAsia="zh-CN"/>
          <w14:textFill>
            <w14:solidFill>
              <w14:schemeClr w14:val="tx1"/>
            </w14:solidFill>
          </w14:textFill>
        </w:rPr>
      </w:pPr>
    </w:p>
    <w:p>
      <w:pPr>
        <w:spacing w:line="460" w:lineRule="exact"/>
        <w:ind w:left="0" w:leftChars="0" w:firstLine="2400" w:firstLineChars="1000"/>
        <w:jc w:val="both"/>
        <w:outlineLvl w:val="9"/>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pStyle w:val="4"/>
        <w:spacing w:line="460" w:lineRule="exact"/>
        <w:jc w:val="center"/>
        <w:rPr>
          <w:rFonts w:hint="eastAsia" w:ascii="宋体" w:hAnsi="宋体" w:eastAsia="宋体" w:cs="宋体"/>
          <w:b/>
          <w:bCs/>
          <w:color w:val="000000" w:themeColor="text1"/>
          <w:szCs w:val="28"/>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第二部分：其他</w:t>
      </w:r>
      <w:r>
        <w:rPr>
          <w:rFonts w:hint="eastAsia" w:ascii="宋体" w:hAnsi="宋体" w:eastAsia="宋体" w:cs="宋体"/>
          <w:b/>
          <w:bCs/>
          <w:color w:val="000000" w:themeColor="text1"/>
          <w:szCs w:val="28"/>
          <w:highlight w:val="none"/>
          <w14:textFill>
            <w14:solidFill>
              <w14:schemeClr w14:val="tx1"/>
            </w14:solidFill>
          </w14:textFill>
        </w:rPr>
        <w:t>投标文件</w:t>
      </w:r>
    </w:p>
    <w:p>
      <w:pPr>
        <w:ind w:firstLine="640"/>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其他</w:t>
      </w:r>
      <w:r>
        <w:rPr>
          <w:rFonts w:hint="eastAsia" w:ascii="宋体" w:hAnsi="宋体" w:eastAsia="宋体" w:cs="宋体"/>
          <w:b/>
          <w:bCs/>
          <w:color w:val="000000" w:themeColor="text1"/>
          <w:sz w:val="32"/>
          <w:szCs w:val="32"/>
          <w:highlight w:val="none"/>
          <w14:textFill>
            <w14:solidFill>
              <w14:schemeClr w14:val="tx1"/>
            </w14:solidFill>
          </w14:textFill>
        </w:rPr>
        <w:t>投标文件封面格式</w:t>
      </w:r>
    </w:p>
    <w:p>
      <w:pPr>
        <w:spacing w:line="360" w:lineRule="auto"/>
        <w:ind w:firstLine="480"/>
        <w:rPr>
          <w:rFonts w:hint="eastAsia" w:ascii="宋体" w:hAnsi="宋体" w:eastAsia="宋体" w:cs="宋体"/>
          <w:b/>
          <w:bCs/>
          <w:color w:val="000000" w:themeColor="text1"/>
          <w:szCs w:val="21"/>
          <w:highlight w:val="none"/>
          <w14:textFill>
            <w14:solidFill>
              <w14:schemeClr w14:val="tx1"/>
            </w14:solidFill>
          </w14:textFill>
        </w:rPr>
      </w:pPr>
    </w:p>
    <w:p>
      <w:pPr>
        <w:spacing w:line="360" w:lineRule="auto"/>
        <w:ind w:firstLine="480"/>
        <w:rPr>
          <w:rFonts w:hint="eastAsia" w:ascii="宋体" w:hAnsi="宋体" w:eastAsia="宋体" w:cs="宋体"/>
          <w:b/>
          <w:bCs/>
          <w:color w:val="000000" w:themeColor="text1"/>
          <w:szCs w:val="21"/>
          <w:highlight w:val="none"/>
          <w14:textFill>
            <w14:solidFill>
              <w14:schemeClr w14:val="tx1"/>
            </w14:solidFill>
          </w14:textFill>
        </w:rPr>
      </w:pPr>
    </w:p>
    <w:p>
      <w:pPr>
        <w:spacing w:line="360" w:lineRule="auto"/>
        <w:ind w:firstLine="480"/>
        <w:jc w:val="right"/>
        <w:rPr>
          <w:rFonts w:hint="eastAsia" w:ascii="宋体" w:hAnsi="宋体" w:eastAsia="宋体" w:cs="宋体"/>
          <w:b/>
          <w:bCs/>
          <w:color w:val="000000" w:themeColor="text1"/>
          <w:highlight w:val="none"/>
          <w14:textFill>
            <w14:solidFill>
              <w14:schemeClr w14:val="tx1"/>
            </w14:solidFill>
          </w14:textFill>
        </w:rPr>
      </w:pPr>
    </w:p>
    <w:p>
      <w:pPr>
        <w:spacing w:line="360" w:lineRule="auto"/>
        <w:ind w:firstLine="2712"/>
        <w:jc w:val="center"/>
        <w:rPr>
          <w:rFonts w:hint="eastAsia" w:ascii="宋体" w:hAnsi="宋体" w:eastAsia="宋体" w:cs="宋体"/>
          <w:b/>
          <w:bCs/>
          <w:color w:val="000000" w:themeColor="text1"/>
          <w:sz w:val="36"/>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其他</w:t>
      </w:r>
      <w:r>
        <w:rPr>
          <w:rFonts w:hint="eastAsia" w:ascii="宋体" w:hAnsi="宋体" w:eastAsia="宋体" w:cs="宋体"/>
          <w:b/>
          <w:bCs/>
          <w:color w:val="000000" w:themeColor="text1"/>
          <w:sz w:val="32"/>
          <w:szCs w:val="32"/>
          <w:highlight w:val="none"/>
          <w14:textFill>
            <w14:solidFill>
              <w14:schemeClr w14:val="tx1"/>
            </w14:solidFill>
          </w14:textFill>
        </w:rPr>
        <w:t>投标文件</w:t>
      </w:r>
    </w:p>
    <w:p>
      <w:pPr>
        <w:pStyle w:val="19"/>
        <w:wordWrap w:val="0"/>
        <w:topLinePunct/>
        <w:spacing w:after="0" w:line="1000" w:lineRule="exact"/>
        <w:ind w:left="480" w:firstLine="600"/>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 xml:space="preserve">      </w:t>
      </w:r>
    </w:p>
    <w:p>
      <w:pPr>
        <w:pStyle w:val="19"/>
        <w:wordWrap w:val="0"/>
        <w:topLinePunct/>
        <w:spacing w:after="0" w:line="1000" w:lineRule="exact"/>
        <w:ind w:left="480" w:firstLine="1506" w:firstLineChars="500"/>
        <w:rPr>
          <w:rFonts w:hint="eastAsia" w:ascii="宋体" w:hAnsi="宋体" w:eastAsia="宋体" w:cs="宋体"/>
          <w:b/>
          <w:bCs/>
          <w:color w:val="000000" w:themeColor="text1"/>
          <w:sz w:val="30"/>
          <w:szCs w:val="30"/>
          <w:highlight w:val="none"/>
          <w:u w:val="singl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项目名称：</w:t>
      </w:r>
      <w:r>
        <w:rPr>
          <w:rFonts w:hint="eastAsia" w:ascii="宋体" w:hAnsi="宋体" w:eastAsia="宋体" w:cs="宋体"/>
          <w:b/>
          <w:bCs/>
          <w:color w:val="000000" w:themeColor="text1"/>
          <w:sz w:val="30"/>
          <w:szCs w:val="30"/>
          <w:highlight w:val="none"/>
          <w:u w:val="single"/>
          <w14:textFill>
            <w14:solidFill>
              <w14:schemeClr w14:val="tx1"/>
            </w14:solidFill>
          </w14:textFill>
        </w:rPr>
        <w:t xml:space="preserve">                           </w:t>
      </w:r>
    </w:p>
    <w:p>
      <w:pPr>
        <w:pStyle w:val="19"/>
        <w:wordWrap w:val="0"/>
        <w:topLinePunct/>
        <w:spacing w:after="0" w:line="1000" w:lineRule="exact"/>
        <w:ind w:left="480" w:firstLine="600"/>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 xml:space="preserve">      项目编号：</w:t>
      </w:r>
      <w:r>
        <w:rPr>
          <w:rFonts w:hint="eastAsia" w:ascii="宋体" w:hAnsi="宋体" w:eastAsia="宋体" w:cs="宋体"/>
          <w:b/>
          <w:bCs/>
          <w:color w:val="000000" w:themeColor="text1"/>
          <w:sz w:val="30"/>
          <w:szCs w:val="30"/>
          <w:highlight w:val="none"/>
          <w:u w:val="single"/>
          <w14:textFill>
            <w14:solidFill>
              <w14:schemeClr w14:val="tx1"/>
            </w14:solidFill>
          </w14:textFill>
        </w:rPr>
        <w:t xml:space="preserve">                     </w:t>
      </w:r>
      <w:r>
        <w:rPr>
          <w:rFonts w:hint="eastAsia" w:ascii="宋体" w:hAnsi="宋体" w:eastAsia="宋体" w:cs="宋体"/>
          <w:b/>
          <w:bCs/>
          <w:color w:val="000000" w:themeColor="text1"/>
          <w:sz w:val="30"/>
          <w:szCs w:val="30"/>
          <w:highlight w:val="none"/>
          <w:u w:val="single"/>
          <w:lang w:val="en-US" w:eastAsia="zh-CN"/>
          <w14:textFill>
            <w14:solidFill>
              <w14:schemeClr w14:val="tx1"/>
            </w14:solidFill>
          </w14:textFill>
        </w:rPr>
        <w:t xml:space="preserve">   </w:t>
      </w:r>
      <w:r>
        <w:rPr>
          <w:rFonts w:hint="eastAsia" w:ascii="宋体" w:hAnsi="宋体" w:eastAsia="宋体" w:cs="宋体"/>
          <w:b/>
          <w:bCs/>
          <w:color w:val="000000" w:themeColor="text1"/>
          <w:sz w:val="30"/>
          <w:szCs w:val="30"/>
          <w:highlight w:val="none"/>
          <w:u w:val="single"/>
          <w14:textFill>
            <w14:solidFill>
              <w14:schemeClr w14:val="tx1"/>
            </w14:solidFill>
          </w14:textFill>
        </w:rPr>
        <w:t xml:space="preserve">   </w:t>
      </w:r>
      <w:r>
        <w:rPr>
          <w:rFonts w:hint="eastAsia" w:ascii="宋体" w:hAnsi="宋体" w:eastAsia="宋体" w:cs="宋体"/>
          <w:b/>
          <w:bCs/>
          <w:color w:val="000000" w:themeColor="text1"/>
          <w:sz w:val="30"/>
          <w:szCs w:val="30"/>
          <w:highlight w:val="none"/>
          <w14:textFill>
            <w14:solidFill>
              <w14:schemeClr w14:val="tx1"/>
            </w14:solidFill>
          </w14:textFill>
        </w:rPr>
        <w:t xml:space="preserve"> </w:t>
      </w:r>
    </w:p>
    <w:p>
      <w:pPr>
        <w:pStyle w:val="19"/>
        <w:wordWrap w:val="0"/>
        <w:topLinePunct/>
        <w:spacing w:after="0" w:line="1000" w:lineRule="exact"/>
        <w:ind w:left="480" w:firstLine="1506" w:firstLineChars="500"/>
        <w:rPr>
          <w:rFonts w:hint="eastAsia"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投标人名称：</w:t>
      </w:r>
      <w:r>
        <w:rPr>
          <w:rFonts w:hint="eastAsia" w:ascii="宋体" w:hAnsi="宋体" w:eastAsia="宋体" w:cs="宋体"/>
          <w:b/>
          <w:bCs/>
          <w:color w:val="000000" w:themeColor="text1"/>
          <w:sz w:val="30"/>
          <w:szCs w:val="30"/>
          <w:highlight w:val="none"/>
          <w:u w:val="single"/>
          <w14:textFill>
            <w14:solidFill>
              <w14:schemeClr w14:val="tx1"/>
            </w14:solidFill>
          </w14:textFill>
        </w:rPr>
        <w:t xml:space="preserve">                         </w:t>
      </w:r>
    </w:p>
    <w:p>
      <w:pPr>
        <w:pStyle w:val="19"/>
        <w:wordWrap w:val="0"/>
        <w:topLinePunct/>
        <w:spacing w:after="0" w:line="1000" w:lineRule="exact"/>
        <w:ind w:left="480" w:firstLine="600"/>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 xml:space="preserve">      投标日期：</w:t>
      </w:r>
      <w:r>
        <w:rPr>
          <w:rFonts w:hint="eastAsia" w:ascii="宋体" w:hAnsi="宋体" w:eastAsia="宋体" w:cs="宋体"/>
          <w:b/>
          <w:bCs/>
          <w:color w:val="000000" w:themeColor="text1"/>
          <w:sz w:val="30"/>
          <w:szCs w:val="30"/>
          <w:highlight w:val="none"/>
          <w:u w:val="single"/>
          <w14:textFill>
            <w14:solidFill>
              <w14:schemeClr w14:val="tx1"/>
            </w14:solidFill>
          </w14:textFill>
        </w:rPr>
        <w:t xml:space="preserve">                           </w:t>
      </w:r>
    </w:p>
    <w:p>
      <w:pPr>
        <w:ind w:firstLine="480"/>
        <w:rPr>
          <w:rFonts w:hint="eastAsia" w:ascii="宋体" w:hAnsi="宋体" w:eastAsia="宋体" w:cs="宋体"/>
          <w:b/>
          <w:bCs/>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pStyle w:val="12"/>
        <w:rPr>
          <w:rFonts w:hint="eastAsia" w:ascii="宋体" w:hAnsi="宋体" w:eastAsia="宋体" w:cs="宋体"/>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pStyle w:val="5"/>
        <w:keepNext/>
        <w:keepLines/>
        <w:pageBreakBefore w:val="0"/>
        <w:widowControl w:val="0"/>
        <w:numPr>
          <w:ilvl w:val="0"/>
          <w:numId w:val="5"/>
        </w:numPr>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2"/>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报价</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lang w:eastAsia="zh-CN"/>
          <w14:textFill>
            <w14:solidFill>
              <w14:schemeClr w14:val="tx1"/>
            </w14:solidFill>
          </w14:textFill>
        </w:rPr>
        <w:t>（</w:t>
      </w:r>
      <w:r>
        <w:rPr>
          <w:rFonts w:hint="eastAsia" w:ascii="宋体" w:hAnsi="宋体" w:eastAsia="宋体" w:cs="宋体"/>
          <w:color w:val="000000" w:themeColor="text1"/>
          <w:sz w:val="32"/>
          <w:szCs w:val="32"/>
          <w:highlight w:val="none"/>
          <w:lang w:val="en-US" w:eastAsia="zh-CN"/>
          <w14:textFill>
            <w14:solidFill>
              <w14:schemeClr w14:val="tx1"/>
            </w14:solidFill>
          </w14:textFill>
        </w:rPr>
        <w:t>一</w:t>
      </w:r>
      <w:r>
        <w:rPr>
          <w:rFonts w:hint="eastAsia" w:ascii="宋体" w:hAnsi="宋体" w:eastAsia="宋体" w:cs="宋体"/>
          <w:color w:val="000000" w:themeColor="text1"/>
          <w:sz w:val="32"/>
          <w:szCs w:val="32"/>
          <w:highlight w:val="none"/>
          <w:lang w:eastAsia="zh-CN"/>
          <w14:textFill>
            <w14:solidFill>
              <w14:schemeClr w14:val="tx1"/>
            </w14:solidFill>
          </w14:textFill>
        </w:rPr>
        <w:t>）</w:t>
      </w:r>
      <w:r>
        <w:rPr>
          <w:rFonts w:hint="eastAsia" w:ascii="宋体" w:hAnsi="宋体" w:eastAsia="宋体" w:cs="宋体"/>
          <w:color w:val="000000" w:themeColor="text1"/>
          <w:sz w:val="32"/>
          <w:szCs w:val="32"/>
          <w:highlight w:val="none"/>
          <w14:textFill>
            <w14:solidFill>
              <w14:schemeClr w14:val="tx1"/>
            </w14:solidFill>
          </w14:textFill>
        </w:rPr>
        <w:t>开标一览表</w:t>
      </w:r>
    </w:p>
    <w:tbl>
      <w:tblPr>
        <w:tblStyle w:val="33"/>
        <w:tblW w:w="9259" w:type="dxa"/>
        <w:jc w:val="center"/>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2497"/>
        <w:gridCol w:w="5027"/>
        <w:gridCol w:w="1735"/>
      </w:tblGrid>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trHeight w:val="1050" w:hRule="atLeast"/>
          <w:jc w:val="center"/>
        </w:trPr>
        <w:tc>
          <w:tcPr>
            <w:tcW w:w="2497" w:type="dxa"/>
            <w:tcBorders>
              <w:tl2br w:val="nil"/>
              <w:tr2bl w:val="nil"/>
            </w:tcBorders>
            <w:shd w:val="clear" w:color="auto" w:fill="auto"/>
            <w:vAlign w:val="center"/>
          </w:tcPr>
          <w:p>
            <w:pPr>
              <w:pageBreakBefore w:val="0"/>
              <w:kinsoku/>
              <w:overflowPunct/>
              <w:bidi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项目名称</w:t>
            </w:r>
          </w:p>
        </w:tc>
        <w:tc>
          <w:tcPr>
            <w:tcW w:w="5027" w:type="dxa"/>
            <w:tcBorders>
              <w:tl2br w:val="nil"/>
              <w:tr2bl w:val="nil"/>
            </w:tcBorders>
            <w:shd w:val="clear" w:color="auto" w:fill="auto"/>
            <w:vAlign w:val="center"/>
          </w:tcPr>
          <w:p>
            <w:pPr>
              <w:pageBreakBefore w:val="0"/>
              <w:kinsoku/>
              <w:overflowPunct/>
              <w:bidi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kern w:val="0"/>
                <w:highlight w:val="none"/>
                <w:lang w:eastAsia="zh-CN" w:bidi="ar"/>
                <w14:textFill>
                  <w14:solidFill>
                    <w14:schemeClr w14:val="tx1"/>
                  </w14:solidFill>
                </w14:textFill>
              </w:rPr>
              <w:t>大邑县教育局2021年度部分学校信息化设备（第二批）采购项目（第2次）</w:t>
            </w:r>
          </w:p>
        </w:tc>
        <w:tc>
          <w:tcPr>
            <w:tcW w:w="1735" w:type="dxa"/>
            <w:tcBorders>
              <w:tl2br w:val="nil"/>
              <w:tr2bl w:val="nil"/>
            </w:tcBorders>
            <w:shd w:val="clear" w:color="auto" w:fill="auto"/>
            <w:vAlign w:val="center"/>
          </w:tcPr>
          <w:p>
            <w:pPr>
              <w:pageBreakBefore w:val="0"/>
              <w:kinsoku/>
              <w:overflowPunct/>
              <w:bidi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备   注</w:t>
            </w: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cantSplit/>
          <w:trHeight w:val="921" w:hRule="atLeast"/>
          <w:jc w:val="center"/>
        </w:trPr>
        <w:tc>
          <w:tcPr>
            <w:tcW w:w="2497" w:type="dxa"/>
            <w:tcBorders>
              <w:tl2br w:val="nil"/>
              <w:tr2bl w:val="nil"/>
            </w:tcBorders>
            <w:shd w:val="clear" w:color="auto" w:fill="auto"/>
            <w:vAlign w:val="center"/>
          </w:tcPr>
          <w:p>
            <w:pPr>
              <w:pageBreakBefore w:val="0"/>
              <w:kinsoku/>
              <w:overflowPunct/>
              <w:bidi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val="en-US" w:eastAsia="zh-CN" w:bidi="ar"/>
                <w14:textFill>
                  <w14:solidFill>
                    <w14:schemeClr w14:val="tx1"/>
                  </w14:solidFill>
                </w14:textFill>
              </w:rPr>
              <w:t>项目</w:t>
            </w:r>
            <w:r>
              <w:rPr>
                <w:rFonts w:hint="eastAsia" w:ascii="宋体" w:hAnsi="宋体" w:eastAsia="宋体" w:cs="宋体"/>
                <w:color w:val="000000" w:themeColor="text1"/>
                <w:kern w:val="0"/>
                <w:highlight w:val="none"/>
                <w:lang w:bidi="ar"/>
                <w14:textFill>
                  <w14:solidFill>
                    <w14:schemeClr w14:val="tx1"/>
                  </w14:solidFill>
                </w14:textFill>
              </w:rPr>
              <w:t>编号</w:t>
            </w:r>
          </w:p>
        </w:tc>
        <w:tc>
          <w:tcPr>
            <w:tcW w:w="5027" w:type="dxa"/>
            <w:tcBorders>
              <w:tl2br w:val="nil"/>
              <w:tr2bl w:val="nil"/>
            </w:tcBorders>
            <w:shd w:val="clear" w:color="auto" w:fill="auto"/>
            <w:vAlign w:val="center"/>
          </w:tcPr>
          <w:p>
            <w:pPr>
              <w:pageBreakBefore w:val="0"/>
              <w:kinsoku/>
              <w:overflowPunct/>
              <w:bidi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eastAsia="zh-CN" w:bidi="ar"/>
                <w14:textFill>
                  <w14:solidFill>
                    <w14:schemeClr w14:val="tx1"/>
                  </w14:solidFill>
                </w14:textFill>
              </w:rPr>
              <w:t>510129202100144</w:t>
            </w:r>
          </w:p>
        </w:tc>
        <w:tc>
          <w:tcPr>
            <w:tcW w:w="1735" w:type="dxa"/>
            <w:vMerge w:val="restart"/>
            <w:tcBorders>
              <w:tl2br w:val="nil"/>
              <w:tr2bl w:val="nil"/>
            </w:tcBorders>
            <w:shd w:val="clear" w:color="auto" w:fill="auto"/>
            <w:vAlign w:val="center"/>
          </w:tcPr>
          <w:p>
            <w:pPr>
              <w:pageBreakBefore w:val="0"/>
              <w:kinsoku/>
              <w:overflowPunct/>
              <w:bidi w:val="0"/>
              <w:spacing w:line="36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108" w:type="dxa"/>
            <w:bottom w:w="0" w:type="dxa"/>
            <w:right w:w="108" w:type="dxa"/>
          </w:tblCellMar>
        </w:tblPrEx>
        <w:trPr>
          <w:cantSplit/>
          <w:trHeight w:val="2032" w:hRule="atLeast"/>
          <w:jc w:val="center"/>
        </w:trPr>
        <w:tc>
          <w:tcPr>
            <w:tcW w:w="2497" w:type="dxa"/>
            <w:tcBorders>
              <w:tl2br w:val="nil"/>
              <w:tr2bl w:val="nil"/>
            </w:tcBorders>
            <w:shd w:val="clear" w:color="auto" w:fill="auto"/>
            <w:vAlign w:val="center"/>
          </w:tcPr>
          <w:p>
            <w:pPr>
              <w:pageBreakBefore w:val="0"/>
              <w:kinsoku/>
              <w:overflowPunct/>
              <w:bidi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投标</w:t>
            </w:r>
            <w:r>
              <w:rPr>
                <w:rFonts w:hint="eastAsia" w:ascii="宋体" w:hAnsi="宋体" w:eastAsia="宋体" w:cs="宋体"/>
                <w:color w:val="000000" w:themeColor="text1"/>
                <w:highlight w:val="none"/>
                <w14:textFill>
                  <w14:solidFill>
                    <w14:schemeClr w14:val="tx1"/>
                  </w14:solidFill>
                </w14:textFill>
              </w:rPr>
              <w:t>报价</w:t>
            </w:r>
          </w:p>
        </w:tc>
        <w:tc>
          <w:tcPr>
            <w:tcW w:w="5027" w:type="dxa"/>
            <w:tcBorders>
              <w:tl2br w:val="nil"/>
              <w:tr2bl w:val="nil"/>
            </w:tcBorders>
            <w:shd w:val="clear" w:color="auto" w:fill="auto"/>
            <w:vAlign w:val="center"/>
          </w:tcPr>
          <w:p>
            <w:pPr>
              <w:pageBreakBefore w:val="0"/>
              <w:kinsoku/>
              <w:overflowPunct/>
              <w:bidi w:val="0"/>
              <w:spacing w:line="36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小写</w:t>
            </w:r>
            <w:r>
              <w:rPr>
                <w:rFonts w:hint="eastAsia" w:ascii="宋体" w:hAnsi="宋体" w:eastAsia="宋体" w:cs="宋体"/>
                <w:color w:val="000000" w:themeColor="text1"/>
                <w:kern w:val="0"/>
                <w:highlight w:val="none"/>
                <w:lang w:eastAsia="zh-CN" w:bidi="ar"/>
                <w14:textFill>
                  <w14:solidFill>
                    <w14:schemeClr w14:val="tx1"/>
                  </w14:solidFill>
                </w14:textFill>
              </w:rPr>
              <w:t>：</w:t>
            </w:r>
            <w:r>
              <w:rPr>
                <w:rFonts w:hint="eastAsia" w:ascii="宋体" w:hAnsi="宋体" w:eastAsia="宋体" w:cs="宋体"/>
                <w:color w:val="000000" w:themeColor="text1"/>
                <w:kern w:val="0"/>
                <w:highlight w:val="none"/>
                <w:u w:val="single"/>
                <w:lang w:bidi="ar"/>
                <w14:textFill>
                  <w14:solidFill>
                    <w14:schemeClr w14:val="tx1"/>
                  </w14:solidFill>
                </w14:textFill>
              </w:rPr>
              <w:t xml:space="preserve">                       </w:t>
            </w:r>
            <w:r>
              <w:rPr>
                <w:rFonts w:hint="eastAsia" w:ascii="宋体" w:hAnsi="宋体" w:eastAsia="宋体" w:cs="宋体"/>
                <w:color w:val="000000" w:themeColor="text1"/>
                <w:kern w:val="0"/>
                <w:highlight w:val="none"/>
                <w:lang w:bidi="ar"/>
                <w14:textFill>
                  <w14:solidFill>
                    <w14:schemeClr w14:val="tx1"/>
                  </w14:solidFill>
                </w14:textFill>
              </w:rPr>
              <w:t>（元）</w:t>
            </w:r>
          </w:p>
          <w:p>
            <w:pPr>
              <w:pageBreakBefore w:val="0"/>
              <w:kinsoku/>
              <w:overflowPunct/>
              <w:bidi w:val="0"/>
              <w:spacing w:line="36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大写</w:t>
            </w:r>
            <w:r>
              <w:rPr>
                <w:rFonts w:hint="eastAsia" w:ascii="宋体" w:hAnsi="宋体" w:eastAsia="宋体" w:cs="宋体"/>
                <w:color w:val="000000" w:themeColor="text1"/>
                <w:kern w:val="0"/>
                <w:highlight w:val="none"/>
                <w:lang w:eastAsia="zh-CN" w:bidi="ar"/>
                <w14:textFill>
                  <w14:solidFill>
                    <w14:schemeClr w14:val="tx1"/>
                  </w14:solidFill>
                </w14:textFill>
              </w:rPr>
              <w:t>：</w:t>
            </w:r>
            <w:r>
              <w:rPr>
                <w:rFonts w:hint="eastAsia" w:ascii="宋体" w:hAnsi="宋体" w:eastAsia="宋体" w:cs="宋体"/>
                <w:color w:val="000000" w:themeColor="text1"/>
                <w:kern w:val="0"/>
                <w:highlight w:val="none"/>
                <w:u w:val="single"/>
                <w:lang w:bidi="ar"/>
                <w14:textFill>
                  <w14:solidFill>
                    <w14:schemeClr w14:val="tx1"/>
                  </w14:solidFill>
                </w14:textFill>
              </w:rPr>
              <w:t xml:space="preserve">                       </w:t>
            </w:r>
          </w:p>
        </w:tc>
        <w:tc>
          <w:tcPr>
            <w:tcW w:w="1735"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投标报价应是最终用户验收合格后的总价</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包括货物（设备）成本、运输、装卸、安装、调试、维护、税费、利润以及招标文件规定的其他费用。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进口产品须在备注栏注明。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投标日期：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Style w:val="4"/>
        <w:pageBreakBefore w:val="0"/>
        <w:kinsoku/>
        <w:overflowPunct/>
        <w:bidi w:val="0"/>
        <w:spacing w:before="0" w:after="0" w:line="360" w:lineRule="auto"/>
        <w:ind w:left="0" w:leftChars="0" w:right="0" w:rightChars="0"/>
        <w:textAlignment w:val="auto"/>
        <w:rPr>
          <w:rFonts w:hint="eastAsia" w:ascii="宋体" w:hAnsi="宋体" w:eastAsia="宋体" w:cs="宋体"/>
          <w:bCs w:val="0"/>
          <w:color w:val="000000" w:themeColor="text1"/>
          <w:highlight w:val="none"/>
          <w14:textFill>
            <w14:solidFill>
              <w14:schemeClr w14:val="tx1"/>
            </w14:solidFill>
          </w14:textFill>
        </w:rPr>
        <w:sectPr>
          <w:footerReference r:id="rId7" w:type="default"/>
          <w:pgSz w:w="11906" w:h="16838"/>
          <w:pgMar w:top="1440" w:right="1417" w:bottom="1440" w:left="1417" w:header="794" w:footer="992" w:gutter="0"/>
          <w:pgBorders>
            <w:top w:val="none" w:sz="0" w:space="0"/>
            <w:left w:val="none" w:sz="0" w:space="0"/>
            <w:bottom w:val="none" w:sz="0" w:space="0"/>
            <w:right w:val="none" w:sz="0" w:space="0"/>
          </w:pgBorders>
          <w:pgNumType w:fmt="decimal" w:start="1"/>
          <w:cols w:space="0" w:num="1"/>
          <w:rtlGutter w:val="0"/>
          <w:docGrid w:linePitch="326" w:charSpace="0"/>
        </w:sectPr>
      </w:pP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Cs w:val="0"/>
          <w:color w:val="000000" w:themeColor="text1"/>
          <w:highlight w:val="none"/>
          <w14:textFill>
            <w14:solidFill>
              <w14:schemeClr w14:val="tx1"/>
            </w14:solidFill>
          </w14:textFill>
        </w:rPr>
      </w:pPr>
      <w:r>
        <w:rPr>
          <w:rFonts w:hint="eastAsia" w:ascii="宋体" w:hAnsi="宋体" w:eastAsia="宋体" w:cs="宋体"/>
          <w:bCs w:val="0"/>
          <w:color w:val="000000" w:themeColor="text1"/>
          <w:highlight w:val="none"/>
          <w:lang w:eastAsia="zh-CN"/>
          <w14:textFill>
            <w14:solidFill>
              <w14:schemeClr w14:val="tx1"/>
            </w14:solidFill>
          </w14:textFill>
        </w:rPr>
        <w:t>（</w:t>
      </w:r>
      <w:r>
        <w:rPr>
          <w:rFonts w:hint="eastAsia" w:ascii="宋体" w:hAnsi="宋体" w:eastAsia="宋体" w:cs="宋体"/>
          <w:bCs w:val="0"/>
          <w:color w:val="000000" w:themeColor="text1"/>
          <w:highlight w:val="none"/>
          <w:lang w:val="en-US" w:eastAsia="zh-CN"/>
          <w14:textFill>
            <w14:solidFill>
              <w14:schemeClr w14:val="tx1"/>
            </w14:solidFill>
          </w14:textFill>
        </w:rPr>
        <w:t>二</w:t>
      </w:r>
      <w:r>
        <w:rPr>
          <w:rFonts w:hint="eastAsia" w:ascii="宋体" w:hAnsi="宋体" w:eastAsia="宋体" w:cs="宋体"/>
          <w:bCs w:val="0"/>
          <w:color w:val="000000" w:themeColor="text1"/>
          <w:highlight w:val="none"/>
          <w:lang w:eastAsia="zh-CN"/>
          <w14:textFill>
            <w14:solidFill>
              <w14:schemeClr w14:val="tx1"/>
            </w14:solidFill>
          </w14:textFill>
        </w:rPr>
        <w:t>）</w:t>
      </w:r>
      <w:r>
        <w:rPr>
          <w:rFonts w:hint="eastAsia" w:ascii="宋体" w:hAnsi="宋体" w:eastAsia="宋体" w:cs="宋体"/>
          <w:bCs w:val="0"/>
          <w:color w:val="000000" w:themeColor="text1"/>
          <w:highlight w:val="none"/>
          <w14:textFill>
            <w14:solidFill>
              <w14:schemeClr w14:val="tx1"/>
            </w14:solidFill>
          </w14:textFill>
        </w:rPr>
        <w:t>分项报价明细表</w:t>
      </w:r>
    </w:p>
    <w:tbl>
      <w:tblPr>
        <w:tblStyle w:val="33"/>
        <w:tblW w:w="11112" w:type="dxa"/>
        <w:jc w:val="center"/>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554"/>
        <w:gridCol w:w="885"/>
        <w:gridCol w:w="1080"/>
        <w:gridCol w:w="1200"/>
        <w:gridCol w:w="1320"/>
        <w:gridCol w:w="720"/>
        <w:gridCol w:w="765"/>
        <w:gridCol w:w="1305"/>
        <w:gridCol w:w="1200"/>
        <w:gridCol w:w="1260"/>
        <w:gridCol w:w="823"/>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887" w:hRule="atLeast"/>
          <w:jc w:val="center"/>
        </w:trPr>
        <w:tc>
          <w:tcPr>
            <w:tcW w:w="554" w:type="dxa"/>
            <w:tcBorders>
              <w:top w:val="double" w:color="auto" w:sz="2" w:space="0"/>
              <w:left w:val="double" w:color="auto" w:sz="2"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序号</w:t>
            </w:r>
          </w:p>
        </w:tc>
        <w:tc>
          <w:tcPr>
            <w:tcW w:w="885" w:type="dxa"/>
            <w:tcBorders>
              <w:top w:val="double" w:color="auto" w:sz="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产品名称</w:t>
            </w:r>
          </w:p>
        </w:tc>
        <w:tc>
          <w:tcPr>
            <w:tcW w:w="1080" w:type="dxa"/>
            <w:tcBorders>
              <w:top w:val="double" w:color="auto" w:sz="2" w:space="0"/>
              <w:left w:val="single" w:color="000000" w:sz="6" w:space="0"/>
              <w:bottom w:val="single" w:color="000000"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产品制造商</w:t>
            </w:r>
          </w:p>
        </w:tc>
        <w:tc>
          <w:tcPr>
            <w:tcW w:w="1200" w:type="dxa"/>
            <w:tcBorders>
              <w:top w:val="double" w:color="auto" w:sz="2" w:space="0"/>
              <w:left w:val="nil"/>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000000" w:themeColor="text1"/>
                <w:highlight w:val="none"/>
                <w:lang w:val="en-US" w:eastAsia="zh-CN" w:bidi="ar"/>
                <w14:textFill>
                  <w14:solidFill>
                    <w14:schemeClr w14:val="tx1"/>
                  </w14:solidFill>
                </w14:textFill>
              </w:rPr>
            </w:pPr>
            <w:r>
              <w:rPr>
                <w:rFonts w:hint="eastAsia" w:ascii="宋体" w:hAnsi="宋体" w:eastAsia="宋体" w:cs="宋体"/>
                <w:color w:val="000000" w:themeColor="text1"/>
                <w:highlight w:val="none"/>
                <w:lang w:val="en-US" w:eastAsia="zh-CN" w:bidi="ar"/>
                <w14:textFill>
                  <w14:solidFill>
                    <w14:schemeClr w14:val="tx1"/>
                  </w14:solidFill>
                </w14:textFill>
              </w:rPr>
              <w:t>品牌</w:t>
            </w:r>
          </w:p>
        </w:tc>
        <w:tc>
          <w:tcPr>
            <w:tcW w:w="1320" w:type="dxa"/>
            <w:tcBorders>
              <w:top w:val="double" w:color="auto" w:sz="2" w:space="0"/>
              <w:left w:val="nil"/>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规格\型号</w:t>
            </w:r>
          </w:p>
        </w:tc>
        <w:tc>
          <w:tcPr>
            <w:tcW w:w="720" w:type="dxa"/>
            <w:tcBorders>
              <w:top w:val="double" w:color="auto" w:sz="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单位</w:t>
            </w:r>
          </w:p>
        </w:tc>
        <w:tc>
          <w:tcPr>
            <w:tcW w:w="765" w:type="dxa"/>
            <w:tcBorders>
              <w:top w:val="double" w:color="auto" w:sz="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数量</w:t>
            </w:r>
          </w:p>
        </w:tc>
        <w:tc>
          <w:tcPr>
            <w:tcW w:w="1305" w:type="dxa"/>
            <w:tcBorders>
              <w:top w:val="double" w:color="auto" w:sz="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单价（元）</w:t>
            </w:r>
          </w:p>
        </w:tc>
        <w:tc>
          <w:tcPr>
            <w:tcW w:w="1200" w:type="dxa"/>
            <w:tcBorders>
              <w:top w:val="double" w:color="auto" w:sz="2" w:space="0"/>
              <w:left w:val="single" w:color="000000" w:sz="6" w:space="0"/>
              <w:bottom w:val="single" w:color="000000" w:sz="6" w:space="0"/>
              <w:right w:val="single" w:color="000000" w:sz="6"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金额（元）</w:t>
            </w:r>
          </w:p>
        </w:tc>
        <w:tc>
          <w:tcPr>
            <w:tcW w:w="1260" w:type="dxa"/>
            <w:tcBorders>
              <w:top w:val="double" w:color="auto" w:sz="2" w:space="0"/>
              <w:left w:val="single" w:color="000000" w:sz="6" w:space="0"/>
              <w:bottom w:val="single" w:color="000000" w:sz="6" w:space="0"/>
              <w:right w:val="single" w:color="auto" w:sz="4" w:space="0"/>
            </w:tcBorders>
            <w:shd w:val="clear" w:color="auto" w:fill="auto"/>
            <w:vAlign w:val="center"/>
          </w:tcPr>
          <w:p>
            <w:pPr>
              <w:keepNext w:val="0"/>
              <w:keepLines w:val="0"/>
              <w:suppressLineNumbers w:val="0"/>
              <w:snapToGrid w:val="0"/>
              <w:spacing w:before="0" w:beforeAutospacing="0" w:after="0" w:afterAutospacing="0"/>
              <w:ind w:left="0" w:right="0" w:firstLine="120" w:firstLineChars="5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是否为进口产品</w:t>
            </w:r>
          </w:p>
        </w:tc>
        <w:tc>
          <w:tcPr>
            <w:tcW w:w="823" w:type="dxa"/>
            <w:tcBorders>
              <w:top w:val="double" w:color="auto" w:sz="2" w:space="0"/>
              <w:left w:val="nil"/>
              <w:bottom w:val="single" w:color="000000" w:sz="6" w:space="0"/>
              <w:right w:val="double" w:color="auto" w:sz="2" w:space="0"/>
            </w:tcBorders>
            <w:shd w:val="clear" w:color="auto" w:fill="auto"/>
            <w:vAlign w:val="center"/>
          </w:tcPr>
          <w:p>
            <w:pPr>
              <w:keepNext w:val="0"/>
              <w:keepLines w:val="0"/>
              <w:suppressLineNumbers w:val="0"/>
              <w:snapToGrid w:val="0"/>
              <w:spacing w:before="0" w:beforeAutospacing="0" w:after="0" w:afterAutospacing="0"/>
              <w:ind w:left="0" w:right="0" w:firstLine="0" w:firstLineChars="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备注</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54" w:type="dxa"/>
            <w:tcBorders>
              <w:top w:val="single" w:color="000000" w:sz="6" w:space="0"/>
              <w:left w:val="double" w:color="auto" w:sz="2"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8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08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2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2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6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0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6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23" w:type="dxa"/>
            <w:tcBorders>
              <w:top w:val="single" w:color="000000" w:sz="6" w:space="0"/>
              <w:left w:val="nil"/>
              <w:bottom w:val="single" w:color="000000" w:sz="6"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76" w:hRule="atLeast"/>
          <w:jc w:val="center"/>
        </w:trPr>
        <w:tc>
          <w:tcPr>
            <w:tcW w:w="554" w:type="dxa"/>
            <w:tcBorders>
              <w:top w:val="single" w:color="000000" w:sz="6" w:space="0"/>
              <w:left w:val="double" w:color="auto" w:sz="2"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8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08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2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2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6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0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6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23" w:type="dxa"/>
            <w:tcBorders>
              <w:top w:val="single" w:color="000000" w:sz="6" w:space="0"/>
              <w:left w:val="nil"/>
              <w:bottom w:val="single" w:color="000000" w:sz="6"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76" w:hRule="atLeast"/>
          <w:jc w:val="center"/>
        </w:trPr>
        <w:tc>
          <w:tcPr>
            <w:tcW w:w="554" w:type="dxa"/>
            <w:tcBorders>
              <w:top w:val="single" w:color="000000" w:sz="6" w:space="0"/>
              <w:left w:val="double" w:color="auto" w:sz="2"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8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08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2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2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6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0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6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23" w:type="dxa"/>
            <w:tcBorders>
              <w:top w:val="single" w:color="000000" w:sz="6" w:space="0"/>
              <w:left w:val="nil"/>
              <w:bottom w:val="single" w:color="000000" w:sz="6"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76" w:hRule="atLeast"/>
          <w:jc w:val="center"/>
        </w:trPr>
        <w:tc>
          <w:tcPr>
            <w:tcW w:w="554" w:type="dxa"/>
            <w:tcBorders>
              <w:top w:val="single" w:color="000000" w:sz="6" w:space="0"/>
              <w:left w:val="double" w:color="auto" w:sz="2"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8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08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20" w:type="dxa"/>
            <w:tcBorders>
              <w:top w:val="single" w:color="000000" w:sz="6" w:space="0"/>
              <w:left w:val="nil"/>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2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6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05"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60" w:type="dxa"/>
            <w:tcBorders>
              <w:top w:val="single" w:color="000000" w:sz="6" w:space="0"/>
              <w:left w:val="single" w:color="000000" w:sz="6" w:space="0"/>
              <w:bottom w:val="single" w:color="000000" w:sz="6"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23" w:type="dxa"/>
            <w:tcBorders>
              <w:top w:val="single" w:color="000000" w:sz="6" w:space="0"/>
              <w:left w:val="nil"/>
              <w:bottom w:val="single" w:color="000000" w:sz="6"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44" w:hRule="atLeast"/>
          <w:jc w:val="center"/>
        </w:trPr>
        <w:tc>
          <w:tcPr>
            <w:tcW w:w="554" w:type="dxa"/>
            <w:tcBorders>
              <w:top w:val="single" w:color="000000" w:sz="6" w:space="0"/>
              <w:left w:val="double" w:color="auto" w:sz="2"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8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080" w:type="dxa"/>
            <w:tcBorders>
              <w:top w:val="single" w:color="000000" w:sz="6" w:space="0"/>
              <w:left w:val="single" w:color="000000" w:sz="6"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nil"/>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20" w:type="dxa"/>
            <w:tcBorders>
              <w:top w:val="single" w:color="000000" w:sz="6" w:space="0"/>
              <w:left w:val="nil"/>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20"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6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0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60" w:type="dxa"/>
            <w:tcBorders>
              <w:top w:val="single" w:color="000000" w:sz="6" w:space="0"/>
              <w:left w:val="single" w:color="000000" w:sz="6"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23" w:type="dxa"/>
            <w:tcBorders>
              <w:top w:val="single" w:color="000000" w:sz="6" w:space="0"/>
              <w:left w:val="nil"/>
              <w:bottom w:val="single" w:color="auto" w:sz="4"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44" w:hRule="atLeast"/>
          <w:jc w:val="center"/>
        </w:trPr>
        <w:tc>
          <w:tcPr>
            <w:tcW w:w="554" w:type="dxa"/>
            <w:tcBorders>
              <w:top w:val="single" w:color="000000" w:sz="6" w:space="0"/>
              <w:left w:val="double" w:color="auto" w:sz="2"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8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080" w:type="dxa"/>
            <w:tcBorders>
              <w:top w:val="single" w:color="000000" w:sz="6" w:space="0"/>
              <w:left w:val="single" w:color="000000" w:sz="6"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nil"/>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20" w:type="dxa"/>
            <w:tcBorders>
              <w:top w:val="single" w:color="000000" w:sz="6" w:space="0"/>
              <w:left w:val="nil"/>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20"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76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305"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00" w:type="dxa"/>
            <w:tcBorders>
              <w:top w:val="single" w:color="000000" w:sz="6" w:space="0"/>
              <w:left w:val="single" w:color="000000" w:sz="6" w:space="0"/>
              <w:bottom w:val="single" w:color="auto" w:sz="4" w:space="0"/>
              <w:right w:val="single" w:color="000000" w:sz="6"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1260" w:type="dxa"/>
            <w:tcBorders>
              <w:top w:val="single" w:color="000000" w:sz="6" w:space="0"/>
              <w:left w:val="single" w:color="000000" w:sz="6" w:space="0"/>
              <w:bottom w:val="single" w:color="auto" w:sz="4" w:space="0"/>
              <w:right w:val="single" w:color="auto" w:sz="4"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c>
          <w:tcPr>
            <w:tcW w:w="823" w:type="dxa"/>
            <w:tcBorders>
              <w:top w:val="single" w:color="000000" w:sz="6" w:space="0"/>
              <w:left w:val="nil"/>
              <w:bottom w:val="single" w:color="auto" w:sz="4"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480"/>
              <w:jc w:val="center"/>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478" w:hRule="atLeast"/>
          <w:jc w:val="center"/>
        </w:trPr>
        <w:tc>
          <w:tcPr>
            <w:tcW w:w="11112" w:type="dxa"/>
            <w:gridSpan w:val="11"/>
            <w:tcBorders>
              <w:top w:val="single" w:color="auto" w:sz="4" w:space="0"/>
              <w:left w:val="double" w:color="auto" w:sz="2" w:space="0"/>
              <w:bottom w:val="double" w:color="auto" w:sz="2" w:space="0"/>
              <w:right w:val="double" w:color="auto" w:sz="2" w:space="0"/>
            </w:tcBorders>
            <w:shd w:val="clear" w:color="auto" w:fill="auto"/>
          </w:tcPr>
          <w:p>
            <w:pPr>
              <w:keepNext w:val="0"/>
              <w:keepLines w:val="0"/>
              <w:suppressLineNumbers w:val="0"/>
              <w:snapToGrid w:val="0"/>
              <w:spacing w:before="0" w:beforeAutospacing="0" w:after="0" w:afterAutospacing="0"/>
              <w:ind w:left="0" w:right="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分项报价合计：</w:t>
            </w:r>
            <w:r>
              <w:rPr>
                <w:rFonts w:hint="eastAsia" w:ascii="宋体" w:hAnsi="宋体" w:eastAsia="宋体" w:cs="宋体"/>
                <w:color w:val="000000" w:themeColor="text1"/>
                <w:highlight w:val="none"/>
                <w:u w:val="single"/>
                <w:lang w:bidi="ar"/>
                <w14:textFill>
                  <w14:solidFill>
                    <w14:schemeClr w14:val="tx1"/>
                  </w14:solidFill>
                </w14:textFill>
              </w:rPr>
              <w:t xml:space="preserve">           </w:t>
            </w:r>
            <w:r>
              <w:rPr>
                <w:rFonts w:hint="eastAsia" w:ascii="宋体" w:hAnsi="宋体" w:eastAsia="宋体" w:cs="宋体"/>
                <w:color w:val="000000" w:themeColor="text1"/>
                <w:highlight w:val="none"/>
                <w:lang w:bidi="ar"/>
                <w14:textFill>
                  <w14:solidFill>
                    <w14:schemeClr w14:val="tx1"/>
                  </w14:solidFill>
                </w14:textFill>
              </w:rPr>
              <w:t>元（大写：</w:t>
            </w:r>
            <w:r>
              <w:rPr>
                <w:rFonts w:hint="eastAsia" w:ascii="宋体" w:hAnsi="宋体" w:eastAsia="宋体" w:cs="宋体"/>
                <w:color w:val="000000" w:themeColor="text1"/>
                <w:highlight w:val="none"/>
                <w:u w:val="single"/>
                <w:lang w:bidi="ar"/>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highlight w:val="none"/>
                <w:u w:val="single"/>
                <w:lang w:bidi="ar"/>
                <w14:textFill>
                  <w14:solidFill>
                    <w14:schemeClr w14:val="tx1"/>
                  </w14:solidFill>
                </w14:textFill>
              </w:rPr>
              <w:t xml:space="preserve">        </w:t>
            </w:r>
            <w:r>
              <w:rPr>
                <w:rFonts w:hint="eastAsia" w:ascii="宋体" w:hAnsi="宋体" w:eastAsia="宋体" w:cs="宋体"/>
                <w:color w:val="000000" w:themeColor="text1"/>
                <w:highlight w:val="none"/>
                <w:lang w:bidi="ar"/>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投标人须详细报出投标总价的各个组成部分的报价。</w:t>
      </w:r>
      <w:r>
        <w:rPr>
          <w:rFonts w:hint="eastAsia" w:ascii="宋体" w:hAnsi="宋体" w:eastAsia="宋体" w:cs="宋体"/>
          <w:color w:val="000000" w:themeColor="text1"/>
          <w:highlight w:val="none"/>
          <w:lang w:val="en-US" w:eastAsia="zh-CN"/>
          <w14:textFill>
            <w14:solidFill>
              <w14:schemeClr w14:val="tx1"/>
            </w14:solidFill>
          </w14:textFill>
        </w:rPr>
        <w:t>投标人投标报价不得超过规定的最高限价（包括各产品的单价限价），否则投标无效。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“分项报价明细表”各分项报价合计应当与“开标一览表”报价合计相等。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投标产品如为进口产品</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须列明。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投标日期：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pStyle w:val="5"/>
        <w:keepNext/>
        <w:keepLines/>
        <w:pageBreakBefore w:val="0"/>
        <w:widowControl w:val="0"/>
        <w:numPr>
          <w:ilvl w:val="0"/>
          <w:numId w:val="5"/>
        </w:numPr>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2"/>
        <w:rPr>
          <w:rFonts w:hint="eastAsia" w:ascii="宋体" w:hAnsi="宋体" w:eastAsia="宋体" w:cs="宋体"/>
          <w:color w:val="000000" w:themeColor="text1"/>
          <w:sz w:val="32"/>
          <w:szCs w:val="32"/>
          <w:highlight w:val="none"/>
          <w:lang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商务资信</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right="0" w:rightChars="0"/>
        <w:jc w:val="center"/>
        <w:textAlignment w:val="auto"/>
        <w:outlineLvl w:val="2"/>
        <w:rPr>
          <w:rFonts w:hint="eastAsia" w:ascii="宋体" w:hAnsi="宋体" w:eastAsia="宋体" w:cs="宋体"/>
          <w:color w:val="000000" w:themeColor="text1"/>
          <w:sz w:val="32"/>
          <w:szCs w:val="32"/>
          <w:highlight w:val="none"/>
          <w:lang w:eastAsia="zh-CN"/>
          <w14:textFill>
            <w14:solidFill>
              <w14:schemeClr w14:val="tx1"/>
            </w14:solidFill>
          </w14:textFill>
        </w:rPr>
      </w:pPr>
      <w:r>
        <w:rPr>
          <w:rFonts w:hint="eastAsia" w:ascii="宋体" w:hAnsi="宋体" w:eastAsia="宋体" w:cs="宋体"/>
          <w:color w:val="000000" w:themeColor="text1"/>
          <w:sz w:val="32"/>
          <w:szCs w:val="32"/>
          <w:highlight w:val="none"/>
          <w:lang w:eastAsia="zh-CN"/>
          <w14:textFill>
            <w14:solidFill>
              <w14:schemeClr w14:val="tx1"/>
            </w14:solidFill>
          </w14:textFill>
        </w:rPr>
        <w:t>（</w:t>
      </w:r>
      <w:r>
        <w:rPr>
          <w:rFonts w:hint="eastAsia" w:ascii="宋体" w:hAnsi="宋体" w:eastAsia="宋体" w:cs="宋体"/>
          <w:color w:val="000000" w:themeColor="text1"/>
          <w:sz w:val="32"/>
          <w:szCs w:val="32"/>
          <w:highlight w:val="none"/>
          <w:lang w:val="en-US" w:eastAsia="zh-CN"/>
          <w14:textFill>
            <w14:solidFill>
              <w14:schemeClr w14:val="tx1"/>
            </w14:solidFill>
          </w14:textFill>
        </w:rPr>
        <w:t>三</w:t>
      </w:r>
      <w:r>
        <w:rPr>
          <w:rFonts w:hint="eastAsia" w:ascii="宋体" w:hAnsi="宋体" w:eastAsia="宋体" w:cs="宋体"/>
          <w:color w:val="000000" w:themeColor="text1"/>
          <w:sz w:val="32"/>
          <w:szCs w:val="32"/>
          <w:highlight w:val="none"/>
          <w:lang w:eastAsia="zh-CN"/>
          <w14:textFill>
            <w14:solidFill>
              <w14:schemeClr w14:val="tx1"/>
            </w14:solidFill>
          </w14:textFill>
        </w:rPr>
        <w:t>）投标函</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四川浩行招标代理有限公司</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我方全面研究了“</w:t>
      </w:r>
      <w:r>
        <w:rPr>
          <w:rFonts w:hint="eastAsia" w:ascii="宋体" w:hAnsi="宋体" w:eastAsia="宋体" w:cs="宋体"/>
          <w:color w:val="000000" w:themeColor="text1"/>
          <w:highlight w:val="none"/>
          <w:u w:val="single"/>
          <w14:textFill>
            <w14:solidFill>
              <w14:schemeClr w14:val="tx1"/>
            </w14:solidFill>
          </w14:textFill>
        </w:rPr>
        <w:t xml:space="preserve">              （项目名称） </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项目</w:t>
      </w:r>
      <w:r>
        <w:rPr>
          <w:rFonts w:hint="eastAsia" w:ascii="宋体" w:hAnsi="宋体" w:eastAsia="宋体" w:cs="宋体"/>
          <w:color w:val="000000" w:themeColor="text1"/>
          <w:highlight w:val="none"/>
          <w14:textFill>
            <w14:solidFill>
              <w14:schemeClr w14:val="tx1"/>
            </w14:solidFill>
          </w14:textFill>
        </w:rPr>
        <w:t>编号：</w:t>
      </w:r>
      <w:r>
        <w:rPr>
          <w:rFonts w:hint="eastAsia" w:ascii="宋体" w:hAnsi="宋体" w:eastAsia="宋体" w:cs="宋体"/>
          <w:color w:val="000000" w:themeColor="text1"/>
          <w:highlight w:val="none"/>
          <w:u w:val="single"/>
          <w14:textFill>
            <w14:solidFill>
              <w14:schemeClr w14:val="tx1"/>
            </w14:solidFill>
          </w14:textFill>
        </w:rPr>
        <w:t>　　　　 　</w:t>
      </w:r>
      <w:r>
        <w:rPr>
          <w:rFonts w:hint="eastAsia" w:ascii="宋体" w:hAnsi="宋体" w:eastAsia="宋体" w:cs="宋体"/>
          <w:color w:val="000000" w:themeColor="text1"/>
          <w:highlight w:val="none"/>
          <w14:textFill>
            <w14:solidFill>
              <w14:schemeClr w14:val="tx1"/>
            </w14:solidFill>
          </w14:textFill>
        </w:rPr>
        <w:t>）的招标文件</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决定参加贵单位组织的本项目投标。</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一、我方自愿按照招标文件规定的各项要求向采购人提供所需货物</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投标报价以开标一览表为准。</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二、一旦我方中标</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我方将严格履行政府采购合同规定的责任和义务。</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三</w:t>
      </w:r>
      <w:r>
        <w:rPr>
          <w:rFonts w:hint="eastAsia" w:ascii="宋体" w:hAnsi="宋体" w:eastAsia="宋体" w:cs="宋体"/>
          <w:color w:val="000000" w:themeColor="text1"/>
          <w:highlight w:val="none"/>
          <w14:textFill>
            <w14:solidFill>
              <w14:schemeClr w14:val="tx1"/>
            </w14:solidFill>
          </w14:textFill>
        </w:rPr>
        <w:t>、我方为本项目提交的</w:t>
      </w:r>
      <w:r>
        <w:rPr>
          <w:rFonts w:hint="eastAsia" w:ascii="宋体" w:hAnsi="宋体" w:eastAsia="宋体" w:cs="宋体"/>
          <w:color w:val="000000" w:themeColor="text1"/>
          <w:highlight w:val="none"/>
          <w:lang w:val="en-US" w:eastAsia="zh-CN"/>
          <w14:textFill>
            <w14:solidFill>
              <w14:schemeClr w14:val="tx1"/>
            </w14:solidFill>
          </w14:textFill>
        </w:rPr>
        <w:t>投标文件符合招标文件要求</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、我方同意本次招标的投标有效期为投标截止时间届满后60天。</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五</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我方保证在本项目使用的任何产品和服务（包括部分使用）时，不会产生因第三方提出侵犯其专利权、商标权或其他知识产权而引起的法律和经济纠纷，如因专利权、商标权或其他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六、我方</w:t>
      </w:r>
      <w:r>
        <w:rPr>
          <w:rFonts w:hint="eastAsia" w:ascii="宋体" w:hAnsi="宋体" w:eastAsia="宋体" w:cs="宋体"/>
          <w:color w:val="000000" w:themeColor="text1"/>
          <w:highlight w:val="none"/>
          <w14:textFill>
            <w14:solidFill>
              <w14:schemeClr w14:val="tx1"/>
            </w14:solidFill>
          </w14:textFill>
        </w:rPr>
        <w:t>在本次投标之前一周年内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本次投标中对同一品牌同一型号相同配置的产品报价与其在中国境内其他地方的最低报价</w:t>
      </w:r>
      <w:r>
        <w:rPr>
          <w:rFonts w:hint="eastAsia" w:ascii="宋体" w:hAnsi="宋体" w:eastAsia="宋体" w:cs="宋体"/>
          <w:color w:val="000000" w:themeColor="text1"/>
          <w:highlight w:val="none"/>
          <w:lang w:val="en-US" w:eastAsia="zh-CN"/>
          <w14:textFill>
            <w14:solidFill>
              <w14:schemeClr w14:val="tx1"/>
            </w14:solidFill>
          </w14:textFill>
        </w:rPr>
        <w:t>相比</w:t>
      </w:r>
      <w:r>
        <w:rPr>
          <w:rFonts w:hint="eastAsia" w:ascii="宋体" w:hAnsi="宋体" w:eastAsia="宋体" w:cs="宋体"/>
          <w:color w:val="000000" w:themeColor="text1"/>
          <w:highlight w:val="none"/>
          <w14:textFill>
            <w14:solidFill>
              <w14:schemeClr w14:val="tx1"/>
            </w14:solidFill>
          </w14:textFill>
        </w:rPr>
        <w:t>不高于</w:t>
      </w:r>
      <w:r>
        <w:rPr>
          <w:rFonts w:hint="eastAsia" w:ascii="宋体" w:hAnsi="宋体" w:eastAsia="宋体" w:cs="宋体"/>
          <w:color w:val="000000" w:themeColor="text1"/>
          <w:highlight w:val="none"/>
          <w:lang w:val="en-US" w:eastAsia="zh-CN"/>
          <w14:textFill>
            <w14:solidFill>
              <w14:schemeClr w14:val="tx1"/>
            </w14:solidFill>
          </w14:textFill>
        </w:rPr>
        <w:t>20</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七</w:t>
      </w:r>
      <w:r>
        <w:rPr>
          <w:rFonts w:hint="eastAsia" w:ascii="宋体" w:hAnsi="宋体" w:eastAsia="宋体" w:cs="宋体"/>
          <w:color w:val="000000" w:themeColor="text1"/>
          <w:highlight w:val="none"/>
          <w14:textFill>
            <w14:solidFill>
              <w14:schemeClr w14:val="tx1"/>
            </w14:solidFill>
          </w14:textFill>
        </w:rPr>
        <w:t>、如我单位中标</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承诺不将任何政府采购合同义务转包</w:t>
      </w:r>
      <w:r>
        <w:rPr>
          <w:rFonts w:hint="eastAsia" w:ascii="宋体" w:hAnsi="宋体" w:eastAsia="宋体" w:cs="宋体"/>
          <w:color w:val="000000" w:themeColor="text1"/>
          <w:highlight w:val="none"/>
          <w:lang w:eastAsia="zh-CN"/>
          <w14:textFill>
            <w14:solidFill>
              <w14:schemeClr w14:val="tx1"/>
            </w14:solidFill>
          </w14:textFill>
        </w:rPr>
        <w:t>或违规分包</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overflowPunct/>
        <w:topLinePunct w:val="0"/>
        <w:autoSpaceDE/>
        <w:autoSpaceDN/>
        <w:bidi w:val="0"/>
        <w:adjustRightInd/>
        <w:snapToGrid/>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八</w:t>
      </w:r>
      <w:r>
        <w:rPr>
          <w:rFonts w:hint="eastAsia" w:ascii="宋体" w:hAnsi="宋体" w:eastAsia="宋体" w:cs="宋体"/>
          <w:color w:val="000000" w:themeColor="text1"/>
          <w:highlight w:val="none"/>
          <w14:textFill>
            <w14:solidFill>
              <w14:schemeClr w14:val="tx1"/>
            </w14:solidFill>
          </w14:textFill>
        </w:rPr>
        <w:t>、我方愿意提供贵单位可能另外要求的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与投标有关的文件资料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并保证我方已提供和将要提供的文件资料是真实、准确的。</w:t>
      </w:r>
    </w:p>
    <w:p>
      <w:pPr>
        <w:pageBreakBefore w:val="0"/>
        <w:kinsoku/>
        <w:overflowPunct/>
        <w:bidi w:val="0"/>
        <w:spacing w:line="36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i w:val="0"/>
          <w:iCs w:val="0"/>
          <w:color w:val="000000" w:themeColor="text1"/>
          <w:highlight w:val="none"/>
          <w:u w:val="single"/>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i w:val="0"/>
          <w:iCs w:val="0"/>
          <w:color w:val="000000" w:themeColor="text1"/>
          <w:highlight w:val="none"/>
          <w:u w:val="single"/>
          <w14:textFill>
            <w14:solidFill>
              <w14:schemeClr w14:val="tx1"/>
            </w14:solidFill>
          </w14:textFill>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通讯地址：</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邮政编码：</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传    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    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rPr>
          <w:rFonts w:hint="eastAsia" w:ascii="宋体" w:hAnsi="宋体" w:eastAsia="宋体" w:cs="宋体"/>
          <w:color w:val="000000" w:themeColor="text1"/>
          <w:highlight w:val="none"/>
          <w14:textFill>
            <w14:solidFill>
              <w14:schemeClr w14:val="tx1"/>
            </w14:solidFill>
          </w14:textFill>
        </w:rPr>
        <w:sectPr>
          <w:pgSz w:w="11906" w:h="16838"/>
          <w:pgMar w:top="1440" w:right="1417" w:bottom="1440" w:left="1417" w:header="992" w:footer="992" w:gutter="0"/>
          <w:pgBorders>
            <w:top w:val="none" w:sz="0" w:space="0"/>
            <w:left w:val="none" w:sz="0" w:space="0"/>
            <w:bottom w:val="none" w:sz="0" w:space="0"/>
            <w:right w:val="none" w:sz="0" w:space="0"/>
          </w:pgBorders>
          <w:pgNumType w:fmt="decimal"/>
          <w:cols w:space="0" w:num="1"/>
          <w:rtlGutter w:val="0"/>
          <w:docGrid w:linePitch="326" w:charSpace="0"/>
        </w:sectPr>
      </w:pP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Cs w:val="0"/>
          <w:color w:val="000000" w:themeColor="text1"/>
          <w:highlight w:val="none"/>
          <w:lang w:eastAsia="zh-CN"/>
          <w14:textFill>
            <w14:solidFill>
              <w14:schemeClr w14:val="tx1"/>
            </w14:solidFill>
          </w14:textFill>
        </w:rPr>
      </w:pPr>
      <w:r>
        <w:rPr>
          <w:rFonts w:hint="eastAsia" w:ascii="宋体" w:hAnsi="宋体" w:eastAsia="宋体" w:cs="宋体"/>
          <w:bCs w:val="0"/>
          <w:color w:val="000000" w:themeColor="text1"/>
          <w:highlight w:val="none"/>
          <w:lang w:eastAsia="zh-CN"/>
          <w14:textFill>
            <w14:solidFill>
              <w14:schemeClr w14:val="tx1"/>
            </w14:solidFill>
          </w14:textFill>
        </w:rPr>
        <w:t>（</w:t>
      </w:r>
      <w:r>
        <w:rPr>
          <w:rFonts w:hint="eastAsia" w:ascii="宋体" w:hAnsi="宋体" w:eastAsia="宋体" w:cs="宋体"/>
          <w:bCs w:val="0"/>
          <w:color w:val="000000" w:themeColor="text1"/>
          <w:highlight w:val="none"/>
          <w:lang w:val="en-US" w:eastAsia="zh-CN"/>
          <w14:textFill>
            <w14:solidFill>
              <w14:schemeClr w14:val="tx1"/>
            </w14:solidFill>
          </w14:textFill>
        </w:rPr>
        <w:t>四</w:t>
      </w:r>
      <w:r>
        <w:rPr>
          <w:rFonts w:hint="eastAsia" w:ascii="宋体" w:hAnsi="宋体" w:eastAsia="宋体" w:cs="宋体"/>
          <w:bCs w:val="0"/>
          <w:color w:val="000000" w:themeColor="text1"/>
          <w:highlight w:val="none"/>
          <w:lang w:eastAsia="zh-CN"/>
          <w14:textFill>
            <w14:solidFill>
              <w14:schemeClr w14:val="tx1"/>
            </w14:solidFill>
          </w14:textFill>
        </w:rPr>
        <w:t>）商务偏离表</w:t>
      </w:r>
    </w:p>
    <w:tbl>
      <w:tblPr>
        <w:tblStyle w:val="33"/>
        <w:tblW w:w="934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420"/>
        <w:gridCol w:w="3220"/>
        <w:gridCol w:w="186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序号</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招标要求</w:t>
            </w: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投标应答</w:t>
            </w: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偏离情况说明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8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3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3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bl>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本表只填写投标文件中与招标文件有偏离（包括正偏离和负偏离）的内容</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投标文件中商务条款响应与招标文件要求完全一致的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可以不用在此表中列出。</w:t>
      </w:r>
    </w:p>
    <w:p>
      <w:pPr>
        <w:pageBreakBefore w:val="0"/>
        <w:kinsoku/>
        <w:overflowPunct/>
        <w:bidi w:val="0"/>
        <w:spacing w:line="360" w:lineRule="auto"/>
        <w:ind w:left="0" w:leftChars="0" w:right="0" w:right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如有偏离条款</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请将偏离条款逐条应答</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未明确偏离的条款</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均视为默认接受</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投标人不得</w:t>
      </w:r>
      <w:r>
        <w:rPr>
          <w:rFonts w:hint="eastAsia" w:ascii="宋体" w:hAnsi="宋体" w:eastAsia="宋体" w:cs="宋体"/>
          <w:color w:val="000000" w:themeColor="text1"/>
          <w:highlight w:val="none"/>
          <w:lang w:val="en-US" w:eastAsia="zh-CN"/>
          <w14:textFill>
            <w14:solidFill>
              <w14:schemeClr w14:val="tx1"/>
            </w14:solidFill>
          </w14:textFill>
        </w:rPr>
        <w:t>以</w:t>
      </w:r>
      <w:r>
        <w:rPr>
          <w:rFonts w:hint="eastAsia" w:ascii="宋体" w:hAnsi="宋体" w:eastAsia="宋体" w:cs="宋体"/>
          <w:color w:val="000000" w:themeColor="text1"/>
          <w:highlight w:val="none"/>
          <w14:textFill>
            <w14:solidFill>
              <w14:schemeClr w14:val="tx1"/>
            </w14:solidFill>
          </w14:textFill>
        </w:rPr>
        <w:t>未作答而拒不接受。</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Style w:val="12"/>
        <w:pageBreakBefore w:val="0"/>
        <w:kinsoku/>
        <w:overflowPunct/>
        <w:bidi w:val="0"/>
        <w:spacing w:after="0" w:line="360" w:lineRule="auto"/>
        <w:ind w:left="0" w:leftChars="0" w:right="0" w:rightChars="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投标日期：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Style w:val="5"/>
        <w:pageBreakBefore w:val="0"/>
        <w:kinsoku/>
        <w:overflowPunct/>
        <w:bidi w:val="0"/>
        <w:spacing w:before="0" w:after="0" w:line="360" w:lineRule="auto"/>
        <w:ind w:left="0" w:leftChars="0" w:right="0" w:rightChars="0" w:firstLine="0" w:firstLineChars="0"/>
        <w:jc w:val="center"/>
        <w:textAlignment w:val="auto"/>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五</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投标人基本情况表</w:t>
      </w:r>
    </w:p>
    <w:tbl>
      <w:tblPr>
        <w:tblStyle w:val="33"/>
        <w:tblW w:w="9299" w:type="dxa"/>
        <w:jc w:val="center"/>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1858"/>
        <w:gridCol w:w="1080"/>
        <w:gridCol w:w="1079"/>
        <w:gridCol w:w="1319"/>
        <w:gridCol w:w="1503"/>
        <w:gridCol w:w="176"/>
        <w:gridCol w:w="1109"/>
        <w:gridCol w:w="1175"/>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858" w:type="dxa"/>
            <w:tcBorders>
              <w:top w:val="double" w:color="auto" w:sz="4" w:space="0"/>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p>
        </w:tc>
        <w:tc>
          <w:tcPr>
            <w:tcW w:w="7441" w:type="dxa"/>
            <w:gridSpan w:val="7"/>
            <w:tcBorders>
              <w:top w:val="double" w:color="auto" w:sz="4" w:space="0"/>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注册地址</w:t>
            </w:r>
          </w:p>
        </w:tc>
        <w:tc>
          <w:tcPr>
            <w:tcW w:w="3478" w:type="dxa"/>
            <w:gridSpan w:val="3"/>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03"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邮政编码</w:t>
            </w:r>
          </w:p>
        </w:tc>
        <w:tc>
          <w:tcPr>
            <w:tcW w:w="2460" w:type="dxa"/>
            <w:gridSpan w:val="3"/>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858" w:type="dxa"/>
            <w:vMerge w:val="restart"/>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联系方式</w:t>
            </w:r>
          </w:p>
        </w:tc>
        <w:tc>
          <w:tcPr>
            <w:tcW w:w="1080"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联系人</w:t>
            </w:r>
          </w:p>
        </w:tc>
        <w:tc>
          <w:tcPr>
            <w:tcW w:w="2398"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03"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电话</w:t>
            </w:r>
          </w:p>
        </w:tc>
        <w:tc>
          <w:tcPr>
            <w:tcW w:w="2460" w:type="dxa"/>
            <w:gridSpan w:val="3"/>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1858" w:type="dxa"/>
            <w:vMerge w:val="continue"/>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0"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传  真</w:t>
            </w:r>
          </w:p>
        </w:tc>
        <w:tc>
          <w:tcPr>
            <w:tcW w:w="2398"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03"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网址</w:t>
            </w:r>
          </w:p>
        </w:tc>
        <w:tc>
          <w:tcPr>
            <w:tcW w:w="2460" w:type="dxa"/>
            <w:gridSpan w:val="3"/>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组织结构</w:t>
            </w:r>
          </w:p>
        </w:tc>
        <w:tc>
          <w:tcPr>
            <w:tcW w:w="7441" w:type="dxa"/>
            <w:gridSpan w:val="7"/>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法定代表人</w:t>
            </w:r>
          </w:p>
        </w:tc>
        <w:tc>
          <w:tcPr>
            <w:tcW w:w="1080"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姓  名</w:t>
            </w:r>
          </w:p>
        </w:tc>
        <w:tc>
          <w:tcPr>
            <w:tcW w:w="1079"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319"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技术职称</w:t>
            </w:r>
          </w:p>
        </w:tc>
        <w:tc>
          <w:tcPr>
            <w:tcW w:w="1503"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285"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  话</w:t>
            </w:r>
          </w:p>
        </w:tc>
        <w:tc>
          <w:tcPr>
            <w:tcW w:w="1175" w:type="dxa"/>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技术负责人</w:t>
            </w:r>
          </w:p>
        </w:tc>
        <w:tc>
          <w:tcPr>
            <w:tcW w:w="1080"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姓  名</w:t>
            </w:r>
          </w:p>
        </w:tc>
        <w:tc>
          <w:tcPr>
            <w:tcW w:w="1079"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319"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技术职称</w:t>
            </w:r>
          </w:p>
        </w:tc>
        <w:tc>
          <w:tcPr>
            <w:tcW w:w="1503" w:type="dxa"/>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285"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  话</w:t>
            </w:r>
          </w:p>
        </w:tc>
        <w:tc>
          <w:tcPr>
            <w:tcW w:w="1175" w:type="dxa"/>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成立时间</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5282" w:type="dxa"/>
            <w:gridSpan w:val="5"/>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员工总人数：</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企业资质等级</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319" w:type="dxa"/>
            <w:vMerge w:val="restart"/>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其中</w:t>
            </w:r>
          </w:p>
        </w:tc>
        <w:tc>
          <w:tcPr>
            <w:tcW w:w="167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项目经理</w:t>
            </w:r>
          </w:p>
        </w:tc>
        <w:tc>
          <w:tcPr>
            <w:tcW w:w="2284" w:type="dxa"/>
            <w:gridSpan w:val="2"/>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营业执照号</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319" w:type="dxa"/>
            <w:vMerge w:val="continue"/>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67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高级职称人员</w:t>
            </w:r>
          </w:p>
        </w:tc>
        <w:tc>
          <w:tcPr>
            <w:tcW w:w="2284" w:type="dxa"/>
            <w:gridSpan w:val="2"/>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注册资金</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319" w:type="dxa"/>
            <w:vMerge w:val="continue"/>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67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中级职称人员</w:t>
            </w:r>
          </w:p>
        </w:tc>
        <w:tc>
          <w:tcPr>
            <w:tcW w:w="2284" w:type="dxa"/>
            <w:gridSpan w:val="2"/>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开户银行</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319" w:type="dxa"/>
            <w:vMerge w:val="continue"/>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67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初级职称人员</w:t>
            </w:r>
          </w:p>
        </w:tc>
        <w:tc>
          <w:tcPr>
            <w:tcW w:w="2284" w:type="dxa"/>
            <w:gridSpan w:val="2"/>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540"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账    号</w:t>
            </w:r>
          </w:p>
        </w:tc>
        <w:tc>
          <w:tcPr>
            <w:tcW w:w="215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319" w:type="dxa"/>
            <w:vMerge w:val="continue"/>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679" w:type="dxa"/>
            <w:gridSpan w:val="2"/>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技   工</w:t>
            </w:r>
          </w:p>
        </w:tc>
        <w:tc>
          <w:tcPr>
            <w:tcW w:w="2284" w:type="dxa"/>
            <w:gridSpan w:val="2"/>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1582" w:hRule="atLeast"/>
          <w:jc w:val="center"/>
        </w:trPr>
        <w:tc>
          <w:tcPr>
            <w:tcW w:w="1858" w:type="dxa"/>
            <w:tcBorders>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经营范围</w:t>
            </w:r>
          </w:p>
        </w:tc>
        <w:tc>
          <w:tcPr>
            <w:tcW w:w="7441" w:type="dxa"/>
            <w:gridSpan w:val="7"/>
            <w:tcBorders>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1085" w:hRule="atLeast"/>
          <w:jc w:val="center"/>
        </w:trPr>
        <w:tc>
          <w:tcPr>
            <w:tcW w:w="1858" w:type="dxa"/>
            <w:tcBorders>
              <w:left w:val="double" w:color="auto" w:sz="4" w:space="0"/>
              <w:bottom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备注</w:t>
            </w:r>
          </w:p>
        </w:tc>
        <w:tc>
          <w:tcPr>
            <w:tcW w:w="7441" w:type="dxa"/>
            <w:gridSpan w:val="7"/>
            <w:tcBorders>
              <w:bottom w:val="double" w:color="auto" w:sz="4" w:space="0"/>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bl>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Style w:val="12"/>
        <w:pageBreakBefore w:val="0"/>
        <w:kinsoku/>
        <w:overflowPunct/>
        <w:bidi w:val="0"/>
        <w:spacing w:after="0" w:line="360" w:lineRule="auto"/>
        <w:ind w:left="0" w:leftChars="0" w:right="0" w:rightChars="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投标日期：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业绩一览表</w:t>
      </w:r>
    </w:p>
    <w:tbl>
      <w:tblPr>
        <w:tblStyle w:val="33"/>
        <w:tblW w:w="9223" w:type="dxa"/>
        <w:jc w:val="center"/>
        <w:tblLayout w:type="fixed"/>
        <w:tblCellMar>
          <w:top w:w="0" w:type="dxa"/>
          <w:left w:w="108" w:type="dxa"/>
          <w:bottom w:w="0" w:type="dxa"/>
          <w:right w:w="108" w:type="dxa"/>
        </w:tblCellMar>
      </w:tblPr>
      <w:tblGrid>
        <w:gridCol w:w="1537"/>
        <w:gridCol w:w="1537"/>
        <w:gridCol w:w="1537"/>
        <w:gridCol w:w="1537"/>
        <w:gridCol w:w="1537"/>
        <w:gridCol w:w="1538"/>
      </w:tblGrid>
      <w:tr>
        <w:tblPrEx>
          <w:tblCellMar>
            <w:top w:w="0" w:type="dxa"/>
            <w:left w:w="108" w:type="dxa"/>
            <w:bottom w:w="0" w:type="dxa"/>
            <w:right w:w="108" w:type="dxa"/>
          </w:tblCellMar>
        </w:tblPrEx>
        <w:trPr>
          <w:trHeight w:val="573" w:hRule="atLeast"/>
          <w:jc w:val="center"/>
        </w:trPr>
        <w:tc>
          <w:tcPr>
            <w:tcW w:w="1537" w:type="dxa"/>
            <w:tcBorders>
              <w:top w:val="double" w:color="auto" w:sz="2"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年份</w:t>
            </w:r>
          </w:p>
        </w:tc>
        <w:tc>
          <w:tcPr>
            <w:tcW w:w="1537" w:type="dxa"/>
            <w:tcBorders>
              <w:top w:val="double" w:color="auto" w:sz="2"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用户名称</w:t>
            </w:r>
          </w:p>
        </w:tc>
        <w:tc>
          <w:tcPr>
            <w:tcW w:w="1537" w:type="dxa"/>
            <w:tcBorders>
              <w:top w:val="double" w:color="auto" w:sz="2"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项目名称</w:t>
            </w:r>
          </w:p>
        </w:tc>
        <w:tc>
          <w:tcPr>
            <w:tcW w:w="1537" w:type="dxa"/>
            <w:tcBorders>
              <w:top w:val="double" w:color="auto" w:sz="2"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完成时间</w:t>
            </w:r>
          </w:p>
        </w:tc>
        <w:tc>
          <w:tcPr>
            <w:tcW w:w="1537" w:type="dxa"/>
            <w:tcBorders>
              <w:top w:val="double" w:color="auto" w:sz="2"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合同金额</w:t>
            </w:r>
          </w:p>
        </w:tc>
        <w:tc>
          <w:tcPr>
            <w:tcW w:w="1538" w:type="dxa"/>
            <w:tcBorders>
              <w:top w:val="double" w:color="auto" w:sz="2"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备注</w:t>
            </w: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single" w:color="000000" w:sz="6"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single" w:color="000000" w:sz="6"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0" w:hRule="atLeast"/>
          <w:jc w:val="center"/>
        </w:trPr>
        <w:tc>
          <w:tcPr>
            <w:tcW w:w="1537" w:type="dxa"/>
            <w:tcBorders>
              <w:top w:val="single" w:color="000000" w:sz="6" w:space="0"/>
              <w:left w:val="double" w:color="auto" w:sz="2" w:space="0"/>
              <w:bottom w:val="double" w:color="auto" w:sz="2"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double" w:color="auto" w:sz="2"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double" w:color="auto" w:sz="2"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double" w:color="auto" w:sz="2"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7" w:type="dxa"/>
            <w:tcBorders>
              <w:top w:val="single" w:color="000000" w:sz="6" w:space="0"/>
              <w:left w:val="single" w:color="000000" w:sz="6" w:space="0"/>
              <w:bottom w:val="double" w:color="auto" w:sz="2" w:space="0"/>
              <w:right w:val="single" w:color="000000" w:sz="6"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538" w:type="dxa"/>
            <w:tcBorders>
              <w:top w:val="single" w:color="000000" w:sz="6" w:space="0"/>
              <w:left w:val="single" w:color="000000" w:sz="6" w:space="0"/>
              <w:bottom w:val="double" w:color="auto" w:sz="2" w:space="0"/>
              <w:right w:val="double" w:color="auto" w:sz="2" w:space="0"/>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bl>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注：以上业绩投标人需根据综合评分表中的要求提供相关书面证明材料。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投标日期</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bCs w:val="0"/>
          <w:color w:val="000000" w:themeColor="text1"/>
          <w:kern w:val="0"/>
          <w:szCs w:val="28"/>
          <w:highlight w:val="none"/>
          <w:lang w:eastAsia="zh-CN"/>
          <w14:textFill>
            <w14:solidFill>
              <w14:schemeClr w14:val="tx1"/>
            </w14:solidFill>
          </w14:textFill>
        </w:rPr>
      </w:pPr>
      <w:r>
        <w:rPr>
          <w:rFonts w:hint="eastAsia" w:ascii="宋体" w:hAnsi="宋体" w:eastAsia="宋体" w:cs="宋体"/>
          <w:bCs w:val="0"/>
          <w:color w:val="000000" w:themeColor="text1"/>
          <w:kern w:val="0"/>
          <w:szCs w:val="28"/>
          <w:highlight w:val="none"/>
          <w:lang w:eastAsia="zh-CN"/>
          <w14:textFill>
            <w14:solidFill>
              <w14:schemeClr w14:val="tx1"/>
            </w14:solidFill>
          </w14:textFill>
        </w:rPr>
        <w:br w:type="page"/>
      </w:r>
    </w:p>
    <w:p>
      <w:pPr>
        <w:pStyle w:val="5"/>
        <w:keepNext/>
        <w:keepLines/>
        <w:pageBreakBefore w:val="0"/>
        <w:widowControl/>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（七）中小企业声明函</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（单位名称）</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的</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（项目名称）</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采购活动，提供的货物全部由符合政策要求的中小企业制造。相关企业的具体情况如下：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1. </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 xml:space="preserve">（标的名称） </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，属于</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（采购文件中明确的所属行业）</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行业；制造商为</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（企业名称）</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，从业人员</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人，营业收入为</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万元，资产总额为</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万元，属于</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（中型企业、小型企业、微型企业）</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2. </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 xml:space="preserve">（标的名称） </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，属于</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（采购文件中明确的所属行业）</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行业；制造商为</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（企业名称）</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，从业人员</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人，营业收入为</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万元，资产总额为</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万元，属于</w:t>
      </w:r>
      <w:r>
        <w:rPr>
          <w:rFonts w:hint="eastAsia" w:ascii="宋体" w:hAnsi="宋体" w:eastAsia="宋体" w:cs="宋体"/>
          <w:color w:val="000000" w:themeColor="text1"/>
          <w:kern w:val="0"/>
          <w:sz w:val="24"/>
          <w:szCs w:val="24"/>
          <w:highlight w:val="none"/>
          <w:u w:val="single"/>
          <w:lang w:val="en-US" w:eastAsia="zh-CN" w:bidi="ar-SA"/>
          <w14:textFill>
            <w14:solidFill>
              <w14:schemeClr w14:val="tx1"/>
            </w14:solidFill>
          </w14:textFill>
        </w:rPr>
        <w:t>（中型企业、小型企业、微型企业）</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以上企业，不属于大企业的分支机构，不存在控股股东为大企业的情形，也不存在与大企业的负责人为同一人的情形。</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both"/>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本企业对上述声明内容的真实性负责。如有虚假，将依法承担相应责任。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    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w:t>
      </w:r>
    </w:p>
    <w:p>
      <w:pP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p>
    <w:p>
      <w:pPr>
        <w:pStyle w:val="12"/>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p>
    <w:p>
      <w:pP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p>
    <w:p>
      <w:pPr>
        <w:pageBreakBefore w:val="0"/>
        <w:widowControl w:val="0"/>
        <w:kinsoku/>
        <w:overflowPunct/>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000000" w:themeColor="text1"/>
          <w:sz w:val="24"/>
          <w:szCs w:val="24"/>
          <w:highlight w:val="none"/>
          <w:lang w:val="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说明：1.从业人员、营业收入、资产总额填报上一年度数据，无上一年度数据的新成立企业可不填报。</w:t>
      </w:r>
    </w:p>
    <w:p>
      <w:pPr>
        <w:pageBreakBefore w:val="0"/>
        <w:widowControl w:val="0"/>
        <w:kinsoku/>
        <w:overflowPunct/>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000000" w:themeColor="text1"/>
          <w:sz w:val="24"/>
          <w:szCs w:val="24"/>
          <w:highlight w:val="none"/>
          <w:lang w:val="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4"/>
          <w:szCs w:val="24"/>
          <w:highlight w:val="none"/>
          <w:lang w:val="zh-CN"/>
          <w14:textFill>
            <w14:solidFill>
              <w14:schemeClr w14:val="tx1"/>
            </w14:solidFill>
          </w14:textFill>
        </w:rPr>
        <w:t>如未提供中小企业声明函</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，未能在评审中</w:t>
      </w:r>
      <w:r>
        <w:rPr>
          <w:rFonts w:hint="eastAsia" w:ascii="宋体" w:hAnsi="宋体" w:eastAsia="宋体" w:cs="宋体"/>
          <w:b w:val="0"/>
          <w:bCs w:val="0"/>
          <w:color w:val="000000" w:themeColor="text1"/>
          <w:sz w:val="24"/>
          <w:szCs w:val="24"/>
          <w:highlight w:val="none"/>
          <w:lang w:val="zh-CN"/>
          <w14:textFill>
            <w14:solidFill>
              <w14:schemeClr w14:val="tx1"/>
            </w14:solidFill>
          </w14:textFill>
        </w:rPr>
        <w:t>享受</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招标</w:t>
      </w:r>
      <w:r>
        <w:rPr>
          <w:rFonts w:hint="eastAsia" w:ascii="宋体" w:hAnsi="宋体" w:eastAsia="宋体" w:cs="宋体"/>
          <w:b w:val="0"/>
          <w:bCs w:val="0"/>
          <w:color w:val="000000" w:themeColor="text1"/>
          <w:sz w:val="24"/>
          <w:szCs w:val="24"/>
          <w:highlight w:val="none"/>
          <w:lang w:val="zh-CN"/>
          <w14:textFill>
            <w14:solidFill>
              <w14:schemeClr w14:val="tx1"/>
            </w14:solidFill>
          </w14:textFill>
        </w:rPr>
        <w:t>文件规定的价格扣除</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，责任由</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供应商</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自行承担，</w:t>
      </w:r>
      <w:r>
        <w:rPr>
          <w:rFonts w:hint="eastAsia" w:ascii="宋体" w:hAnsi="宋体" w:eastAsia="宋体" w:cs="宋体"/>
          <w:b w:val="0"/>
          <w:bCs w:val="0"/>
          <w:color w:val="000000" w:themeColor="text1"/>
          <w:sz w:val="24"/>
          <w:szCs w:val="24"/>
          <w:highlight w:val="none"/>
          <w:lang w:val="zh-CN"/>
          <w14:textFill>
            <w14:solidFill>
              <w14:schemeClr w14:val="tx1"/>
            </w14:solidFill>
          </w14:textFill>
        </w:rPr>
        <w:t>不影响供应商</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投标</w:t>
      </w:r>
      <w:r>
        <w:rPr>
          <w:rFonts w:hint="eastAsia" w:ascii="宋体" w:hAnsi="宋体" w:eastAsia="宋体" w:cs="宋体"/>
          <w:b w:val="0"/>
          <w:bCs w:val="0"/>
          <w:color w:val="000000" w:themeColor="text1"/>
          <w:sz w:val="24"/>
          <w:szCs w:val="24"/>
          <w:highlight w:val="none"/>
          <w:lang w:val="zh-CN"/>
          <w14:textFill>
            <w14:solidFill>
              <w14:schemeClr w14:val="tx1"/>
            </w14:solidFill>
          </w14:textFill>
        </w:rPr>
        <w:t>文件的有效性。装订但未填写本项内容按未提供处理。</w:t>
      </w:r>
    </w:p>
    <w:p>
      <w:pPr>
        <w:pageBreakBefore w:val="0"/>
        <w:widowControl w:val="0"/>
        <w:numPr>
          <w:ilvl w:val="0"/>
          <w:numId w:val="0"/>
        </w:numPr>
        <w:kinsoku/>
        <w:overflowPunct/>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非企业</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供应商</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供应商</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为事业单位、社会团体、非企业组织或自然人的）不提供本声明函；提供此声明函也不</w:t>
      </w:r>
      <w:r>
        <w:rPr>
          <w:rFonts w:hint="eastAsia" w:ascii="宋体" w:hAnsi="宋体" w:eastAsia="宋体" w:cs="宋体"/>
          <w:b w:val="0"/>
          <w:bCs w:val="0"/>
          <w:color w:val="000000" w:themeColor="text1"/>
          <w:sz w:val="24"/>
          <w:szCs w:val="24"/>
          <w:highlight w:val="none"/>
          <w:lang w:val="zh-CN"/>
          <w14:textFill>
            <w14:solidFill>
              <w14:schemeClr w14:val="tx1"/>
            </w14:solidFill>
          </w14:textFill>
        </w:rPr>
        <w:t>享受</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招标</w:t>
      </w:r>
      <w:r>
        <w:rPr>
          <w:rFonts w:hint="eastAsia" w:ascii="宋体" w:hAnsi="宋体" w:eastAsia="宋体" w:cs="宋体"/>
          <w:b w:val="0"/>
          <w:bCs w:val="0"/>
          <w:color w:val="000000" w:themeColor="text1"/>
          <w:sz w:val="24"/>
          <w:szCs w:val="24"/>
          <w:highlight w:val="none"/>
          <w:lang w:val="zh-CN"/>
          <w14:textFill>
            <w14:solidFill>
              <w14:schemeClr w14:val="tx1"/>
            </w14:solidFill>
          </w14:textFill>
        </w:rPr>
        <w:t>文件规定的价格扣除</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，也</w:t>
      </w:r>
      <w:r>
        <w:rPr>
          <w:rFonts w:hint="eastAsia" w:ascii="宋体" w:hAnsi="宋体" w:eastAsia="宋体" w:cs="宋体"/>
          <w:b w:val="0"/>
          <w:bCs w:val="0"/>
          <w:color w:val="000000" w:themeColor="text1"/>
          <w:sz w:val="24"/>
          <w:szCs w:val="24"/>
          <w:highlight w:val="none"/>
          <w:lang w:val="zh-CN"/>
          <w14:textFill>
            <w14:solidFill>
              <w14:schemeClr w14:val="tx1"/>
            </w14:solidFill>
          </w14:textFill>
        </w:rPr>
        <w:t>不影响供应商</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投标</w:t>
      </w:r>
      <w:r>
        <w:rPr>
          <w:rFonts w:hint="eastAsia" w:ascii="宋体" w:hAnsi="宋体" w:eastAsia="宋体" w:cs="宋体"/>
          <w:b w:val="0"/>
          <w:bCs w:val="0"/>
          <w:color w:val="000000" w:themeColor="text1"/>
          <w:sz w:val="24"/>
          <w:szCs w:val="24"/>
          <w:highlight w:val="none"/>
          <w:lang w:val="zh-CN"/>
          <w14:textFill>
            <w14:solidFill>
              <w14:schemeClr w14:val="tx1"/>
            </w14:solidFill>
          </w14:textFill>
        </w:rPr>
        <w:t>文件的有效性</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w:t>
      </w:r>
    </w:p>
    <w:p>
      <w:pPr>
        <w:pageBreakBefore w:val="0"/>
        <w:widowControl w:val="0"/>
        <w:kinsoku/>
        <w:overflowPunct/>
        <w:autoSpaceDE w:val="0"/>
        <w:autoSpaceDN w:val="0"/>
        <w:bidi w:val="0"/>
        <w:adjustRightInd w:val="0"/>
        <w:snapToGrid/>
        <w:spacing w:line="360" w:lineRule="auto"/>
        <w:ind w:firstLine="480" w:firstLineChars="200"/>
        <w:jc w:val="left"/>
        <w:textAlignment w:val="auto"/>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4.供应商</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为企业（包括有限责任公司或股份有限公司、合伙企业、个人独资企业）或个体工商户的可以提供本声明函；如虚假承诺，按照《政府采购法》有关提供虚假材料的规定给予处罚。</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小微企业是指提供的货物全部由符合政策要求的小微企业制造。</w:t>
      </w:r>
    </w:p>
    <w:p>
      <w:pPr>
        <w:pageBreakBefore w:val="0"/>
        <w:widowControl w:val="0"/>
        <w:kinsoku/>
        <w:overflowPunct/>
        <w:autoSpaceDE w:val="0"/>
        <w:autoSpaceDN w:val="0"/>
        <w:bidi w:val="0"/>
        <w:adjustRightInd w:val="0"/>
        <w:snapToGrid/>
        <w:spacing w:line="360" w:lineRule="auto"/>
        <w:ind w:firstLine="482" w:firstLineChars="200"/>
        <w:jc w:val="lef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根据《工业和信息化部、国家统计局、国家发展和改革委员会、财政部关于印发中小企业划型标准规定的通知》（工信部联企业〔2011〕300号）规定的划分标准，（二）工业（包括采矿业，制造业，电力、热力、燃气及水生产和供应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numPr>
          <w:ilvl w:val="0"/>
          <w:numId w:val="0"/>
        </w:numPr>
        <w:ind w:firstLine="480" w:firstLineChars="200"/>
        <w:rPr>
          <w:rFonts w:hint="eastAsia" w:ascii="宋体" w:hAnsi="宋体" w:eastAsia="宋体" w:cs="宋体"/>
          <w:color w:val="000000" w:themeColor="text1"/>
          <w:highlight w:val="none"/>
          <w:lang w:val="zh-CN"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val="0"/>
          <w:bCs w:val="0"/>
          <w:color w:val="000000" w:themeColor="text1"/>
          <w:sz w:val="24"/>
          <w:szCs w:val="24"/>
          <w:highlight w:val="none"/>
          <w:lang w:val="zh-CN" w:eastAsia="zh-CN"/>
          <w14:textFill>
            <w14:solidFill>
              <w14:schemeClr w14:val="tx1"/>
            </w14:solidFill>
          </w14:textFill>
        </w:rPr>
        <w:t>根据《财政部司法部关于政府采购支持监狱企业发展有关问题的通知》（财库〔2014〕68号）的规定，在政府采购活动中，监狱企业视同小型、微型企业。监狱企业参加政府采购活动时，应当提供由省级以上监狱管理局、戒毒管理局（含新疆生产建设兵团）出具的属于监狱企业的证明文件</w:t>
      </w:r>
      <w:r>
        <w:rPr>
          <w:rFonts w:hint="eastAsia" w:ascii="宋体" w:hAnsi="宋体" w:eastAsia="宋体" w:cs="宋体"/>
          <w:color w:val="000000" w:themeColor="text1"/>
          <w:highlight w:val="none"/>
          <w:lang w:val="zh-CN" w:eastAsia="zh-CN"/>
          <w14:textFill>
            <w14:solidFill>
              <w14:schemeClr w14:val="tx1"/>
            </w14:solidFill>
          </w14:textFill>
        </w:rPr>
        <w:t>。</w:t>
      </w:r>
    </w:p>
    <w:p>
      <w:pPr>
        <w:spacing w:line="588" w:lineRule="exact"/>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pStyle w:val="5"/>
        <w:keepNext/>
        <w:keepLines/>
        <w:pageBreakBefore w:val="0"/>
        <w:widowControl/>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（八）残疾人福利性单位声明函</w:t>
      </w: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本单位郑重声明，根据《财政部 民政部 中国残疾人联合会关于促进残疾人就业政府采购政策的通知》（财库〔2017〕141号）的规定，本单位为</w:t>
      </w:r>
      <w:r>
        <w:rPr>
          <w:rFonts w:hint="eastAsia" w:ascii="宋体" w:hAnsi="宋体" w:eastAsia="宋体" w:cs="宋体"/>
          <w:b w:val="0"/>
          <w:bCs w:val="0"/>
          <w:color w:val="000000" w:themeColor="text1"/>
          <w:sz w:val="24"/>
          <w:szCs w:val="24"/>
          <w:highlight w:val="none"/>
          <w:u w:val="none"/>
          <w:lang w:val="en-US" w:eastAsia="zh-CN"/>
          <w14:textFill>
            <w14:solidFill>
              <w14:schemeClr w14:val="tx1"/>
            </w14:solidFill>
          </w14:textFill>
        </w:rPr>
        <w:t>符合条件的残</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疾人福利性单位，且本单位参加</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单位的 </w:t>
      </w:r>
      <w:r>
        <w:rPr>
          <w:rFonts w:hint="eastAsia" w:ascii="宋体" w:hAnsi="宋体" w:eastAsia="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项目采购活动提供本单位制造的货物，或者提供其他残疾人福利性单位制造的货物（不包括使用非残疾人福利性单位注册商标的货物）。</w:t>
      </w: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本单位对上述声明的真实性负责。如有虚假，将依法承担相应责任。</w:t>
      </w: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    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pageBreakBefore w:val="0"/>
        <w:widowControl w:val="0"/>
        <w:kinsoku/>
        <w:overflowPunct/>
        <w:bidi w:val="0"/>
        <w:snapToGrid/>
        <w:spacing w:line="360" w:lineRule="auto"/>
        <w:ind w:firstLine="48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说明：1.本项内容仅限残疾人福利性单位提供。在政府采购活动中，残疾人福利性单位视同小型、 微型企业；未提供不影响供应商投标文件的有效性。</w:t>
      </w:r>
    </w:p>
    <w:p>
      <w:pPr>
        <w:pageBreakBefore w:val="0"/>
        <w:widowControl w:val="0"/>
        <w:numPr>
          <w:ilvl w:val="0"/>
          <w:numId w:val="0"/>
        </w:numPr>
        <w:kinsoku/>
        <w:overflowPunct/>
        <w:bidi w:val="0"/>
        <w:snapToGrid/>
        <w:spacing w:line="360" w:lineRule="auto"/>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2.装订但未填写本项内容按未提供处理。</w:t>
      </w:r>
    </w:p>
    <w:p>
      <w:pPr>
        <w:pageBreakBefore w:val="0"/>
        <w:widowControl w:val="0"/>
        <w:kinsoku/>
        <w:overflowPunct/>
        <w:bidi w:val="0"/>
        <w:snapToGrid/>
        <w:spacing w:line="360" w:lineRule="auto"/>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3.残疾人福利性单位属于小型、微型企业的，不重复享受政府采购政策。</w:t>
      </w:r>
    </w:p>
    <w:p>
      <w:pP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left"/>
        <w:textAlignment w:val="auto"/>
        <w:outlineLvl w:val="2"/>
        <w:rPr>
          <w:rFonts w:hint="eastAsia" w:ascii="宋体" w:hAnsi="宋体" w:eastAsia="宋体" w:cs="宋体"/>
          <w:bCs w:val="0"/>
          <w:color w:val="000000" w:themeColor="text1"/>
          <w:kern w:val="0"/>
          <w:szCs w:val="28"/>
          <w:highlight w:val="none"/>
          <w:lang w:val="en-US" w:eastAsia="zh-CN"/>
          <w14:textFill>
            <w14:solidFill>
              <w14:schemeClr w14:val="tx1"/>
            </w14:solidFill>
          </w14:textFill>
        </w:rPr>
      </w:pPr>
      <w:r>
        <w:rPr>
          <w:rFonts w:hint="eastAsia" w:ascii="宋体" w:hAnsi="宋体" w:eastAsia="宋体" w:cs="宋体"/>
          <w:bCs w:val="0"/>
          <w:color w:val="000000" w:themeColor="text1"/>
          <w:kern w:val="0"/>
          <w:szCs w:val="28"/>
          <w:highlight w:val="none"/>
          <w:lang w:val="en-US" w:eastAsia="zh-CN"/>
          <w14:textFill>
            <w14:solidFill>
              <w14:schemeClr w14:val="tx1"/>
            </w14:solidFill>
          </w14:textFill>
        </w:rPr>
        <w:t>三、技术</w:t>
      </w: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val="0"/>
          <w:color w:val="000000" w:themeColor="text1"/>
          <w:kern w:val="0"/>
          <w:szCs w:val="28"/>
          <w:highlight w:val="none"/>
          <w:lang w:eastAsia="zh-CN"/>
          <w14:textFill>
            <w14:solidFill>
              <w14:schemeClr w14:val="tx1"/>
            </w14:solidFill>
          </w14:textFill>
        </w:rPr>
        <w:t>（</w:t>
      </w:r>
      <w:r>
        <w:rPr>
          <w:rFonts w:hint="eastAsia" w:ascii="宋体" w:hAnsi="宋体" w:eastAsia="宋体" w:cs="宋体"/>
          <w:bCs w:val="0"/>
          <w:color w:val="000000" w:themeColor="text1"/>
          <w:kern w:val="0"/>
          <w:szCs w:val="28"/>
          <w:highlight w:val="none"/>
          <w:lang w:val="en-US" w:eastAsia="zh-CN"/>
          <w14:textFill>
            <w14:solidFill>
              <w14:schemeClr w14:val="tx1"/>
            </w14:solidFill>
          </w14:textFill>
        </w:rPr>
        <w:t>九</w:t>
      </w:r>
      <w:r>
        <w:rPr>
          <w:rFonts w:hint="eastAsia" w:ascii="宋体" w:hAnsi="宋体" w:eastAsia="宋体" w:cs="宋体"/>
          <w:bCs w:val="0"/>
          <w:color w:val="000000" w:themeColor="text1"/>
          <w:kern w:val="0"/>
          <w:szCs w:val="28"/>
          <w:highlight w:val="none"/>
          <w:lang w:eastAsia="zh-CN"/>
          <w14:textFill>
            <w14:solidFill>
              <w14:schemeClr w14:val="tx1"/>
            </w14:solidFill>
          </w14:textFill>
        </w:rPr>
        <w:t>）</w:t>
      </w:r>
      <w:r>
        <w:rPr>
          <w:rFonts w:hint="eastAsia" w:ascii="宋体" w:hAnsi="宋体" w:eastAsia="宋体" w:cs="宋体"/>
          <w:bCs w:val="0"/>
          <w:color w:val="000000" w:themeColor="text1"/>
          <w:kern w:val="0"/>
          <w:szCs w:val="28"/>
          <w:highlight w:val="none"/>
          <w14:textFill>
            <w14:solidFill>
              <w14:schemeClr w14:val="tx1"/>
            </w14:solidFill>
          </w14:textFill>
        </w:rPr>
        <w:t>投标产品</w:t>
      </w:r>
      <w:r>
        <w:rPr>
          <w:rFonts w:hint="eastAsia" w:ascii="宋体" w:hAnsi="宋体" w:eastAsia="宋体" w:cs="宋体"/>
          <w:color w:val="000000" w:themeColor="text1"/>
          <w:highlight w:val="none"/>
          <w14:textFill>
            <w14:solidFill>
              <w14:schemeClr w14:val="tx1"/>
            </w14:solidFill>
          </w14:textFill>
        </w:rPr>
        <w:t>技术参数</w:t>
      </w:r>
      <w:r>
        <w:rPr>
          <w:rFonts w:hint="eastAsia" w:ascii="宋体" w:hAnsi="宋体" w:eastAsia="宋体" w:cs="宋体"/>
          <w:bCs w:val="0"/>
          <w:color w:val="000000" w:themeColor="text1"/>
          <w:kern w:val="0"/>
          <w:szCs w:val="28"/>
          <w:highlight w:val="none"/>
          <w14:textFill>
            <w14:solidFill>
              <w14:schemeClr w14:val="tx1"/>
            </w14:solidFill>
          </w14:textFill>
        </w:rPr>
        <w:t>的详细描述</w:t>
      </w:r>
    </w:p>
    <w:p>
      <w:pPr>
        <w:pageBreakBefore w:val="0"/>
        <w:tabs>
          <w:tab w:val="left" w:pos="555"/>
          <w:tab w:val="left" w:pos="2214"/>
          <w:tab w:val="left" w:pos="3774"/>
          <w:tab w:val="left" w:pos="4854"/>
          <w:tab w:val="left" w:pos="5934"/>
          <w:tab w:val="left" w:pos="7014"/>
          <w:tab w:val="left" w:pos="8214"/>
          <w:tab w:val="left" w:pos="10134"/>
          <w:tab w:val="left" w:pos="11124"/>
        </w:tabs>
        <w:kinsoku/>
        <w:overflowPunct/>
        <w:bidi w:val="0"/>
        <w:spacing w:line="360" w:lineRule="auto"/>
        <w:ind w:left="0" w:leftChars="0" w:right="0" w:rightChars="0" w:firstLine="360" w:firstLineChars="150"/>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说明：本项格式自拟</w:t>
      </w:r>
      <w:r>
        <w:rPr>
          <w:rFonts w:hint="eastAsia" w:ascii="宋体" w:hAnsi="宋体" w:eastAsia="宋体" w:cs="宋体"/>
          <w:color w:val="000000" w:themeColor="text1"/>
          <w:kern w:val="0"/>
          <w:highlight w:val="none"/>
          <w:lang w:eastAsia="zh-CN" w:bidi="ar"/>
          <w14:textFill>
            <w14:solidFill>
              <w14:schemeClr w14:val="tx1"/>
            </w14:solidFill>
          </w14:textFill>
        </w:rPr>
        <w:t>，</w:t>
      </w:r>
      <w:r>
        <w:rPr>
          <w:rFonts w:hint="eastAsia" w:ascii="宋体" w:hAnsi="宋体" w:eastAsia="宋体" w:cs="宋体"/>
          <w:color w:val="000000" w:themeColor="text1"/>
          <w:kern w:val="0"/>
          <w:highlight w:val="none"/>
          <w:lang w:bidi="ar"/>
          <w14:textFill>
            <w14:solidFill>
              <w14:schemeClr w14:val="tx1"/>
            </w14:solidFill>
          </w14:textFill>
        </w:rPr>
        <w:t>投标人须针对所投产品的技术参数进行详细描述。</w:t>
      </w:r>
    </w:p>
    <w:p>
      <w:pPr>
        <w:pStyle w:val="6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投标日期：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pageBreakBefore w:val="0"/>
        <w:kinsoku/>
        <w:overflowPunct/>
        <w:bidi w:val="0"/>
        <w:spacing w:line="360" w:lineRule="auto"/>
        <w:ind w:left="0" w:leftChars="0" w:right="0" w:rightChars="0" w:firstLine="482"/>
        <w:textAlignment w:val="auto"/>
        <w:rPr>
          <w:rFonts w:hint="eastAsia" w:ascii="宋体" w:hAnsi="宋体" w:eastAsia="宋体" w:cs="宋体"/>
          <w:b/>
          <w:color w:val="000000" w:themeColor="text1"/>
          <w:highlight w:val="none"/>
          <w14:textFill>
            <w14:solidFill>
              <w14:schemeClr w14:val="tx1"/>
            </w14:solidFill>
          </w14:textFill>
        </w:rPr>
      </w:pPr>
    </w:p>
    <w:p>
      <w:pPr>
        <w:pStyle w:val="5"/>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十</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投标产品技术偏离表</w:t>
      </w:r>
    </w:p>
    <w:tbl>
      <w:tblPr>
        <w:tblStyle w:val="33"/>
        <w:tblW w:w="9219" w:type="dxa"/>
        <w:jc w:val="center"/>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761"/>
        <w:gridCol w:w="2340"/>
        <w:gridCol w:w="1980"/>
        <w:gridCol w:w="2160"/>
        <w:gridCol w:w="1978"/>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top w:val="double" w:color="auto" w:sz="4" w:space="0"/>
              <w:lef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序号</w:t>
            </w:r>
          </w:p>
        </w:tc>
        <w:tc>
          <w:tcPr>
            <w:tcW w:w="2340" w:type="dxa"/>
            <w:tcBorders>
              <w:top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货物（设备）名称</w:t>
            </w:r>
          </w:p>
        </w:tc>
        <w:tc>
          <w:tcPr>
            <w:tcW w:w="1980" w:type="dxa"/>
            <w:tcBorders>
              <w:top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招标文件要求</w:t>
            </w:r>
          </w:p>
        </w:tc>
        <w:tc>
          <w:tcPr>
            <w:tcW w:w="2160" w:type="dxa"/>
            <w:tcBorders>
              <w:top w:val="double" w:color="auto" w:sz="4" w:space="0"/>
              <w:right w:val="single" w:color="auto" w:sz="4" w:space="0"/>
            </w:tcBorders>
            <w:vAlign w:val="center"/>
          </w:tcPr>
          <w:p>
            <w:pPr>
              <w:pageBreakBefore w:val="0"/>
              <w:kinsoku/>
              <w:overflowPunct/>
              <w:autoSpaceDE w:val="0"/>
              <w:autoSpaceDN w:val="0"/>
              <w:bidi w:val="0"/>
              <w:adjustRightInd w:val="0"/>
              <w:spacing w:line="24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投标产品技术参数</w:t>
            </w:r>
          </w:p>
        </w:tc>
        <w:tc>
          <w:tcPr>
            <w:tcW w:w="1978" w:type="dxa"/>
            <w:tcBorders>
              <w:top w:val="double" w:color="auto" w:sz="4" w:space="0"/>
              <w:left w:val="single" w:color="auto" w:sz="4" w:space="0"/>
              <w:right w:val="double" w:color="auto" w:sz="4" w:space="0"/>
            </w:tcBorders>
            <w:vAlign w:val="center"/>
          </w:tcPr>
          <w:p>
            <w:pPr>
              <w:pageBreakBefore w:val="0"/>
              <w:kinsoku/>
              <w:overflowPunct/>
              <w:autoSpaceDE w:val="0"/>
              <w:autoSpaceDN w:val="0"/>
              <w:bidi w:val="0"/>
              <w:adjustRightInd w:val="0"/>
              <w:spacing w:line="240" w:lineRule="auto"/>
              <w:ind w:left="0" w:leftChars="0" w:right="0" w:rightChars="0" w:firstLine="48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偏离说明</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34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80" w:type="dxa"/>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160" w:type="dxa"/>
            <w:tcBorders>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78" w:type="dxa"/>
            <w:tcBorders>
              <w:left w:val="sing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761" w:type="dxa"/>
            <w:tcBorders>
              <w:left w:val="double" w:color="auto" w:sz="4" w:space="0"/>
              <w:bottom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340" w:type="dxa"/>
            <w:tcBorders>
              <w:bottom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80" w:type="dxa"/>
            <w:tcBorders>
              <w:bottom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2160" w:type="dxa"/>
            <w:tcBorders>
              <w:bottom w:val="double" w:color="auto" w:sz="4" w:space="0"/>
              <w:right w:val="sing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978" w:type="dxa"/>
            <w:tcBorders>
              <w:left w:val="single" w:color="auto" w:sz="4" w:space="0"/>
              <w:bottom w:val="double" w:color="auto" w:sz="4" w:space="0"/>
              <w:right w:val="double" w:color="auto" w:sz="4" w:space="0"/>
            </w:tcBorders>
          </w:tcPr>
          <w:p>
            <w:pPr>
              <w:pageBreakBefore w:val="0"/>
              <w:kinsoku/>
              <w:overflowPunct/>
              <w:autoSpaceDE w:val="0"/>
              <w:autoSpaceDN w:val="0"/>
              <w:bidi w:val="0"/>
              <w:adjustRightInd w:val="0"/>
              <w:spacing w:line="360" w:lineRule="auto"/>
              <w:ind w:left="0" w:leftChars="0" w:right="0" w:rightChars="0" w:firstLine="480"/>
              <w:jc w:val="center"/>
              <w:textAlignment w:val="auto"/>
              <w:rPr>
                <w:rFonts w:hint="eastAsia" w:ascii="宋体" w:hAnsi="宋体" w:eastAsia="宋体" w:cs="宋体"/>
                <w:color w:val="000000" w:themeColor="text1"/>
                <w:highlight w:val="none"/>
                <w14:textFill>
                  <w14:solidFill>
                    <w14:schemeClr w14:val="tx1"/>
                  </w14:solidFill>
                </w14:textFill>
              </w:rPr>
            </w:pPr>
          </w:p>
        </w:tc>
      </w:tr>
    </w:tbl>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注：本表只填写投标文件中与招标文件有偏离（包括正偏离和负偏离）的内容</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投标文件中技术条款响应与招标文件要求完全一致的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可以不用在此表中列出。如有偏离条款</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请将偏离条款逐条应答</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未明确偏离的条款</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均视为默认接受</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投标人不得</w:t>
      </w:r>
      <w:r>
        <w:rPr>
          <w:rFonts w:hint="eastAsia" w:ascii="宋体" w:hAnsi="宋体" w:eastAsia="宋体" w:cs="宋体"/>
          <w:color w:val="000000" w:themeColor="text1"/>
          <w:highlight w:val="none"/>
          <w:lang w:val="en-US" w:eastAsia="zh-CN"/>
          <w14:textFill>
            <w14:solidFill>
              <w14:schemeClr w14:val="tx1"/>
            </w14:solidFill>
          </w14:textFill>
        </w:rPr>
        <w:t>以</w:t>
      </w:r>
      <w:r>
        <w:rPr>
          <w:rFonts w:hint="eastAsia" w:ascii="宋体" w:hAnsi="宋体" w:eastAsia="宋体" w:cs="宋体"/>
          <w:color w:val="000000" w:themeColor="text1"/>
          <w:highlight w:val="none"/>
          <w14:textFill>
            <w14:solidFill>
              <w14:schemeClr w14:val="tx1"/>
            </w14:solidFill>
          </w14:textFill>
        </w:rPr>
        <w:t>未作答而拒不接受。</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投标日期：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pStyle w:val="5"/>
        <w:pageBreakBefore w:val="0"/>
        <w:widowControl/>
        <w:kinsoku/>
        <w:overflowPunct/>
        <w:bidi w:val="0"/>
        <w:spacing w:before="0" w:after="0" w:line="360" w:lineRule="auto"/>
        <w:ind w:left="0" w:leftChars="0" w:right="0" w:rightChars="0" w:firstLine="0" w:firstLineChars="0"/>
        <w:jc w:val="center"/>
        <w:textAlignment w:val="auto"/>
        <w:outlineLvl w:val="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（十一）投标人本项目管理、技术、售后服务人员情况表</w:t>
      </w:r>
    </w:p>
    <w:tbl>
      <w:tblPr>
        <w:tblStyle w:val="33"/>
        <w:tblW w:w="9527" w:type="dxa"/>
        <w:jc w:val="center"/>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183"/>
        <w:gridCol w:w="1088"/>
        <w:gridCol w:w="1088"/>
        <w:gridCol w:w="1089"/>
        <w:gridCol w:w="1246"/>
        <w:gridCol w:w="845"/>
        <w:gridCol w:w="977"/>
        <w:gridCol w:w="854"/>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类别</w:t>
            </w:r>
          </w:p>
        </w:tc>
        <w:tc>
          <w:tcPr>
            <w:tcW w:w="1183"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职 务</w:t>
            </w:r>
          </w:p>
        </w:tc>
        <w:tc>
          <w:tcPr>
            <w:tcW w:w="1088"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姓 名</w:t>
            </w:r>
          </w:p>
        </w:tc>
        <w:tc>
          <w:tcPr>
            <w:tcW w:w="1088"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职 称</w:t>
            </w:r>
          </w:p>
        </w:tc>
        <w:tc>
          <w:tcPr>
            <w:tcW w:w="1089"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常住地</w:t>
            </w:r>
          </w:p>
        </w:tc>
        <w:tc>
          <w:tcPr>
            <w:tcW w:w="3922" w:type="dxa"/>
            <w:gridSpan w:val="4"/>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资格证明</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c>
          <w:tcPr>
            <w:tcW w:w="1183"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c>
          <w:tcPr>
            <w:tcW w:w="1088"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c>
          <w:tcPr>
            <w:tcW w:w="1088"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c>
          <w:tcPr>
            <w:tcW w:w="1089"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c>
          <w:tcPr>
            <w:tcW w:w="1246" w:type="dxa"/>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证书名称</w:t>
            </w:r>
          </w:p>
        </w:tc>
        <w:tc>
          <w:tcPr>
            <w:tcW w:w="845" w:type="dxa"/>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级别</w:t>
            </w:r>
          </w:p>
        </w:tc>
        <w:tc>
          <w:tcPr>
            <w:tcW w:w="977" w:type="dxa"/>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证号</w:t>
            </w:r>
          </w:p>
        </w:tc>
        <w:tc>
          <w:tcPr>
            <w:tcW w:w="854" w:type="dxa"/>
            <w:tcBorders>
              <w:tl2br w:val="nil"/>
              <w:tr2bl w:val="nil"/>
            </w:tcBorders>
            <w:shd w:val="clear" w:color="auto" w:fill="auto"/>
            <w:vAlign w:val="center"/>
          </w:tcPr>
          <w:p>
            <w:pPr>
              <w:pageBreakBefore w:val="0"/>
              <w:kinsoku/>
              <w:overflowPunct/>
              <w:autoSpaceDE w:val="0"/>
              <w:autoSpaceDN w:val="0"/>
              <w:bidi w:val="0"/>
              <w:adjustRightInd w:val="0"/>
              <w:spacing w:line="24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专业</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157"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管理</w:t>
            </w:r>
          </w:p>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人员</w:t>
            </w: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kern w:val="0"/>
                <w:highlight w:val="none"/>
                <w:lang w:bidi="ar"/>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技术</w:t>
            </w:r>
          </w:p>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人员</w:t>
            </w: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157" w:type="dxa"/>
            <w:vMerge w:val="restart"/>
            <w:tcBorders>
              <w:tl2br w:val="nil"/>
              <w:tr2bl w:val="nil"/>
            </w:tcBorders>
            <w:shd w:val="clear" w:color="auto" w:fill="auto"/>
            <w:vAlign w:val="center"/>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售后</w:t>
            </w:r>
          </w:p>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服务</w:t>
            </w:r>
          </w:p>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人员</w:t>
            </w: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1157" w:type="dxa"/>
            <w:vMerge w:val="continue"/>
            <w:tcBorders>
              <w:tl2br w:val="nil"/>
              <w:tr2bl w:val="nil"/>
            </w:tcBorders>
            <w:shd w:val="clear" w:color="auto" w:fill="auto"/>
            <w:vAlign w:val="center"/>
          </w:tcPr>
          <w:p>
            <w:pPr>
              <w:pageBreakBefore w:val="0"/>
              <w:kinsoku/>
              <w:overflowPunct/>
              <w:bidi w:val="0"/>
              <w:spacing w:line="360" w:lineRule="auto"/>
              <w:ind w:left="0" w:leftChars="0" w:right="0" w:rightChars="0" w:firstLine="400"/>
              <w:textAlignment w:val="auto"/>
              <w:rPr>
                <w:rFonts w:hint="eastAsia" w:ascii="宋体" w:hAnsi="宋体" w:eastAsia="宋体" w:cs="宋体"/>
                <w:color w:val="000000" w:themeColor="text1"/>
                <w:sz w:val="20"/>
                <w:szCs w:val="20"/>
                <w:highlight w:val="none"/>
                <w14:textFill>
                  <w14:solidFill>
                    <w14:schemeClr w14:val="tx1"/>
                  </w14:solidFill>
                </w14:textFill>
              </w:rPr>
            </w:pPr>
          </w:p>
        </w:tc>
        <w:tc>
          <w:tcPr>
            <w:tcW w:w="1183"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8"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089"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1246"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45"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977"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c>
          <w:tcPr>
            <w:tcW w:w="854" w:type="dxa"/>
            <w:tcBorders>
              <w:tl2br w:val="nil"/>
              <w:tr2bl w:val="nil"/>
            </w:tcBorders>
            <w:shd w:val="clear" w:color="auto" w:fill="auto"/>
          </w:tcPr>
          <w:p>
            <w:pPr>
              <w:pageBreakBefore w:val="0"/>
              <w:kinsoku/>
              <w:overflowPunct/>
              <w:autoSpaceDE w:val="0"/>
              <w:autoSpaceDN w:val="0"/>
              <w:bidi w:val="0"/>
              <w:adjustRightInd w:val="0"/>
              <w:spacing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p>
        </w:tc>
      </w:tr>
    </w:tbl>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注：</w:t>
      </w:r>
      <w:r>
        <w:rPr>
          <w:rFonts w:hint="eastAsia" w:ascii="宋体" w:hAnsi="宋体" w:eastAsia="宋体" w:cs="宋体"/>
          <w:color w:val="000000" w:themeColor="text1"/>
          <w:kern w:val="0"/>
          <w:highlight w:val="none"/>
          <w:lang w:val="en-US" w:eastAsia="zh-CN" w:bidi="ar"/>
          <w14:textFill>
            <w14:solidFill>
              <w14:schemeClr w14:val="tx1"/>
            </w14:solidFill>
          </w14:textFill>
        </w:rPr>
        <w:t>1.</w:t>
      </w:r>
      <w:r>
        <w:rPr>
          <w:rFonts w:hint="eastAsia" w:ascii="宋体" w:hAnsi="宋体" w:eastAsia="宋体" w:cs="宋体"/>
          <w:color w:val="000000" w:themeColor="text1"/>
          <w:kern w:val="0"/>
          <w:highlight w:val="none"/>
          <w:lang w:bidi="ar"/>
          <w14:textFill>
            <w14:solidFill>
              <w14:schemeClr w14:val="tx1"/>
            </w14:solidFill>
          </w14:textFill>
        </w:rPr>
        <w:t>投标人在此表中填报拟用于本项目的管理、技术及售后服务人员情况</w:t>
      </w:r>
      <w:r>
        <w:rPr>
          <w:rFonts w:hint="eastAsia" w:ascii="宋体" w:hAnsi="宋体" w:eastAsia="宋体" w:cs="宋体"/>
          <w:color w:val="000000" w:themeColor="text1"/>
          <w:kern w:val="0"/>
          <w:highlight w:val="none"/>
          <w:lang w:eastAsia="zh-CN" w:bidi="ar"/>
          <w14:textFill>
            <w14:solidFill>
              <w14:schemeClr w14:val="tx1"/>
            </w14:solidFill>
          </w14:textFill>
        </w:rPr>
        <w:t>，</w:t>
      </w:r>
      <w:r>
        <w:rPr>
          <w:rFonts w:hint="eastAsia" w:ascii="宋体" w:hAnsi="宋体" w:eastAsia="宋体" w:cs="宋体"/>
          <w:color w:val="000000" w:themeColor="text1"/>
          <w:kern w:val="0"/>
          <w:highlight w:val="none"/>
          <w:lang w:bidi="ar"/>
          <w14:textFill>
            <w14:solidFill>
              <w14:schemeClr w14:val="tx1"/>
            </w14:solidFill>
          </w14:textFill>
        </w:rPr>
        <w:t>并附人员的相关证明材料如所持资格证书等复印件。</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0"/>
          <w:highlight w:val="none"/>
          <w:lang w:bidi="ar"/>
          <w14:textFill>
            <w14:solidFill>
              <w14:schemeClr w14:val="tx1"/>
            </w14:solidFill>
          </w14:textFill>
        </w:rPr>
        <w:t>2</w:t>
      </w:r>
      <w:r>
        <w:rPr>
          <w:rFonts w:hint="eastAsia" w:ascii="宋体" w:hAnsi="宋体" w:eastAsia="宋体" w:cs="宋体"/>
          <w:color w:val="000000" w:themeColor="text1"/>
          <w:kern w:val="0"/>
          <w:highlight w:val="none"/>
          <w:lang w:val="en-US" w:eastAsia="zh-CN" w:bidi="ar"/>
          <w14:textFill>
            <w14:solidFill>
              <w14:schemeClr w14:val="tx1"/>
            </w14:solidFill>
          </w14:textFill>
        </w:rPr>
        <w:t>.</w:t>
      </w:r>
      <w:r>
        <w:rPr>
          <w:rFonts w:hint="eastAsia" w:ascii="宋体" w:hAnsi="宋体" w:eastAsia="宋体" w:cs="宋体"/>
          <w:color w:val="000000" w:themeColor="text1"/>
          <w:kern w:val="0"/>
          <w:highlight w:val="none"/>
          <w:lang w:bidi="ar"/>
          <w14:textFill>
            <w14:solidFill>
              <w14:schemeClr w14:val="tx1"/>
            </w14:solidFill>
          </w14:textFill>
        </w:rPr>
        <w:t>如未提供人员的相关证明材料可能会影响投标人的得分</w:t>
      </w:r>
      <w:r>
        <w:rPr>
          <w:rFonts w:hint="eastAsia" w:ascii="宋体" w:hAnsi="宋体" w:eastAsia="宋体" w:cs="宋体"/>
          <w:color w:val="000000" w:themeColor="text1"/>
          <w:kern w:val="0"/>
          <w:highlight w:val="none"/>
          <w:lang w:eastAsia="zh-CN" w:bidi="ar"/>
          <w14:textFill>
            <w14:solidFill>
              <w14:schemeClr w14:val="tx1"/>
            </w14:solidFill>
          </w14:textFill>
        </w:rPr>
        <w:t>，</w:t>
      </w:r>
      <w:r>
        <w:rPr>
          <w:rFonts w:hint="eastAsia" w:ascii="宋体" w:hAnsi="宋体" w:eastAsia="宋体" w:cs="宋体"/>
          <w:color w:val="000000" w:themeColor="text1"/>
          <w:kern w:val="0"/>
          <w:highlight w:val="none"/>
          <w:lang w:bidi="ar"/>
          <w14:textFill>
            <w14:solidFill>
              <w14:schemeClr w14:val="tx1"/>
            </w14:solidFill>
          </w14:textFill>
        </w:rPr>
        <w:t>但并不影响投标文件的有效性。</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投标日期：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pStyle w:val="12"/>
        <w:pageBreakBefore w:val="0"/>
        <w:kinsoku/>
        <w:overflowPunct/>
        <w:bidi w:val="0"/>
        <w:spacing w:after="0" w:line="360" w:lineRule="auto"/>
        <w:ind w:left="0" w:leftChars="0" w:right="0" w:rightChars="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textAlignment w:val="auto"/>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br w:type="page"/>
      </w:r>
    </w:p>
    <w:p>
      <w:pPr>
        <w:pStyle w:val="5"/>
        <w:keepNext/>
        <w:keepLines/>
        <w:pageBreakBefore w:val="0"/>
        <w:widowControl/>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（十二）售后及培训服务方案</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说明：本项格式自拟</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投标人须针对本项目提供有效的售后及培训服务方案。</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投标人名称：</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（加盖单位</w:t>
      </w:r>
      <w:r>
        <w:rPr>
          <w:rFonts w:hint="eastAsia" w:ascii="宋体" w:hAnsi="宋体" w:eastAsia="宋体" w:cs="宋体"/>
          <w:color w:val="000000" w:themeColor="text1"/>
          <w:highlight w:val="none"/>
          <w:u w:val="single"/>
          <w:lang w:val="en-US" w:eastAsia="zh-CN"/>
          <w14:textFill>
            <w14:solidFill>
              <w14:schemeClr w14:val="tx1"/>
            </w14:solidFill>
          </w14:textFill>
        </w:rPr>
        <w:t>电子印章</w:t>
      </w:r>
      <w:r>
        <w:rPr>
          <w:rFonts w:hint="eastAsia" w:ascii="宋体" w:hAnsi="宋体" w:eastAsia="宋体" w:cs="宋体"/>
          <w:color w:val="000000" w:themeColor="text1"/>
          <w:highlight w:val="none"/>
          <w:u w:val="single"/>
          <w14:textFill>
            <w14:solidFill>
              <w14:schemeClr w14:val="tx1"/>
            </w14:solidFill>
          </w14:textFill>
        </w:rPr>
        <w:t>）</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投标日期：</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年</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月</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p>
    <w:p>
      <w:pPr>
        <w:pageBreakBefore w:val="0"/>
        <w:kinsoku/>
        <w:overflowPunct/>
        <w:bidi w:val="0"/>
        <w:spacing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pStyle w:val="5"/>
        <w:keepNext/>
        <w:keepLines/>
        <w:pageBreakBefore w:val="0"/>
        <w:widowControl/>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2"/>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（十三）投标人认为需要提供的其他材料</w:t>
      </w:r>
      <w:bookmarkEnd w:id="219"/>
      <w:bookmarkEnd w:id="221"/>
      <w:bookmarkEnd w:id="222"/>
      <w:bookmarkEnd w:id="223"/>
      <w:bookmarkEnd w:id="224"/>
      <w:bookmarkEnd w:id="225"/>
    </w:p>
    <w:p>
      <w:pPr>
        <w:ind w:left="0" w:leftChars="0" w:firstLine="0" w:firstLineChars="0"/>
        <w:rPr>
          <w:rFonts w:hint="eastAsia" w:ascii="宋体" w:hAnsi="宋体" w:eastAsia="宋体" w:cs="宋体"/>
          <w:color w:val="000000" w:themeColor="text1"/>
          <w:highlight w:val="none"/>
          <w14:textFill>
            <w14:solidFill>
              <w14:schemeClr w14:val="tx1"/>
            </w14:solidFill>
          </w14:textFill>
        </w:rPr>
      </w:pPr>
      <w:bookmarkStart w:id="226" w:name="_Toc3481"/>
      <w:r>
        <w:rPr>
          <w:rFonts w:hint="eastAsia" w:ascii="宋体" w:hAnsi="宋体" w:eastAsia="宋体" w:cs="宋体"/>
          <w:color w:val="000000" w:themeColor="text1"/>
          <w:highlight w:val="none"/>
          <w14:textFill>
            <w14:solidFill>
              <w14:schemeClr w14:val="tx1"/>
            </w14:solidFill>
          </w14:textFill>
        </w:rPr>
        <w:br w:type="page"/>
      </w:r>
      <w:bookmarkEnd w:id="226"/>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rPr>
          <w:rFonts w:hint="eastAsia" w:ascii="宋体" w:hAnsi="宋体" w:eastAsia="宋体" w:cs="宋体"/>
          <w:color w:val="000000" w:themeColor="text1"/>
          <w:sz w:val="36"/>
          <w:szCs w:val="36"/>
          <w:highlight w:val="none"/>
          <w14:textFill>
            <w14:solidFill>
              <w14:schemeClr w14:val="tx1"/>
            </w14:solidFill>
          </w14:textFill>
        </w:rPr>
      </w:pPr>
      <w:bookmarkStart w:id="227" w:name="_Toc19517"/>
      <w:bookmarkStart w:id="228" w:name="_Toc7676"/>
      <w:bookmarkStart w:id="229" w:name="_Toc20909"/>
      <w:bookmarkStart w:id="230" w:name="_Toc470867104"/>
      <w:bookmarkStart w:id="231" w:name="_Toc217446093"/>
      <w:r>
        <w:rPr>
          <w:rFonts w:hint="eastAsia" w:ascii="宋体" w:hAnsi="宋体" w:eastAsia="宋体" w:cs="宋体"/>
          <w:color w:val="000000" w:themeColor="text1"/>
          <w:sz w:val="36"/>
          <w:szCs w:val="36"/>
          <w:highlight w:val="none"/>
          <w14:textFill>
            <w14:solidFill>
              <w14:schemeClr w14:val="tx1"/>
            </w14:solidFill>
          </w14:textFill>
        </w:rPr>
        <w:t>第四章 投标人和投标产品的资格、资质性及其他类似效力要求</w:t>
      </w:r>
      <w:bookmarkEnd w:id="227"/>
      <w:bookmarkEnd w:id="228"/>
      <w:bookmarkEnd w:id="229"/>
      <w:bookmarkEnd w:id="230"/>
    </w:p>
    <w:p>
      <w:pPr>
        <w:pStyle w:val="4"/>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b w:val="0"/>
          <w:color w:val="000000" w:themeColor="text1"/>
          <w:sz w:val="24"/>
          <w:szCs w:val="24"/>
          <w:highlight w:val="none"/>
          <w14:textFill>
            <w14:solidFill>
              <w14:schemeClr w14:val="tx1"/>
            </w14:solidFill>
          </w14:textFill>
        </w:rPr>
      </w:pPr>
      <w:bookmarkStart w:id="232" w:name="_Toc8213"/>
      <w:bookmarkStart w:id="233" w:name="_Toc470867105"/>
      <w:bookmarkStart w:id="234" w:name="_Toc24"/>
      <w:bookmarkStart w:id="235" w:name="_Toc25583"/>
      <w:r>
        <w:rPr>
          <w:rFonts w:hint="eastAsia" w:ascii="宋体" w:hAnsi="宋体" w:eastAsia="宋体" w:cs="宋体"/>
          <w:color w:val="000000" w:themeColor="text1"/>
          <w:sz w:val="24"/>
          <w:szCs w:val="24"/>
          <w:highlight w:val="none"/>
          <w14:textFill>
            <w14:solidFill>
              <w14:schemeClr w14:val="tx1"/>
            </w14:solidFill>
          </w14:textFill>
        </w:rPr>
        <w:t>一、投标人的资格、资质性及其他类似效力要求</w:t>
      </w:r>
      <w:bookmarkEnd w:id="232"/>
      <w:bookmarkEnd w:id="233"/>
      <w:bookmarkEnd w:id="234"/>
      <w:bookmarkEnd w:id="235"/>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bookmarkStart w:id="236" w:name="_Toc6701"/>
      <w:bookmarkStart w:id="237" w:name="_Toc27620"/>
      <w:bookmarkStart w:id="238" w:name="_Toc470867106"/>
      <w:bookmarkStart w:id="239" w:name="_Toc4342"/>
      <w:bookmarkStart w:id="240" w:name="_Toc19880"/>
      <w:r>
        <w:rPr>
          <w:rFonts w:hint="eastAsia" w:ascii="宋体" w:hAnsi="宋体" w:eastAsia="宋体" w:cs="宋体"/>
          <w:color w:val="000000" w:themeColor="text1"/>
          <w:sz w:val="24"/>
          <w:szCs w:val="24"/>
          <w:highlight w:val="none"/>
          <w14:textFill>
            <w14:solidFill>
              <w14:schemeClr w14:val="tx1"/>
            </w14:solidFill>
          </w14:textFill>
        </w:rPr>
        <w:t>（1）资格要求</w:t>
      </w:r>
      <w:bookmarkEnd w:id="236"/>
      <w:bookmarkEnd w:id="237"/>
      <w:bookmarkEnd w:id="238"/>
      <w:bookmarkEnd w:id="239"/>
      <w:bookmarkEnd w:id="240"/>
      <w:bookmarkStart w:id="241" w:name="_Toc20925"/>
      <w:bookmarkStart w:id="242" w:name="_Toc470867107"/>
      <w:bookmarkStart w:id="243" w:name="_Toc20053"/>
    </w:p>
    <w:p>
      <w:pPr>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 xml:space="preserve">具有独立承担民事责任的能力； </w:t>
      </w:r>
    </w:p>
    <w:p>
      <w:pPr>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 xml:space="preserve">具有良好的商业信誉和健全的财务会计制度； </w:t>
      </w:r>
    </w:p>
    <w:p>
      <w:pPr>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 xml:space="preserve">具有履行合同所必需的设备和专业技术能力； </w:t>
      </w:r>
    </w:p>
    <w:p>
      <w:pPr>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 xml:space="preserve">有依法缴纳税收和社会保障资金的良好记录； </w:t>
      </w:r>
    </w:p>
    <w:p>
      <w:pPr>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5</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 xml:space="preserve">参加本次政府采购活动前三年内，在经营活动中没有重大违法记录； </w:t>
      </w:r>
    </w:p>
    <w:p>
      <w:pPr>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6</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法律、行政法规规定的其他条件</w:t>
      </w:r>
      <w:r>
        <w:rPr>
          <w:rFonts w:hint="eastAsia" w:ascii="宋体" w:hAnsi="宋体" w:eastAsia="宋体" w:cs="宋体"/>
          <w:color w:val="000000" w:themeColor="text1"/>
          <w:highlight w:val="none"/>
          <w:lang w:val="en-US" w:eastAsia="zh-CN"/>
          <w14:textFill>
            <w14:solidFill>
              <w14:schemeClr w14:val="tx1"/>
            </w14:solidFill>
          </w14:textFill>
        </w:rPr>
        <w:t>；</w:t>
      </w:r>
    </w:p>
    <w:p>
      <w:pPr>
        <w:spacing w:line="360" w:lineRule="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7</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根据采购项目提出的特殊条件：</w:t>
      </w:r>
      <w:r>
        <w:rPr>
          <w:rFonts w:hint="eastAsia" w:ascii="宋体" w:hAnsi="宋体" w:eastAsia="宋体" w:cs="宋体"/>
          <w:color w:val="000000" w:themeColor="text1"/>
          <w:sz w:val="24"/>
          <w14:textFill>
            <w14:solidFill>
              <w14:schemeClr w14:val="tx1"/>
            </w14:solidFill>
          </w14:textFill>
        </w:rPr>
        <w:t>供应商及现任法定代表人、主要负责人在参加本项目政府采购活动前3年内不具有行贿犯罪记录</w:t>
      </w:r>
      <w:r>
        <w:rPr>
          <w:rFonts w:hint="eastAsia" w:ascii="宋体" w:hAnsi="宋体" w:eastAsia="宋体" w:cs="宋体"/>
          <w:color w:val="000000" w:themeColor="text1"/>
          <w:highlight w:val="none"/>
          <w:lang w:eastAsia="zh-CN"/>
          <w14:textFill>
            <w14:solidFill>
              <w14:schemeClr w14:val="tx1"/>
            </w14:solidFill>
          </w14:textFill>
        </w:rPr>
        <w:t>。</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44" w:name="_Toc18145"/>
      <w:bookmarkStart w:id="245" w:name="_Toc20018"/>
      <w:r>
        <w:rPr>
          <w:rFonts w:hint="eastAsia" w:ascii="宋体" w:hAnsi="宋体" w:eastAsia="宋体" w:cs="宋体"/>
          <w:color w:val="000000" w:themeColor="text1"/>
          <w:sz w:val="24"/>
          <w:szCs w:val="24"/>
          <w:highlight w:val="none"/>
          <w14:textFill>
            <w14:solidFill>
              <w14:schemeClr w14:val="tx1"/>
            </w14:solidFill>
          </w14:textFill>
        </w:rPr>
        <w:t>（2）资质要求</w:t>
      </w:r>
      <w:bookmarkEnd w:id="241"/>
      <w:bookmarkEnd w:id="242"/>
      <w:bookmarkEnd w:id="243"/>
      <w:bookmarkEnd w:id="244"/>
      <w:bookmarkEnd w:id="245"/>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46" w:name="_Toc16818"/>
      <w:r>
        <w:rPr>
          <w:rFonts w:hint="eastAsia" w:ascii="宋体" w:hAnsi="宋体" w:eastAsia="宋体" w:cs="宋体"/>
          <w:color w:val="000000" w:themeColor="text1"/>
          <w:sz w:val="24"/>
          <w:szCs w:val="24"/>
          <w:highlight w:val="none"/>
          <w14:textFill>
            <w14:solidFill>
              <w14:schemeClr w14:val="tx1"/>
            </w14:solidFill>
          </w14:textFill>
        </w:rPr>
        <w:t>无</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47" w:name="_Toc4053"/>
      <w:bookmarkStart w:id="248" w:name="_Toc23403"/>
      <w:bookmarkStart w:id="249" w:name="_Toc14932"/>
      <w:bookmarkStart w:id="250" w:name="_Toc470867108"/>
      <w:r>
        <w:rPr>
          <w:rFonts w:hint="eastAsia" w:ascii="宋体" w:hAnsi="宋体" w:eastAsia="宋体" w:cs="宋体"/>
          <w:color w:val="000000" w:themeColor="text1"/>
          <w:sz w:val="24"/>
          <w:szCs w:val="24"/>
          <w:highlight w:val="none"/>
          <w14:textFill>
            <w14:solidFill>
              <w14:schemeClr w14:val="tx1"/>
            </w14:solidFill>
          </w14:textFill>
        </w:rPr>
        <w:t>（3）其他类似效力要求</w:t>
      </w:r>
      <w:bookmarkEnd w:id="246"/>
      <w:bookmarkEnd w:id="247"/>
      <w:bookmarkEnd w:id="248"/>
      <w:bookmarkEnd w:id="249"/>
      <w:bookmarkEnd w:id="250"/>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法定代表人身份</w:t>
      </w:r>
      <w:r>
        <w:rPr>
          <w:rFonts w:hint="eastAsia" w:ascii="宋体" w:hAnsi="宋体" w:eastAsia="宋体" w:cs="宋体"/>
          <w:color w:val="000000" w:themeColor="text1"/>
          <w:sz w:val="24"/>
          <w:szCs w:val="24"/>
          <w:highlight w:val="none"/>
          <w:lang w:val="en-US" w:eastAsia="zh-CN"/>
          <w14:textFill>
            <w14:solidFill>
              <w14:schemeClr w14:val="tx1"/>
            </w14:solidFill>
          </w14:textFill>
        </w:rPr>
        <w:t>证明。</w:t>
      </w:r>
    </w:p>
    <w:p>
      <w:pPr>
        <w:pStyle w:val="4"/>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51" w:name="_Toc29447"/>
      <w:bookmarkStart w:id="252" w:name="_Toc13053"/>
      <w:bookmarkStart w:id="253" w:name="_Toc470867109"/>
      <w:bookmarkStart w:id="254" w:name="_Toc20508"/>
      <w:r>
        <w:rPr>
          <w:rFonts w:hint="eastAsia" w:ascii="宋体" w:hAnsi="宋体" w:eastAsia="宋体" w:cs="宋体"/>
          <w:color w:val="000000" w:themeColor="text1"/>
          <w:sz w:val="24"/>
          <w:szCs w:val="24"/>
          <w:highlight w:val="none"/>
          <w14:textFill>
            <w14:solidFill>
              <w14:schemeClr w14:val="tx1"/>
            </w14:solidFill>
          </w14:textFill>
        </w:rPr>
        <w:t>二、投标产品的资格、资质性及其他类似效力要求</w:t>
      </w:r>
      <w:bookmarkEnd w:id="251"/>
      <w:bookmarkEnd w:id="252"/>
      <w:bookmarkEnd w:id="253"/>
      <w:bookmarkEnd w:id="254"/>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55" w:name="_Toc4632"/>
      <w:bookmarkStart w:id="256" w:name="_Toc28456"/>
      <w:bookmarkStart w:id="257" w:name="_Toc27308"/>
      <w:bookmarkStart w:id="258" w:name="_Toc470867110"/>
      <w:bookmarkStart w:id="259" w:name="_Toc31992"/>
      <w:r>
        <w:rPr>
          <w:rFonts w:hint="eastAsia" w:ascii="宋体" w:hAnsi="宋体" w:eastAsia="宋体" w:cs="宋体"/>
          <w:color w:val="000000" w:themeColor="text1"/>
          <w:sz w:val="24"/>
          <w:szCs w:val="24"/>
          <w:highlight w:val="none"/>
          <w14:textFill>
            <w14:solidFill>
              <w14:schemeClr w14:val="tx1"/>
            </w14:solidFill>
          </w14:textFill>
        </w:rPr>
        <w:t>（1）资格要求</w:t>
      </w:r>
      <w:bookmarkEnd w:id="255"/>
      <w:bookmarkEnd w:id="256"/>
      <w:bookmarkEnd w:id="257"/>
      <w:bookmarkEnd w:id="258"/>
      <w:bookmarkEnd w:id="259"/>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260" w:name="_Toc6108"/>
      <w:r>
        <w:rPr>
          <w:rFonts w:hint="eastAsia" w:ascii="宋体" w:hAnsi="宋体" w:eastAsia="宋体" w:cs="宋体"/>
          <w:color w:val="000000" w:themeColor="text1"/>
          <w:sz w:val="24"/>
          <w:szCs w:val="24"/>
          <w:highlight w:val="none"/>
          <w14:textFill>
            <w14:solidFill>
              <w14:schemeClr w14:val="tx1"/>
            </w14:solidFill>
          </w14:textFill>
        </w:rPr>
        <w:t>无</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61" w:name="_Toc25611"/>
      <w:bookmarkStart w:id="262" w:name="_Toc15241"/>
      <w:bookmarkStart w:id="263" w:name="_Toc15007"/>
      <w:bookmarkStart w:id="264" w:name="_Toc470867111"/>
      <w:r>
        <w:rPr>
          <w:rFonts w:hint="eastAsia" w:ascii="宋体" w:hAnsi="宋体" w:eastAsia="宋体" w:cs="宋体"/>
          <w:color w:val="000000" w:themeColor="text1"/>
          <w:sz w:val="24"/>
          <w:szCs w:val="24"/>
          <w:highlight w:val="none"/>
          <w14:textFill>
            <w14:solidFill>
              <w14:schemeClr w14:val="tx1"/>
            </w14:solidFill>
          </w14:textFill>
        </w:rPr>
        <w:t>（2）资质要求</w:t>
      </w:r>
      <w:bookmarkEnd w:id="260"/>
      <w:bookmarkEnd w:id="261"/>
      <w:bookmarkEnd w:id="262"/>
      <w:bookmarkEnd w:id="263"/>
      <w:bookmarkEnd w:id="264"/>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无</w:t>
      </w:r>
    </w:p>
    <w:p>
      <w:pPr>
        <w:pStyle w:val="5"/>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65" w:name="_Toc16024"/>
      <w:bookmarkStart w:id="266" w:name="_Toc470867112"/>
      <w:bookmarkStart w:id="267" w:name="_Toc28356"/>
      <w:bookmarkStart w:id="268" w:name="_Toc20696"/>
      <w:bookmarkStart w:id="269" w:name="_Toc30140"/>
      <w:r>
        <w:rPr>
          <w:rFonts w:hint="eastAsia" w:ascii="宋体" w:hAnsi="宋体" w:eastAsia="宋体" w:cs="宋体"/>
          <w:color w:val="000000" w:themeColor="text1"/>
          <w:sz w:val="24"/>
          <w:szCs w:val="24"/>
          <w:highlight w:val="none"/>
          <w14:textFill>
            <w14:solidFill>
              <w14:schemeClr w14:val="tx1"/>
            </w14:solidFill>
          </w14:textFill>
        </w:rPr>
        <w:t>（3）其他类似效力要求</w:t>
      </w:r>
      <w:bookmarkEnd w:id="265"/>
      <w:bookmarkEnd w:id="266"/>
      <w:bookmarkEnd w:id="267"/>
      <w:bookmarkEnd w:id="268"/>
      <w:bookmarkEnd w:id="269"/>
    </w:p>
    <w:p>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无</w:t>
      </w:r>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rPr>
          <w:rStyle w:val="93"/>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Cs w:val="36"/>
          <w:highlight w:val="none"/>
          <w14:textFill>
            <w14:solidFill>
              <w14:schemeClr w14:val="tx1"/>
            </w14:solidFill>
          </w14:textFill>
        </w:rPr>
        <w:br w:type="page"/>
      </w:r>
      <w:bookmarkStart w:id="270" w:name="_Toc470867113"/>
      <w:bookmarkStart w:id="271" w:name="_Toc31816"/>
      <w:bookmarkStart w:id="272" w:name="_Toc15697"/>
      <w:bookmarkStart w:id="273" w:name="_Toc32017"/>
      <w:r>
        <w:rPr>
          <w:rStyle w:val="93"/>
          <w:rFonts w:hint="eastAsia" w:ascii="宋体" w:hAnsi="宋体" w:eastAsia="宋体" w:cs="宋体"/>
          <w:b/>
          <w:bCs/>
          <w:color w:val="000000" w:themeColor="text1"/>
          <w:sz w:val="36"/>
          <w:szCs w:val="36"/>
          <w:highlight w:val="none"/>
          <w14:textFill>
            <w14:solidFill>
              <w14:schemeClr w14:val="tx1"/>
            </w14:solidFill>
          </w14:textFill>
        </w:rPr>
        <w:t>第五章 投标人应当提供的资格、资质性及其他类似效力要求的相关证明材料</w:t>
      </w:r>
      <w:bookmarkEnd w:id="270"/>
      <w:bookmarkEnd w:id="271"/>
      <w:bookmarkEnd w:id="272"/>
      <w:bookmarkEnd w:id="273"/>
    </w:p>
    <w:p>
      <w:pPr>
        <w:pStyle w:val="4"/>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74" w:name="_Toc470867114"/>
      <w:bookmarkStart w:id="275" w:name="_Toc20410"/>
      <w:bookmarkStart w:id="276" w:name="_Toc19915"/>
      <w:bookmarkStart w:id="277" w:name="_Toc7397"/>
      <w:r>
        <w:rPr>
          <w:rFonts w:hint="eastAsia" w:ascii="宋体" w:hAnsi="宋体" w:eastAsia="宋体" w:cs="宋体"/>
          <w:color w:val="000000" w:themeColor="text1"/>
          <w:sz w:val="24"/>
          <w:szCs w:val="24"/>
          <w:highlight w:val="none"/>
          <w14:textFill>
            <w14:solidFill>
              <w14:schemeClr w14:val="tx1"/>
            </w14:solidFill>
          </w14:textFill>
        </w:rPr>
        <w:t>一、投标人的资格、资质性及其他类似效力要求的相关证明材料</w:t>
      </w:r>
      <w:bookmarkEnd w:id="274"/>
      <w:bookmarkEnd w:id="275"/>
      <w:bookmarkEnd w:id="276"/>
      <w:bookmarkEnd w:id="277"/>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78" w:name="_Toc2734"/>
      <w:bookmarkStart w:id="279" w:name="_Toc470867115"/>
      <w:bookmarkStart w:id="280" w:name="_Toc4689"/>
      <w:bookmarkStart w:id="281" w:name="_Toc6789"/>
      <w:bookmarkStart w:id="282" w:name="_Toc20640"/>
      <w:r>
        <w:rPr>
          <w:rFonts w:hint="eastAsia" w:ascii="宋体" w:hAnsi="宋体" w:eastAsia="宋体" w:cs="宋体"/>
          <w:color w:val="000000" w:themeColor="text1"/>
          <w:sz w:val="24"/>
          <w:szCs w:val="24"/>
          <w:highlight w:val="none"/>
          <w14:textFill>
            <w14:solidFill>
              <w14:schemeClr w14:val="tx1"/>
            </w14:solidFill>
          </w14:textFill>
        </w:rPr>
        <w:t>（1）投标人资格性要求相关证明材料</w:t>
      </w:r>
      <w:bookmarkEnd w:id="278"/>
      <w:bookmarkEnd w:id="279"/>
      <w:bookmarkEnd w:id="280"/>
      <w:bookmarkEnd w:id="281"/>
      <w:bookmarkEnd w:id="282"/>
    </w:p>
    <w:p>
      <w:pPr>
        <w:pageBreakBefore w:val="0"/>
        <w:widowControl w:val="0"/>
        <w:kinsoku/>
        <w:wordWrap/>
        <w:overflowPunct/>
        <w:topLinePunct w:val="0"/>
        <w:autoSpaceDE/>
        <w:autoSpaceDN/>
        <w:bidi w:val="0"/>
        <w:adjustRightInd/>
        <w:spacing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供应商参加本次政府采购活动</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应当在投标文件中提交以下证明材料：</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83" w:name="_Toc6759"/>
      <w:bookmarkStart w:id="284" w:name="_Toc8451"/>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具有独立承担民事责任的能力</w:t>
      </w:r>
      <w:r>
        <w:rPr>
          <w:rFonts w:hint="eastAsia" w:ascii="宋体" w:hAnsi="宋体" w:eastAsia="宋体" w:cs="宋体"/>
          <w:color w:val="000000" w:themeColor="text1"/>
          <w:sz w:val="24"/>
          <w:szCs w:val="24"/>
          <w:highlight w:val="none"/>
          <w:lang w:eastAsia="zh-CN"/>
          <w14:textFill>
            <w14:solidFill>
              <w14:schemeClr w14:val="tx1"/>
            </w14:solidFill>
          </w14:textFill>
        </w:rPr>
        <w:t>：①供应商若为企业法人：提供统一社会信用代码营业执照复印件；②若为事业法人：提供统一社会信用代码法人登记证书复印件；③若为其他组织：提供对应主管部门颁发的准许执业证明文件或营业执照复印件；④若为自然人：提供身份证明材料复印件；⑤分支机构参与投标的应取得具有独立法人资格的上级机构出具的授权文件，采用多级授权的，应保证授权链条的完整性及有效性。</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具有良好的商业信誉和健全的财务会计制度的证明材料：</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2.1具有良好的商业信誉</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提供具有良好的商业信誉的承诺函（格式见本招标文件第三章）；</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 具有健全的财务会计制度</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提供</w:t>
      </w:r>
      <w:r>
        <w:rPr>
          <w:rFonts w:hint="eastAsia" w:ascii="宋体" w:hAnsi="宋体" w:eastAsia="宋体" w:cs="宋体"/>
          <w:color w:val="000000" w:themeColor="text1"/>
          <w:sz w:val="24"/>
          <w:highlight w:val="none"/>
          <w:lang w:val="en-US" w:eastAsia="zh-CN"/>
          <w14:textFill>
            <w14:solidFill>
              <w14:schemeClr w14:val="tx1"/>
            </w14:solidFill>
          </w14:textFill>
        </w:rPr>
        <w:t>2020年</w:t>
      </w:r>
      <w:r>
        <w:rPr>
          <w:rFonts w:hint="eastAsia" w:ascii="宋体" w:hAnsi="宋体" w:eastAsia="宋体" w:cs="宋体"/>
          <w:color w:val="000000" w:themeColor="text1"/>
          <w:sz w:val="24"/>
          <w:highlight w:val="none"/>
          <w14:textFill>
            <w14:solidFill>
              <w14:schemeClr w14:val="tx1"/>
            </w14:solidFill>
          </w14:textFill>
        </w:rPr>
        <w:t>度资产负债表或银行出具的资信证明（</w:t>
      </w:r>
      <w:r>
        <w:rPr>
          <w:rFonts w:hint="eastAsia" w:ascii="宋体" w:hAnsi="宋体" w:eastAsia="宋体" w:cs="宋体"/>
          <w:color w:val="000000" w:themeColor="text1"/>
          <w:sz w:val="24"/>
          <w:highlight w:val="none"/>
          <w:lang w:val="en-US" w:eastAsia="zh-CN"/>
          <w14:textFill>
            <w14:solidFill>
              <w14:schemeClr w14:val="tx1"/>
            </w14:solidFill>
          </w14:textFill>
        </w:rPr>
        <w:t>①</w:t>
      </w:r>
      <w:r>
        <w:rPr>
          <w:rFonts w:hint="eastAsia" w:ascii="宋体" w:hAnsi="宋体" w:eastAsia="宋体" w:cs="宋体"/>
          <w:color w:val="000000" w:themeColor="text1"/>
          <w:sz w:val="24"/>
          <w:highlight w:val="none"/>
          <w14:textFill>
            <w14:solidFill>
              <w14:schemeClr w14:val="tx1"/>
            </w14:solidFill>
          </w14:textFill>
        </w:rPr>
        <w:t>提交</w:t>
      </w:r>
      <w:r>
        <w:rPr>
          <w:rFonts w:hint="eastAsia" w:ascii="宋体" w:hAnsi="宋体" w:eastAsia="宋体" w:cs="宋体"/>
          <w:color w:val="000000" w:themeColor="text1"/>
          <w:sz w:val="24"/>
          <w:highlight w:val="none"/>
          <w:lang w:val="en-US" w:eastAsia="zh-CN"/>
          <w14:textFill>
            <w14:solidFill>
              <w14:schemeClr w14:val="tx1"/>
            </w14:solidFill>
          </w14:textFill>
        </w:rPr>
        <w:t>投标</w:t>
      </w:r>
      <w:r>
        <w:rPr>
          <w:rFonts w:hint="eastAsia" w:ascii="宋体" w:hAnsi="宋体" w:eastAsia="宋体" w:cs="宋体"/>
          <w:color w:val="000000" w:themeColor="text1"/>
          <w:sz w:val="24"/>
          <w:highlight w:val="none"/>
          <w14:textFill>
            <w14:solidFill>
              <w14:schemeClr w14:val="tx1"/>
            </w14:solidFill>
          </w14:textFill>
        </w:rPr>
        <w:t>文件截止时间前注册不满一年的供应商，可提供任意时段的资产负债表</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②</w:t>
      </w:r>
      <w:r>
        <w:rPr>
          <w:rFonts w:hint="eastAsia" w:ascii="宋体" w:hAnsi="宋体" w:eastAsia="宋体" w:cs="宋体"/>
          <w:color w:val="000000" w:themeColor="text1"/>
          <w:sz w:val="24"/>
          <w:highlight w:val="none"/>
          <w:lang w:eastAsia="zh-CN"/>
          <w14:textFill>
            <w14:solidFill>
              <w14:schemeClr w14:val="tx1"/>
            </w14:solidFill>
          </w14:textFill>
        </w:rPr>
        <w:t>银行资信证明出具时间以</w:t>
      </w:r>
      <w:r>
        <w:rPr>
          <w:rFonts w:hint="eastAsia" w:ascii="宋体" w:hAnsi="宋体" w:eastAsia="宋体" w:cs="宋体"/>
          <w:color w:val="000000" w:themeColor="text1"/>
          <w:sz w:val="24"/>
          <w:highlight w:val="none"/>
          <w:lang w:val="en-US" w:eastAsia="zh-CN"/>
          <w14:textFill>
            <w14:solidFill>
              <w14:schemeClr w14:val="tx1"/>
            </w14:solidFill>
          </w14:textFill>
        </w:rPr>
        <w:t>投标</w:t>
      </w:r>
      <w:r>
        <w:rPr>
          <w:rFonts w:hint="eastAsia" w:ascii="宋体" w:hAnsi="宋体" w:eastAsia="宋体" w:cs="宋体"/>
          <w:color w:val="000000" w:themeColor="text1"/>
          <w:sz w:val="24"/>
          <w:highlight w:val="none"/>
          <w:lang w:eastAsia="zh-CN"/>
          <w14:textFill>
            <w14:solidFill>
              <w14:schemeClr w14:val="tx1"/>
            </w14:solidFill>
          </w14:textFill>
        </w:rPr>
        <w:t>截止时间前</w:t>
      </w:r>
      <w:r>
        <w:rPr>
          <w:rFonts w:hint="eastAsia" w:ascii="宋体" w:hAnsi="宋体" w:eastAsia="宋体" w:cs="宋体"/>
          <w:color w:val="000000" w:themeColor="text1"/>
          <w:sz w:val="24"/>
          <w:highlight w:val="none"/>
          <w:lang w:val="en-US" w:eastAsia="zh-CN"/>
          <w14:textFill>
            <w14:solidFill>
              <w14:schemeClr w14:val="tx1"/>
            </w14:solidFill>
          </w14:textFill>
        </w:rPr>
        <w:t>三</w:t>
      </w:r>
      <w:r>
        <w:rPr>
          <w:rFonts w:hint="eastAsia" w:ascii="宋体" w:hAnsi="宋体" w:eastAsia="宋体" w:cs="宋体"/>
          <w:color w:val="000000" w:themeColor="text1"/>
          <w:sz w:val="24"/>
          <w:highlight w:val="none"/>
          <w:lang w:eastAsia="zh-CN"/>
          <w14:textFill>
            <w14:solidFill>
              <w14:schemeClr w14:val="tx1"/>
            </w14:solidFill>
          </w14:textFill>
        </w:rPr>
        <w:t>个月内为有效</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具有履行合同所必需的设备和专业技术能力的证明材料：提供有效的营业执照或法人证书等类似证明材料；</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int="eastAsia" w:ascii="宋体" w:hAnsi="宋体" w:eastAsia="宋体" w:cs="宋体"/>
          <w:color w:val="000000" w:themeColor="text1"/>
          <w:sz w:val="24"/>
          <w:szCs w:val="24"/>
          <w:highlight w:val="none"/>
          <w:lang w:val="en-US" w:eastAsia="zh-CN"/>
          <w14:textFill>
            <w14:solidFill>
              <w14:schemeClr w14:val="tx1"/>
            </w14:solidFill>
          </w14:textFill>
        </w:rPr>
        <w:t>.具</w:t>
      </w:r>
      <w:r>
        <w:rPr>
          <w:rFonts w:hint="eastAsia" w:ascii="宋体" w:hAnsi="宋体" w:eastAsia="宋体" w:cs="宋体"/>
          <w:color w:val="000000" w:themeColor="text1"/>
          <w:sz w:val="24"/>
          <w:szCs w:val="24"/>
          <w:highlight w:val="none"/>
          <w14:textFill>
            <w14:solidFill>
              <w14:schemeClr w14:val="tx1"/>
            </w14:solidFill>
          </w14:textFill>
        </w:rPr>
        <w:t>有依法缴纳税收和社会保障资金的良好记录的</w:t>
      </w:r>
      <w:r>
        <w:rPr>
          <w:rFonts w:hint="eastAsia" w:ascii="宋体" w:hAnsi="宋体" w:eastAsia="宋体" w:cs="宋体"/>
          <w:color w:val="000000" w:themeColor="text1"/>
          <w:sz w:val="24"/>
          <w:szCs w:val="24"/>
          <w:highlight w:val="none"/>
          <w:lang w:val="en-US" w:eastAsia="zh-CN"/>
          <w14:textFill>
            <w14:solidFill>
              <w14:schemeClr w14:val="tx1"/>
            </w14:solidFill>
          </w14:textFill>
        </w:rPr>
        <w:t>承诺函</w:t>
      </w:r>
      <w:r>
        <w:rPr>
          <w:rFonts w:hint="eastAsia" w:ascii="宋体" w:hAnsi="宋体" w:eastAsia="宋体" w:cs="宋体"/>
          <w:color w:val="000000" w:themeColor="text1"/>
          <w:sz w:val="24"/>
          <w:szCs w:val="24"/>
          <w:highlight w:val="none"/>
          <w14:textFill>
            <w14:solidFill>
              <w14:schemeClr w14:val="tx1"/>
            </w14:solidFill>
          </w14:textFill>
        </w:rPr>
        <w:t>（格式见招标文件第三章）：</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参加本次政府采购活动前三年内</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在经营活动中没有重大违法记录的承诺函（格式见招标文件第三章）</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 xml:space="preserve"> </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符合法律、行政法规规定的其他条件的证明材料：提供有效的营业执照或法人证书等类似证明材料；</w:t>
      </w:r>
    </w:p>
    <w:p>
      <w:pPr>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根据采购项目提出的特殊条件的证明材料：</w:t>
      </w:r>
      <w:r>
        <w:rPr>
          <w:rFonts w:hint="eastAsia" w:ascii="宋体" w:hAnsi="宋体" w:eastAsia="宋体" w:cs="宋体"/>
          <w:color w:val="000000" w:themeColor="text1"/>
          <w:sz w:val="24"/>
          <w14:textFill>
            <w14:solidFill>
              <w14:schemeClr w14:val="tx1"/>
            </w14:solidFill>
          </w14:textFill>
        </w:rPr>
        <w:t>供应商及现任法定代表人、主要负责人在参加本项目政府采购活动前3年内不具有行贿犯罪记录</w:t>
      </w:r>
      <w:r>
        <w:rPr>
          <w:rFonts w:hint="eastAsia" w:ascii="宋体" w:hAnsi="宋体" w:eastAsia="宋体" w:cs="宋体"/>
          <w:color w:val="000000" w:themeColor="text1"/>
          <w:sz w:val="24"/>
          <w:szCs w:val="24"/>
          <w:highlight w:val="none"/>
          <w14:textFill>
            <w14:solidFill>
              <w14:schemeClr w14:val="tx1"/>
            </w14:solidFill>
          </w14:textFill>
        </w:rPr>
        <w:t>的承诺函（见本招标文件第三章）</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85" w:name="_Toc470867116"/>
      <w:bookmarkStart w:id="286" w:name="_Toc32058"/>
      <w:bookmarkStart w:id="287" w:name="_Toc19705"/>
      <w:r>
        <w:rPr>
          <w:rFonts w:hint="eastAsia" w:ascii="宋体" w:hAnsi="宋体" w:eastAsia="宋体" w:cs="宋体"/>
          <w:color w:val="000000" w:themeColor="text1"/>
          <w:sz w:val="24"/>
          <w:szCs w:val="24"/>
          <w:highlight w:val="none"/>
          <w14:textFill>
            <w14:solidFill>
              <w14:schemeClr w14:val="tx1"/>
            </w14:solidFill>
          </w14:textFill>
        </w:rPr>
        <w:t>（2）资质性要求相关证明材料</w:t>
      </w:r>
      <w:bookmarkEnd w:id="283"/>
      <w:bookmarkEnd w:id="284"/>
      <w:bookmarkEnd w:id="285"/>
      <w:bookmarkEnd w:id="286"/>
      <w:bookmarkEnd w:id="287"/>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无</w:t>
      </w:r>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88" w:name="_Toc9342"/>
      <w:bookmarkStart w:id="289" w:name="_Toc10278"/>
      <w:bookmarkStart w:id="290" w:name="_Toc10304"/>
      <w:bookmarkStart w:id="291" w:name="_Toc10361"/>
      <w:bookmarkStart w:id="292" w:name="_Toc470867117"/>
      <w:r>
        <w:rPr>
          <w:rFonts w:hint="eastAsia" w:ascii="宋体" w:hAnsi="宋体" w:eastAsia="宋体" w:cs="宋体"/>
          <w:color w:val="000000" w:themeColor="text1"/>
          <w:sz w:val="24"/>
          <w:szCs w:val="24"/>
          <w:highlight w:val="none"/>
          <w14:textFill>
            <w14:solidFill>
              <w14:schemeClr w14:val="tx1"/>
            </w14:solidFill>
          </w14:textFill>
        </w:rPr>
        <w:t>（3）其他类似效力要求相关证明材料</w:t>
      </w:r>
      <w:bookmarkEnd w:id="288"/>
      <w:bookmarkEnd w:id="289"/>
      <w:bookmarkEnd w:id="290"/>
      <w:bookmarkEnd w:id="291"/>
      <w:bookmarkEnd w:id="292"/>
    </w:p>
    <w:p>
      <w:pPr>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法定代表人身份证明书（</w:t>
      </w:r>
      <w:r>
        <w:rPr>
          <w:rFonts w:hint="eastAsia" w:ascii="宋体" w:hAnsi="宋体" w:eastAsia="宋体" w:cs="宋体"/>
          <w:color w:val="000000" w:themeColor="text1"/>
          <w:sz w:val="24"/>
          <w:szCs w:val="24"/>
          <w:highlight w:val="none"/>
          <w:lang w:val="en-US" w:eastAsia="zh-CN"/>
          <w14:textFill>
            <w14:solidFill>
              <w14:schemeClr w14:val="tx1"/>
            </w14:solidFill>
          </w14:textFill>
        </w:rPr>
        <w:t>附</w:t>
      </w:r>
      <w:r>
        <w:rPr>
          <w:rFonts w:hint="eastAsia" w:ascii="宋体" w:hAnsi="宋体" w:eastAsia="宋体" w:cs="宋体"/>
          <w:color w:val="000000" w:themeColor="text1"/>
          <w:sz w:val="24"/>
          <w:szCs w:val="24"/>
          <w:highlight w:val="none"/>
          <w14:textFill>
            <w14:solidFill>
              <w14:schemeClr w14:val="tx1"/>
            </w14:solidFill>
          </w14:textFill>
        </w:rPr>
        <w:t>法定代表人身份证</w:t>
      </w:r>
      <w:r>
        <w:rPr>
          <w:rFonts w:hint="eastAsia" w:ascii="宋体" w:hAnsi="宋体" w:eastAsia="宋体" w:cs="宋体"/>
          <w:color w:val="000000" w:themeColor="text1"/>
          <w:sz w:val="24"/>
          <w:szCs w:val="24"/>
          <w:highlight w:val="none"/>
          <w:lang w:val="en-US" w:eastAsia="zh-CN"/>
          <w14:textFill>
            <w14:solidFill>
              <w14:schemeClr w14:val="tx1"/>
            </w14:solidFill>
          </w14:textFill>
        </w:rPr>
        <w:t>明材料</w:t>
      </w:r>
      <w:r>
        <w:rPr>
          <w:rFonts w:hint="eastAsia" w:ascii="宋体" w:hAnsi="宋体" w:eastAsia="宋体" w:cs="宋体"/>
          <w:color w:val="000000" w:themeColor="text1"/>
          <w:sz w:val="24"/>
          <w:szCs w:val="24"/>
          <w:highlight w:val="none"/>
          <w14:textFill>
            <w14:solidFill>
              <w14:schemeClr w14:val="tx1"/>
            </w14:solidFill>
          </w14:textFill>
        </w:rPr>
        <w:t>复印件</w:t>
      </w:r>
      <w:r>
        <w:rPr>
          <w:rFonts w:hint="eastAsia" w:ascii="宋体" w:hAnsi="宋体" w:eastAsia="宋体" w:cs="宋体"/>
          <w:color w:val="000000" w:themeColor="text1"/>
          <w:sz w:val="24"/>
          <w:szCs w:val="24"/>
          <w:highlight w:val="none"/>
          <w:lang w:val="zh-CN" w:eastAsia="zh-CN"/>
          <w14:textFill>
            <w14:solidFill>
              <w14:schemeClr w14:val="tx1"/>
            </w14:solidFill>
          </w14:textFill>
        </w:rPr>
        <w:t>）。</w:t>
      </w:r>
    </w:p>
    <w:p>
      <w:pPr>
        <w:pStyle w:val="4"/>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93" w:name="_Toc6488"/>
      <w:bookmarkStart w:id="294" w:name="_Toc24164"/>
      <w:bookmarkStart w:id="295" w:name="_Toc16051"/>
      <w:bookmarkStart w:id="296" w:name="_Toc470867118"/>
      <w:r>
        <w:rPr>
          <w:rFonts w:hint="eastAsia" w:ascii="宋体" w:hAnsi="宋体" w:eastAsia="宋体" w:cs="宋体"/>
          <w:color w:val="000000" w:themeColor="text1"/>
          <w:sz w:val="24"/>
          <w:szCs w:val="24"/>
          <w:highlight w:val="none"/>
          <w14:textFill>
            <w14:solidFill>
              <w14:schemeClr w14:val="tx1"/>
            </w14:solidFill>
          </w14:textFill>
        </w:rPr>
        <w:t>二、投标产品的资格、资质性及其他类似效力要求的相关证明材料</w:t>
      </w:r>
      <w:bookmarkEnd w:id="293"/>
      <w:bookmarkEnd w:id="294"/>
      <w:bookmarkEnd w:id="295"/>
      <w:bookmarkEnd w:id="296"/>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297" w:name="_Toc14968"/>
      <w:bookmarkStart w:id="298" w:name="_Toc32338"/>
      <w:bookmarkStart w:id="299" w:name="_Toc470867119"/>
      <w:bookmarkStart w:id="300" w:name="_Toc5300"/>
      <w:bookmarkStart w:id="301" w:name="_Toc4366"/>
      <w:r>
        <w:rPr>
          <w:rFonts w:hint="eastAsia" w:ascii="宋体" w:hAnsi="宋体" w:eastAsia="宋体" w:cs="宋体"/>
          <w:color w:val="000000" w:themeColor="text1"/>
          <w:sz w:val="24"/>
          <w:szCs w:val="24"/>
          <w:highlight w:val="none"/>
          <w14:textFill>
            <w14:solidFill>
              <w14:schemeClr w14:val="tx1"/>
            </w14:solidFill>
          </w14:textFill>
        </w:rPr>
        <w:t>（1）投标产品资格要求相关证明材料</w:t>
      </w:r>
      <w:bookmarkEnd w:id="297"/>
      <w:bookmarkEnd w:id="298"/>
      <w:bookmarkEnd w:id="299"/>
      <w:bookmarkEnd w:id="300"/>
      <w:bookmarkEnd w:id="301"/>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02" w:name="_Toc29378"/>
      <w:r>
        <w:rPr>
          <w:rFonts w:hint="eastAsia" w:ascii="宋体" w:hAnsi="宋体" w:eastAsia="宋体" w:cs="宋体"/>
          <w:color w:val="000000" w:themeColor="text1"/>
          <w:sz w:val="24"/>
          <w:szCs w:val="24"/>
          <w:highlight w:val="none"/>
          <w14:textFill>
            <w14:solidFill>
              <w14:schemeClr w14:val="tx1"/>
            </w14:solidFill>
          </w14:textFill>
        </w:rPr>
        <w:t>无</w:t>
      </w:r>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03" w:name="_Toc9336"/>
      <w:bookmarkStart w:id="304" w:name="_Toc470867120"/>
      <w:bookmarkStart w:id="305" w:name="_Toc21932"/>
      <w:bookmarkStart w:id="306" w:name="_Toc8680"/>
      <w:r>
        <w:rPr>
          <w:rFonts w:hint="eastAsia" w:ascii="宋体" w:hAnsi="宋体" w:eastAsia="宋体" w:cs="宋体"/>
          <w:color w:val="000000" w:themeColor="text1"/>
          <w:sz w:val="24"/>
          <w:szCs w:val="24"/>
          <w:highlight w:val="none"/>
          <w14:textFill>
            <w14:solidFill>
              <w14:schemeClr w14:val="tx1"/>
            </w14:solidFill>
          </w14:textFill>
        </w:rPr>
        <w:t>（2）投标产品资质要求相关证明材料</w:t>
      </w:r>
      <w:bookmarkEnd w:id="302"/>
      <w:bookmarkEnd w:id="303"/>
      <w:bookmarkEnd w:id="304"/>
      <w:bookmarkEnd w:id="305"/>
      <w:bookmarkEnd w:id="306"/>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无</w:t>
      </w:r>
    </w:p>
    <w:p>
      <w:pPr>
        <w:pStyle w:val="5"/>
        <w:pageBreakBefore w:val="0"/>
        <w:widowControl w:val="0"/>
        <w:kinsoku/>
        <w:wordWrap/>
        <w:overflowPunct/>
        <w:topLinePunct w:val="0"/>
        <w:autoSpaceDE/>
        <w:autoSpaceDN/>
        <w:bidi w:val="0"/>
        <w:adjustRightInd/>
        <w:spacing w:before="0" w:after="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07" w:name="_Toc28595"/>
      <w:bookmarkStart w:id="308" w:name="_Toc470867121"/>
      <w:bookmarkStart w:id="309" w:name="_Toc28045"/>
      <w:bookmarkStart w:id="310" w:name="_Toc31244"/>
      <w:bookmarkStart w:id="311" w:name="_Toc9544"/>
      <w:r>
        <w:rPr>
          <w:rFonts w:hint="eastAsia" w:ascii="宋体" w:hAnsi="宋体" w:eastAsia="宋体" w:cs="宋体"/>
          <w:color w:val="000000" w:themeColor="text1"/>
          <w:sz w:val="24"/>
          <w:szCs w:val="24"/>
          <w:highlight w:val="none"/>
          <w14:textFill>
            <w14:solidFill>
              <w14:schemeClr w14:val="tx1"/>
            </w14:solidFill>
          </w14:textFill>
        </w:rPr>
        <w:t>（3）投标产品其他类似效力要求相关证明材料</w:t>
      </w:r>
      <w:bookmarkEnd w:id="307"/>
      <w:bookmarkEnd w:id="308"/>
      <w:bookmarkEnd w:id="309"/>
      <w:bookmarkEnd w:id="310"/>
      <w:bookmarkEnd w:id="311"/>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无</w:t>
      </w:r>
    </w:p>
    <w:p>
      <w:pPr>
        <w:pStyle w:val="12"/>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提供的证件材料如有有效期要求的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必须在有效期内。</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以上证明材料须加盖投标人</w:t>
      </w:r>
      <w:r>
        <w:rPr>
          <w:rFonts w:hint="eastAsia" w:ascii="宋体" w:hAnsi="宋体" w:eastAsia="宋体" w:cs="宋体"/>
          <w:color w:val="000000" w:themeColor="text1"/>
          <w:highlight w:val="none"/>
          <w:lang w:val="en-US" w:eastAsia="zh-CN"/>
          <w14:textFill>
            <w14:solidFill>
              <w14:schemeClr w14:val="tx1"/>
            </w14:solidFill>
          </w14:textFill>
        </w:rPr>
        <w:t>的单位电子印章</w:t>
      </w:r>
      <w:r>
        <w:rPr>
          <w:rFonts w:hint="eastAsia" w:ascii="宋体" w:hAnsi="宋体" w:eastAsia="宋体" w:cs="宋体"/>
          <w:color w:val="000000" w:themeColor="text1"/>
          <w:highlight w:val="none"/>
          <w14:textFill>
            <w14:solidFill>
              <w14:schemeClr w14:val="tx1"/>
            </w14:solidFill>
          </w14:textFill>
        </w:rPr>
        <w:t>有效</w:t>
      </w:r>
      <w:r>
        <w:rPr>
          <w:rFonts w:hint="eastAsia" w:ascii="宋体" w:hAnsi="宋体" w:eastAsia="宋体" w:cs="宋体"/>
          <w:color w:val="000000" w:themeColor="text1"/>
          <w:highlight w:val="none"/>
          <w:lang w:eastAsia="zh-CN"/>
          <w14:textFill>
            <w14:solidFill>
              <w14:schemeClr w14:val="tx1"/>
            </w14:solidFill>
          </w14:textFill>
        </w:rPr>
        <w:t>（招标文件中要求提供复印件的材料均应加盖</w:t>
      </w:r>
      <w:r>
        <w:rPr>
          <w:rFonts w:hint="eastAsia" w:ascii="宋体" w:hAnsi="宋体" w:eastAsia="宋体" w:cs="宋体"/>
          <w:color w:val="000000" w:themeColor="text1"/>
          <w:highlight w:val="none"/>
          <w:lang w:val="en-US" w:eastAsia="zh-CN"/>
          <w14:textFill>
            <w14:solidFill>
              <w14:schemeClr w14:val="tx1"/>
            </w14:solidFill>
          </w14:textFill>
        </w:rPr>
        <w:t>单位电子印章</w:t>
      </w:r>
      <w:r>
        <w:rPr>
          <w:rFonts w:hint="eastAsia" w:ascii="宋体" w:hAnsi="宋体" w:eastAsia="宋体" w:cs="宋体"/>
          <w:color w:val="000000" w:themeColor="text1"/>
          <w:highlight w:val="none"/>
          <w:lang w:eastAsia="zh-CN"/>
          <w14:textFill>
            <w14:solidFill>
              <w14:schemeClr w14:val="tx1"/>
            </w14:solidFill>
          </w14:textFill>
        </w:rPr>
        <w:t>，同一证明材料的复印件为多页的，至少有一页加盖了</w:t>
      </w:r>
      <w:r>
        <w:rPr>
          <w:rFonts w:hint="eastAsia" w:ascii="宋体" w:hAnsi="宋体" w:eastAsia="宋体" w:cs="宋体"/>
          <w:color w:val="000000" w:themeColor="text1"/>
          <w:highlight w:val="none"/>
          <w:lang w:val="en-US" w:eastAsia="zh-CN"/>
          <w14:textFill>
            <w14:solidFill>
              <w14:schemeClr w14:val="tx1"/>
            </w14:solidFill>
          </w14:textFill>
        </w:rPr>
        <w:t>单位电子印章</w:t>
      </w:r>
      <w:r>
        <w:rPr>
          <w:rFonts w:hint="eastAsia" w:ascii="宋体" w:hAnsi="宋体" w:eastAsia="宋体" w:cs="宋体"/>
          <w:color w:val="000000" w:themeColor="text1"/>
          <w:highlight w:val="none"/>
          <w:lang w:eastAsia="zh-CN"/>
          <w14:textFill>
            <w14:solidFill>
              <w14:schemeClr w14:val="tx1"/>
            </w14:solidFill>
          </w14:textFill>
        </w:rPr>
        <w:t>的，视为满足复印件加盖</w:t>
      </w:r>
      <w:r>
        <w:rPr>
          <w:rFonts w:hint="eastAsia" w:ascii="宋体" w:hAnsi="宋体" w:eastAsia="宋体" w:cs="宋体"/>
          <w:color w:val="000000" w:themeColor="text1"/>
          <w:highlight w:val="none"/>
          <w:lang w:val="en-US" w:eastAsia="zh-CN"/>
          <w14:textFill>
            <w14:solidFill>
              <w14:schemeClr w14:val="tx1"/>
            </w14:solidFill>
          </w14:textFill>
        </w:rPr>
        <w:t>电子印章</w:t>
      </w:r>
      <w:r>
        <w:rPr>
          <w:rFonts w:hint="eastAsia" w:ascii="宋体" w:hAnsi="宋体" w:eastAsia="宋体" w:cs="宋体"/>
          <w:color w:val="000000" w:themeColor="text1"/>
          <w:highlight w:val="none"/>
          <w:lang w:eastAsia="zh-CN"/>
          <w14:textFill>
            <w14:solidFill>
              <w14:schemeClr w14:val="tx1"/>
            </w14:solidFill>
          </w14:textFill>
        </w:rPr>
        <w:t>的要求）</w:t>
      </w:r>
      <w:r>
        <w:rPr>
          <w:rFonts w:hint="eastAsia" w:ascii="宋体" w:hAnsi="宋体" w:eastAsia="宋体" w:cs="宋体"/>
          <w:color w:val="000000" w:themeColor="text1"/>
          <w:highlight w:val="none"/>
          <w14:textFill>
            <w14:solidFill>
              <w14:schemeClr w14:val="tx1"/>
            </w14:solidFill>
          </w14:textFill>
        </w:rPr>
        <w:t xml:space="preserve">。 </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本项目在评标前进行资格审查。供应商应在投标文件中按招标文件的规定和要求附上所有的资格证明文件。 </w:t>
      </w:r>
    </w:p>
    <w:p>
      <w:pPr>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投标人相关资质证书（或资格证明材料）处于年检、换证、升级、变更等期间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 xml:space="preserve"> 若提供了相关法律法规或发证机构（或相关主管部门）书面材料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则视为该资质（或资格证明材料）有效</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否则一律不予认可。</w:t>
      </w:r>
      <w:bookmarkStart w:id="312" w:name="_Toc3634"/>
    </w:p>
    <w:p>
      <w:pPr>
        <w:rPr>
          <w:rFonts w:hint="eastAsia" w:ascii="宋体" w:hAnsi="宋体" w:eastAsia="宋体" w:cs="宋体"/>
          <w:b/>
          <w:bCs/>
          <w:color w:val="000000" w:themeColor="text1"/>
          <w:sz w:val="36"/>
          <w:szCs w:val="36"/>
          <w:highlight w:val="none"/>
          <w14:textFill>
            <w14:solidFill>
              <w14:schemeClr w14:val="tx1"/>
            </w14:solidFill>
          </w14:textFill>
        </w:rPr>
      </w:pPr>
      <w:bookmarkStart w:id="313" w:name="_Toc12700"/>
      <w:r>
        <w:rPr>
          <w:rFonts w:hint="eastAsia" w:ascii="宋体" w:hAnsi="宋体" w:eastAsia="宋体" w:cs="宋体"/>
          <w:b/>
          <w:bCs/>
          <w:color w:val="000000" w:themeColor="text1"/>
          <w:sz w:val="36"/>
          <w:szCs w:val="36"/>
          <w:highlight w:val="none"/>
          <w14:textFill>
            <w14:solidFill>
              <w14:schemeClr w14:val="tx1"/>
            </w14:solidFill>
          </w14:textFill>
        </w:rPr>
        <w:br w:type="page"/>
      </w:r>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第六章 招标项目技术、服务及商务要求</w:t>
      </w:r>
      <w:bookmarkEnd w:id="231"/>
      <w:bookmarkEnd w:id="312"/>
      <w:bookmarkEnd w:id="313"/>
    </w:p>
    <w:p>
      <w:pPr>
        <w:pStyle w:val="4"/>
        <w:bidi w:val="0"/>
        <w:rPr>
          <w:rFonts w:hint="eastAsia" w:ascii="宋体" w:hAnsi="宋体" w:eastAsia="宋体" w:cs="宋体"/>
          <w:b/>
          <w:bCs/>
          <w:color w:val="000000" w:themeColor="text1"/>
          <w:kern w:val="44"/>
          <w:sz w:val="24"/>
          <w:szCs w:val="44"/>
          <w:lang w:val="en-US" w:eastAsia="zh-CN" w:bidi="ar-SA"/>
          <w14:textFill>
            <w14:solidFill>
              <w14:schemeClr w14:val="tx1"/>
            </w14:solidFill>
          </w14:textFill>
        </w:rPr>
      </w:pPr>
      <w:bookmarkStart w:id="314" w:name="_Toc6008"/>
      <w:r>
        <w:rPr>
          <w:rFonts w:hint="eastAsia" w:ascii="宋体" w:hAnsi="宋体" w:eastAsia="宋体" w:cs="宋体"/>
          <w:b/>
          <w:bCs/>
          <w:color w:val="000000" w:themeColor="text1"/>
          <w:kern w:val="44"/>
          <w:sz w:val="24"/>
          <w:szCs w:val="44"/>
          <w:lang w:val="en-US" w:eastAsia="zh-CN" w:bidi="ar-SA"/>
          <w14:textFill>
            <w14:solidFill>
              <w14:schemeClr w14:val="tx1"/>
            </w14:solidFill>
          </w14:textFill>
        </w:rPr>
        <w:t>一、项目基本情况</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本次采购项目采购的设备包括高清录播主机、教师高清摄像机、学生高清摄像机、广播控制主机、电视台主机、音频终端、功率放大器及其它信息化设备，使用学校创建市级“数字校园”的学校；</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广播系统应满足学校升旗仪式、课间操、全校集会、听力测试等需求；</w:t>
      </w:r>
    </w:p>
    <w:p>
      <w:pPr>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录播系统应满足“四川云教”等网络教育教学需求</w:t>
      </w:r>
      <w:r>
        <w:rPr>
          <w:rFonts w:hint="eastAsia"/>
          <w:color w:val="000000" w:themeColor="text1"/>
          <w:lang w:val="en-US" w:eastAsia="zh-CN"/>
          <w14:textFill>
            <w14:solidFill>
              <w14:schemeClr w14:val="tx1"/>
            </w14:solidFill>
          </w14:textFill>
        </w:rPr>
        <w:t>。</w:t>
      </w:r>
      <w:bookmarkEnd w:id="314"/>
    </w:p>
    <w:p>
      <w:pPr>
        <w:pStyle w:val="4"/>
        <w:bidi w:val="0"/>
        <w:rPr>
          <w:rFonts w:hint="eastAsia" w:ascii="宋体" w:hAnsi="宋体" w:eastAsia="宋体" w:cs="宋体"/>
          <w:b/>
          <w:bCs/>
          <w:color w:val="000000" w:themeColor="text1"/>
          <w:kern w:val="44"/>
          <w:sz w:val="24"/>
          <w:szCs w:val="44"/>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44"/>
          <w:lang w:val="en-US" w:eastAsia="zh-CN" w:bidi="ar-SA"/>
          <w14:textFill>
            <w14:solidFill>
              <w14:schemeClr w14:val="tx1"/>
            </w14:solidFill>
          </w14:textFill>
        </w:rPr>
        <w:t>二、各校设备分配清单</w:t>
      </w:r>
    </w:p>
    <w:p>
      <w:pPr>
        <w:pStyle w:val="12"/>
        <w:ind w:firstLine="480"/>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1.录播教室</w:t>
      </w:r>
    </w:p>
    <w:tbl>
      <w:tblPr>
        <w:tblStyle w:val="33"/>
        <w:tblW w:w="9238" w:type="dxa"/>
        <w:jc w:val="center"/>
        <w:tblLayout w:type="autofit"/>
        <w:tblCellMar>
          <w:top w:w="0" w:type="dxa"/>
          <w:left w:w="108" w:type="dxa"/>
          <w:bottom w:w="0" w:type="dxa"/>
          <w:right w:w="108" w:type="dxa"/>
        </w:tblCellMar>
      </w:tblPr>
      <w:tblGrid>
        <w:gridCol w:w="909"/>
        <w:gridCol w:w="1793"/>
        <w:gridCol w:w="1646"/>
        <w:gridCol w:w="1630"/>
        <w:gridCol w:w="1630"/>
        <w:gridCol w:w="1630"/>
      </w:tblGrid>
      <w:tr>
        <w:tblPrEx>
          <w:tblCellMar>
            <w:top w:w="0" w:type="dxa"/>
            <w:left w:w="108" w:type="dxa"/>
            <w:bottom w:w="0" w:type="dxa"/>
            <w:right w:w="108" w:type="dxa"/>
          </w:tblCellMar>
        </w:tblPrEx>
        <w:trPr>
          <w:trHeight w:val="824" w:hRule="atLeast"/>
          <w:jc w:val="center"/>
        </w:trPr>
        <w:tc>
          <w:tcPr>
            <w:tcW w:w="909"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序号</w:t>
            </w:r>
          </w:p>
        </w:tc>
        <w:tc>
          <w:tcPr>
            <w:tcW w:w="1793" w:type="dxa"/>
            <w:tcBorders>
              <w:top w:val="single" w:color="auto" w:sz="4" w:space="0"/>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学校</w:t>
            </w:r>
          </w:p>
        </w:tc>
        <w:tc>
          <w:tcPr>
            <w:tcW w:w="1646" w:type="dxa"/>
            <w:tcBorders>
              <w:top w:val="single" w:color="auto" w:sz="4" w:space="0"/>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录播教室/间</w:t>
            </w:r>
          </w:p>
        </w:tc>
        <w:tc>
          <w:tcPr>
            <w:tcW w:w="1630" w:type="dxa"/>
            <w:tcBorders>
              <w:top w:val="single" w:color="auto" w:sz="4" w:space="0"/>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序号</w:t>
            </w:r>
          </w:p>
        </w:tc>
        <w:tc>
          <w:tcPr>
            <w:tcW w:w="1630" w:type="dxa"/>
            <w:tcBorders>
              <w:top w:val="single" w:color="auto" w:sz="4" w:space="0"/>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学校</w:t>
            </w:r>
          </w:p>
        </w:tc>
        <w:tc>
          <w:tcPr>
            <w:tcW w:w="1630" w:type="dxa"/>
            <w:tcBorders>
              <w:top w:val="single" w:color="auto" w:sz="4" w:space="0"/>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录播教室/间</w:t>
            </w:r>
          </w:p>
        </w:tc>
      </w:tr>
      <w:tr>
        <w:tblPrEx>
          <w:tblCellMar>
            <w:top w:w="0" w:type="dxa"/>
            <w:left w:w="108" w:type="dxa"/>
            <w:bottom w:w="0" w:type="dxa"/>
            <w:right w:w="108" w:type="dxa"/>
          </w:tblCellMar>
        </w:tblPrEx>
        <w:trPr>
          <w:trHeight w:val="421" w:hRule="atLeast"/>
          <w:jc w:val="center"/>
        </w:trPr>
        <w:tc>
          <w:tcPr>
            <w:tcW w:w="90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793"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南街小学</w:t>
            </w:r>
          </w:p>
        </w:tc>
        <w:tc>
          <w:tcPr>
            <w:tcW w:w="164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11</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苏家学校</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r>
        <w:tblPrEx>
          <w:tblCellMar>
            <w:top w:w="0" w:type="dxa"/>
            <w:left w:w="108" w:type="dxa"/>
            <w:bottom w:w="0" w:type="dxa"/>
            <w:right w:w="108" w:type="dxa"/>
          </w:tblCellMar>
        </w:tblPrEx>
        <w:trPr>
          <w:trHeight w:val="421" w:hRule="atLeast"/>
          <w:jc w:val="center"/>
        </w:trPr>
        <w:tc>
          <w:tcPr>
            <w:tcW w:w="90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2</w:t>
            </w:r>
          </w:p>
        </w:tc>
        <w:tc>
          <w:tcPr>
            <w:tcW w:w="1793"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银都小学</w:t>
            </w:r>
          </w:p>
        </w:tc>
        <w:tc>
          <w:tcPr>
            <w:tcW w:w="164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12</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金星学校</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r>
        <w:tblPrEx>
          <w:tblCellMar>
            <w:top w:w="0" w:type="dxa"/>
            <w:left w:w="108" w:type="dxa"/>
            <w:bottom w:w="0" w:type="dxa"/>
            <w:right w:w="108" w:type="dxa"/>
          </w:tblCellMar>
        </w:tblPrEx>
        <w:trPr>
          <w:trHeight w:val="421" w:hRule="atLeast"/>
          <w:jc w:val="center"/>
        </w:trPr>
        <w:tc>
          <w:tcPr>
            <w:tcW w:w="90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3</w:t>
            </w:r>
          </w:p>
        </w:tc>
        <w:tc>
          <w:tcPr>
            <w:tcW w:w="1793"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三岔小学</w:t>
            </w:r>
          </w:p>
        </w:tc>
        <w:tc>
          <w:tcPr>
            <w:tcW w:w="164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13</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韩场学校</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r>
        <w:tblPrEx>
          <w:tblCellMar>
            <w:top w:w="0" w:type="dxa"/>
            <w:left w:w="108" w:type="dxa"/>
            <w:bottom w:w="0" w:type="dxa"/>
            <w:right w:w="108" w:type="dxa"/>
          </w:tblCellMar>
        </w:tblPrEx>
        <w:trPr>
          <w:trHeight w:val="421" w:hRule="atLeast"/>
          <w:jc w:val="center"/>
        </w:trPr>
        <w:tc>
          <w:tcPr>
            <w:tcW w:w="90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4</w:t>
            </w:r>
          </w:p>
        </w:tc>
        <w:tc>
          <w:tcPr>
            <w:tcW w:w="1793"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子龙街小学</w:t>
            </w:r>
          </w:p>
        </w:tc>
        <w:tc>
          <w:tcPr>
            <w:tcW w:w="164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14</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董场学校</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r>
        <w:tblPrEx>
          <w:tblCellMar>
            <w:top w:w="0" w:type="dxa"/>
            <w:left w:w="108" w:type="dxa"/>
            <w:bottom w:w="0" w:type="dxa"/>
            <w:right w:w="108" w:type="dxa"/>
          </w:tblCellMar>
        </w:tblPrEx>
        <w:trPr>
          <w:trHeight w:val="421" w:hRule="atLeast"/>
          <w:jc w:val="center"/>
        </w:trPr>
        <w:tc>
          <w:tcPr>
            <w:tcW w:w="90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5</w:t>
            </w:r>
          </w:p>
        </w:tc>
        <w:tc>
          <w:tcPr>
            <w:tcW w:w="1793"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悦来学校</w:t>
            </w:r>
          </w:p>
        </w:tc>
        <w:tc>
          <w:tcPr>
            <w:tcW w:w="164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15</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出江学校</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r>
        <w:tblPrEx>
          <w:tblCellMar>
            <w:top w:w="0" w:type="dxa"/>
            <w:left w:w="108" w:type="dxa"/>
            <w:bottom w:w="0" w:type="dxa"/>
            <w:right w:w="108" w:type="dxa"/>
          </w:tblCellMar>
        </w:tblPrEx>
        <w:trPr>
          <w:trHeight w:val="421" w:hRule="atLeast"/>
          <w:jc w:val="center"/>
        </w:trPr>
        <w:tc>
          <w:tcPr>
            <w:tcW w:w="90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6</w:t>
            </w:r>
          </w:p>
        </w:tc>
        <w:tc>
          <w:tcPr>
            <w:tcW w:w="1793"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安仁镇学校</w:t>
            </w:r>
          </w:p>
        </w:tc>
        <w:tc>
          <w:tcPr>
            <w:tcW w:w="164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16</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三岔中学</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r>
        <w:tblPrEx>
          <w:tblCellMar>
            <w:top w:w="0" w:type="dxa"/>
            <w:left w:w="108" w:type="dxa"/>
            <w:bottom w:w="0" w:type="dxa"/>
            <w:right w:w="108" w:type="dxa"/>
          </w:tblCellMar>
        </w:tblPrEx>
        <w:trPr>
          <w:trHeight w:val="421" w:hRule="atLeast"/>
          <w:jc w:val="center"/>
        </w:trPr>
        <w:tc>
          <w:tcPr>
            <w:tcW w:w="90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7</w:t>
            </w:r>
          </w:p>
        </w:tc>
        <w:tc>
          <w:tcPr>
            <w:tcW w:w="1793"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新场镇学校</w:t>
            </w:r>
          </w:p>
        </w:tc>
        <w:tc>
          <w:tcPr>
            <w:tcW w:w="164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17</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晋原初中</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r>
        <w:tblPrEx>
          <w:tblCellMar>
            <w:top w:w="0" w:type="dxa"/>
            <w:left w:w="108" w:type="dxa"/>
            <w:bottom w:w="0" w:type="dxa"/>
            <w:right w:w="108" w:type="dxa"/>
          </w:tblCellMar>
        </w:tblPrEx>
        <w:trPr>
          <w:trHeight w:val="421" w:hRule="atLeast"/>
          <w:jc w:val="center"/>
        </w:trPr>
        <w:tc>
          <w:tcPr>
            <w:tcW w:w="90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8</w:t>
            </w:r>
          </w:p>
        </w:tc>
        <w:tc>
          <w:tcPr>
            <w:tcW w:w="1793"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王泗学校</w:t>
            </w:r>
          </w:p>
        </w:tc>
        <w:tc>
          <w:tcPr>
            <w:tcW w:w="164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18</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蔡场中学</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r>
        <w:tblPrEx>
          <w:tblCellMar>
            <w:top w:w="0" w:type="dxa"/>
            <w:left w:w="108" w:type="dxa"/>
            <w:bottom w:w="0" w:type="dxa"/>
            <w:right w:w="108" w:type="dxa"/>
          </w:tblCellMar>
        </w:tblPrEx>
        <w:trPr>
          <w:trHeight w:val="421" w:hRule="atLeast"/>
          <w:jc w:val="center"/>
        </w:trPr>
        <w:tc>
          <w:tcPr>
            <w:tcW w:w="90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9</w:t>
            </w:r>
          </w:p>
        </w:tc>
        <w:tc>
          <w:tcPr>
            <w:tcW w:w="1793"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上安学校</w:t>
            </w:r>
          </w:p>
        </w:tc>
        <w:tc>
          <w:tcPr>
            <w:tcW w:w="164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630" w:type="dxa"/>
            <w:tcBorders>
              <w:top w:val="nil"/>
              <w:left w:val="nil"/>
              <w:bottom w:val="single" w:color="auto" w:sz="4" w:space="0"/>
              <w:right w:val="single" w:color="auto" w:sz="4" w:space="0"/>
            </w:tcBorders>
            <w:noWrap w:val="0"/>
            <w:vAlign w:val="top"/>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19</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实验中学</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r>
        <w:tblPrEx>
          <w:tblCellMar>
            <w:top w:w="0" w:type="dxa"/>
            <w:left w:w="108" w:type="dxa"/>
            <w:bottom w:w="0" w:type="dxa"/>
            <w:right w:w="108" w:type="dxa"/>
          </w:tblCellMar>
        </w:tblPrEx>
        <w:trPr>
          <w:trHeight w:val="439" w:hRule="atLeast"/>
          <w:jc w:val="center"/>
        </w:trPr>
        <w:tc>
          <w:tcPr>
            <w:tcW w:w="90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10</w:t>
            </w:r>
          </w:p>
        </w:tc>
        <w:tc>
          <w:tcPr>
            <w:tcW w:w="1793"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沙渠学校</w:t>
            </w:r>
          </w:p>
        </w:tc>
        <w:tc>
          <w:tcPr>
            <w:tcW w:w="164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630" w:type="dxa"/>
            <w:tcBorders>
              <w:top w:val="nil"/>
              <w:left w:val="nil"/>
              <w:bottom w:val="single" w:color="auto" w:sz="4" w:space="0"/>
              <w:right w:val="single" w:color="auto" w:sz="4" w:space="0"/>
            </w:tcBorders>
            <w:noWrap w:val="0"/>
            <w:vAlign w:val="top"/>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20</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安仁中学</w:t>
            </w:r>
          </w:p>
        </w:tc>
        <w:tc>
          <w:tcPr>
            <w:tcW w:w="163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bl>
    <w:p>
      <w:pPr>
        <w:ind w:firstLine="480"/>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2.广播系统</w:t>
      </w:r>
    </w:p>
    <w:tbl>
      <w:tblPr>
        <w:tblStyle w:val="33"/>
        <w:tblW w:w="9238" w:type="dxa"/>
        <w:jc w:val="center"/>
        <w:tblLayout w:type="fixed"/>
        <w:tblCellMar>
          <w:top w:w="0" w:type="dxa"/>
          <w:left w:w="108" w:type="dxa"/>
          <w:bottom w:w="0" w:type="dxa"/>
          <w:right w:w="108" w:type="dxa"/>
        </w:tblCellMar>
      </w:tblPr>
      <w:tblGrid>
        <w:gridCol w:w="808"/>
        <w:gridCol w:w="1371"/>
        <w:gridCol w:w="1516"/>
        <w:gridCol w:w="1752"/>
        <w:gridCol w:w="1089"/>
        <w:gridCol w:w="1400"/>
        <w:gridCol w:w="1302"/>
      </w:tblGrid>
      <w:tr>
        <w:tblPrEx>
          <w:tblCellMar>
            <w:top w:w="0" w:type="dxa"/>
            <w:left w:w="108" w:type="dxa"/>
            <w:bottom w:w="0" w:type="dxa"/>
            <w:right w:w="108" w:type="dxa"/>
          </w:tblCellMar>
        </w:tblPrEx>
        <w:trPr>
          <w:trHeight w:val="658"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序号</w:t>
            </w:r>
          </w:p>
        </w:tc>
        <w:tc>
          <w:tcPr>
            <w:tcW w:w="1371" w:type="dxa"/>
            <w:tcBorders>
              <w:top w:val="single" w:color="auto" w:sz="4" w:space="0"/>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学校</w:t>
            </w:r>
          </w:p>
        </w:tc>
        <w:tc>
          <w:tcPr>
            <w:tcW w:w="1516" w:type="dxa"/>
            <w:tcBorders>
              <w:top w:val="single" w:color="auto" w:sz="4" w:space="0"/>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数字广播系统/套</w:t>
            </w:r>
          </w:p>
        </w:tc>
        <w:tc>
          <w:tcPr>
            <w:tcW w:w="1752" w:type="dxa"/>
            <w:tcBorders>
              <w:top w:val="single" w:color="auto" w:sz="4" w:space="0"/>
              <w:left w:val="nil"/>
              <w:bottom w:val="single" w:color="auto" w:sz="4" w:space="0"/>
              <w:right w:val="single" w:color="auto" w:sz="4" w:space="0"/>
            </w:tcBorders>
            <w:noWrap w:val="0"/>
            <w:vAlign w:val="top"/>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模拟广播系统/套</w:t>
            </w:r>
          </w:p>
        </w:tc>
        <w:tc>
          <w:tcPr>
            <w:tcW w:w="1089"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序号</w:t>
            </w:r>
          </w:p>
        </w:tc>
        <w:tc>
          <w:tcPr>
            <w:tcW w:w="1400" w:type="dxa"/>
            <w:tcBorders>
              <w:top w:val="single" w:color="auto" w:sz="4" w:space="0"/>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学校</w:t>
            </w:r>
          </w:p>
        </w:tc>
        <w:tc>
          <w:tcPr>
            <w:tcW w:w="1302" w:type="dxa"/>
            <w:tcBorders>
              <w:top w:val="single" w:color="auto" w:sz="4" w:space="0"/>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数字广播/套</w:t>
            </w:r>
          </w:p>
        </w:tc>
      </w:tr>
      <w:tr>
        <w:tblPrEx>
          <w:tblCellMar>
            <w:top w:w="0" w:type="dxa"/>
            <w:left w:w="108" w:type="dxa"/>
            <w:bottom w:w="0" w:type="dxa"/>
            <w:right w:w="108" w:type="dxa"/>
          </w:tblCellMar>
        </w:tblPrEx>
        <w:trPr>
          <w:trHeight w:val="333" w:hRule="atLeast"/>
          <w:jc w:val="center"/>
        </w:trPr>
        <w:tc>
          <w:tcPr>
            <w:tcW w:w="808"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371"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实验中学</w:t>
            </w:r>
          </w:p>
        </w:tc>
        <w:tc>
          <w:tcPr>
            <w:tcW w:w="151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752" w:type="dxa"/>
            <w:tcBorders>
              <w:top w:val="nil"/>
              <w:left w:val="nil"/>
              <w:bottom w:val="single" w:color="auto" w:sz="4" w:space="0"/>
              <w:right w:val="single" w:color="auto" w:sz="4" w:space="0"/>
            </w:tcBorders>
            <w:noWrap w:val="0"/>
            <w:vAlign w:val="top"/>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p>
        </w:tc>
        <w:tc>
          <w:tcPr>
            <w:tcW w:w="108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4</w:t>
            </w:r>
          </w:p>
        </w:tc>
        <w:tc>
          <w:tcPr>
            <w:tcW w:w="140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韩场学校</w:t>
            </w:r>
          </w:p>
        </w:tc>
        <w:tc>
          <w:tcPr>
            <w:tcW w:w="1302"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r>
        <w:tblPrEx>
          <w:tblCellMar>
            <w:top w:w="0" w:type="dxa"/>
            <w:left w:w="108" w:type="dxa"/>
            <w:bottom w:w="0" w:type="dxa"/>
            <w:right w:w="108" w:type="dxa"/>
          </w:tblCellMar>
        </w:tblPrEx>
        <w:trPr>
          <w:trHeight w:val="1067" w:hRule="atLeast"/>
          <w:jc w:val="center"/>
        </w:trPr>
        <w:tc>
          <w:tcPr>
            <w:tcW w:w="808"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2</w:t>
            </w:r>
          </w:p>
        </w:tc>
        <w:tc>
          <w:tcPr>
            <w:tcW w:w="1371"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安仁中学</w:t>
            </w:r>
          </w:p>
        </w:tc>
        <w:tc>
          <w:tcPr>
            <w:tcW w:w="151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752" w:type="dxa"/>
            <w:tcBorders>
              <w:top w:val="nil"/>
              <w:left w:val="nil"/>
              <w:bottom w:val="single" w:color="auto" w:sz="4" w:space="0"/>
              <w:right w:val="single" w:color="auto" w:sz="4" w:space="0"/>
            </w:tcBorders>
            <w:noWrap w:val="0"/>
            <w:vAlign w:val="top"/>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p>
            <w:pPr>
              <w:pStyle w:val="12"/>
              <w:ind w:left="0" w:leftChars="0" w:firstLine="0" w:firstLineChars="0"/>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（用于中、高考备份）</w:t>
            </w:r>
          </w:p>
        </w:tc>
        <w:tc>
          <w:tcPr>
            <w:tcW w:w="108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5</w:t>
            </w:r>
          </w:p>
        </w:tc>
        <w:tc>
          <w:tcPr>
            <w:tcW w:w="140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金星学校</w:t>
            </w:r>
          </w:p>
        </w:tc>
        <w:tc>
          <w:tcPr>
            <w:tcW w:w="1302"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r>
        <w:tblPrEx>
          <w:tblCellMar>
            <w:top w:w="0" w:type="dxa"/>
            <w:left w:w="108" w:type="dxa"/>
            <w:bottom w:w="0" w:type="dxa"/>
            <w:right w:w="108" w:type="dxa"/>
          </w:tblCellMar>
        </w:tblPrEx>
        <w:trPr>
          <w:trHeight w:val="340" w:hRule="atLeast"/>
          <w:jc w:val="center"/>
        </w:trPr>
        <w:tc>
          <w:tcPr>
            <w:tcW w:w="808"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3</w:t>
            </w:r>
          </w:p>
        </w:tc>
        <w:tc>
          <w:tcPr>
            <w:tcW w:w="1371"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苏家学校</w:t>
            </w:r>
          </w:p>
        </w:tc>
        <w:tc>
          <w:tcPr>
            <w:tcW w:w="1516"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752" w:type="dxa"/>
            <w:tcBorders>
              <w:top w:val="nil"/>
              <w:left w:val="nil"/>
              <w:bottom w:val="single" w:color="auto" w:sz="4" w:space="0"/>
              <w:right w:val="single" w:color="auto" w:sz="4" w:space="0"/>
            </w:tcBorders>
            <w:noWrap w:val="0"/>
            <w:vAlign w:val="top"/>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p>
        </w:tc>
        <w:tc>
          <w:tcPr>
            <w:tcW w:w="1089"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p>
        </w:tc>
        <w:tc>
          <w:tcPr>
            <w:tcW w:w="1400"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p>
        </w:tc>
        <w:tc>
          <w:tcPr>
            <w:tcW w:w="1302"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p>
        </w:tc>
      </w:tr>
    </w:tbl>
    <w:p>
      <w:pP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3.校园电视台：</w:t>
      </w:r>
    </w:p>
    <w:tbl>
      <w:tblPr>
        <w:tblStyle w:val="33"/>
        <w:tblW w:w="3352" w:type="dxa"/>
        <w:tblInd w:w="0" w:type="dxa"/>
        <w:tblLayout w:type="autofit"/>
        <w:tblCellMar>
          <w:top w:w="0" w:type="dxa"/>
          <w:left w:w="108" w:type="dxa"/>
          <w:bottom w:w="0" w:type="dxa"/>
          <w:right w:w="108" w:type="dxa"/>
        </w:tblCellMar>
      </w:tblPr>
      <w:tblGrid>
        <w:gridCol w:w="733"/>
        <w:gridCol w:w="1362"/>
        <w:gridCol w:w="1257"/>
      </w:tblGrid>
      <w:tr>
        <w:tblPrEx>
          <w:tblCellMar>
            <w:top w:w="0" w:type="dxa"/>
            <w:left w:w="108" w:type="dxa"/>
            <w:bottom w:w="0" w:type="dxa"/>
            <w:right w:w="108" w:type="dxa"/>
          </w:tblCellMar>
        </w:tblPrEx>
        <w:trPr>
          <w:trHeight w:val="285" w:hRule="atLeast"/>
        </w:trPr>
        <w:tc>
          <w:tcPr>
            <w:tcW w:w="733"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序号</w:t>
            </w:r>
          </w:p>
        </w:tc>
        <w:tc>
          <w:tcPr>
            <w:tcW w:w="1362" w:type="dxa"/>
            <w:tcBorders>
              <w:top w:val="single" w:color="auto" w:sz="4" w:space="0"/>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学校</w:t>
            </w:r>
          </w:p>
        </w:tc>
        <w:tc>
          <w:tcPr>
            <w:tcW w:w="1257" w:type="dxa"/>
            <w:tcBorders>
              <w:top w:val="single" w:color="auto" w:sz="4" w:space="0"/>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套</w:t>
            </w:r>
          </w:p>
        </w:tc>
      </w:tr>
      <w:tr>
        <w:tblPrEx>
          <w:tblCellMar>
            <w:top w:w="0" w:type="dxa"/>
            <w:left w:w="108" w:type="dxa"/>
            <w:bottom w:w="0" w:type="dxa"/>
            <w:right w:w="108" w:type="dxa"/>
          </w:tblCellMar>
        </w:tblPrEx>
        <w:trPr>
          <w:trHeight w:val="285" w:hRule="atLeast"/>
        </w:trPr>
        <w:tc>
          <w:tcPr>
            <w:tcW w:w="733" w:type="dxa"/>
            <w:tcBorders>
              <w:top w:val="nil"/>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c>
          <w:tcPr>
            <w:tcW w:w="1362"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实验中学</w:t>
            </w:r>
          </w:p>
        </w:tc>
        <w:tc>
          <w:tcPr>
            <w:tcW w:w="1257" w:type="dxa"/>
            <w:tcBorders>
              <w:top w:val="nil"/>
              <w:left w:val="nil"/>
              <w:bottom w:val="single" w:color="auto" w:sz="4" w:space="0"/>
              <w:right w:val="single" w:color="auto" w:sz="4" w:space="0"/>
            </w:tcBorders>
            <w:noWrap w:val="0"/>
            <w:vAlign w:val="center"/>
          </w:tcPr>
          <w:p>
            <w:pPr>
              <w:widowControl/>
              <w:ind w:left="0" w:leftChars="0" w:firstLine="0" w:firstLineChars="0"/>
              <w:jc w:val="cente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pPr>
            <w:r>
              <w:rPr>
                <w:rFonts w:hint="eastAsia" w:ascii="宋体" w:hAnsi="Calibri" w:eastAsia="宋体" w:cs="Times New Roman"/>
                <w:color w:val="000000" w:themeColor="text1"/>
                <w:kern w:val="0"/>
                <w:sz w:val="24"/>
                <w:szCs w:val="24"/>
                <w:lang w:val="en-US" w:eastAsia="zh-CN" w:bidi="ar-SA"/>
                <w14:textFill>
                  <w14:solidFill>
                    <w14:schemeClr w14:val="tx1"/>
                  </w14:solidFill>
                </w14:textFill>
              </w:rPr>
              <w:t>1</w:t>
            </w:r>
          </w:p>
        </w:tc>
      </w:tr>
    </w:tbl>
    <w:p>
      <w:pPr>
        <w:pStyle w:val="4"/>
        <w:bidi w:val="0"/>
        <w:rPr>
          <w:rFonts w:hint="eastAsia" w:ascii="宋体" w:hAnsi="宋体" w:eastAsia="宋体" w:cs="宋体"/>
          <w:b/>
          <w:bCs/>
          <w:color w:val="000000" w:themeColor="text1"/>
          <w:kern w:val="44"/>
          <w:sz w:val="24"/>
          <w:szCs w:val="44"/>
          <w:lang w:val="en-US" w:eastAsia="zh-CN" w:bidi="ar-SA"/>
          <w14:textFill>
            <w14:solidFill>
              <w14:schemeClr w14:val="tx1"/>
            </w14:solidFill>
          </w14:textFill>
        </w:rPr>
      </w:pPr>
      <w:r>
        <w:rPr>
          <w:rFonts w:hint="eastAsia" w:ascii="宋体" w:hAnsi="宋体" w:eastAsia="宋体" w:cs="宋体"/>
          <w:b/>
          <w:bCs/>
          <w:color w:val="000000" w:themeColor="text1"/>
          <w:kern w:val="44"/>
          <w:sz w:val="24"/>
          <w:szCs w:val="44"/>
          <w:lang w:val="en-US" w:eastAsia="zh-CN" w:bidi="ar-SA"/>
          <w14:textFill>
            <w14:solidFill>
              <w14:schemeClr w14:val="tx1"/>
            </w14:solidFill>
          </w14:textFill>
        </w:rPr>
        <w:t>三、购置清单及技术参数要求</w:t>
      </w:r>
    </w:p>
    <w:tbl>
      <w:tblPr>
        <w:tblStyle w:val="33"/>
        <w:tblW w:w="931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91"/>
        <w:gridCol w:w="1137"/>
        <w:gridCol w:w="5069"/>
        <w:gridCol w:w="942"/>
        <w:gridCol w:w="11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序号</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货物名称</w:t>
            </w:r>
          </w:p>
        </w:tc>
        <w:tc>
          <w:tcPr>
            <w:tcW w:w="506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技术参数及配置要求</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单位</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数量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18" w:type="dxa"/>
            <w:gridSpan w:val="5"/>
            <w:shd w:val="clear" w:color="000000" w:fill="FFFFFF"/>
            <w:noWrap/>
            <w:vAlign w:val="bottom"/>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一、录播系统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高清录播主机</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1.含Linux操作系统；</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 xml:space="preserve">▲2.包含但不限于摄像头接口≥2、HDMI in≥2、HDMI out≥1等接口，采集和输出分辨率均支持1080P； </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3.包含但不限于 MIC≥2、Line in≥1、Line out≥1等接口， MIC接口支持对数字麦克风进行同步供电，支持包含但不限于USB≥2（其中USB3.0≥1）接口；</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4.网络接口：RJ-45≥1，支持1000/100Mbps自适应，支持IPv4协议；</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5.具有≥1TB 监控级机械硬盘，系统内存≥2GB；</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6.录制分辨率支持1080P，视频编码协议支持标准H.264，支持MP4视频封装格式；</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7.支持HTTP、RTMP、RTSP视频传输协议，支持FTP文件传输协议，支持云台控制协议；</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 xml:space="preserve">▲8.录播主机产生噪声最大值≤31dB(A) ； </w:t>
            </w:r>
          </w:p>
          <w:p>
            <w:pPr>
              <w:pStyle w:val="12"/>
              <w:spacing w:line="360" w:lineRule="auto"/>
              <w:ind w:left="0" w:leftChars="0" w:firstLine="0" w:firstLineChars="0"/>
              <w:rPr>
                <w:color w:val="000000" w:themeColor="text1"/>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9.配置面板：支持一键式录制、停止。</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4"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录播系统软件</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B/S架构设计；支持录制、暂停、停止等基本功能操作，实现全自动、手动两种录制模式，支持录制过程中实时切换录制模式；支持高低码流同步录制，支持电影模式和资源模式录制，实现复合画面、每个摄像机画面及电脑课件画面的独立点播。支持自定义录制分辨率、帧率和码率，最高支持1080P，码率支持512kbps~40Mbps；</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2.支持≥4路音频通道同步处理，包括EQ均衡、AEC回声抑制、AGC自动增益、ANC噪声抑制；</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3.基于图像识别分析技术，摄像机同时完成画面拍摄和跟踪检测功能，实现课堂教师、学生行为的全自动跟踪功能；支持设置跟踪屏蔽区域；</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●4.具备查询互动云系统的通讯录数据，支持通过通讯录选择互动对象直接呼叫，或手动输入录播账号进行呼叫；</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●5.具备网络检测通讯功</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●6.具备互动系统功能。</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教师高清摄像机</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 传感器：CMOS、≥1/2.8英寸；，有效像素≥800万；图像采集分辨率支持≥3840*2160；</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2.支持2D和基于运动估计的3D降噪算法；支持最大水平视场角≥45°，最大垂直视场角≥25°；</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3.包含但不限于RJ45/3G-SDI等接口；</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4.支持视频H.264/H.265，音频AAC编码技术；</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5.支持POC/POE供电；</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6.内置跟踪分析功能，支持教师全景和特写切换跟踪模式；</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7.包含但不限于支持曝光模式设置；抗闪烁频率、动态范围、光圈、快门参数设置等功能。</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学生高清摄像机</w:t>
            </w:r>
          </w:p>
        </w:tc>
        <w:tc>
          <w:tcPr>
            <w:tcW w:w="5069" w:type="dxa"/>
            <w:shd w:val="clear" w:color="000000" w:fill="FFFFFF"/>
            <w:noWrap w:val="0"/>
            <w:vAlign w:val="center"/>
          </w:tcPr>
          <w:p>
            <w:pPr>
              <w:widowControl/>
              <w:spacing w:line="360" w:lineRule="auto"/>
              <w:ind w:left="0" w:leftChars="0" w:firstLine="0" w:firstLineChars="0"/>
              <w:jc w:val="left"/>
              <w:rPr>
                <w:color w:val="000000" w:themeColor="text1"/>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▲1.传感器：CMOS、≥1/2.8英寸；有效像素≥800万；图像采集分辨率支持≥3840*2160；</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2.支持2D和基于运动估计的3D降噪算法；支持最大水平视场角≥80°，最大垂直视场角≥50°；</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3.包含但不限于RJ45，3G-SDI等接口；</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4.支持视频H.264/H.265，音频AAC等编码技术；</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5.</w:t>
            </w:r>
            <w:r>
              <w:rPr>
                <w:rFonts w:hint="eastAsia"/>
                <w:color w:val="000000" w:themeColor="text1"/>
                <w14:textFill>
                  <w14:solidFill>
                    <w14:schemeClr w14:val="tx1"/>
                  </w14:solidFill>
                </w14:textFill>
              </w:rPr>
              <w:t xml:space="preserve"> </w:t>
            </w:r>
            <w:r>
              <w:rPr>
                <w:rFonts w:hint="eastAsia" w:ascii="宋体" w:cs="宋体"/>
                <w:color w:val="000000" w:themeColor="text1"/>
                <w:kern w:val="0"/>
                <w:szCs w:val="21"/>
                <w:lang w:bidi="ar-SA"/>
                <w14:textFill>
                  <w14:solidFill>
                    <w14:schemeClr w14:val="tx1"/>
                  </w14:solidFill>
                </w14:textFill>
              </w:rPr>
              <w:t>支持POC/POE供电；</w:t>
            </w:r>
            <w:r>
              <w:rPr>
                <w:rFonts w:hint="eastAsia"/>
                <w:color w:val="000000" w:themeColor="text1"/>
                <w14:textFill>
                  <w14:solidFill>
                    <w14:schemeClr w14:val="tx1"/>
                  </w14:solidFill>
                </w14:textFill>
              </w:rPr>
              <w:t xml:space="preserve"> </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6.内置跟踪分析功能，支持学生全景和特写切换跟踪模式；</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7.包含但不限于支持曝光模式设置；抗闪烁频率、动态范围、光圈、快门参数设置等功能。</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拾音话筒</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1.指向麦克风；</w:t>
            </w:r>
          </w:p>
          <w:p>
            <w:pPr>
              <w:widowControl/>
              <w:spacing w:line="360" w:lineRule="auto"/>
              <w:ind w:left="0" w:leftChars="0" w:firstLine="0" w:firstLineChars="0"/>
              <w:jc w:val="left"/>
              <w:rPr>
                <w:color w:val="000000" w:themeColor="text1"/>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2.数量≥2，40Hz—16kHz频率响应，-29dB±3dB灵敏度；最大声压级≥130dB，信噪比≥70dB，动态范围≥106dB；</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互动音箱</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1.扬声器箱体采用树脂一次注塑成型，具有高音单元：≥1个，全频音单元：≥6.5寸；</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2.频率响应：60Hz-20KHz；阻抗： 6Ω；额定功率：≥60W，声压级≥80dB。</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对</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7</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无线话筒</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1.采用UHF频段，频率范围：500MHz-980MHz，FM调制方式，音频响应：50Hz-15KHz；</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2.信噪比S/N：≥100dB；综合失真：≤ 0.5%；</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支</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61"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8</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区域级管理平台</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1.支持多间录播教室的同时接入，提供网络实时直播、点播功能，录播课件进行自主学习；</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2.具有资源分类、热点资源推荐、统计等功能；</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3.支持PPT、WORD等课件资源关联发布，提供课件点播功能；</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4.具有在线切片功能，支持视频自动划分知识点和教学环节片段；便于关键知识点跳转学习；</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5.在授课教师授课的同时，通过课件录制系统把课堂内容录制成图文并茂的精品课件，录制完的视频放在资源平台上，供网络上的用户随时随地进行点播观看；</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6.支持将校级资源向上级资源中心推送课件资源；</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●7.平台支持对用户访问数据的统计；</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8.平台支持对录播主机内视频的保存期限进行管理；</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●9.支持录播课管理，规定时长内的课程自动归类至平台管理展示；</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10.可导入课表自动按照课表进行录制并自动上传，支持随堂实录，也支持扫码预约及扫码下载已录课程资源；</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11.支持移动端访问平台，实现资源的直播点播应用；</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12.兼容支持推送视频信号源；</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13.满足全县50个学校录播教室终端连接此区域平台，按需分配每个学校账户 。</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9</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互动显示屏</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1.屏幕物理尺寸≥65英寸；屏幕分辨率≥3840*2160；屏幕刷新率≥60Hz；</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2.整机能源效率性能不低于2级；整机功耗≤120W；HDMI输入通道数量≥2。</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10</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交换机1</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1.千兆电口≥4个，千兆光口≥4个；</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2.交换容量≥330Gbps，转发性能≥100Mpps；MAC地址表≥16K，路由表容量≥4K，ACL≥3K；</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11</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机柜1</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1.规格根据现场定制，由</w:t>
            </w:r>
            <w:r>
              <w:rPr>
                <w:rFonts w:hint="eastAsia"/>
                <w:color w:val="000000" w:themeColor="text1"/>
                <w14:textFill>
                  <w14:solidFill>
                    <w14:schemeClr w14:val="tx1"/>
                  </w14:solidFill>
                </w14:textFill>
              </w:rPr>
              <w:t>透明钢化玻璃前门和</w:t>
            </w:r>
            <w:r>
              <w:rPr>
                <w:rFonts w:hint="eastAsia" w:ascii="宋体" w:cs="宋体"/>
                <w:color w:val="000000" w:themeColor="text1"/>
                <w:kern w:val="0"/>
                <w:szCs w:val="21"/>
                <w:lang w:bidi="ar-SA"/>
                <w14:textFill>
                  <w14:solidFill>
                    <w14:schemeClr w14:val="tx1"/>
                  </w14:solidFill>
                </w14:textFill>
              </w:rPr>
              <w:t>冷轧钢组成；</w:t>
            </w:r>
          </w:p>
          <w:p>
            <w:pPr>
              <w:pStyle w:val="12"/>
              <w:spacing w:line="360" w:lineRule="auto"/>
              <w:ind w:left="0" w:leftChars="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2.冷轧钢板制作；立梁（方孔条）≥2.0mm，安装梁≥1.5mm，其它≥1.2mm；方孔条镀蓝锌；其余：脱脂、磷化、静电喷塑。</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个</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12</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集成及辅材</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1.完成录播室内各设备的安装、连接、调试和运行；安装时充分考虑空心砖墙体的承重等安全因素，做到安全、稳固；</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 xml:space="preserve">2.悬挂式安装设备须做好加固处理； </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3.使用线材、管材、辅材，包括但不限于HDMI线、音频线、六类网线、水晶头及护套、电源线、电源插座、多功能电源插座、各类PVC线槽、安装辅材（投标时需注明各类用材的品牌、型号、规格）；</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4.设备连接线（含网线及跳线）两端须有对应标识；</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5.通过集成，实现录播系统AEC（回声抑制）、AGC（自动增益）、ANS（噪音消除）；</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 通过集成，可支持教师、展台、多媒体在内的三路视频源切换及组合，支持多媒体与老师画中画模式微课录制；</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7.保证所有电源线接地，保证整套系统的正常运行，含电源总开关。</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点</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18" w:type="dxa"/>
            <w:gridSpan w:val="5"/>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二、广播系统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18" w:type="dxa"/>
            <w:gridSpan w:val="5"/>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1、数字广播系统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18" w:type="dxa"/>
            <w:gridSpan w:val="5"/>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控制中心设备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序号</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货物名称</w:t>
            </w:r>
          </w:p>
        </w:tc>
        <w:tc>
          <w:tcPr>
            <w:tcW w:w="506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技术参数及配置要求</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单位</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数量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991" w:type="dxa"/>
            <w:tcBorders>
              <w:bottom w:val="single" w:color="auto" w:sz="4" w:space="0"/>
            </w:tcBorders>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13</w:t>
            </w:r>
          </w:p>
        </w:tc>
        <w:tc>
          <w:tcPr>
            <w:tcW w:w="1137" w:type="dxa"/>
            <w:tcBorders>
              <w:bottom w:val="single" w:color="auto" w:sz="4" w:space="0"/>
            </w:tcBorders>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广播控制主机1</w:t>
            </w:r>
          </w:p>
        </w:tc>
        <w:tc>
          <w:tcPr>
            <w:tcW w:w="5069" w:type="dxa"/>
            <w:tcBorders>
              <w:bottom w:val="single" w:color="auto" w:sz="4" w:space="0"/>
            </w:tcBorders>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1.≥17.3英寸高亮度电阻式触摸屏；</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2.采用工控平台设计，100~240V宽压输入；可抗接触式4KV强电磁干扰；</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3.支持PCI、PCIE声卡扩展；</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▲4.硬盘 ≥512G SSD，内存 DDR4≥8GB；CPU不低于4核；</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5.信噪比 LINE:≥68dB；MIC：≥70dB；</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6.失真度 1KHz &lt;0.1%；</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7.输入电平 LINE:≥380mV MIC:≥385mV；</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8.包含但不限于≥1路VGA接口，≥1路高清接口，≥1路网络接口，≥4路RS232控制等接口；</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9.预装正版操作系统；</w:t>
            </w:r>
          </w:p>
        </w:tc>
        <w:tc>
          <w:tcPr>
            <w:tcW w:w="942" w:type="dxa"/>
            <w:tcBorders>
              <w:bottom w:val="single" w:color="auto" w:sz="4" w:space="0"/>
            </w:tcBorders>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tcBorders>
              <w:bottom w:val="single" w:color="auto" w:sz="4" w:space="0"/>
            </w:tcBorders>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4" w:hRule="atLeast"/>
          <w:jc w:val="center"/>
        </w:trPr>
        <w:tc>
          <w:tcPr>
            <w:tcW w:w="991" w:type="dxa"/>
            <w:tcBorders>
              <w:top w:val="single" w:color="auto" w:sz="4" w:space="0"/>
            </w:tcBorders>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14</w:t>
            </w:r>
          </w:p>
        </w:tc>
        <w:tc>
          <w:tcPr>
            <w:tcW w:w="1137" w:type="dxa"/>
            <w:tcBorders>
              <w:top w:val="single" w:color="auto" w:sz="4" w:space="0"/>
            </w:tcBorders>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广播系统软件</w:t>
            </w:r>
          </w:p>
        </w:tc>
        <w:tc>
          <w:tcPr>
            <w:tcW w:w="5069" w:type="dxa"/>
            <w:tcBorders>
              <w:top w:val="single" w:color="auto" w:sz="4" w:space="0"/>
            </w:tcBorders>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包含定时打铃任务，业务讲话广播、背景音乐和消防报警广播等，可进行分区管理、广播权限等设置；统一管理系统内所有音频终端，包括寻呼话筒、对讲终端、广播终端和消防接口设备，实时显示音频终端的IP地址、在线状态、任务状态、音量等运行状态，支持远程批量调节终端音量。</w:t>
            </w:r>
          </w:p>
        </w:tc>
        <w:tc>
          <w:tcPr>
            <w:tcW w:w="942" w:type="dxa"/>
            <w:tcBorders>
              <w:top w:val="single" w:color="auto" w:sz="4" w:space="0"/>
            </w:tcBorders>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tcBorders>
              <w:top w:val="single" w:color="auto" w:sz="4" w:space="0"/>
            </w:tcBorders>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15</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音箱</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1.一体化壁挂式设计，具有网络音频解码、数字功放及扬声器；</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2.≥2只木制高保真音箱和立体声D类功率放大器；</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3.内置回路检测功能；</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4.标准RJ45网络接口，支持跨网段和跨路由功能；</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5.内置功放功率≥2*10W(8Ω)。</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16</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定时器</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1.≥5路受控电源插座输出容量；</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2.≥1种钟声选择输出；</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3.支持≥1个短路信号输出口.≥1个报警激活信号输入口；</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4.具有手动激活报警输出功能。</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17</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时序器</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1.具有顺序开启/关闭功能，≥16路受控设备电源；</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2.可以通过系统定时器设计电源开启/关闭时间；</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3.机器输出总容达≥4KVA。</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18</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播音话筒</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1.鹅颈式台式麦克风；</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2.频率响应≥40Hz-16KHz；灵敏度≥-43dB± 2dB；阻抗≥200Ω。</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只</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4"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19</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调音台1</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1.输入通道：≥12通道；</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2.频响：+0.5dB/-0.5dB（20Hz-20kHz）；总谐波失真：0.03%@+14dBu（20 Hz-20kHz）；</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3.输出通道：包含但不限于STEREO OUT：≥2；PHONES：≥1；</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4.电平表：2*12点距LED电平表；</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5.支持+48V幻象电源电压。</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广播供电系统</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1.容量：10KVA；</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2.输出电压：220V输入电压：110VAC 5%-290VAC；配套16节100A及标准机柜；</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3.配套连接线览辅材。</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18" w:type="dxa"/>
            <w:gridSpan w:val="5"/>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前端设备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21</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音频终端</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1.≥2英寸液晶屏，可点播服务器的音频素材；内置数字功放，CD级声音输出；</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w:t>
            </w:r>
            <w:r>
              <w:rPr>
                <w:rFonts w:hint="eastAsia"/>
                <w:color w:val="000000" w:themeColor="text1"/>
                <w14:textFill>
                  <w14:solidFill>
                    <w14:schemeClr w14:val="tx1"/>
                  </w14:solidFill>
                </w14:textFill>
              </w:rPr>
              <w:t xml:space="preserve"> </w:t>
            </w:r>
            <w:r>
              <w:rPr>
                <w:rFonts w:hint="eastAsia" w:ascii="宋体" w:cs="宋体"/>
                <w:color w:val="000000" w:themeColor="text1"/>
                <w:kern w:val="0"/>
                <w:szCs w:val="21"/>
                <w:lang w:bidi="ar-SA"/>
                <w14:textFill>
                  <w14:solidFill>
                    <w14:schemeClr w14:val="tx1"/>
                  </w14:solidFill>
                </w14:textFill>
              </w:rPr>
              <w:t xml:space="preserve">配套监听设备，支持主控室监听教室现场实况； </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3.采样率≥8kHz～44.1kHz；位率16位，8kbps～320kbps；信噪比≥75dB；频响30Hz～13KHz；</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4.≥1个RJ45网口，≥2路2*10W(8Ω）功率输出。</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22</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扬声器</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▲1.额定功率≥ 10W；灵敏度 ≥90dB；频率范围≥120Hz-15KHz；</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2.额定输入阻抗8Ω；ABS材质。</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只</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23</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无线话筒</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1.一拖二无线手持麦克风，UHF550MHz～980MHz频段， 宽带FM调制方式；</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2.频率响应：20Hz～20kHz (±3dB)；综合信噪比： ＞105dB；综合失真： ≤0.5%。</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24</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话筒天线</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1.支持无线话筒供电；可根据接收机指示数据，具有可自由调节增益功能；</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2.能有效延长无线麦克风接收距离≥100米。</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组</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25</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交换机2</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1.千兆电口≥8个，千兆光口≥4个；</w:t>
            </w:r>
          </w:p>
          <w:p>
            <w:pPr>
              <w:pStyle w:val="12"/>
              <w:spacing w:after="0" w:line="360" w:lineRule="auto"/>
              <w:ind w:left="0" w:leftChars="0" w:firstLine="0" w:firstLineChars="0"/>
              <w:rPr>
                <w:color w:val="000000" w:themeColor="text1"/>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2.交换容量≥330Gbps，转发性能≥100Mpps；MAC地址表≥16K，路由表容量≥4K，ACL≥2.3K。</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26</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交换机3</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1.千兆电口≥24个，千兆光口≥4个；</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2.交换容量≥330Gbps，转发性能≥100Mpps；MAC地址表≥16K，路由表容量≥4K，ACL≥2.3K。</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27</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室内音柱1</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1.额定功率（100V）：≥10W；额定功率（70V）：≥5W；灵敏度：91dB±3dB；频率响应：50～18KHz；</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▲2.防护等级：≥IP66。</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28</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室内音柱2</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1.额定功率（100V）：≥20W；额定功率（70V）：≥10W；灵敏度：91dB±3dB；频率响应：50～18KHz；</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2.防护等级：≥IP66。</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只</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9"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29</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IP网络功放终端</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1.设备采用标准19英寸机架设计；</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2.内置≥1路网络硬件音频解码模块；</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3.支持≥1路线路输入和1路话筒输入接口，可独立调节音量；</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4.具有≥1路EMC输入接口，具有最高优先级；</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5.具有≥1路音频输出接口；</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6.具有≥1路三线制强切输出接口，无需强切电源；</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7.集成数字功放，功率≥120W；支持定压方式输出。</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18" w:type="dxa"/>
            <w:gridSpan w:val="5"/>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操场分控中心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30</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解码器</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1.具有≥3寸液晶屏及红外遥控器；</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2.支持遥控终端音量大小，节目选择.快进.快退；</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3.通过遥控可点播服务器内音频文件，可进行A/B复读；</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4.≥1路受控电源控制输出，钥匙开关选择电源控制输出模式：自动，手动；</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5.网络通讯协议TCP.UDP.ARP.ICMP.IGMP网络芯片速率≥10/100Mbps；</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6.信噪比.频响≥80dB，60Hz-10KHz；</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7.具有包含但不限于≥1个RJ45网口，≥1路线路输入，≥1路线路输出，≥1路报警输出等接口。</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31</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功率放大器1</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1.额定功率≥1500W/100V；支持100V、70V定压输出和4～16Ω定阻输出；</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2.具有输出短路保护、超温保护、散热风扇温控启动等功能；</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3.频率范围50Hz-18kHz。</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32</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功率放大器2</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1.额定功率≥1000W/100V；支持100V、70V定压输出和4～16Ω定阻输出；</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2.具有输出短路保护、超温保护、散热风扇温控启动等功能；</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3.频率范围50Hz-18kHz。</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33</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室外防水音柱</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1.额定功率（100V)：≥120W；额定功率（70V)：≥60W；灵敏度≥94dB；频率响应：110-15KHz；</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2.防护等级：≥IP66。</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只</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34</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室外音柱立杆</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1.材质：Q235 碳钢，表面喷塑，酸洗除锈；管径Φ89mm，管壁厚≥2.5mm，高度≥4500mm；</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2.有避雷针及良好接地；</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3.含地笼。</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35</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无线话筒</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1.一拖二无线手持麦克风；</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2.UHF550MHz～980MHz频段， 宽带FM调制方式，频率响应：20Hz-20kHz (±3dB)；综合信噪比： ＞105dB；综合失真： ≤0.5%。</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36</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话筒天线</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1.支持无线麦克风供电；可根据接收机指示数据，具有可自由调节增益功能；</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2.能有效延长无线麦克风接收距离≥100米。</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18" w:type="dxa"/>
            <w:gridSpan w:val="5"/>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2、模拟广播系统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9"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37</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广播控制主机2</w:t>
            </w:r>
          </w:p>
        </w:tc>
        <w:tc>
          <w:tcPr>
            <w:tcW w:w="5069" w:type="dxa"/>
            <w:shd w:val="clear" w:color="000000" w:fill="FFFFFF"/>
            <w:noWrap w:val="0"/>
            <w:vAlign w:val="center"/>
          </w:tcPr>
          <w:p>
            <w:pPr>
              <w:widowControl/>
              <w:numPr>
                <w:ilvl w:val="0"/>
                <w:numId w:val="6"/>
              </w:numPr>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支持手动选择音源和分区按钮，可直接进行操作；</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2.不同的指示灯显示系统各种运行状态；</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3.≥3路辅助输入，其中AUX2/3输入增益可调，≥四种音源同时播放；</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4.≥8个分区输出；</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5.内置扬声器，用于监听分区；</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w:t>
            </w:r>
            <w:r>
              <w:rPr>
                <w:rFonts w:hint="eastAsia"/>
                <w:color w:val="000000" w:themeColor="text1"/>
                <w14:textFill>
                  <w14:solidFill>
                    <w14:schemeClr w14:val="tx1"/>
                  </w14:solidFill>
                </w14:textFill>
              </w:rPr>
              <w:t xml:space="preserve"> </w:t>
            </w:r>
            <w:r>
              <w:rPr>
                <w:rFonts w:hint="eastAsia" w:ascii="宋体" w:cs="宋体"/>
                <w:color w:val="000000" w:themeColor="text1"/>
                <w:kern w:val="0"/>
                <w:szCs w:val="21"/>
                <w:lang w:bidi="ar-SA"/>
                <w14:textFill>
                  <w14:solidFill>
                    <w14:schemeClr w14:val="tx1"/>
                  </w14:solidFill>
                </w14:textFill>
              </w:rPr>
              <w:t>≥8路检测模块，具有自动检测扬声器线路短路故障功能；</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 xml:space="preserve">7.支持主备功放切换； </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8.支持自动故障诊断功能，可手动调节广播音量；</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9.具有报警联动功能，≥8路干接点输入；</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10.支持定时对指定区域播放，实现无人值守功能。</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4"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38</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调音台2</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1.输入通道：≥12通道；</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2.频响：+0.5dB/-0.5dB（20Hz~20kHz）；总谐波失真：0.03%@+14dBu（20 Hz-20kHz）；</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3.输出通道：包含但不限于STEREO OUT：≥2；PHONES：≥1；</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4.电平表：2*12 点距LED电平表；</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5.支持+48V幻象电源电压。</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39</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功率放大器</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1.额定输出≥500W；采用100V或70V输出；</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2.具有平衡输入或非平衡音频输入方式；</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3.强制风冷方式散热，自动限制输出电压；</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4.频率响应70Hz～18KHz，输入灵敏度1.414VRMS，阻抗20kohm，信噪比100dB（±5%）；</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5.电源消耗〈720W；</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6.具有功放故障报警输出接口。</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6"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40</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壁挂喇叭</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1.额定功率≥ 10W；灵敏度 ≥90dB；频率范围≥120Hz-15KHz；</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2.额定输入电压100/70V；ABS材质。</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只</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41</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辅材及安装</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1.采用RVV2*1.0国标电源线及辅件，悬挂式安装设备须做好加固处理；线缆地面以下杜绝有接口；线路两端须采用不褪色标签标识清晰；</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2.已包含仓储、运输、税费、售后服务等。</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点</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18" w:type="dxa"/>
            <w:gridSpan w:val="5"/>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3、综合布线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42</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单模光纤</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1.24芯单模光纤。</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米</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3800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43</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光模块</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1.1000BASE-LX mini GBIC转换模块（1310nm），10km，单模。</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对</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44</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光纤熔接套件</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1.含熔接盒、尾纤、光纤跳线、法兰盘及人工费用等。</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项</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45</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网线</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1.超五类网线。</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箱</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46</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广播主线</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1.用于广播主线；RVV2*2.5。</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米</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47</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广播支线</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1.用于广播支线；RVV2*1.5。</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米</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48</w:t>
            </w:r>
          </w:p>
        </w:tc>
        <w:tc>
          <w:tcPr>
            <w:tcW w:w="1137" w:type="dxa"/>
            <w:shd w:val="clear" w:color="000000" w:fill="FFFFFF"/>
            <w:noWrap/>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电源主线</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1.用于不间断电源主线；RVV3*2.5。</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米</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49</w:t>
            </w:r>
          </w:p>
        </w:tc>
        <w:tc>
          <w:tcPr>
            <w:tcW w:w="1137" w:type="dxa"/>
            <w:shd w:val="clear" w:color="000000" w:fill="FFFFFF"/>
            <w:noWrap/>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电源支线</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1.用于不间断电源支线；RVV3*1.5。</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米</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6700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50</w:t>
            </w:r>
          </w:p>
        </w:tc>
        <w:tc>
          <w:tcPr>
            <w:tcW w:w="1137" w:type="dxa"/>
            <w:shd w:val="clear" w:color="000000" w:fill="FFFFFF"/>
            <w:noWrap/>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机柜2</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1.规格根据现场定制，</w:t>
            </w:r>
            <w:r>
              <w:rPr>
                <w:rFonts w:hint="eastAsia"/>
                <w:color w:val="000000" w:themeColor="text1"/>
                <w14:textFill>
                  <w14:solidFill>
                    <w14:schemeClr w14:val="tx1"/>
                  </w14:solidFill>
                </w14:textFill>
              </w:rPr>
              <w:t>透明钢化玻璃门和</w:t>
            </w:r>
            <w:r>
              <w:rPr>
                <w:rFonts w:hint="eastAsia" w:ascii="宋体" w:cs="宋体"/>
                <w:color w:val="000000" w:themeColor="text1"/>
                <w:kern w:val="0"/>
                <w:szCs w:val="21"/>
                <w:lang w:bidi="ar-SA"/>
                <w14:textFill>
                  <w14:solidFill>
                    <w14:schemeClr w14:val="tx1"/>
                  </w14:solidFill>
                </w14:textFill>
              </w:rPr>
              <w:t>≥1.0mm冷轧钢组成。</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color w:val="000000" w:themeColor="text1"/>
                <w14:textFill>
                  <w14:solidFill>
                    <w14:schemeClr w14:val="tx1"/>
                  </w14:solidFill>
                </w14:textFill>
              </w:rPr>
              <w:t>2.冷轧钢板；立梁（方孔条）≥2.0mm，安装梁≥1.5mm，其它≥1.2mm；方孔条镀蓝锌；其余：脱脂、磷化、静电喷塑。</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个</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2"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51</w:t>
            </w:r>
          </w:p>
        </w:tc>
        <w:tc>
          <w:tcPr>
            <w:tcW w:w="1137" w:type="dxa"/>
            <w:shd w:val="clear" w:color="000000" w:fill="FFFFFF"/>
            <w:noWrap/>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墙柜</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1.产品尺寸：≥600*450*368mm，容量≥6U；</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2.框架为拼装式结构，前门为带条形通风孔边框，5mm厚，透明钢化玻璃门，后门为无孔钢板后门，壁挂方式安装；</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3.材料为SPCC冷轧钢板，其中角规厚度≥1.2mm，框架厚度≥1.2mm，深厚度≥1.2mm。</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个</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8"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52</w:t>
            </w:r>
          </w:p>
        </w:tc>
        <w:tc>
          <w:tcPr>
            <w:tcW w:w="1137" w:type="dxa"/>
            <w:shd w:val="clear" w:color="000000" w:fill="FFFFFF"/>
            <w:noWrap/>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挖沟坡路</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1.强、弱电主干线在室外的铺设；开挖深度≥20cm；</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2.含回填等施工用的水泥、砂石、人工等；</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3.复原操作至学校认可。</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米</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920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53</w:t>
            </w:r>
          </w:p>
        </w:tc>
        <w:tc>
          <w:tcPr>
            <w:tcW w:w="1137" w:type="dxa"/>
            <w:shd w:val="clear" w:color="000000" w:fill="FFFFFF"/>
            <w:noWrap/>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系统集成</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1.辅材：多功能电源插座、PVC线槽等安装辅材；（投标时注明音各辅材品牌和规格）</w:t>
            </w:r>
            <w:r>
              <w:rPr>
                <w:rFonts w:hint="eastAsia" w:ascii="宋体" w:cs="宋体"/>
                <w:color w:val="000000" w:themeColor="text1"/>
                <w:kern w:val="0"/>
                <w:szCs w:val="21"/>
                <w:lang w:bidi="ar-SA"/>
                <w14:textFill>
                  <w14:solidFill>
                    <w14:schemeClr w14:val="tx1"/>
                  </w14:solidFill>
                </w14:textFill>
              </w:rPr>
              <w:br w:type="textWrapping"/>
            </w:r>
            <w:r>
              <w:rPr>
                <w:rFonts w:hint="eastAsia" w:ascii="宋体" w:cs="宋体"/>
                <w:color w:val="000000" w:themeColor="text1"/>
                <w:kern w:val="0"/>
                <w:szCs w:val="21"/>
                <w:lang w:bidi="ar-SA"/>
                <w14:textFill>
                  <w14:solidFill>
                    <w14:schemeClr w14:val="tx1"/>
                  </w14:solidFill>
                </w14:textFill>
              </w:rPr>
              <w:t>2.走线规范、各线头均有标识且清晰、不掉色；各线头标识须记录、整理成文档（含电子文档）交用户备查。</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项</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318" w:type="dxa"/>
            <w:gridSpan w:val="5"/>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三、校园电视台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序号</w:t>
            </w:r>
          </w:p>
        </w:tc>
        <w:tc>
          <w:tcPr>
            <w:tcW w:w="1137"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货物名称</w:t>
            </w:r>
          </w:p>
        </w:tc>
        <w:tc>
          <w:tcPr>
            <w:tcW w:w="506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技术参数及配置要求</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单位</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数量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991"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54</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图形工作站</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1.处理器性能：不低于Intel i7六核心处理器；</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2.内存：≥16GB（8*2） DDR4 2933MHz；</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3.硬盘：≥128G</w:t>
            </w:r>
            <w:r>
              <w:rPr>
                <w:color w:val="000000" w:themeColor="text1"/>
                <w14:textFill>
                  <w14:solidFill>
                    <w14:schemeClr w14:val="tx1"/>
                  </w14:solidFill>
                </w14:textFill>
              </w:rPr>
              <w:t xml:space="preserve"> </w:t>
            </w:r>
            <w:r>
              <w:rPr>
                <w:rFonts w:hint="eastAsia" w:ascii="宋体" w:cs="宋体"/>
                <w:color w:val="000000" w:themeColor="text1"/>
                <w:kern w:val="0"/>
                <w:szCs w:val="21"/>
                <w:lang w:bidi="ar-SA"/>
                <w14:textFill>
                  <w14:solidFill>
                    <w14:schemeClr w14:val="tx1"/>
                  </w14:solidFill>
                </w14:textFill>
              </w:rPr>
              <w:t>SSD +1T SATA硬盘；</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4.显卡性能：不低于NVIDIA GTX 4G显存；</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5.≥2路HDMI采集卡；</w:t>
            </w:r>
          </w:p>
          <w:p>
            <w:pPr>
              <w:pStyle w:val="12"/>
              <w:spacing w:line="360" w:lineRule="auto"/>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ascii="宋体" w:cs="宋体"/>
                <w:color w:val="000000" w:themeColor="text1"/>
                <w:kern w:val="0"/>
                <w:szCs w:val="21"/>
                <w:lang w:bidi="ar-SA"/>
                <w14:textFill>
                  <w14:solidFill>
                    <w14:schemeClr w14:val="tx1"/>
                  </w14:solidFill>
                </w14:textFill>
              </w:rPr>
              <w:t>.</w:t>
            </w:r>
            <w:r>
              <w:rPr>
                <w:rFonts w:hint="eastAsia"/>
                <w:color w:val="000000" w:themeColor="text1"/>
                <w14:textFill>
                  <w14:solidFill>
                    <w14:schemeClr w14:val="tx1"/>
                  </w14:solidFill>
                </w14:textFill>
              </w:rPr>
              <w:t>配套显示终端。</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991"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55</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虚拟演播室系统</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1.集成虚拟演播室系统、IP流信号接收系统、IPVGA系统、图文包装系统，实现真三维虚拟节目制作、包装、编辑、直播等校园演播室功能；</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2.采用无轨虚拟演播室技术，无须移动或者操作真实摄像机，即可实现节目制作过程中镜头推，拉，摇，移，乃至大摇臂以及航拍的效；</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3.4讯道高标清虚拟演播室系统，支持HDMI/ IP流/IPVGA/USB接口输入；满足可同时接入最多达2路HDMI +2路IP流/IPVGA/USB视频信号进入虚拟系统，并进行实时切换和抠像处理，支持手机/平板等移动设备推流接入系统；</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●4.支持IP流信号输入，可支持≥2路IP流信号同时接入系统，并对≥2路流输入流信号同时进行抠像处理；</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5.支持USB信号输入，如高拍仪，USB摄像头等设备接入，支持最多4个USB设备接入系统并在系统中实时切换；</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提供≥2路色键器，可同时分别对≥2路视频源信号及≥2路虚拟大屏信号进行抠像色键处理。支持蓝、绿常见颜色作为背景色进行抠像。提供裁切功能，可对输入源信号从上、下、左、右四个方向进行实时裁切；</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 xml:space="preserve">7.免费提供总量不少于10套的真三维虚拟演播室场景，所有虚拟场景均可通过在线资源库进行免费下载导入；在线资源库中的场景提供持续免费更新服务； </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8.系统支持三维场景分类、分目录显示，支持场景目录/类别自定义创建，可新增或删除场景目录；</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9.提供三维图文包装功能，可对每个三维虚拟场景添加图文包装素材，每个素材均可设置播放、停止或隐藏，播放状态提供亮灯提示；</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10.提供IPVGA功能，无需视频线连接，通过网络即可实现其他电脑桌面信号传输到虚拟演播室系统内，作为信号源。满足教师讲座等应用需求；</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11.虚拟系统内置机位切换功能，可设置和生成最多8个虚拟摄像机位，并自动生成机位运动轨迹，通过点击虚拟摄像机按钮，即可实现对最多8个虚拟摄像机位进行硬切，及推、拉、摇、移等效果的慢动作切换；</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12.具备快速编辑软件，可对录制在本地硬盘上的多媒体素材进行剪辑、特效化处理等操作；支持在快速编辑模块中实时添加及编辑文本内容；</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13.系统提供提词功能，可在系统软件界面中直接打开同品牌提词软件，并加载本地硬盘中的.txt文稿内容；</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●14.系统语音模块支持将实时输入文字，或者加载预先准备好的TXT文档等两种方式的文字转换成语音播出；</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2" w:hRule="atLeast"/>
          <w:jc w:val="center"/>
        </w:trPr>
        <w:tc>
          <w:tcPr>
            <w:tcW w:w="991"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56</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摄录一体机</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1.4K专业摄像机；</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2.光学变焦 ：≥15倍；</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3.数码变焦倍数 ：≥10倍；</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4.扩展变焦 ：≥25倍；</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5.传感器类型：CMOS传感器，</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6.传感器尺寸≥1英寸。</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2" w:hRule="atLeast"/>
          <w:jc w:val="center"/>
        </w:trPr>
        <w:tc>
          <w:tcPr>
            <w:tcW w:w="991"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57</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无线领夹麦克风</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1.频率范围 730～830MHz；</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2.可调信道数 138+138；</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3.频率稳定性 ±10ppm；</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4.调制方式 FM；</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5.射频功率 ≤10mW；</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6.音频频响 40~18000Hz。</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个</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2" w:hRule="atLeast"/>
          <w:jc w:val="center"/>
        </w:trPr>
        <w:tc>
          <w:tcPr>
            <w:tcW w:w="991"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58</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调音台3</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1.≥4个话筒 / 10个线路输入 (4个单声道 + 3个立体声）；</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 xml:space="preserve">2.≥1立体声母线；       </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3.≥1 AUX （包括FX)；</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 “D-PRE”话放，带有倒向晶体管电路；</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5.单旋钮压缩器。</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4" w:hRule="atLeast"/>
          <w:jc w:val="center"/>
        </w:trPr>
        <w:tc>
          <w:tcPr>
            <w:tcW w:w="991"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59</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非线性编辑系统</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1.同时拥有HDTV/HDV/SD分辨率的编辑合成管线；</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2.同时编辑高标清节目信号；</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3.支持无压缩、MPEG2 I frame（100~300Mbps）、DVCPRO HD、XDCAM HD、XDCAM EX、DVSD、DVCPro、DVCPro50、MPEG2 I（10~50Mbps）MPEG2 IBP、MPEG4、H.264等高清素材格式；</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提供大量的2D/3D特技，用户可任意选择符合需求的特技来使用。特技包括：任意几何变形、多样三维转场方式、轨道内实时二维、支持ALPHA键视频编辑，任意视频层色键抠像，实时YUV,HLS,RGB色彩校正，三区域动态马赛克等；</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5.嵌入在非编软件内的高清字幕，字幕编辑系统可以实现三维上滚动字幕、左飞字幕、模板唱词字幕和制作人名、片花的字幕。字幕处理与特效处理相结合，字幕直接上屏修改，直观、省时。</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ign w:val="center"/>
          </w:tcPr>
          <w:p>
            <w:pPr>
              <w:ind w:left="0" w:leftChars="0" w:firstLine="0" w:firstLineChars="0"/>
              <w:rPr>
                <w:color w:val="000000" w:themeColor="text1"/>
                <w14:textFill>
                  <w14:solidFill>
                    <w14:schemeClr w14:val="tx1"/>
                  </w14:solidFill>
                </w14:textFill>
              </w:rPr>
            </w:pPr>
          </w:p>
        </w:tc>
        <w:tc>
          <w:tcPr>
            <w:tcW w:w="1137" w:type="dxa"/>
            <w:shd w:val="clear" w:color="000000" w:fill="FFFFFF"/>
            <w:noWrap w:val="0"/>
            <w:vAlign w:val="center"/>
          </w:tcPr>
          <w:p>
            <w:pPr>
              <w:ind w:left="0" w:leftChars="0" w:firstLine="0" w:firstLineChars="0"/>
              <w:rPr>
                <w:color w:val="000000" w:themeColor="text1"/>
                <w14:textFill>
                  <w14:solidFill>
                    <w14:schemeClr w14:val="tx1"/>
                  </w14:solidFill>
                </w14:textFill>
              </w:rPr>
            </w:pPr>
          </w:p>
        </w:tc>
        <w:tc>
          <w:tcPr>
            <w:tcW w:w="5069" w:type="dxa"/>
            <w:shd w:val="clear" w:color="000000" w:fill="FFFFFF"/>
            <w:noWrap w:val="0"/>
            <w:vAlign w:val="center"/>
          </w:tcPr>
          <w:p>
            <w:pPr>
              <w:ind w:left="0" w:leftChars="0" w:firstLine="0" w:firstLineChars="0"/>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tc>
        <w:tc>
          <w:tcPr>
            <w:tcW w:w="942" w:type="dxa"/>
            <w:shd w:val="clear" w:color="000000" w:fill="FFFFFF"/>
            <w:noWrap w:val="0"/>
            <w:vAlign w:val="center"/>
          </w:tcPr>
          <w:p>
            <w:pPr>
              <w:ind w:left="0" w:leftChars="0" w:firstLine="0" w:firstLineChars="0"/>
              <w:rPr>
                <w:color w:val="000000" w:themeColor="text1"/>
                <w14:textFill>
                  <w14:solidFill>
                    <w14:schemeClr w14:val="tx1"/>
                  </w14:solidFill>
                </w14:textFill>
              </w:rPr>
            </w:pPr>
          </w:p>
        </w:tc>
        <w:tc>
          <w:tcPr>
            <w:tcW w:w="1179" w:type="dxa"/>
            <w:shd w:val="clear" w:color="000000" w:fill="FFFFFF"/>
            <w:noWrap w:val="0"/>
            <w:vAlign w:val="center"/>
          </w:tcPr>
          <w:p>
            <w:pPr>
              <w:ind w:left="0" w:leftChars="0" w:firstLine="0" w:firstLineChars="0"/>
              <w:rPr>
                <w:color w:val="000000" w:themeColor="text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1"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60</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幕布</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1.电动滚轴；</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2.尺寸根据现场定制。</w:t>
            </w:r>
          </w:p>
        </w:tc>
        <w:tc>
          <w:tcPr>
            <w:tcW w:w="942"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0"/>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2" w:hRule="atLeast"/>
          <w:jc w:val="center"/>
        </w:trPr>
        <w:tc>
          <w:tcPr>
            <w:tcW w:w="991"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61</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三脚架</w:t>
            </w:r>
          </w:p>
        </w:tc>
        <w:tc>
          <w:tcPr>
            <w:tcW w:w="5069"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1.脚架+压阻尼云台；材质：铝合金；管径（mm)： 14mm ~17mm；</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2.工作高度（mm) 780mm ~1600mm；</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3.脚架节数：3节；最大负荷（kg) 8kg；</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4.脚管锁类型：旋钮式；</w:t>
            </w:r>
          </w:p>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4.含脚架软包。</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套</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5" w:hRule="atLeast"/>
          <w:jc w:val="center"/>
        </w:trPr>
        <w:tc>
          <w:tcPr>
            <w:tcW w:w="991"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62</w:t>
            </w:r>
          </w:p>
        </w:tc>
        <w:tc>
          <w:tcPr>
            <w:tcW w:w="1137" w:type="dxa"/>
            <w:shd w:val="clear" w:color="000000" w:fill="FFFFFF"/>
            <w:noWrap w:val="0"/>
            <w:vAlign w:val="center"/>
          </w:tcPr>
          <w:p>
            <w:pPr>
              <w:widowControl/>
              <w:spacing w:line="360" w:lineRule="auto"/>
              <w:ind w:left="0" w:leftChars="0" w:firstLine="0" w:firstLineChars="0"/>
              <w:jc w:val="left"/>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单反套机</w:t>
            </w:r>
          </w:p>
        </w:tc>
        <w:tc>
          <w:tcPr>
            <w:tcW w:w="5069" w:type="dxa"/>
            <w:shd w:val="clear" w:color="000000" w:fill="FFFFFF"/>
            <w:noWrap w:val="0"/>
            <w:vAlign w:val="center"/>
          </w:tcPr>
          <w:p>
            <w:pPr>
              <w:widowControl/>
              <w:numPr>
                <w:ilvl w:val="0"/>
                <w:numId w:val="7"/>
              </w:numPr>
              <w:spacing w:line="360" w:lineRule="auto"/>
              <w:ind w:left="0" w:leftChars="0" w:firstLine="0" w:firstLineChars="0"/>
              <w:rPr>
                <w:rFonts w:hint="eastAsia" w:ascii="宋体" w:cs="宋体"/>
                <w:color w:val="000000" w:themeColor="text1"/>
                <w:kern w:val="0"/>
                <w:sz w:val="22"/>
                <w:lang w:bidi="ar-SA"/>
                <w14:textFill>
                  <w14:solidFill>
                    <w14:schemeClr w14:val="tx1"/>
                  </w14:solidFill>
                </w14:textFill>
              </w:rPr>
            </w:pPr>
            <w:r>
              <w:rPr>
                <w:rFonts w:hint="eastAsia" w:ascii="宋体" w:cs="宋体"/>
                <w:color w:val="000000" w:themeColor="text1"/>
                <w:kern w:val="0"/>
                <w:sz w:val="22"/>
                <w:lang w:bidi="ar-SA"/>
                <w14:textFill>
                  <w14:solidFill>
                    <w14:schemeClr w14:val="tx1"/>
                  </w14:solidFill>
                </w14:textFill>
              </w:rPr>
              <w:t>最大光圈： F5.6；像素：≥2000万；</w:t>
            </w:r>
          </w:p>
          <w:p>
            <w:pPr>
              <w:widowControl/>
              <w:numPr>
                <w:ilvl w:val="0"/>
                <w:numId w:val="7"/>
              </w:numPr>
              <w:spacing w:line="360" w:lineRule="auto"/>
              <w:ind w:left="0" w:leftChars="0" w:firstLine="0" w:firstLineChars="0"/>
              <w:rPr>
                <w:rFonts w:hint="eastAsia" w:ascii="宋体" w:cs="宋体"/>
                <w:color w:val="000000" w:themeColor="text1"/>
                <w:kern w:val="0"/>
                <w:sz w:val="22"/>
                <w:lang w:bidi="ar-SA"/>
                <w14:textFill>
                  <w14:solidFill>
                    <w14:schemeClr w14:val="tx1"/>
                  </w14:solidFill>
                </w14:textFill>
              </w:rPr>
            </w:pPr>
            <w:r>
              <w:rPr>
                <w:rFonts w:hint="eastAsia" w:ascii="宋体" w:cs="宋体"/>
                <w:color w:val="000000" w:themeColor="text1"/>
                <w:kern w:val="0"/>
                <w:sz w:val="22"/>
                <w:lang w:bidi="ar-SA"/>
                <w14:textFill>
                  <w14:solidFill>
                    <w14:schemeClr w14:val="tx1"/>
                  </w14:solidFill>
                </w14:textFill>
              </w:rPr>
              <w:t xml:space="preserve">≥3.0英寸液晶屏；机身配18mm~55mm镜头； </w:t>
            </w:r>
          </w:p>
          <w:p>
            <w:pPr>
              <w:widowControl/>
              <w:spacing w:line="360" w:lineRule="auto"/>
              <w:ind w:left="0" w:leftChars="0" w:firstLine="0" w:firstLineChars="0"/>
              <w:rPr>
                <w:rFonts w:hint="eastAsia" w:ascii="宋体" w:cs="宋体"/>
                <w:color w:val="000000" w:themeColor="text1"/>
                <w:kern w:val="0"/>
                <w:sz w:val="22"/>
                <w:lang w:bidi="ar-SA"/>
                <w14:textFill>
                  <w14:solidFill>
                    <w14:schemeClr w14:val="tx1"/>
                  </w14:solidFill>
                </w14:textFill>
              </w:rPr>
            </w:pPr>
            <w:r>
              <w:rPr>
                <w:rFonts w:hint="eastAsia" w:ascii="宋体" w:cs="宋体"/>
                <w:color w:val="000000" w:themeColor="text1"/>
                <w:kern w:val="0"/>
                <w:sz w:val="22"/>
                <w:lang w:bidi="ar-SA"/>
                <w14:textFill>
                  <w14:solidFill>
                    <w14:schemeClr w14:val="tx1"/>
                  </w14:solidFill>
                </w14:textFill>
              </w:rPr>
              <w:t>3.场景模式：肖像、风景、运动、日落、夜景等模式；</w:t>
            </w:r>
          </w:p>
          <w:p>
            <w:pPr>
              <w:widowControl/>
              <w:spacing w:line="360" w:lineRule="auto"/>
              <w:ind w:left="0" w:leftChars="0" w:firstLine="0" w:firstLineChars="0"/>
              <w:rPr>
                <w:rFonts w:hint="eastAsia" w:ascii="宋体" w:cs="宋体"/>
                <w:color w:val="000000" w:themeColor="text1"/>
                <w:kern w:val="0"/>
                <w:sz w:val="22"/>
                <w:lang w:bidi="ar-SA"/>
                <w14:textFill>
                  <w14:solidFill>
                    <w14:schemeClr w14:val="tx1"/>
                  </w14:solidFill>
                </w14:textFill>
              </w:rPr>
            </w:pPr>
            <w:r>
              <w:rPr>
                <w:rFonts w:hint="eastAsia" w:ascii="宋体" w:cs="宋体"/>
                <w:color w:val="000000" w:themeColor="text1"/>
                <w:kern w:val="0"/>
                <w:sz w:val="22"/>
                <w:lang w:bidi="ar-SA"/>
                <w14:textFill>
                  <w14:solidFill>
                    <w14:schemeClr w14:val="tx1"/>
                  </w14:solidFill>
                </w14:textFill>
              </w:rPr>
              <w:t>4.HDMI接口、Wi-Fi、蓝牙；</w:t>
            </w:r>
          </w:p>
          <w:p>
            <w:pPr>
              <w:widowControl/>
              <w:spacing w:line="360" w:lineRule="auto"/>
              <w:ind w:left="0" w:leftChars="0" w:firstLine="0" w:firstLineChars="0"/>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 w:val="22"/>
                <w:lang w:bidi="ar-SA"/>
                <w14:textFill>
                  <w14:solidFill>
                    <w14:schemeClr w14:val="tx1"/>
                  </w14:solidFill>
                </w14:textFill>
              </w:rPr>
              <w:t>5.相机包1个+128G原厂专用支持高帧率高码率记录的存储卡1个。</w:t>
            </w:r>
          </w:p>
        </w:tc>
        <w:tc>
          <w:tcPr>
            <w:tcW w:w="942"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台</w:t>
            </w:r>
          </w:p>
        </w:tc>
        <w:tc>
          <w:tcPr>
            <w:tcW w:w="1179" w:type="dxa"/>
            <w:shd w:val="clear" w:color="000000" w:fill="FFFFFF"/>
            <w:noWrap/>
            <w:vAlign w:val="center"/>
          </w:tcPr>
          <w:p>
            <w:pPr>
              <w:widowControl/>
              <w:spacing w:line="360" w:lineRule="auto"/>
              <w:ind w:left="0" w:leftChars="0" w:firstLine="0" w:firstLineChars="0"/>
              <w:jc w:val="center"/>
              <w:rPr>
                <w:rFonts w:hint="eastAsia" w:ascii="宋体" w:cs="宋体"/>
                <w:color w:val="000000" w:themeColor="text1"/>
                <w:kern w:val="0"/>
                <w:szCs w:val="21"/>
                <w:lang w:bidi="ar-SA"/>
                <w14:textFill>
                  <w14:solidFill>
                    <w14:schemeClr w14:val="tx1"/>
                  </w14:solidFill>
                </w14:textFill>
              </w:rPr>
            </w:pPr>
            <w:r>
              <w:rPr>
                <w:rFonts w:hint="eastAsia" w:ascii="宋体" w:cs="宋体"/>
                <w:color w:val="000000" w:themeColor="text1"/>
                <w:kern w:val="0"/>
                <w:szCs w:val="21"/>
                <w:lang w:bidi="ar-SA"/>
                <w14:textFill>
                  <w14:solidFill>
                    <w14:schemeClr w14:val="tx1"/>
                  </w14:solidFill>
                </w14:textFill>
              </w:rPr>
              <w:t>1</w:t>
            </w:r>
          </w:p>
        </w:tc>
      </w:tr>
    </w:tbl>
    <w:p>
      <w:pPr>
        <w:spacing w:line="360" w:lineRule="auto"/>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注：1.核心产品：音频终端；</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★2.为保证高、中考正常进行，数字广播的广播控制主机1和模拟广播的广播控制主机2须为同一生产厂家。（投标人需提供承诺函）</w:t>
      </w:r>
    </w:p>
    <w:p>
      <w:pPr>
        <w:spacing w:line="360" w:lineRule="auto"/>
        <w:ind w:firstLine="480"/>
        <w:rPr>
          <w:rFonts w:hint="eastAsia" w:ascii="宋体" w:cs="宋体"/>
          <w:color w:val="000000" w:themeColor="text1"/>
          <w:sz w:val="24"/>
          <w:lang w:bidi="ar-SA"/>
          <w14:textFill>
            <w14:solidFill>
              <w14:schemeClr w14:val="tx1"/>
            </w14:solidFill>
          </w14:textFill>
        </w:rPr>
      </w:pPr>
      <w:bookmarkStart w:id="315" w:name="_Toc10549"/>
      <w:r>
        <w:rPr>
          <w:rFonts w:hint="eastAsia" w:ascii="宋体" w:cs="宋体"/>
          <w:color w:val="000000" w:themeColor="text1"/>
          <w:sz w:val="24"/>
          <w:lang w:bidi="ar-SA"/>
          <w14:textFill>
            <w14:solidFill>
              <w14:schemeClr w14:val="tx1"/>
            </w14:solidFill>
          </w14:textFill>
        </w:rPr>
        <w:t>★3.如涉及国家强制认证（CCC认证）等，投标人须承诺投标产品均符合国家强制认证的相关规定，在供货时一并提供相关复印件（投标人需提供承诺函）</w:t>
      </w:r>
    </w:p>
    <w:bookmarkEnd w:id="315"/>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★4.投标人所投“互动显示屏”须为节能产品，提供有效的节能产品认证证书复印件加盖投标人鲜章（以市场监管总局2019年第16号公布的认证机构出具的处于有效期之内的节能产品认证证书为准）。</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★5.交换机须提供电信设备进网许可证。</w:t>
      </w:r>
    </w:p>
    <w:p>
      <w:pPr>
        <w:spacing w:line="520" w:lineRule="exact"/>
        <w:jc w:val="both"/>
        <w:rPr>
          <w:rFonts w:hint="eastAsia" w:ascii="宋体" w:hAnsi="宋体" w:eastAsia="宋体" w:cs="宋体"/>
          <w:b/>
          <w:bCs/>
          <w:color w:val="000000" w:themeColor="text1"/>
          <w:sz w:val="24"/>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w:t>
      </w:r>
      <w:r>
        <w:rPr>
          <w:color w:val="000000" w:themeColor="text1"/>
          <w14:textFill>
            <w14:solidFill>
              <w14:schemeClr w14:val="tx1"/>
            </w14:solidFill>
          </w14:textFill>
        </w:rPr>
        <w:t xml:space="preserve"> </w:t>
      </w:r>
      <w:r>
        <w:rPr>
          <w:color w:val="000000" w:themeColor="text1"/>
          <w:sz w:val="24"/>
          <w14:textFill>
            <w14:solidFill>
              <w14:schemeClr w14:val="tx1"/>
            </w14:solidFill>
          </w14:textFill>
        </w:rPr>
        <w:t>购置清单及技术参数要求表中的综合布线中的42-53项</w:t>
      </w:r>
      <w:r>
        <w:rPr>
          <w:rFonts w:hint="eastAsia" w:ascii="宋体" w:cs="宋体"/>
          <w:color w:val="000000" w:themeColor="text1"/>
          <w:sz w:val="24"/>
          <w:lang w:bidi="ar-SA"/>
          <w14:textFill>
            <w14:solidFill>
              <w14:schemeClr w14:val="tx1"/>
            </w14:solidFill>
          </w14:textFill>
        </w:rPr>
        <w:t>数量为暂定数量，如涉及建设点位及线路调整变化，以实际调整为准，以固定单价方式签订采购合同，但不得超过本项目采购预算。</w:t>
      </w:r>
    </w:p>
    <w:p>
      <w:pPr>
        <w:pStyle w:val="4"/>
        <w:bidi w:val="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四</w:t>
      </w:r>
      <w:r>
        <w:rPr>
          <w:rFonts w:hint="eastAsia" w:asciiTheme="minorEastAsia" w:hAnsiTheme="minorEastAsia" w:eastAsiaTheme="minorEastAsia" w:cstheme="minorEastAsia"/>
          <w:color w:val="000000" w:themeColor="text1"/>
          <w:sz w:val="24"/>
          <w:szCs w:val="24"/>
          <w14:textFill>
            <w14:solidFill>
              <w14:schemeClr w14:val="tx1"/>
            </w14:solidFill>
          </w14:textFill>
        </w:rPr>
        <w:t>、★本项目遵循的相关规范、标准及要求</w:t>
      </w:r>
    </w:p>
    <w:p>
      <w:pPr>
        <w:spacing w:line="360" w:lineRule="auto"/>
        <w:ind w:firstLine="420"/>
        <w:rPr>
          <w:rFonts w:hint="eastAsia" w:ascii="宋体" w:cs="宋体"/>
          <w:color w:val="000000" w:themeColor="text1"/>
          <w:sz w:val="24"/>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（一）项目基本要求：</w:t>
      </w:r>
    </w:p>
    <w:p>
      <w:pPr>
        <w:spacing w:line="360" w:lineRule="auto"/>
        <w:ind w:firstLine="42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中标人保障“大邑县教育局2021年度部分学校信息化设备（第二批）政府采购项目”整个项目的正常运行，所有设备建设应遵循地方、省、国家各规范和标准。</w:t>
      </w:r>
    </w:p>
    <w:p>
      <w:pPr>
        <w:spacing w:line="360" w:lineRule="auto"/>
        <w:ind w:firstLine="42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 xml:space="preserve">为保障合同正常履约，中标人与采购人签订合同前需出具高清录播主机、电视台主机、音频终端、广播控制主机的厂家参数证明，并加盖厂家公章，同时对录播系统软件、区域级管理平台、广播系统软件和虚拟演播室系统作演示，功能应完全符合投标文件，否则视为虚假应标； </w:t>
      </w:r>
    </w:p>
    <w:p>
      <w:pPr>
        <w:spacing w:line="360" w:lineRule="auto"/>
        <w:ind w:firstLine="42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lang w:bidi="ar-SA"/>
          <w14:textFill>
            <w14:solidFill>
              <w14:schemeClr w14:val="tx1"/>
            </w14:solidFill>
          </w14:textFill>
        </w:rPr>
        <w:t xml:space="preserve"> </w:t>
      </w:r>
      <w:r>
        <w:rPr>
          <w:rFonts w:hint="eastAsia" w:ascii="宋体" w:cs="宋体"/>
          <w:color w:val="000000" w:themeColor="text1"/>
          <w:sz w:val="24"/>
          <w:lang w:bidi="ar-SA"/>
          <w14:textFill>
            <w14:solidFill>
              <w14:schemeClr w14:val="tx1"/>
            </w14:solidFill>
          </w14:textFill>
        </w:rPr>
        <w:t>中标人在综合布线时，应充分利用学校现有管网进行贯穿，必须铺设的管线在走线（管槽）时要尽量减少对学校校容、风格的负面影响；本次建设将涉及部分地面、路面的开挖，中标人须做好预埋回填和地面、路面及被破坏的墙面的恢复并取得用户的认可；</w:t>
      </w:r>
    </w:p>
    <w:p>
      <w:pPr>
        <w:spacing w:line="360" w:lineRule="auto"/>
        <w:ind w:firstLine="42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中标人建设时，须满足紧急避险要求、消防规范要求、室内环保要求，在实施隐蔽工程时，须有效地避让包含（但不限于）燃气、用水、通信、电力等使用方现有在用的管道及其相关设备设施；</w:t>
      </w:r>
    </w:p>
    <w:p>
      <w:pPr>
        <w:spacing w:line="360" w:lineRule="auto"/>
        <w:ind w:firstLine="42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中标人在桥架安装、敷设光纤、网线、电源线等综合布线前，须详细勘查安装位置和放线（管、槽）现场环境，确定最佳敷设方案；在施工过程中，应对隐蔽工程涉及的事前、事中、事后的包含（但不限于）能证明中标人规范履约或设备（设施）的安装符合稳固、安全原则等行为进行包含（但不限于）音像资料的收集、留存，备履约验收等环节使用；综合布线时应做到归纳有序、标识清晰；</w:t>
      </w:r>
    </w:p>
    <w:p>
      <w:pPr>
        <w:pStyle w:val="12"/>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lang w:bidi="ar-SA"/>
          <w14:textFill>
            <w14:solidFill>
              <w14:schemeClr w14:val="tx1"/>
            </w14:solidFill>
          </w14:textFill>
        </w:rPr>
        <w:t xml:space="preserve">    </w:t>
      </w:r>
      <w:r>
        <w:rPr>
          <w:rFonts w:hint="eastAsia" w:ascii="宋体" w:cs="宋体"/>
          <w:color w:val="000000" w:themeColor="text1"/>
          <w:sz w:val="24"/>
          <w:lang w:bidi="ar-SA"/>
          <w14:textFill>
            <w14:solidFill>
              <w14:schemeClr w14:val="tx1"/>
            </w14:solidFill>
          </w14:textFill>
        </w:rPr>
        <w:t>预装相关软件永久免费升级，采购人后期与其它平台之间对接需提供技术支持。</w:t>
      </w:r>
    </w:p>
    <w:p>
      <w:pPr>
        <w:spacing w:line="360" w:lineRule="auto"/>
        <w:ind w:firstLine="42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货物须符合本项目招标和投标文件的质量要求、技术指标与出厂标准。</w:t>
      </w:r>
    </w:p>
    <w:p>
      <w:pPr>
        <w:spacing w:line="360" w:lineRule="auto"/>
        <w:ind w:firstLine="420"/>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货物须符合节能、环保、稳定性高、利管控、利服务、利扩展、易释放静电、低辐射、对人体无害等因素</w:t>
      </w: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w:t>
      </w:r>
    </w:p>
    <w:p>
      <w:pPr>
        <w:spacing w:line="520" w:lineRule="exact"/>
        <w:ind w:firstLine="482" w:firstLineChars="200"/>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bookmarkStart w:id="316" w:name="_Toc524701625"/>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注：投标人在投标文件中须明确承诺：在履约过程中，遵循上述</w:t>
      </w:r>
      <w:r>
        <w:rPr>
          <w:rFonts w:hint="eastAsia" w:ascii="宋体" w:cs="宋体"/>
          <w:b/>
          <w:color w:val="000000" w:themeColor="text1"/>
          <w:sz w:val="24"/>
          <w:lang w:bidi="ar-SA"/>
          <w14:textFill>
            <w14:solidFill>
              <w14:schemeClr w14:val="tx1"/>
            </w14:solidFill>
          </w14:textFill>
        </w:rPr>
        <w:t>基本要求</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 xml:space="preserve">（提供承诺函原件，否则作无效投标处理）。 </w:t>
      </w:r>
    </w:p>
    <w:p>
      <w:pPr>
        <w:spacing w:line="520" w:lineRule="exact"/>
        <w:ind w:firstLine="480" w:firstLineChars="200"/>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（二）本项目遵循的相关规范、标准</w:t>
      </w:r>
      <w:bookmarkEnd w:id="316"/>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此项目设备、建设、验收等行为，遵循但不限于以下各规范、标准及文件的要求。</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GB/T 14197-2012 音频、视频和视听系统互连的优选配接值</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GB/T 17975.1-2010 信息技术运动图像及其伴音信息的通用编码第1部分：系统</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GB/T 17975.2-2000 信息技术 运动图像及其伴音信号的通用编码 第2部分：视频</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GB/T 17975.3-2002 信息技术 运动图像及其伴音信号的通用编码 第3部分: 音频</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GB/T 21050-2007    《信息安全技术 网络交换机安全技术要求》</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GB/T 28037-2011    投影机通用范围</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 50526-2010      公共广播系统工程技术规范</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GB4943-2011</w:t>
      </w:r>
      <w:r>
        <w:rPr>
          <w:rFonts w:hint="eastAsia" w:ascii="宋体" w:hAnsi="宋体" w:eastAsia="宋体" w:cs="宋体"/>
          <w:color w:val="000000" w:themeColor="text1"/>
          <w:sz w:val="24"/>
          <w14:textFill>
            <w14:solidFill>
              <w14:schemeClr w14:val="tx1"/>
            </w14:solidFill>
          </w14:textFill>
        </w:rPr>
        <w:tab/>
      </w:r>
      <w:r>
        <w:rPr>
          <w:rFonts w:hint="eastAsia" w:ascii="宋体" w:hAnsi="宋体" w:eastAsia="宋体" w:cs="宋体"/>
          <w:color w:val="000000" w:themeColor="text1"/>
          <w:sz w:val="24"/>
          <w14:textFill>
            <w14:solidFill>
              <w14:schemeClr w14:val="tx1"/>
            </w14:solidFill>
          </w14:textFill>
        </w:rPr>
        <w:t xml:space="preserve">     信息技术设备的安全</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GB8898-2011       音频、视频及类似电子设备安全要求</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GB 50311-2016      综合布线系统工程设计规范 </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 50312-2007      综合布线系统工程验收规范</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GB/T 21671-2008    基于以太网技术的局域网系统验收测评规范</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GB/T 24612.1-2009  电气设备应用场所的安全要求第1部分：总则 </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GB/T 24612.2-2009  电气设备应用场所的安全要求第2部分：在断电状态下操作的安全措施 </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GB/T 36447-2018  多媒体教学环境设计要求</w:t>
      </w:r>
    </w:p>
    <w:p>
      <w:pPr>
        <w:spacing w:line="460" w:lineRule="exact"/>
        <w:ind w:firstLine="420" w:firstLineChars="175"/>
        <w:rPr>
          <w:rFonts w:hint="eastAsia" w:ascii="宋体" w:hAnsi="宋体" w:eastAsia="宋体" w:cs="宋体"/>
          <w:color w:val="000000" w:themeColor="text1"/>
          <w:sz w:val="24"/>
          <w14:textFill>
            <w14:solidFill>
              <w14:schemeClr w14:val="tx1"/>
            </w14:solidFill>
          </w14:textFill>
        </w:rPr>
      </w:pPr>
      <w:bookmarkStart w:id="317" w:name="_Toc524701630"/>
      <w:r>
        <w:rPr>
          <w:rFonts w:hint="eastAsia" w:ascii="宋体" w:hAnsi="宋体" w:eastAsia="宋体" w:cs="宋体"/>
          <w:color w:val="000000" w:themeColor="text1"/>
          <w:sz w:val="24"/>
          <w14:textFill>
            <w14:solidFill>
              <w14:schemeClr w14:val="tx1"/>
            </w14:solidFill>
          </w14:textFill>
        </w:rPr>
        <w:t>注：1.如有新的相关规范、标准，以最新的规范、标准为准；</w:t>
      </w:r>
    </w:p>
    <w:p>
      <w:pPr>
        <w:spacing w:line="460" w:lineRule="exact"/>
        <w:ind w:firstLine="904" w:firstLineChars="375"/>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2.投标人在投标文件中须明确承诺：在履约过程中提供的货物及其它履约行为均遵循上述规范、标准（提供承诺函原件，否则作无效投标处理）。</w:t>
      </w:r>
    </w:p>
    <w:p>
      <w:pPr>
        <w:pStyle w:val="4"/>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五</w:t>
      </w:r>
      <w:r>
        <w:rPr>
          <w:rFonts w:hint="eastAsia" w:ascii="宋体" w:hAnsi="宋体" w:eastAsia="宋体" w:cs="宋体"/>
          <w:color w:val="000000" w:themeColor="text1"/>
          <w:sz w:val="24"/>
          <w:szCs w:val="24"/>
          <w14:textFill>
            <w14:solidFill>
              <w14:schemeClr w14:val="tx1"/>
            </w14:solidFill>
          </w14:textFill>
        </w:rPr>
        <w:t>、★合同货物的提供、接收及基本的质量要求</w:t>
      </w:r>
      <w:bookmarkEnd w:id="317"/>
    </w:p>
    <w:p>
      <w:pPr>
        <w:spacing w:line="360" w:lineRule="auto"/>
        <w:ind w:firstLine="480"/>
        <w:rPr>
          <w:color w:val="000000" w:themeColor="text1"/>
          <w:sz w:val="24"/>
          <w14:textFill>
            <w14:solidFill>
              <w14:schemeClr w14:val="tx1"/>
            </w14:solidFill>
          </w14:textFill>
        </w:rPr>
      </w:pPr>
      <w:bookmarkStart w:id="318" w:name="_Toc504829727"/>
      <w:bookmarkStart w:id="319" w:name="_Toc524701631"/>
      <w:r>
        <w:rPr>
          <w:rFonts w:hint="eastAsia"/>
          <w:color w:val="000000" w:themeColor="text1"/>
          <w:sz w:val="24"/>
          <w14:textFill>
            <w14:solidFill>
              <w14:schemeClr w14:val="tx1"/>
            </w14:solidFill>
          </w14:textFill>
        </w:rPr>
        <w:t>1.合同货物的提供。</w:t>
      </w:r>
      <w:bookmarkEnd w:id="318"/>
      <w:bookmarkEnd w:id="319"/>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提供的合同货物须是全新的，其“货物名称、品牌型号、规格及技术参数、单位、数量”须与《合同》包含的《大邑县教育局2021年度部分学校信息化设备（第二批）政府采购项目合同货物明细表》载明的信息完全一致。如果中标人送到使用方的货物与《大邑县教育局2021年度部分学校信息化设备（第二批）政府采购项目合同货物明细表》载明的信息不一致，使用方有权拒收。</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箱（包）装的货物，在开箱（包）前其外包装无拆封、破损、污渍等现象；开箱（包）后，设备外观无陈旧、划伤、污渍现象。如果有上述现象，使用方有权拒收。</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货物不能是“三无产品或非正版”，应该具备“装箱清单、《产品检测（验）报告》、《使用手册》、《说明书》、《合格证》或“合格标识”、制造厂家铭牌或标识”等资料。如果是“三无产品或非正版”、缺（漏）上述相关资料且中标人无法说明其原因，使用方有权拒收。</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合同货物出现中标人运输、装卸、保管不当等造成的质量问题时，中标人须负责三包（包修、包换、包退）。</w:t>
      </w:r>
    </w:p>
    <w:p>
      <w:pPr>
        <w:spacing w:line="360" w:lineRule="auto"/>
        <w:ind w:firstLine="480"/>
        <w:rPr>
          <w:color w:val="000000" w:themeColor="text1"/>
          <w:sz w:val="24"/>
          <w14:textFill>
            <w14:solidFill>
              <w14:schemeClr w14:val="tx1"/>
            </w14:solidFill>
          </w14:textFill>
        </w:rPr>
      </w:pPr>
      <w:bookmarkStart w:id="320" w:name="_Toc524701632"/>
      <w:bookmarkStart w:id="321" w:name="_Toc504829728"/>
      <w:r>
        <w:rPr>
          <w:rFonts w:hint="eastAsia"/>
          <w:color w:val="000000" w:themeColor="text1"/>
          <w:sz w:val="24"/>
          <w14:textFill>
            <w14:solidFill>
              <w14:schemeClr w14:val="tx1"/>
            </w14:solidFill>
          </w14:textFill>
        </w:rPr>
        <w:t>2.合同标货物的接收。</w:t>
      </w:r>
      <w:bookmarkEnd w:id="320"/>
      <w:bookmarkEnd w:id="321"/>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货物送达使用方时，中标人应约请、督促使用方对照《大邑县教育局2021年度部分学校信息化设备（第二批）政府采购项目（招标编号XXXX）合同货物明细表》，核点到场货物的“货物名称、品牌、型号、数量”、填写《合同货物接收单》及对此次接收的货物进行收存和保管。</w:t>
      </w:r>
    </w:p>
    <w:p>
      <w:pPr>
        <w:spacing w:line="360" w:lineRule="auto"/>
        <w:ind w:firstLine="480"/>
        <w:rPr>
          <w:color w:val="000000" w:themeColor="text1"/>
          <w:sz w:val="28"/>
          <w:szCs w:val="28"/>
          <w14:textFill>
            <w14:solidFill>
              <w14:schemeClr w14:val="tx1"/>
            </w14:solidFill>
          </w14:textFill>
        </w:rPr>
      </w:pPr>
      <w:r>
        <w:rPr>
          <w:rFonts w:hint="eastAsia"/>
          <w:color w:val="000000" w:themeColor="text1"/>
          <w:sz w:val="24"/>
          <w14:textFill>
            <w14:solidFill>
              <w14:schemeClr w14:val="tx1"/>
            </w14:solidFill>
          </w14:textFill>
        </w:rPr>
        <w:t>《合同货物接收单》：由使用方核签的《合同货物接收单》将作为“单项验收”及“整体验收”的重要凭据，中标人和使用方均应留底、保存备查。</w:t>
      </w:r>
    </w:p>
    <w:p>
      <w:pPr>
        <w:pStyle w:val="52"/>
        <w:spacing w:line="360" w:lineRule="auto"/>
        <w:ind w:firstLine="0" w:firstLineChars="0"/>
        <w:jc w:val="center"/>
        <w:rPr>
          <w:rFonts w:hint="eastAsia" w:ascii="宋体"/>
          <w:b/>
          <w:color w:val="000000" w:themeColor="text1"/>
          <w:sz w:val="22"/>
          <w:szCs w:val="22"/>
          <w14:textFill>
            <w14:solidFill>
              <w14:schemeClr w14:val="tx1"/>
            </w14:solidFill>
          </w14:textFill>
        </w:rPr>
      </w:pPr>
      <w:bookmarkStart w:id="322" w:name="_Toc504829729"/>
      <w:r>
        <w:rPr>
          <w:rFonts w:hint="eastAsia" w:ascii="宋体"/>
          <w:b/>
          <w:color w:val="000000" w:themeColor="text1"/>
          <w:sz w:val="22"/>
          <w:szCs w:val="22"/>
          <w14:textFill>
            <w14:solidFill>
              <w14:schemeClr w14:val="tx1"/>
            </w14:solidFill>
          </w14:textFill>
        </w:rPr>
        <w:t>合同货物接收单</w:t>
      </w:r>
      <w:bookmarkEnd w:id="322"/>
    </w:p>
    <w:p>
      <w:pPr>
        <w:pStyle w:val="52"/>
        <w:spacing w:line="360" w:lineRule="auto"/>
        <w:ind w:firstLine="0" w:firstLineChars="0"/>
        <w:jc w:val="left"/>
        <w:rPr>
          <w:rFonts w:hint="eastAsia" w:ascii="宋体"/>
          <w:color w:val="000000" w:themeColor="text1"/>
          <w:sz w:val="22"/>
          <w:szCs w:val="22"/>
          <w:u w:val="single"/>
          <w14:textFill>
            <w14:solidFill>
              <w14:schemeClr w14:val="tx1"/>
            </w14:solidFill>
          </w14:textFill>
        </w:rPr>
      </w:pPr>
      <w:r>
        <w:rPr>
          <w:rFonts w:hint="eastAsia" w:ascii="宋体"/>
          <w:color w:val="000000" w:themeColor="text1"/>
          <w:sz w:val="22"/>
          <w:szCs w:val="22"/>
          <w14:textFill>
            <w14:solidFill>
              <w14:schemeClr w14:val="tx1"/>
            </w14:solidFill>
          </w14:textFill>
        </w:rPr>
        <w:t>送货时间：</w:t>
      </w:r>
      <w:r>
        <w:rPr>
          <w:rFonts w:hint="eastAsia" w:ascii="宋体"/>
          <w:color w:val="000000" w:themeColor="text1"/>
          <w:sz w:val="22"/>
          <w:szCs w:val="22"/>
          <w:u w:val="single"/>
          <w14:textFill>
            <w14:solidFill>
              <w14:schemeClr w14:val="tx1"/>
            </w14:solidFill>
          </w14:textFill>
        </w:rPr>
        <w:t xml:space="preserve">   </w:t>
      </w:r>
      <w:r>
        <w:rPr>
          <w:rFonts w:hint="eastAsia" w:ascii="宋体"/>
          <w:color w:val="000000" w:themeColor="text1"/>
          <w:sz w:val="22"/>
          <w:szCs w:val="22"/>
          <w14:textFill>
            <w14:solidFill>
              <w14:schemeClr w14:val="tx1"/>
            </w14:solidFill>
          </w14:textFill>
        </w:rPr>
        <w:t xml:space="preserve"> 年</w:t>
      </w:r>
      <w:r>
        <w:rPr>
          <w:rFonts w:hint="eastAsia" w:ascii="宋体"/>
          <w:color w:val="000000" w:themeColor="text1"/>
          <w:sz w:val="22"/>
          <w:szCs w:val="22"/>
          <w:u w:val="single"/>
          <w14:textFill>
            <w14:solidFill>
              <w14:schemeClr w14:val="tx1"/>
            </w14:solidFill>
          </w14:textFill>
        </w:rPr>
        <w:t xml:space="preserve">   </w:t>
      </w:r>
      <w:r>
        <w:rPr>
          <w:rFonts w:hint="eastAsia" w:ascii="宋体"/>
          <w:color w:val="000000" w:themeColor="text1"/>
          <w:sz w:val="22"/>
          <w:szCs w:val="22"/>
          <w14:textFill>
            <w14:solidFill>
              <w14:schemeClr w14:val="tx1"/>
            </w14:solidFill>
          </w14:textFill>
        </w:rPr>
        <w:t xml:space="preserve"> 月</w:t>
      </w:r>
      <w:r>
        <w:rPr>
          <w:rFonts w:hint="eastAsia" w:ascii="宋体"/>
          <w:color w:val="000000" w:themeColor="text1"/>
          <w:sz w:val="22"/>
          <w:szCs w:val="22"/>
          <w:u w:val="single"/>
          <w14:textFill>
            <w14:solidFill>
              <w14:schemeClr w14:val="tx1"/>
            </w14:solidFill>
          </w14:textFill>
        </w:rPr>
        <w:t xml:space="preserve">   </w:t>
      </w:r>
      <w:r>
        <w:rPr>
          <w:rFonts w:hint="eastAsia" w:ascii="宋体"/>
          <w:color w:val="000000" w:themeColor="text1"/>
          <w:sz w:val="22"/>
          <w:szCs w:val="22"/>
          <w14:textFill>
            <w14:solidFill>
              <w14:schemeClr w14:val="tx1"/>
            </w14:solidFill>
          </w14:textFill>
        </w:rPr>
        <w:t xml:space="preserve"> 日    送货人电话：</w:t>
      </w:r>
      <w:r>
        <w:rPr>
          <w:rFonts w:hint="eastAsia" w:ascii="宋体"/>
          <w:color w:val="000000" w:themeColor="text1"/>
          <w:sz w:val="22"/>
          <w:szCs w:val="22"/>
          <w:u w:val="single"/>
          <w14:textFill>
            <w14:solidFill>
              <w14:schemeClr w14:val="tx1"/>
            </w14:solidFill>
          </w14:textFill>
        </w:rPr>
        <w:t xml:space="preserve">               </w:t>
      </w:r>
      <w:r>
        <w:rPr>
          <w:rFonts w:hint="eastAsia" w:ascii="宋体"/>
          <w:color w:val="000000" w:themeColor="text1"/>
          <w:sz w:val="22"/>
          <w:szCs w:val="22"/>
          <w14:textFill>
            <w14:solidFill>
              <w14:schemeClr w14:val="tx1"/>
            </w14:solidFill>
          </w14:textFill>
        </w:rPr>
        <w:t xml:space="preserve">     送货人签字：</w:t>
      </w:r>
      <w:r>
        <w:rPr>
          <w:rFonts w:hint="eastAsia" w:ascii="宋体"/>
          <w:color w:val="000000" w:themeColor="text1"/>
          <w:sz w:val="22"/>
          <w:szCs w:val="22"/>
          <w:u w:val="single"/>
          <w14:textFill>
            <w14:solidFill>
              <w14:schemeClr w14:val="tx1"/>
            </w14:solidFill>
          </w14:textFill>
        </w:rPr>
        <w:t xml:space="preserve">               </w:t>
      </w:r>
    </w:p>
    <w:p>
      <w:pPr>
        <w:pStyle w:val="52"/>
        <w:spacing w:line="360" w:lineRule="auto"/>
        <w:ind w:firstLine="0" w:firstLineChars="0"/>
        <w:jc w:val="left"/>
        <w:rPr>
          <w:rFonts w:hint="eastAsia" w:ascii="宋体"/>
          <w:color w:val="000000" w:themeColor="text1"/>
          <w:sz w:val="22"/>
          <w:szCs w:val="22"/>
          <w:u w:val="single"/>
          <w14:textFill>
            <w14:solidFill>
              <w14:schemeClr w14:val="tx1"/>
            </w14:solidFill>
          </w14:textFill>
        </w:rPr>
      </w:pPr>
      <w:r>
        <w:rPr>
          <w:rFonts w:hint="eastAsia" w:ascii="宋体"/>
          <w:color w:val="000000" w:themeColor="text1"/>
          <w:sz w:val="22"/>
          <w:szCs w:val="22"/>
          <w14:textFill>
            <w14:solidFill>
              <w14:schemeClr w14:val="tx1"/>
            </w14:solidFill>
          </w14:textFill>
        </w:rPr>
        <w:t>收货时间：</w:t>
      </w:r>
      <w:r>
        <w:rPr>
          <w:rFonts w:hint="eastAsia" w:ascii="宋体"/>
          <w:color w:val="000000" w:themeColor="text1"/>
          <w:sz w:val="22"/>
          <w:szCs w:val="22"/>
          <w:u w:val="single"/>
          <w14:textFill>
            <w14:solidFill>
              <w14:schemeClr w14:val="tx1"/>
            </w14:solidFill>
          </w14:textFill>
        </w:rPr>
        <w:t xml:space="preserve">   </w:t>
      </w:r>
      <w:r>
        <w:rPr>
          <w:rFonts w:hint="eastAsia" w:ascii="宋体"/>
          <w:color w:val="000000" w:themeColor="text1"/>
          <w:sz w:val="22"/>
          <w:szCs w:val="22"/>
          <w14:textFill>
            <w14:solidFill>
              <w14:schemeClr w14:val="tx1"/>
            </w14:solidFill>
          </w14:textFill>
        </w:rPr>
        <w:t xml:space="preserve"> 年</w:t>
      </w:r>
      <w:r>
        <w:rPr>
          <w:rFonts w:hint="eastAsia" w:ascii="宋体"/>
          <w:color w:val="000000" w:themeColor="text1"/>
          <w:sz w:val="22"/>
          <w:szCs w:val="22"/>
          <w:u w:val="single"/>
          <w14:textFill>
            <w14:solidFill>
              <w14:schemeClr w14:val="tx1"/>
            </w14:solidFill>
          </w14:textFill>
        </w:rPr>
        <w:t xml:space="preserve">   </w:t>
      </w:r>
      <w:r>
        <w:rPr>
          <w:rFonts w:hint="eastAsia" w:ascii="宋体"/>
          <w:color w:val="000000" w:themeColor="text1"/>
          <w:sz w:val="22"/>
          <w:szCs w:val="22"/>
          <w14:textFill>
            <w14:solidFill>
              <w14:schemeClr w14:val="tx1"/>
            </w14:solidFill>
          </w14:textFill>
        </w:rPr>
        <w:t xml:space="preserve"> 月</w:t>
      </w:r>
      <w:r>
        <w:rPr>
          <w:rFonts w:hint="eastAsia" w:ascii="宋体"/>
          <w:color w:val="000000" w:themeColor="text1"/>
          <w:sz w:val="22"/>
          <w:szCs w:val="22"/>
          <w:u w:val="single"/>
          <w14:textFill>
            <w14:solidFill>
              <w14:schemeClr w14:val="tx1"/>
            </w14:solidFill>
          </w14:textFill>
        </w:rPr>
        <w:t xml:space="preserve">   </w:t>
      </w:r>
      <w:r>
        <w:rPr>
          <w:rFonts w:hint="eastAsia" w:ascii="宋体"/>
          <w:color w:val="000000" w:themeColor="text1"/>
          <w:sz w:val="22"/>
          <w:szCs w:val="22"/>
          <w14:textFill>
            <w14:solidFill>
              <w14:schemeClr w14:val="tx1"/>
            </w14:solidFill>
          </w14:textFill>
        </w:rPr>
        <w:t xml:space="preserve"> 日    收货人电话：</w:t>
      </w:r>
      <w:r>
        <w:rPr>
          <w:rFonts w:hint="eastAsia" w:ascii="宋体"/>
          <w:color w:val="000000" w:themeColor="text1"/>
          <w:sz w:val="22"/>
          <w:szCs w:val="22"/>
          <w:u w:val="single"/>
          <w14:textFill>
            <w14:solidFill>
              <w14:schemeClr w14:val="tx1"/>
            </w14:solidFill>
          </w14:textFill>
        </w:rPr>
        <w:t xml:space="preserve">               </w:t>
      </w:r>
      <w:r>
        <w:rPr>
          <w:rFonts w:hint="eastAsia" w:ascii="宋体"/>
          <w:color w:val="000000" w:themeColor="text1"/>
          <w:sz w:val="22"/>
          <w:szCs w:val="22"/>
          <w14:textFill>
            <w14:solidFill>
              <w14:schemeClr w14:val="tx1"/>
            </w14:solidFill>
          </w14:textFill>
        </w:rPr>
        <w:t xml:space="preserve">     收货人签字：</w:t>
      </w:r>
      <w:r>
        <w:rPr>
          <w:rFonts w:hint="eastAsia" w:ascii="宋体"/>
          <w:color w:val="000000" w:themeColor="text1"/>
          <w:sz w:val="22"/>
          <w:szCs w:val="22"/>
          <w:u w:val="single"/>
          <w14:textFill>
            <w14:solidFill>
              <w14:schemeClr w14:val="tx1"/>
            </w14:solidFill>
          </w14:textFill>
        </w:rPr>
        <w:t xml:space="preserve">               </w:t>
      </w:r>
    </w:p>
    <w:tbl>
      <w:tblPr>
        <w:tblStyle w:val="33"/>
        <w:tblW w:w="869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2127"/>
        <w:gridCol w:w="1132"/>
        <w:gridCol w:w="1306"/>
        <w:gridCol w:w="155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r>
              <w:rPr>
                <w:rFonts w:hint="eastAsia" w:ascii="宋体" w:cs="宋体"/>
                <w:color w:val="000000" w:themeColor="text1"/>
                <w:kern w:val="0"/>
                <w:sz w:val="22"/>
                <w:szCs w:val="22"/>
                <w:lang w:bidi="ar-SA"/>
                <w14:textFill>
                  <w14:solidFill>
                    <w14:schemeClr w14:val="tx1"/>
                  </w14:solidFill>
                </w14:textFill>
              </w:rPr>
              <w:t>序号</w:t>
            </w:r>
          </w:p>
        </w:tc>
        <w:tc>
          <w:tcPr>
            <w:tcW w:w="2127"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r>
              <w:rPr>
                <w:rFonts w:hint="eastAsia" w:ascii="宋体" w:cs="宋体"/>
                <w:color w:val="000000" w:themeColor="text1"/>
                <w:kern w:val="0"/>
                <w:sz w:val="22"/>
                <w:szCs w:val="22"/>
                <w:lang w:bidi="ar-SA"/>
                <w14:textFill>
                  <w14:solidFill>
                    <w14:schemeClr w14:val="tx1"/>
                  </w14:solidFill>
                </w14:textFill>
              </w:rPr>
              <w:t>货物名称</w:t>
            </w:r>
          </w:p>
        </w:tc>
        <w:tc>
          <w:tcPr>
            <w:tcW w:w="1132" w:type="dxa"/>
            <w:noWrap w:val="0"/>
            <w:vAlign w:val="center"/>
          </w:tcPr>
          <w:p>
            <w:pPr>
              <w:widowControl/>
              <w:spacing w:line="360" w:lineRule="auto"/>
              <w:rPr>
                <w:rFonts w:hint="eastAsia" w:ascii="宋体" w:cs="宋体"/>
                <w:color w:val="000000" w:themeColor="text1"/>
                <w:kern w:val="0"/>
                <w:sz w:val="22"/>
                <w:szCs w:val="22"/>
                <w:lang w:bidi="ar-SA"/>
                <w14:textFill>
                  <w14:solidFill>
                    <w14:schemeClr w14:val="tx1"/>
                  </w14:solidFill>
                </w14:textFill>
              </w:rPr>
            </w:pPr>
            <w:r>
              <w:rPr>
                <w:rFonts w:hint="eastAsia" w:ascii="宋体" w:cs="宋体"/>
                <w:color w:val="000000" w:themeColor="text1"/>
                <w:kern w:val="0"/>
                <w:sz w:val="22"/>
                <w:szCs w:val="22"/>
                <w:lang w:bidi="ar-SA"/>
                <w14:textFill>
                  <w14:solidFill>
                    <w14:schemeClr w14:val="tx1"/>
                  </w14:solidFill>
                </w14:textFill>
              </w:rPr>
              <w:t>品牌</w:t>
            </w:r>
          </w:p>
        </w:tc>
        <w:tc>
          <w:tcPr>
            <w:tcW w:w="1306" w:type="dxa"/>
            <w:noWrap w:val="0"/>
            <w:vAlign w:val="center"/>
          </w:tcPr>
          <w:p>
            <w:pPr>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r>
              <w:rPr>
                <w:rFonts w:hint="eastAsia" w:ascii="宋体" w:cs="宋体"/>
                <w:color w:val="000000" w:themeColor="text1"/>
                <w:kern w:val="0"/>
                <w:sz w:val="22"/>
                <w:szCs w:val="22"/>
                <w:lang w:bidi="ar-SA"/>
                <w14:textFill>
                  <w14:solidFill>
                    <w14:schemeClr w14:val="tx1"/>
                  </w14:solidFill>
                </w14:textFill>
              </w:rPr>
              <w:t>型号</w:t>
            </w:r>
          </w:p>
        </w:tc>
        <w:tc>
          <w:tcPr>
            <w:tcW w:w="1559"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r>
              <w:rPr>
                <w:rFonts w:hint="eastAsia" w:ascii="宋体" w:cs="宋体"/>
                <w:color w:val="000000" w:themeColor="text1"/>
                <w:kern w:val="0"/>
                <w:sz w:val="22"/>
                <w:szCs w:val="22"/>
                <w:lang w:bidi="ar-SA"/>
                <w14:textFill>
                  <w14:solidFill>
                    <w14:schemeClr w14:val="tx1"/>
                  </w14:solidFill>
                </w14:textFill>
              </w:rPr>
              <w:t>数量</w:t>
            </w:r>
          </w:p>
        </w:tc>
        <w:tc>
          <w:tcPr>
            <w:tcW w:w="1418"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r>
              <w:rPr>
                <w:rFonts w:hint="eastAsia" w:ascii="宋体" w:cs="宋体"/>
                <w:color w:val="000000" w:themeColor="text1"/>
                <w:kern w:val="0"/>
                <w:sz w:val="22"/>
                <w:szCs w:val="22"/>
                <w:lang w:bidi="ar-SA"/>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p>
        </w:tc>
        <w:tc>
          <w:tcPr>
            <w:tcW w:w="2127" w:type="dxa"/>
            <w:noWrap w:val="0"/>
            <w:vAlign w:val="center"/>
          </w:tcPr>
          <w:p>
            <w:pPr>
              <w:widowControl/>
              <w:spacing w:line="360" w:lineRule="auto"/>
              <w:ind w:firstLine="480"/>
              <w:jc w:val="left"/>
              <w:rPr>
                <w:rFonts w:hint="eastAsia" w:ascii="宋体" w:cs="宋体"/>
                <w:color w:val="000000" w:themeColor="text1"/>
                <w:kern w:val="0"/>
                <w:sz w:val="22"/>
                <w:szCs w:val="22"/>
                <w:lang w:bidi="ar-SA"/>
                <w14:textFill>
                  <w14:solidFill>
                    <w14:schemeClr w14:val="tx1"/>
                  </w14:solidFill>
                </w14:textFill>
              </w:rPr>
            </w:pPr>
          </w:p>
        </w:tc>
        <w:tc>
          <w:tcPr>
            <w:tcW w:w="1132"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p>
        </w:tc>
        <w:tc>
          <w:tcPr>
            <w:tcW w:w="1306"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p>
        </w:tc>
        <w:tc>
          <w:tcPr>
            <w:tcW w:w="1559"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p>
        </w:tc>
        <w:tc>
          <w:tcPr>
            <w:tcW w:w="1418"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p>
        </w:tc>
        <w:tc>
          <w:tcPr>
            <w:tcW w:w="2127" w:type="dxa"/>
            <w:noWrap w:val="0"/>
            <w:vAlign w:val="center"/>
          </w:tcPr>
          <w:p>
            <w:pPr>
              <w:widowControl/>
              <w:spacing w:line="360" w:lineRule="auto"/>
              <w:ind w:firstLine="480"/>
              <w:jc w:val="left"/>
              <w:rPr>
                <w:rFonts w:hint="eastAsia" w:ascii="宋体" w:cs="宋体"/>
                <w:color w:val="000000" w:themeColor="text1"/>
                <w:kern w:val="0"/>
                <w:sz w:val="22"/>
                <w:szCs w:val="22"/>
                <w:lang w:bidi="ar-SA"/>
                <w14:textFill>
                  <w14:solidFill>
                    <w14:schemeClr w14:val="tx1"/>
                  </w14:solidFill>
                </w14:textFill>
              </w:rPr>
            </w:pPr>
          </w:p>
        </w:tc>
        <w:tc>
          <w:tcPr>
            <w:tcW w:w="1132"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p>
        </w:tc>
        <w:tc>
          <w:tcPr>
            <w:tcW w:w="1306"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p>
        </w:tc>
        <w:tc>
          <w:tcPr>
            <w:tcW w:w="1559"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p>
        </w:tc>
        <w:tc>
          <w:tcPr>
            <w:tcW w:w="1418" w:type="dxa"/>
            <w:noWrap w:val="0"/>
            <w:vAlign w:val="center"/>
          </w:tcPr>
          <w:p>
            <w:pPr>
              <w:widowControl/>
              <w:spacing w:line="360" w:lineRule="auto"/>
              <w:ind w:firstLine="480"/>
              <w:jc w:val="center"/>
              <w:rPr>
                <w:rFonts w:hint="eastAsia" w:ascii="宋体" w:cs="宋体"/>
                <w:color w:val="000000" w:themeColor="text1"/>
                <w:kern w:val="0"/>
                <w:sz w:val="22"/>
                <w:szCs w:val="22"/>
                <w:lang w:bidi="ar-SA"/>
                <w14:textFill>
                  <w14:solidFill>
                    <w14:schemeClr w14:val="tx1"/>
                  </w14:solidFill>
                </w14:textFill>
              </w:rPr>
            </w:pPr>
          </w:p>
        </w:tc>
      </w:tr>
    </w:tbl>
    <w:p>
      <w:pPr>
        <w:spacing w:line="360" w:lineRule="auto"/>
        <w:ind w:firstLine="480"/>
        <w:rPr>
          <w:color w:val="000000" w:themeColor="text1"/>
          <w:sz w:val="24"/>
          <w14:textFill>
            <w14:solidFill>
              <w14:schemeClr w14:val="tx1"/>
            </w14:solidFill>
          </w14:textFill>
        </w:rPr>
      </w:pPr>
      <w:bookmarkStart w:id="323" w:name="_Toc524701633"/>
      <w:bookmarkStart w:id="324" w:name="_Toc504829730"/>
      <w:r>
        <w:rPr>
          <w:rFonts w:hint="eastAsia"/>
          <w:color w:val="000000" w:themeColor="text1"/>
          <w:sz w:val="24"/>
          <w14:textFill>
            <w14:solidFill>
              <w14:schemeClr w14:val="tx1"/>
            </w14:solidFill>
          </w14:textFill>
        </w:rPr>
        <w:t>3.合同货物的权属及使用。</w:t>
      </w:r>
      <w:bookmarkEnd w:id="323"/>
      <w:bookmarkEnd w:id="324"/>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单项验收前，未经中标人允许，使用方不得擅自使用中标人尚在安装、调试中的设备，否则，因此造成的设备损坏等责任由使用方承担相应损失的赔偿；</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单项验收前，中标人各设备安装、调试完毕后，应指导各使用方对各设备进行试运行，试运行发现设备问题，中标人应及时进行更换；</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单项验收合格后，《大邑县教育局2021年度部分学校信息化设备（第二批）政府采购项目（招标编号XXXX）合同货物明细表》载明的货物所有权、使用权为对应的使用方自动获取，但是，在设备和系统的使用中，如果中标人未按《培训方案》的要求对管理员进行 “设备（系统）的基本工作原理、设备（系统）的安装调试及常规应用设置、日常维护保养的注意事项”等方面的知识、技能的培训，未对普通使用者（普通教师）进行“设备（系统）的使用、常规维护、设备保养及使用注意事项”等使用方面的知识、技能培训，因此造成的设备、系统损坏等责任由中标人负责并承担相应损失。</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中标人已执行《培训方案》且获得使用方的认可，但使用方未按照相应规程进行操作致设备和系统损坏的，由使用方承担全部损失。</w:t>
      </w:r>
    </w:p>
    <w:p>
      <w:pPr>
        <w:spacing w:line="360" w:lineRule="auto"/>
        <w:ind w:firstLine="480"/>
        <w:rPr>
          <w:color w:val="000000" w:themeColor="text1"/>
          <w:sz w:val="24"/>
          <w14:textFill>
            <w14:solidFill>
              <w14:schemeClr w14:val="tx1"/>
            </w14:solidFill>
          </w14:textFill>
        </w:rPr>
      </w:pPr>
      <w:bookmarkStart w:id="325" w:name="_Toc524701634"/>
      <w:bookmarkStart w:id="326" w:name="_Toc504829731"/>
      <w:r>
        <w:rPr>
          <w:rFonts w:hint="eastAsia"/>
          <w:color w:val="000000" w:themeColor="text1"/>
          <w:sz w:val="24"/>
          <w14:textFill>
            <w14:solidFill>
              <w14:schemeClr w14:val="tx1"/>
            </w14:solidFill>
          </w14:textFill>
        </w:rPr>
        <w:t>4.合同货物的变更。</w:t>
      </w:r>
      <w:bookmarkEnd w:id="325"/>
      <w:bookmarkEnd w:id="326"/>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货物的制造商因“破产、倒闭、被兼并、灾害事故、被国家相关勒令停止生产”等因素致无法向采购人按合同进行供货时，中标人向采购人出具有效证明文件，采购人、中标人双方可以通过协商，在完成相关程序手续后方可进行合同货物的变更，变更后的货物，其“规格及技术参数、数量”不得低于《响应文件》，合同总价不变。</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合同货物因</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产品升级换代</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等因素无法向采购人按</w:t>
      </w:r>
      <w:r>
        <w:rPr>
          <w:rFonts w:hint="eastAsia"/>
          <w:color w:val="000000" w:themeColor="text1"/>
          <w:sz w:val="24"/>
          <w14:textFill>
            <w14:solidFill>
              <w14:schemeClr w14:val="tx1"/>
            </w14:solidFill>
          </w14:textFill>
        </w:rPr>
        <w:t>合同进行供货时，中标人向采购人出具有效证明文件，采购人、中标人双方可以通过协商，在完成相关程序手续后方可进行合同货物的变更，变更后的货物，其“规格及技术参数、数量”不得低于《投标文件》，合同总价不变。</w:t>
      </w:r>
    </w:p>
    <w:p>
      <w:pPr>
        <w:spacing w:line="52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采购人及使用方按国家、行业的相关标准和规范，对中标人到场前的合同货物进行质量抽检。如果抽检的货物不符合国家、行业的相关标准和规范、有质量或安全隐患等问题，中标人须无条件地为采购人调换符合国家、行业的相关标准和规范且质量达标的物货，否则视为中标人违约</w:t>
      </w:r>
      <w:r>
        <w:rPr>
          <w:rFonts w:hint="eastAsia" w:ascii="宋体" w:hAnsi="宋体" w:eastAsia="宋体" w:cs="宋体"/>
          <w:color w:val="000000" w:themeColor="text1"/>
          <w:sz w:val="24"/>
          <w14:textFill>
            <w14:solidFill>
              <w14:schemeClr w14:val="tx1"/>
            </w14:solidFill>
          </w14:textFill>
        </w:rPr>
        <w:t>。</w:t>
      </w:r>
    </w:p>
    <w:p>
      <w:pPr>
        <w:spacing w:line="460" w:lineRule="exact"/>
        <w:ind w:firstLine="420" w:firstLineChars="175"/>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注：</w:t>
      </w:r>
      <w:r>
        <w:rPr>
          <w:rFonts w:hint="eastAsia" w:ascii="宋体" w:hAnsi="宋体" w:eastAsia="宋体" w:cs="宋体"/>
          <w:b/>
          <w:bCs/>
          <w:color w:val="000000" w:themeColor="text1"/>
          <w:sz w:val="24"/>
          <w14:textFill>
            <w14:solidFill>
              <w14:schemeClr w14:val="tx1"/>
            </w14:solidFill>
          </w14:textFill>
        </w:rPr>
        <w:t>投标人在投标文件中须明确承诺：</w:t>
      </w:r>
      <w:r>
        <w:rPr>
          <w:rFonts w:hint="eastAsia" w:ascii="宋体" w:hAnsi="宋体" w:eastAsia="宋体" w:cs="宋体"/>
          <w:b/>
          <w:bCs/>
          <w:color w:val="000000" w:themeColor="text1"/>
          <w:sz w:val="24"/>
          <w:lang w:val="en-US" w:eastAsia="zh-CN"/>
          <w14:textFill>
            <w14:solidFill>
              <w14:schemeClr w14:val="tx1"/>
            </w14:solidFill>
          </w14:textFill>
        </w:rPr>
        <w:t>按招标文件要求履行合同货物的提供、接收，满足招标文件基本的质量要求（提供承诺函原件，否则作无效投标处理）</w:t>
      </w:r>
      <w:r>
        <w:rPr>
          <w:rFonts w:hint="eastAsia" w:ascii="宋体" w:hAnsi="宋体" w:eastAsia="宋体" w:cs="宋体"/>
          <w:b/>
          <w:bCs/>
          <w:color w:val="000000" w:themeColor="text1"/>
          <w:sz w:val="24"/>
          <w14:textFill>
            <w14:solidFill>
              <w14:schemeClr w14:val="tx1"/>
            </w14:solidFill>
          </w14:textFill>
        </w:rPr>
        <w:t>。</w:t>
      </w:r>
    </w:p>
    <w:p>
      <w:pPr>
        <w:pStyle w:val="4"/>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六</w:t>
      </w:r>
      <w:r>
        <w:rPr>
          <w:rFonts w:hint="eastAsia" w:ascii="宋体" w:hAnsi="宋体" w:eastAsia="宋体" w:cs="宋体"/>
          <w:color w:val="000000" w:themeColor="text1"/>
          <w:sz w:val="24"/>
          <w:szCs w:val="24"/>
          <w14:textFill>
            <w14:solidFill>
              <w14:schemeClr w14:val="tx1"/>
            </w14:solidFill>
          </w14:textFill>
        </w:rPr>
        <w:t>、实施方案、培训方案及售后方案</w:t>
      </w:r>
    </w:p>
    <w:p>
      <w:pPr>
        <w:spacing w:line="360" w:lineRule="auto"/>
        <w:ind w:firstLine="480"/>
        <w:rPr>
          <w:rFonts w:hint="eastAsia"/>
          <w:color w:val="000000" w:themeColor="text1"/>
          <w:sz w:val="24"/>
          <w14:textFill>
            <w14:solidFill>
              <w14:schemeClr w14:val="tx1"/>
            </w14:solidFill>
          </w14:textFill>
        </w:rPr>
      </w:pPr>
      <w:bookmarkStart w:id="327" w:name="_Toc524701639"/>
      <w:bookmarkStart w:id="328" w:name="_Toc504829733"/>
      <w:r>
        <w:rPr>
          <w:rFonts w:hint="eastAsia"/>
          <w:color w:val="000000" w:themeColor="text1"/>
          <w:sz w:val="24"/>
          <w14:textFill>
            <w14:solidFill>
              <w14:schemeClr w14:val="tx1"/>
            </w14:solidFill>
          </w14:textFill>
        </w:rPr>
        <w:t>（一）实施方案</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包括内容</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①实施标准及工艺②实施进度安排③项目安全措施④质量控制措施⑤应急方案⑥项目自验措施。</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基本要求</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1）线缆桥架安装要求：</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根据施工图确定始端到终端位置，沿图纸标定走向，找好水平、垂直、弯通，用粉线袋或画线沿桥架走向在墙壁、顶棚、地面、梁、板、柱等处弹线或画线，并均匀档距画出支、吊、托架位置。</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根据支架承受的荷重，选择相应的膨胀螺栓及钻头；埋好螺栓后，可用螺母配上相应的垫圈将支架或吊架直接固定在金属膨胀螺栓上。</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支架与吊架应安装牢固，保证横平竖直，在有坡度的建筑物上安装支架与吊架应与建筑物的坡度、角度一致；支架与吊架的规格一般不应小于扁钢30mm*3mm；角钢25mm*25mm*3mm。</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线缆桥架水平敷设时，支撑跨距一般为1.5～3m，电缆桥架垂直敷设时固定点间距不宜大于2m。桥架与支架间螺栓、桥架连接板螺栓紧固无遗漏，螺母位于桥架外侧，金属电缆桥架及其支架引入或引出的金属电缆导管必须接地（PE）或接零（PEN）可靠。</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线缆敷设应根据用电设备位置，由里到外整齐排列；对于使用电缆规格相同的设备，放缆时应先远后近；</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线缆敷设时，双绞线的弯曲半径应至少为电缆外径的4倍；光纤的弯曲半径应至少为光缆外径的10倍；主干电源线（室外）须杜绝有地面下接头的现象；</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线缆头应采用“压接法”制作，制作前应校对并对其物理性能进行粗测；对不同功能的电缆可用摇表、万用表等设备进行测量；如果有四对UTP双绞线，必要时打上模块实测；</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制作电缆头前，根据连接的设备、模块考虑电缆的预留余量；电缆头两端导线压接接线端子后必须包扎良好；</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电缆进入配电箱（柜）内应剥去电缆外层保护皮，并用尼龙扎带等加以固定；</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线耳压接完毕后均应彻底清理干净，并包扎与“相序”一致的色带；</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线缆敷设中须做到走线规范、标识清晰；每敷设一条光纤、网线或电源线路，都必须在线缆头、尾上系（绑）挂包含（但不限于）“回路编号、对应首端、对应末端”等信息的铭牌或类似标识。标识须清晰、不掉色且须记录、整理成电子文档交用户备查；</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线管敷设：立地安装的线管须采用金属线管及立地高度不得低于2米；金属管槽须根据工程环境要求作镀锌或其他防腐处理；强弱电线管间距不得低于130mm；</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音柱安装要求：</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教室（功能室）为IP音柱，安装于教室讲台左右两侧上方，安装高度不低于2.2米，安装前须检查墙体，安装牢固；</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过道为室内音柱，安装于过道靠教室一侧的墙壁，安装高度不低于2.2米，安装前须检查墙体，安装牢固；</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室外为防水音柱，安装在相应建筑外墙，离地高度不小于5米、不超过10米，避让（可能有的）强电接线柱等影响设备安全、声音传播的障碍物。</w:t>
      </w:r>
    </w:p>
    <w:p>
      <w:pPr>
        <w:pStyle w:val="2"/>
        <w:ind w:firstLine="480" w:firstLineChars="200"/>
        <w:rPr>
          <w:rFonts w:hint="eastAsia" w:ascii="Times New Roman" w:hAnsi="Times New Roman"/>
          <w:color w:val="000000" w:themeColor="text1"/>
          <w:kern w:val="2"/>
          <w:sz w:val="24"/>
          <w:szCs w:val="24"/>
          <w14:textFill>
            <w14:solidFill>
              <w14:schemeClr w14:val="tx1"/>
            </w14:solidFill>
          </w14:textFill>
        </w:rPr>
      </w:pPr>
      <w:r>
        <w:rPr>
          <w:rFonts w:hint="eastAsia" w:ascii="Times New Roman" w:hAnsi="Times New Roman"/>
          <w:color w:val="000000" w:themeColor="text1"/>
          <w:kern w:val="2"/>
          <w:sz w:val="24"/>
          <w:szCs w:val="24"/>
          <w14:textFill>
            <w14:solidFill>
              <w14:schemeClr w14:val="tx1"/>
            </w14:solidFill>
          </w14:textFill>
        </w:rPr>
        <w:t>3）其它要求</w:t>
      </w:r>
    </w:p>
    <w:p>
      <w:pPr>
        <w:pStyle w:val="2"/>
        <w:ind w:firstLine="480" w:firstLineChars="200"/>
        <w:rPr>
          <w:rFonts w:hint="eastAsia" w:ascii="Times New Roman" w:hAnsi="Times New Roman"/>
          <w:color w:val="000000" w:themeColor="text1"/>
          <w:kern w:val="2"/>
          <w:sz w:val="24"/>
          <w:szCs w:val="24"/>
          <w14:textFill>
            <w14:solidFill>
              <w14:schemeClr w14:val="tx1"/>
            </w14:solidFill>
          </w14:textFill>
        </w:rPr>
      </w:pPr>
      <w:r>
        <w:rPr>
          <w:rFonts w:hint="eastAsia" w:ascii="Times New Roman" w:hAnsi="Times New Roman"/>
          <w:color w:val="000000" w:themeColor="text1"/>
          <w:kern w:val="2"/>
          <w:sz w:val="24"/>
          <w:szCs w:val="24"/>
          <w14:textFill>
            <w14:solidFill>
              <w14:schemeClr w14:val="tx1"/>
            </w14:solidFill>
          </w14:textFill>
        </w:rPr>
        <w:t>中标人在综合布线时，应充分利用学校现有管网进行贯穿，必须铺设的管线在走线（管槽）时要尽量减少对学校校容、风格的负面影响；</w:t>
      </w:r>
    </w:p>
    <w:p>
      <w:pPr>
        <w:pStyle w:val="2"/>
        <w:ind w:firstLine="480" w:firstLineChars="200"/>
        <w:rPr>
          <w:rFonts w:hint="eastAsia" w:ascii="Times New Roman" w:hAnsi="Times New Roman"/>
          <w:color w:val="000000" w:themeColor="text1"/>
          <w:kern w:val="2"/>
          <w:sz w:val="24"/>
          <w:szCs w:val="24"/>
          <w14:textFill>
            <w14:solidFill>
              <w14:schemeClr w14:val="tx1"/>
            </w14:solidFill>
          </w14:textFill>
        </w:rPr>
      </w:pPr>
      <w:r>
        <w:rPr>
          <w:rFonts w:hint="eastAsia" w:ascii="Times New Roman" w:hAnsi="Times New Roman"/>
          <w:color w:val="000000" w:themeColor="text1"/>
          <w:kern w:val="2"/>
          <w:sz w:val="24"/>
          <w:szCs w:val="24"/>
          <w14:textFill>
            <w14:solidFill>
              <w14:schemeClr w14:val="tx1"/>
            </w14:solidFill>
          </w14:textFill>
        </w:rPr>
        <w:t>凡涉及墙面安装的设备（设施），在安装时须充分考虑空心砖墙体的承重等安全因素，安装设备时要做到安全、稳固。</w:t>
      </w:r>
    </w:p>
    <w:p>
      <w:pPr>
        <w:pStyle w:val="2"/>
        <w:ind w:firstLine="480" w:firstLineChars="200"/>
        <w:rPr>
          <w:rFonts w:hint="eastAsia" w:ascii="Times New Roman" w:hAnsi="Times New Roman"/>
          <w:color w:val="000000" w:themeColor="text1"/>
          <w:kern w:val="2"/>
          <w:sz w:val="24"/>
          <w:szCs w:val="24"/>
          <w14:textFill>
            <w14:solidFill>
              <w14:schemeClr w14:val="tx1"/>
            </w14:solidFill>
          </w14:textFill>
        </w:rPr>
      </w:pPr>
      <w:r>
        <w:rPr>
          <w:rFonts w:hint="eastAsia" w:ascii="Times New Roman" w:hAnsi="Times New Roman"/>
          <w:color w:val="000000" w:themeColor="text1"/>
          <w:kern w:val="2"/>
          <w:sz w:val="24"/>
          <w:szCs w:val="24"/>
          <w14:textFill>
            <w14:solidFill>
              <w14:schemeClr w14:val="tx1"/>
            </w14:solidFill>
          </w14:textFill>
        </w:rPr>
        <w:t>本次建设在原有管线基础上要加装新管电线、网线等线路，须对照暗线相应标准施工；</w:t>
      </w:r>
    </w:p>
    <w:p>
      <w:pPr>
        <w:pStyle w:val="2"/>
        <w:ind w:firstLine="480" w:firstLineChars="200"/>
        <w:rPr>
          <w:rFonts w:hint="eastAsia" w:ascii="Times New Roman" w:hAnsi="Times New Roman"/>
          <w:color w:val="000000" w:themeColor="text1"/>
          <w:kern w:val="2"/>
          <w:sz w:val="24"/>
          <w:szCs w:val="24"/>
          <w14:textFill>
            <w14:solidFill>
              <w14:schemeClr w14:val="tx1"/>
            </w14:solidFill>
          </w14:textFill>
        </w:rPr>
      </w:pPr>
      <w:r>
        <w:rPr>
          <w:rFonts w:hint="eastAsia" w:ascii="Times New Roman" w:hAnsi="Times New Roman"/>
          <w:color w:val="000000" w:themeColor="text1"/>
          <w:kern w:val="2"/>
          <w:sz w:val="24"/>
          <w:szCs w:val="24"/>
          <w14:textFill>
            <w14:solidFill>
              <w14:schemeClr w14:val="tx1"/>
            </w14:solidFill>
          </w14:textFill>
        </w:rPr>
        <w:t>在安装过程中，货物质量出现问题，中标人应负责三包（包修、包换、包退），费用由中标人负担，采购人有权实地了解和检查中标人的货物质量和供货进度。</w:t>
      </w:r>
    </w:p>
    <w:bookmarkEnd w:id="327"/>
    <w:bookmarkEnd w:id="328"/>
    <w:p>
      <w:pPr>
        <w:spacing w:line="360" w:lineRule="auto"/>
        <w:ind w:firstLine="480"/>
        <w:rPr>
          <w:color w:val="000000" w:themeColor="text1"/>
          <w:sz w:val="24"/>
          <w14:textFill>
            <w14:solidFill>
              <w14:schemeClr w14:val="tx1"/>
            </w14:solidFill>
          </w14:textFill>
        </w:rPr>
      </w:pPr>
      <w:bookmarkStart w:id="329" w:name="_Toc524701641"/>
      <w:r>
        <w:rPr>
          <w:rFonts w:hint="eastAsia"/>
          <w:color w:val="000000" w:themeColor="text1"/>
          <w:sz w:val="24"/>
          <w14:textFill>
            <w14:solidFill>
              <w14:schemeClr w14:val="tx1"/>
            </w14:solidFill>
          </w14:textFill>
        </w:rPr>
        <w:t>（二）培训方案</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bookmarkEnd w:id="329"/>
      <w:r>
        <w:rPr>
          <w:rFonts w:hint="eastAsia"/>
          <w:color w:val="000000" w:themeColor="text1"/>
          <w:sz w:val="24"/>
          <w14:textFill>
            <w14:solidFill>
              <w14:schemeClr w14:val="tx1"/>
            </w14:solidFill>
          </w14:textFill>
        </w:rPr>
        <w:t>.包括内容</w:t>
      </w:r>
    </w:p>
    <w:p>
      <w:pPr>
        <w:spacing w:line="360" w:lineRule="auto"/>
        <w:ind w:firstLine="480"/>
        <w:rPr>
          <w:color w:val="000000" w:themeColor="text1"/>
          <w:sz w:val="24"/>
          <w14:textFill>
            <w14:solidFill>
              <w14:schemeClr w14:val="tx1"/>
            </w14:solidFill>
          </w14:textFill>
        </w:rPr>
      </w:pPr>
      <w:bookmarkStart w:id="330" w:name="_Toc524701642"/>
      <w:r>
        <w:rPr>
          <w:rFonts w:hint="eastAsia"/>
          <w:color w:val="000000" w:themeColor="text1"/>
          <w:sz w:val="24"/>
          <w14:textFill>
            <w14:solidFill>
              <w14:schemeClr w14:val="tx1"/>
            </w14:solidFill>
          </w14:textFill>
        </w:rPr>
        <w:t>① 培训目标；② 培训讲师；③培训方式及时间安排；④ 培训资料；⑤ 培训效果评价（检测）措施；⑥对老师跟踪培训措施。</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2.基本要求。</w:t>
      </w:r>
      <w:bookmarkEnd w:id="330"/>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对管理员“设备（系统）的基本工作原理、设备（系统）的安装调试及常规应用设置、日常维护保养的注意事项”等知识、技能培训不少于3学时。对管理员培训后，中标人应通过相应的检测、评判措施，促使管理员完全掌握培训所学到的知识、技能。</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中标人对普通使用者（普通教师）培训人数应达到使用者的100%、时间不少于1天（6学时）。对普通使用者进行培训后，中标人应通过相应的检测、评判措施，促使管理员完全掌握培训所学到的知识、技能。</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培训可分为“各校分散培训”或“全县集中培训”。具体的培训时间、地点、方式，中标人与采购人或使用方进行协调确定。 </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（三）售后方案</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1.包括内容：</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①响应机制②响应保障措施③备件供应④售后巡检方案⑤售后二维码⑥售后现场服务能力。</w:t>
      </w:r>
    </w:p>
    <w:p>
      <w:pPr>
        <w:spacing w:line="360" w:lineRule="auto"/>
        <w:ind w:firstLine="480"/>
        <w:rPr>
          <w:color w:val="000000" w:themeColor="text1"/>
          <w:sz w:val="24"/>
          <w14:textFill>
            <w14:solidFill>
              <w14:schemeClr w14:val="tx1"/>
            </w14:solidFill>
          </w14:textFill>
        </w:rPr>
      </w:pPr>
      <w:r>
        <w:rPr>
          <w:rFonts w:hint="eastAsia" w:ascii="宋体" w:cs="宋体"/>
          <w:color w:val="000000" w:themeColor="text1"/>
          <w:sz w:val="24"/>
          <w:lang w:bidi="ar-SA"/>
          <w14:textFill>
            <w14:solidFill>
              <w14:schemeClr w14:val="tx1"/>
            </w14:solidFill>
          </w14:textFill>
        </w:rPr>
        <w:t>2.基本要求：</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整体售后服务年限：</w:t>
      </w:r>
      <w:r>
        <w:rPr>
          <w:color w:val="000000" w:themeColor="text1"/>
          <w:sz w:val="24"/>
          <w14:textFill>
            <w14:solidFill>
              <w14:schemeClr w14:val="tx1"/>
            </w14:solidFill>
          </w14:textFill>
        </w:rPr>
        <w:t>三年</w:t>
      </w:r>
      <w:r>
        <w:rPr>
          <w:rFonts w:hint="eastAsia"/>
          <w:color w:val="000000" w:themeColor="text1"/>
          <w:sz w:val="24"/>
          <w14:textFill>
            <w14:solidFill>
              <w14:schemeClr w14:val="tx1"/>
            </w14:solidFill>
          </w14:textFill>
        </w:rPr>
        <w:t>。</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中标人提供7*24小时服务，从接到使用方报修信息（电话、网络报修或其它通讯信息）起，在4小时内修复设备，使报修设备相关的硬件、软件系统正常运行。</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若中标人在4小时内无法修复设备，须在8个小时（含确定故障时间）内提供与原机（件）相同或经用户认可的相近档次备机（件）替换报修设备，以保证报修设备所在的硬件、软件系统正常运行。</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中标人须有明确的备机（件）的库存设定，并在质保期内无偿地满足使用方的需求。</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中标人因备机（件）因停产等原因致零库存，在与使用方协商并经使用方同意且能确保报修设备所在的硬件、软件系统在使用替代的备机（件）后能正常运行的前提下，提供与报修设备相近档次的备机（件）。</w:t>
      </w:r>
    </w:p>
    <w:p>
      <w:pPr>
        <w:tabs>
          <w:tab w:val="left" w:pos="8400"/>
        </w:tabs>
        <w:spacing w:line="360" w:lineRule="auto"/>
        <w:ind w:firstLine="480"/>
        <w:rPr>
          <w:rFonts w:hint="eastAsia"/>
          <w:color w:val="000000" w:themeColor="text1"/>
          <w:sz w:val="24"/>
          <w:highlight w:val="none"/>
          <w14:textFill>
            <w14:solidFill>
              <w14:schemeClr w14:val="tx1"/>
            </w14:solidFill>
          </w14:textFill>
        </w:rPr>
      </w:pPr>
      <w:r>
        <w:rPr>
          <w:rFonts w:hint="eastAsia"/>
          <w:color w:val="000000" w:themeColor="text1"/>
          <w:sz w:val="24"/>
          <w14:textFill>
            <w14:solidFill>
              <w14:schemeClr w14:val="tx1"/>
            </w14:solidFill>
          </w14:textFill>
        </w:rPr>
        <w:t>中标人应收集、整理售后服务的相关资料（包含“报修日期、报修单位、报修人、报修方式、报修人联系方式、报修设备名称、接件人信息、维修维护人信息、报修设备的处置</w:t>
      </w:r>
      <w:r>
        <w:rPr>
          <w:rFonts w:hint="eastAsia"/>
          <w:color w:val="000000" w:themeColor="text1"/>
          <w:sz w:val="24"/>
          <w:highlight w:val="none"/>
          <w14:textFill>
            <w14:solidFill>
              <w14:schemeClr w14:val="tx1"/>
            </w14:solidFill>
          </w14:textFill>
        </w:rPr>
        <w:t>方式、报修设备的处置结果、报修设备处置完结的时间、报修单位盖章、报修人签字”等在内），此资料将作为采购人向中标人支付“售后服务费”的支撑材料。</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售后服务期限内</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安仁中学广播系统在高考和中考时使用期间，中标人须派人员到现场进行技术保障，保障高考和中考顺利进行</w:t>
      </w:r>
      <w:r>
        <w:rPr>
          <w:rFonts w:hint="eastAsia"/>
          <w:color w:val="000000" w:themeColor="text1"/>
          <w:sz w:val="24"/>
          <w:highlight w:val="none"/>
          <w14:textFill>
            <w14:solidFill>
              <w14:schemeClr w14:val="tx1"/>
            </w14:solidFill>
          </w14:textFill>
        </w:rPr>
        <w:t>。（投标人需提供承诺函）</w:t>
      </w:r>
      <w:r>
        <w:rPr>
          <w:rFonts w:hint="eastAsia" w:ascii="宋体" w:hAnsi="宋体" w:eastAsia="宋体" w:cs="宋体"/>
          <w:color w:val="000000" w:themeColor="text1"/>
          <w:sz w:val="24"/>
          <w14:textFill>
            <w14:solidFill>
              <w14:schemeClr w14:val="tx1"/>
            </w14:solidFill>
          </w14:textFill>
        </w:rPr>
        <w:t>。</w:t>
      </w:r>
    </w:p>
    <w:p>
      <w:pPr>
        <w:pStyle w:val="4"/>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七</w:t>
      </w:r>
      <w:r>
        <w:rPr>
          <w:rFonts w:hint="eastAsia" w:ascii="宋体" w:hAnsi="宋体" w:eastAsia="宋体" w:cs="宋体"/>
          <w:color w:val="000000" w:themeColor="text1"/>
          <w:sz w:val="24"/>
          <w:szCs w:val="24"/>
          <w14:textFill>
            <w14:solidFill>
              <w14:schemeClr w14:val="tx1"/>
            </w14:solidFill>
          </w14:textFill>
        </w:rPr>
        <w:t>、★商务要求</w:t>
      </w:r>
    </w:p>
    <w:p>
      <w:pPr>
        <w:spacing w:line="360" w:lineRule="auto"/>
        <w:ind w:firstLine="480"/>
        <w:rPr>
          <w:rFonts w:hint="eastAsia"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（一）工期</w:t>
      </w:r>
    </w:p>
    <w:p>
      <w:pPr>
        <w:spacing w:line="360" w:lineRule="auto"/>
        <w:ind w:firstLine="48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中</w:t>
      </w:r>
      <w:r>
        <w:rPr>
          <w:rFonts w:hint="eastAsia"/>
          <w:color w:val="000000" w:themeColor="text1"/>
          <w:sz w:val="24"/>
          <w:highlight w:val="none"/>
          <w14:textFill>
            <w14:solidFill>
              <w14:schemeClr w14:val="tx1"/>
            </w14:solidFill>
          </w14:textFill>
        </w:rPr>
        <w:t>标人在正式签订本项目合同后的</w:t>
      </w:r>
      <w:r>
        <w:rPr>
          <w:color w:val="000000" w:themeColor="text1"/>
          <w:sz w:val="24"/>
          <w:highlight w:val="none"/>
          <w14:textFill>
            <w14:solidFill>
              <w14:schemeClr w14:val="tx1"/>
            </w14:solidFill>
          </w14:textFill>
        </w:rPr>
        <w:t>30</w:t>
      </w:r>
      <w:r>
        <w:rPr>
          <w:rFonts w:hint="eastAsia"/>
          <w:color w:val="000000" w:themeColor="text1"/>
          <w:sz w:val="24"/>
          <w:highlight w:val="none"/>
          <w14:textFill>
            <w14:solidFill>
              <w14:schemeClr w14:val="tx1"/>
            </w14:solidFill>
          </w14:textFill>
        </w:rPr>
        <w:t>个日历日内，完成合同项目涉及设备运输、安装、调试和运行致使用方能正常使用。</w:t>
      </w:r>
    </w:p>
    <w:p>
      <w:pPr>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如遇使用方修建、迁建等原因改变既定实施方案导致实施无法正常进行；使用方自行要求改变《使用方实施方案》，致中标人不能按计划实施；使用方无正常理由阻扰中标人周末或夜间实施；在实施中如因停电8小时以上或连续间歇性停电3天以上（每次连续停电4小时以上），影响中标人正常实施；不可抗力因素，建设期限相应增加</w:t>
      </w:r>
    </w:p>
    <w:p>
      <w:pPr>
        <w:spacing w:line="360" w:lineRule="auto"/>
        <w:ind w:firstLine="48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非客观原因或非采购人的原因，《实施方案》的执行周期（含因验收不合格而约定的整改周期）超过1倍本合同约定的完工日期（30个日历日）即“60个日历日”的，视为中标人违约。</w:t>
      </w:r>
    </w:p>
    <w:p>
      <w:pPr>
        <w:pStyle w:val="12"/>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（二）合同款的支付</w:t>
      </w:r>
    </w:p>
    <w:p>
      <w:pPr>
        <w:spacing w:line="360" w:lineRule="auto"/>
        <w:ind w:firstLine="480"/>
        <w:rPr>
          <w:color w:val="000000" w:themeColor="text1"/>
          <w:sz w:val="24"/>
          <w:highlight w:val="none"/>
          <w14:textFill>
            <w14:solidFill>
              <w14:schemeClr w14:val="tx1"/>
            </w14:solidFill>
          </w14:textFill>
        </w:rPr>
      </w:pPr>
      <w:bookmarkStart w:id="331" w:name="_Toc504829744"/>
      <w:bookmarkStart w:id="332" w:name="_Toc524701659"/>
      <w:r>
        <w:rPr>
          <w:rFonts w:hint="eastAsia"/>
          <w:color w:val="000000" w:themeColor="text1"/>
          <w:sz w:val="24"/>
          <w:highlight w:val="none"/>
          <w14:textFill>
            <w14:solidFill>
              <w14:schemeClr w14:val="tx1"/>
            </w14:solidFill>
          </w14:textFill>
        </w:rPr>
        <w:t>1.合同款的组成。</w:t>
      </w:r>
      <w:bookmarkEnd w:id="331"/>
      <w:bookmarkEnd w:id="332"/>
    </w:p>
    <w:p>
      <w:pPr>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合同款由“首批建设费用（占合同总价的90%）”、“培训服务费（占合同总价的5%）”、 “售后服务费（占合同总价的5%）”3个部分组成。</w:t>
      </w:r>
    </w:p>
    <w:p>
      <w:pPr>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2.合同款的支付。</w:t>
      </w:r>
    </w:p>
    <w:p>
      <w:pPr>
        <w:spacing w:line="360" w:lineRule="auto"/>
        <w:ind w:firstLine="480"/>
        <w:rPr>
          <w:color w:val="000000" w:themeColor="text1"/>
          <w:sz w:val="24"/>
          <w14:textFill>
            <w14:solidFill>
              <w14:schemeClr w14:val="tx1"/>
            </w14:solidFill>
          </w14:textFill>
        </w:rPr>
      </w:pPr>
      <w:bookmarkStart w:id="333" w:name="_Toc524701661"/>
      <w:r>
        <w:rPr>
          <w:rFonts w:hint="eastAsia"/>
          <w:color w:val="000000" w:themeColor="text1"/>
          <w:sz w:val="24"/>
          <w14:textFill>
            <w14:solidFill>
              <w14:schemeClr w14:val="tx1"/>
            </w14:solidFill>
          </w14:textFill>
        </w:rPr>
        <w:t xml:space="preserve"> “首批建设费用”的支付</w:t>
      </w:r>
      <w:bookmarkEnd w:id="333"/>
      <w:r>
        <w:rPr>
          <w:rFonts w:hint="eastAsia"/>
          <w:color w:val="000000" w:themeColor="text1"/>
          <w:sz w:val="24"/>
          <w14:textFill>
            <w14:solidFill>
              <w14:schemeClr w14:val="tx1"/>
            </w14:solidFill>
          </w14:textFill>
        </w:rPr>
        <w:t>：“整体验收合格”后，中标人提出支付“首批建设费用”的书面申请，经采购人审签认定后，待财政局将合同款划拨到采购人账户后，自收到发票后</w:t>
      </w:r>
      <w:r>
        <w:rPr>
          <w:color w:val="000000" w:themeColor="text1"/>
          <w:sz w:val="24"/>
          <w14:textFill>
            <w14:solidFill>
              <w14:schemeClr w14:val="tx1"/>
            </w14:solidFill>
          </w14:textFill>
        </w:rPr>
        <w:t>15</w:t>
      </w:r>
      <w:r>
        <w:rPr>
          <w:rFonts w:hint="eastAsia"/>
          <w:color w:val="000000" w:themeColor="text1"/>
          <w:sz w:val="24"/>
          <w14:textFill>
            <w14:solidFill>
              <w14:schemeClr w14:val="tx1"/>
            </w14:solidFill>
          </w14:textFill>
        </w:rPr>
        <w:t xml:space="preserve">个日历日内向中标人支付“首批建设费用”。 </w:t>
      </w:r>
    </w:p>
    <w:p>
      <w:pPr>
        <w:spacing w:line="360" w:lineRule="auto"/>
        <w:ind w:firstLine="480"/>
        <w:rPr>
          <w:color w:val="000000" w:themeColor="text1"/>
          <w:sz w:val="24"/>
          <w14:textFill>
            <w14:solidFill>
              <w14:schemeClr w14:val="tx1"/>
            </w14:solidFill>
          </w14:textFill>
        </w:rPr>
      </w:pPr>
      <w:bookmarkStart w:id="334" w:name="_Toc524701662"/>
      <w:r>
        <w:rPr>
          <w:rFonts w:hint="eastAsia"/>
          <w:color w:val="000000" w:themeColor="text1"/>
          <w:sz w:val="24"/>
          <w14:textFill>
            <w14:solidFill>
              <w14:schemeClr w14:val="tx1"/>
            </w14:solidFill>
          </w14:textFill>
        </w:rPr>
        <w:t xml:space="preserve">  “应用培训服务费”的支付</w:t>
      </w:r>
      <w:bookmarkEnd w:id="334"/>
      <w:r>
        <w:rPr>
          <w:rFonts w:hint="eastAsia"/>
          <w:color w:val="000000" w:themeColor="text1"/>
          <w:sz w:val="24"/>
          <w14:textFill>
            <w14:solidFill>
              <w14:schemeClr w14:val="tx1"/>
            </w14:solidFill>
          </w14:textFill>
        </w:rPr>
        <w:t>：执行完《培训方案》所有内容且经使用方验收合格，中标人提出支付“应用培训服务费”的书面申请，经采购人审签认定后，待财政局将合同款划拨到采购人账户后，自收到发票后</w:t>
      </w:r>
      <w:r>
        <w:rPr>
          <w:color w:val="000000" w:themeColor="text1"/>
          <w:sz w:val="24"/>
          <w14:textFill>
            <w14:solidFill>
              <w14:schemeClr w14:val="tx1"/>
            </w14:solidFill>
          </w14:textFill>
        </w:rPr>
        <w:t>15</w:t>
      </w:r>
      <w:r>
        <w:rPr>
          <w:rFonts w:hint="eastAsia"/>
          <w:color w:val="000000" w:themeColor="text1"/>
          <w:sz w:val="24"/>
          <w14:textFill>
            <w14:solidFill>
              <w14:schemeClr w14:val="tx1"/>
            </w14:solidFill>
          </w14:textFill>
        </w:rPr>
        <w:t>个日历日内，向中标人支付“应用培训服务费”。</w:t>
      </w:r>
    </w:p>
    <w:p>
      <w:pPr>
        <w:spacing w:line="360" w:lineRule="auto"/>
        <w:ind w:firstLine="480"/>
        <w:rPr>
          <w:color w:val="000000" w:themeColor="text1"/>
          <w:sz w:val="24"/>
          <w14:textFill>
            <w14:solidFill>
              <w14:schemeClr w14:val="tx1"/>
            </w14:solidFill>
          </w14:textFill>
        </w:rPr>
      </w:pPr>
      <w:bookmarkStart w:id="335" w:name="_Toc524701663"/>
      <w:r>
        <w:rPr>
          <w:rFonts w:hint="eastAsia"/>
          <w:color w:val="000000" w:themeColor="text1"/>
          <w:sz w:val="24"/>
          <w14:textFill>
            <w14:solidFill>
              <w14:schemeClr w14:val="tx1"/>
            </w14:solidFill>
          </w14:textFill>
        </w:rPr>
        <w:t>“售后服务费”的支付</w:t>
      </w:r>
      <w:bookmarkEnd w:id="335"/>
      <w:r>
        <w:rPr>
          <w:rFonts w:hint="eastAsia"/>
          <w:color w:val="000000" w:themeColor="text1"/>
          <w:sz w:val="24"/>
          <w14:textFill>
            <w14:solidFill>
              <w14:schemeClr w14:val="tx1"/>
            </w14:solidFill>
          </w14:textFill>
        </w:rPr>
        <w:t>：“整体验收合格”后三年，中标人按《售后服务方案》进行执行且具备售后服务的相关资料（包含但不限于“报修日期、报修单位、报修人、报修方式、报修人联系方式、报修设备名称、接件人信息、维修维护人信息、报修设备的处置方式、报修设备的处置结果、报修设备处置完结的时间、报修单位盖章、报修人签字”等），由各使用方对中标人的售后服务水平、售后服务质量等事项进行评估与验收，所有使用方的评估与验收结论均为“合格”时，中标人向采购人提出支付“售后服务费”的书面申请，经采购人审签认定后，自收到发票后</w:t>
      </w:r>
      <w:r>
        <w:rPr>
          <w:color w:val="000000" w:themeColor="text1"/>
          <w:sz w:val="24"/>
          <w14:textFill>
            <w14:solidFill>
              <w14:schemeClr w14:val="tx1"/>
            </w14:solidFill>
          </w14:textFill>
        </w:rPr>
        <w:t>15</w:t>
      </w:r>
      <w:r>
        <w:rPr>
          <w:rFonts w:hint="eastAsia"/>
          <w:color w:val="000000" w:themeColor="text1"/>
          <w:sz w:val="24"/>
          <w14:textFill>
            <w14:solidFill>
              <w14:schemeClr w14:val="tx1"/>
            </w14:solidFill>
          </w14:textFill>
        </w:rPr>
        <w:t>个日历日内，向中标人支付“售后服务费”。</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质保期内，中标人的设备、设施或售后实施等行为非客观原因或非采购人的原因给采购人（含各使用方）的人员造成人身重大伤害或财产重大损失的，采购人100%地扣除中标人的“售后服务费”。如果此“售后服务费”不足以弥补上述损失，中标人须补齐差缺部分。</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保期内，中标人未按《售后服务方案》中（尤其是“售后服务响应时间及维修换件处置方式”）的约定进行售后服务从而致使用方书面向采购人提出投诉的，每有1次投诉，采购人按“售后服务费*1%”扣除中标人的“售后服务费”，累次扣除直至扣完为止。</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质保期到期后（以中标人承诺项目整体服务年限为准），中标人未提交所有使用方售后服务“合格”证明或经采购人多次提醒仍超过12个月未提出 “售后服务费”给付申请的，视为中标人自动放弃收取“售后服务费”。</w:t>
      </w:r>
    </w:p>
    <w:p>
      <w:pPr>
        <w:spacing w:line="360" w:lineRule="auto"/>
        <w:ind w:firstLine="480"/>
        <w:rPr>
          <w:color w:val="000000" w:themeColor="text1"/>
          <w:sz w:val="24"/>
          <w14:textFill>
            <w14:solidFill>
              <w14:schemeClr w14:val="tx1"/>
            </w14:solidFill>
          </w14:textFill>
        </w:rPr>
      </w:pPr>
      <w:bookmarkStart w:id="336" w:name="_Toc504829747"/>
      <w:bookmarkStart w:id="337" w:name="_Toc524701665"/>
      <w:r>
        <w:rPr>
          <w:rFonts w:hint="eastAsia"/>
          <w:color w:val="000000" w:themeColor="text1"/>
          <w:sz w:val="24"/>
          <w14:textFill>
            <w14:solidFill>
              <w14:schemeClr w14:val="tx1"/>
            </w14:solidFill>
          </w14:textFill>
        </w:rPr>
        <w:t>3.补充合同款给付。</w:t>
      </w:r>
      <w:bookmarkEnd w:id="336"/>
      <w:bookmarkEnd w:id="337"/>
    </w:p>
    <w:p>
      <w:pPr>
        <w:spacing w:line="360" w:lineRule="auto"/>
        <w:ind w:firstLine="480"/>
        <w:rPr>
          <w:color w:val="000000" w:themeColor="text1"/>
          <w:sz w:val="24"/>
          <w14:textFill>
            <w14:solidFill>
              <w14:schemeClr w14:val="tx1"/>
            </w14:solidFill>
          </w14:textFill>
        </w:rPr>
      </w:pPr>
      <w:bookmarkStart w:id="338" w:name="_Toc504829748"/>
      <w:bookmarkStart w:id="339" w:name="_Toc524701666"/>
      <w:r>
        <w:rPr>
          <w:rFonts w:hint="eastAsia"/>
          <w:color w:val="000000" w:themeColor="text1"/>
          <w:sz w:val="24"/>
          <w14:textFill>
            <w14:solidFill>
              <w14:schemeClr w14:val="tx1"/>
            </w14:solidFill>
          </w14:textFill>
        </w:rPr>
        <w:t>《补充合同》采购的货物按“主合同”的约定进行“单项验收”及“整体验收”。在“整体验收”合格且投中人提出书面给付申请并经甲方审签认定后后，待财政局将合同款划拨到采购人账户上，自收到发票后15个日历天内按《补充合同》总价的100%向乙方支付“补充合同款”。</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.各款项的结算凭证。</w:t>
      </w:r>
      <w:bookmarkEnd w:id="338"/>
      <w:bookmarkEnd w:id="339"/>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中标人须向采购人出具合法有效完整的完税发票及凭证资料进行各项款项的支付结算。</w:t>
      </w:r>
    </w:p>
    <w:p>
      <w:pPr>
        <w:spacing w:line="360" w:lineRule="auto"/>
        <w:ind w:firstLine="480"/>
        <w:rPr>
          <w:color w:val="000000" w:themeColor="text1"/>
          <w:sz w:val="24"/>
          <w14:textFill>
            <w14:solidFill>
              <w14:schemeClr w14:val="tx1"/>
            </w14:solidFill>
          </w14:textFill>
        </w:rPr>
      </w:pPr>
      <w:bookmarkStart w:id="340" w:name="_Toc504829737"/>
      <w:bookmarkStart w:id="341" w:name="_Toc524701645"/>
      <w:r>
        <w:rPr>
          <w:rFonts w:hint="eastAsia"/>
          <w:color w:val="000000" w:themeColor="text1"/>
          <w:sz w:val="24"/>
          <w14:textFill>
            <w14:solidFill>
              <w14:schemeClr w14:val="tx1"/>
            </w14:solidFill>
          </w14:textFill>
        </w:rPr>
        <w:t>（三）履约验收</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1.履约验收的前置条件。</w:t>
      </w:r>
      <w:bookmarkEnd w:id="340"/>
      <w:bookmarkEnd w:id="341"/>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中标人保障“大邑县教育局2021年度部分学校信息化设备（第二批）政府采购项目”正常运行，所有设备建设应遵循地方、省、国家各规范和标准。</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中标人建设完成信息化设备运输、安装和调试后，首先自验，再由项目学校试运行30天，各设备都能正常运行。</w:t>
      </w:r>
    </w:p>
    <w:p>
      <w:pPr>
        <w:spacing w:line="360" w:lineRule="auto"/>
        <w:ind w:firstLine="480"/>
        <w:rPr>
          <w:color w:val="000000" w:themeColor="text1"/>
          <w:sz w:val="24"/>
          <w14:textFill>
            <w14:solidFill>
              <w14:schemeClr w14:val="tx1"/>
            </w14:solidFill>
          </w14:textFill>
        </w:rPr>
      </w:pPr>
      <w:bookmarkStart w:id="342" w:name="_Toc504829738"/>
      <w:bookmarkStart w:id="343" w:name="_Toc524701646"/>
      <w:r>
        <w:rPr>
          <w:rFonts w:hint="eastAsia"/>
          <w:color w:val="000000" w:themeColor="text1"/>
          <w:sz w:val="24"/>
          <w14:textFill>
            <w14:solidFill>
              <w14:schemeClr w14:val="tx1"/>
            </w14:solidFill>
          </w14:textFill>
        </w:rPr>
        <w:t>2.验收环节。</w:t>
      </w:r>
      <w:bookmarkEnd w:id="342"/>
      <w:bookmarkEnd w:id="343"/>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第一个环节：中标人自验，出示自验“合格”报告；</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第二个环节：项目学校试运行，若合格出示试运行“合格”报告；</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第三个环节：项目学校组织验收，若合格出具单项验收“合格”报告；</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第四个环节：中标人提出整体验收；</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第五个环节：采购人组织专家和使用方进行验收，若合格，出具整体验收“合格”报告。</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每一个环节的验收，采购人均可能邀请财政等监督部门参与。</w:t>
      </w:r>
    </w:p>
    <w:p>
      <w:pPr>
        <w:spacing w:line="360" w:lineRule="auto"/>
        <w:ind w:firstLine="480"/>
        <w:rPr>
          <w:color w:val="000000" w:themeColor="text1"/>
          <w:sz w:val="24"/>
          <w14:textFill>
            <w14:solidFill>
              <w14:schemeClr w14:val="tx1"/>
            </w14:solidFill>
          </w14:textFill>
        </w:rPr>
      </w:pPr>
      <w:bookmarkStart w:id="344" w:name="_Toc524701647"/>
      <w:bookmarkStart w:id="345" w:name="_Toc504829739"/>
      <w:r>
        <w:rPr>
          <w:rFonts w:hint="eastAsia"/>
          <w:color w:val="000000" w:themeColor="text1"/>
          <w:sz w:val="24"/>
          <w14:textFill>
            <w14:solidFill>
              <w14:schemeClr w14:val="tx1"/>
            </w14:solidFill>
          </w14:textFill>
        </w:rPr>
        <w:t>3.验收原则。</w:t>
      </w:r>
      <w:bookmarkEnd w:id="344"/>
      <w:bookmarkEnd w:id="345"/>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依照《大邑县财政局关于印发〈大邑县政府采购项目需求论证和履约验收管理办法〉的通知》等县级及以上国家最新的有关法律法规、中标人的承诺、投标文件、合同的相关约定进行验收。</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验收过程中，如验收人员对质量要求、技术指标的解读等有相互抵触或异议的，以合同中载明的质量要求、技术指标为准进行验收。同时，采购人有权组织技术专家对合同产品的质量、性能等进行抽查。</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验收过程中，中标人提供的产品有次品、损坏或其它不符合合同约定标准的情况，中标人应配合验收组完成详尽的《验收情况记录》或由验收组、中标人双方签署的《验收事件备忘录》，此《验收情况记录》或《验收事件备忘录》将作为补全产品数额、更换不合格产品或对损坏的部件进行更换等行为的有效依据，同时，由此产生的验收时间延误及因此而产生的相关费用由中标人承担，再次验收时间相应顺延。</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单项验收过程中，中标人提供的设备如果质量缺陷经2次维修仍不能达到合同约定的质量标准的，验收方有权要求更换同质同型的全新设备。</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单项验收时中标人应将合同设备的原厂装箱清单、配件、随机工具、用户使用手册、原厂保修卡等资料收集、整理、归类后交付给使用方；中标人不能完整交付上述资料、材料的，必须负责补齐，否则视为未按合同约定交货。</w:t>
      </w:r>
    </w:p>
    <w:p>
      <w:pPr>
        <w:spacing w:line="360" w:lineRule="auto"/>
        <w:ind w:firstLine="480"/>
        <w:rPr>
          <w:color w:val="000000" w:themeColor="text1"/>
          <w:sz w:val="24"/>
          <w14:textFill>
            <w14:solidFill>
              <w14:schemeClr w14:val="tx1"/>
            </w14:solidFill>
          </w14:textFill>
        </w:rPr>
      </w:pPr>
      <w:bookmarkStart w:id="346" w:name="_Toc524701648"/>
      <w:bookmarkStart w:id="347" w:name="_Toc504829740"/>
      <w:r>
        <w:rPr>
          <w:rFonts w:hint="eastAsia"/>
          <w:color w:val="000000" w:themeColor="text1"/>
          <w:sz w:val="24"/>
          <w14:textFill>
            <w14:solidFill>
              <w14:schemeClr w14:val="tx1"/>
            </w14:solidFill>
          </w14:textFill>
        </w:rPr>
        <w:t>4.单项验收的内容。</w:t>
      </w:r>
      <w:bookmarkEnd w:id="346"/>
      <w:bookmarkEnd w:id="347"/>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中标人是否具备“履约验收的前置条件”；</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中标人提供的货物是否全新；</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中标人、使用方分别留存的《货物接收单》的数量、内容是否一致；</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标人提供设备是否与《配置方案》一致；</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标人提供操作系统是否为正版专业版</w:t>
      </w:r>
      <w:r>
        <w:rPr>
          <w:rFonts w:hint="eastAsia"/>
          <w:color w:val="000000" w:themeColor="text1"/>
          <w:sz w:val="24"/>
          <w14:textFill>
            <w14:solidFill>
              <w14:schemeClr w14:val="tx1"/>
            </w14:solidFill>
          </w14:textFill>
        </w:rPr>
        <w:t>；</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中标人执行完《使用方实施方案》后，自验设备、系统是否能正常运行；</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中标人是否将“设备的原厂装箱清单、配件、随机工具、用户使用手册、原厂保修卡”等资料收集、整理、归类后交给使用方管理员；</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汇聚处的所有接头是否有规范、对应准确、内容明晰且不褪色的标记标识；</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因综合布线、设备安装需要而破坏的地面、建筑（设施）是否还原并进行了实施场所的清理且取得使用方的认可；</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中标人是否按《培训方案》完成了管理员的培训并经使用方验收组验收；</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中标人是否按《培训方案》完成了普通使用者（上课教师）的培训经使用方验收组验收；</w:t>
      </w:r>
    </w:p>
    <w:p>
      <w:pPr>
        <w:spacing w:line="360" w:lineRule="auto"/>
        <w:ind w:firstLine="480"/>
        <w:rPr>
          <w:color w:val="000000" w:themeColor="text1"/>
          <w:sz w:val="24"/>
          <w14:textFill>
            <w14:solidFill>
              <w14:schemeClr w14:val="tx1"/>
            </w14:solidFill>
          </w14:textFill>
        </w:rPr>
      </w:pPr>
      <w:bookmarkStart w:id="348" w:name="_Toc524701649"/>
      <w:bookmarkStart w:id="349" w:name="_Toc504829741"/>
      <w:r>
        <w:rPr>
          <w:rFonts w:hint="eastAsia"/>
          <w:color w:val="000000" w:themeColor="text1"/>
          <w:sz w:val="24"/>
          <w14:textFill>
            <w14:solidFill>
              <w14:schemeClr w14:val="tx1"/>
            </w14:solidFill>
          </w14:textFill>
        </w:rPr>
        <w:t>5.整体验收。</w:t>
      </w:r>
      <w:bookmarkEnd w:id="348"/>
      <w:bookmarkEnd w:id="349"/>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“单项验收合格”后，使用方向中标人出具《单项验收合格报告》，中标人编制好履约验收报告，向采购人提出“整体验收”的书面申请，采购人、中标人双方协商确定“整体验收”日期并由采购人组织实施。</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“整体验收”时，如果中标人有以下情形，当次“整体验收”结论为“不合格”：中标人提供的设备“数量不足”或“与报价产品载明的品牌、型号及参数不一致”； 中标人实施工艺有重大安全隐患； 中标人建设的硬件不能正常运行，系统和软件非正版；非客观原因或非采购人的原因，本次采购项目的建设周期（含因验收不合格而约定的整改周期）超过1倍本合同约定的完工日期（30个日历日）即“60个日历日”； 因中标人管理不善等原因，其实施人员或设备、设施及工具在“整体验收”合格前给采购人（含各使用方）的人员造成人身重大伤害或财产重大损失；中标人因其“实施工艺有轻微缺陷”或“相关资料不齐全”，经采购人提出整改意见却不整改或整改不到位；</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“整体验收合格”后，采购人向中标人出具《大邑县政府采购货物类采购验收合格报告》。</w:t>
      </w:r>
    </w:p>
    <w:p>
      <w:pPr>
        <w:spacing w:line="360" w:lineRule="auto"/>
        <w:ind w:firstLine="480" w:firstLineChars="200"/>
        <w:rPr>
          <w:rFonts w:hint="eastAsia" w:ascii="宋体" w:hAnsi="宋体" w:eastAsia="宋体" w:cs="宋体"/>
          <w:bCs/>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6.中标人自行中止履约的，擅自更换合同货物，合同自动终止，采购人将中标人行为报县级财政局</w:t>
      </w:r>
      <w:r>
        <w:rPr>
          <w:rFonts w:hint="eastAsia" w:ascii="宋体" w:hAnsi="宋体" w:eastAsia="宋体" w:cs="宋体"/>
          <w:bCs/>
          <w:color w:val="000000" w:themeColor="text1"/>
          <w:sz w:val="24"/>
          <w:lang w:val="zh-CN"/>
          <w14:textFill>
            <w14:solidFill>
              <w14:schemeClr w14:val="tx1"/>
            </w14:solidFill>
          </w14:textFill>
        </w:rPr>
        <w:t>。</w:t>
      </w:r>
    </w:p>
    <w:p>
      <w:pPr>
        <w:pStyle w:val="2"/>
        <w:pageBreakBefore w:val="0"/>
        <w:widowControl w:val="0"/>
        <w:kinsoku/>
        <w:wordWrap/>
        <w:overflowPunct/>
        <w:topLinePunct w:val="0"/>
        <w:autoSpaceDE w:val="0"/>
        <w:autoSpaceDN/>
        <w:bidi w:val="0"/>
        <w:adjustRightInd/>
        <w:snapToGrid/>
        <w:spacing w:before="0" w:beforeAutospacing="0" w:after="0" w:afterAutospacing="0" w:line="360" w:lineRule="auto"/>
        <w:ind w:left="0" w:leftChars="0" w:right="0" w:rightChars="0" w:firstLine="482" w:firstLineChars="200"/>
        <w:jc w:val="both"/>
        <w:textAlignment w:val="auto"/>
        <w:rPr>
          <w:rFonts w:hint="eastAsia" w:ascii="宋体" w:hAnsi="宋体" w:eastAsia="宋体" w:cs="宋体"/>
          <w:b/>
          <w:color w:val="000000" w:themeColor="text1"/>
          <w:sz w:val="24"/>
          <w:szCs w:val="24"/>
          <w:highlight w:val="none"/>
          <w:lang w:bidi="ar"/>
          <w14:textFill>
            <w14:solidFill>
              <w14:schemeClr w14:val="tx1"/>
            </w14:solidFill>
          </w14:textFill>
        </w:rPr>
      </w:pPr>
    </w:p>
    <w:p>
      <w:pPr>
        <w:spacing w:line="360" w:lineRule="auto"/>
        <w:ind w:firstLine="480"/>
        <w:rPr>
          <w:rFonts w:hint="eastAsia" w:ascii="宋体" w:hAnsi="宋体" w:eastAsia="宋体" w:cs="宋体"/>
          <w:color w:val="000000" w:themeColor="text1"/>
          <w:sz w:val="28"/>
          <w:szCs w:val="21"/>
          <w14:textFill>
            <w14:solidFill>
              <w14:schemeClr w14:val="tx1"/>
            </w14:solidFill>
          </w14:textFill>
        </w:rPr>
      </w:pPr>
      <w:r>
        <w:rPr>
          <w:rFonts w:hint="eastAsia" w:ascii="宋体" w:hAnsi="宋体" w:eastAsia="宋体" w:cs="宋体"/>
          <w:b/>
          <w:color w:val="000000" w:themeColor="text1"/>
          <w:kern w:val="0"/>
          <w:highlight w:val="none"/>
          <w:lang w:bidi="ar"/>
          <w14:textFill>
            <w14:solidFill>
              <w14:schemeClr w14:val="tx1"/>
            </w14:solidFill>
          </w14:textFill>
        </w:rPr>
        <w:t>注：本项目★号条款，购置清单的数量为实质性要求。购置清单的数量要求响应以分项报价明细表为准，★号条款有要求的按要求提供证明材料，无要求的响应以技术服务应答表、商务应答表为准。</w:t>
      </w:r>
    </w:p>
    <w:p>
      <w:pPr>
        <w:pageBreakBefore w:val="0"/>
        <w:kinsoku/>
        <w:overflowPunct/>
        <w:bidi w:val="0"/>
        <w:spacing w:line="360" w:lineRule="auto"/>
        <w:ind w:left="0" w:leftChars="0" w:right="0" w:rightChars="0" w:firstLine="480"/>
        <w:rPr>
          <w:rFonts w:hint="eastAsia" w:ascii="宋体" w:hAnsi="宋体" w:eastAsia="宋体" w:cs="宋体"/>
          <w:color w:val="000000" w:themeColor="text1"/>
          <w:highlight w:val="none"/>
          <w14:textFill>
            <w14:solidFill>
              <w14:schemeClr w14:val="tx1"/>
            </w14:solidFill>
          </w14:textFill>
        </w:rPr>
      </w:pPr>
      <w:bookmarkStart w:id="350" w:name="_Toc15005"/>
      <w:r>
        <w:rPr>
          <w:rFonts w:hint="eastAsia" w:ascii="宋体" w:hAnsi="宋体" w:eastAsia="宋体" w:cs="宋体"/>
          <w:color w:val="000000" w:themeColor="text1"/>
          <w:highlight w:val="none"/>
          <w14:textFill>
            <w14:solidFill>
              <w14:schemeClr w14:val="tx1"/>
            </w14:solidFill>
          </w14:textFill>
        </w:rPr>
        <w:br w:type="page"/>
      </w:r>
    </w:p>
    <w:p>
      <w:pPr>
        <w:pStyle w:val="3"/>
        <w:keepNext/>
        <w:keepLines/>
        <w:pageBreakBefore w:val="0"/>
        <w:widowControl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rPr>
          <w:rFonts w:hint="eastAsia" w:ascii="宋体" w:hAnsi="宋体" w:eastAsia="宋体" w:cs="宋体"/>
          <w:color w:val="000000" w:themeColor="text1"/>
          <w:sz w:val="36"/>
          <w:szCs w:val="36"/>
          <w:highlight w:val="none"/>
          <w14:textFill>
            <w14:solidFill>
              <w14:schemeClr w14:val="tx1"/>
            </w14:solidFill>
          </w14:textFill>
        </w:rPr>
      </w:pPr>
      <w:bookmarkStart w:id="351" w:name="_Toc31190"/>
      <w:r>
        <w:rPr>
          <w:rFonts w:hint="eastAsia" w:ascii="宋体" w:hAnsi="宋体" w:eastAsia="宋体" w:cs="宋体"/>
          <w:color w:val="000000" w:themeColor="text1"/>
          <w:sz w:val="36"/>
          <w:szCs w:val="36"/>
          <w:highlight w:val="none"/>
          <w14:textFill>
            <w14:solidFill>
              <w14:schemeClr w14:val="tx1"/>
            </w14:solidFill>
          </w14:textFill>
        </w:rPr>
        <w:t>第七章 资格审查及评标办法</w:t>
      </w:r>
      <w:bookmarkEnd w:id="351"/>
    </w:p>
    <w:p>
      <w:pPr>
        <w:pStyle w:val="4"/>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bookmarkStart w:id="352" w:name="_Toc32695"/>
      <w:r>
        <w:rPr>
          <w:rFonts w:hint="eastAsia" w:ascii="宋体" w:hAnsi="宋体" w:eastAsia="宋体" w:cs="宋体"/>
          <w:color w:val="000000" w:themeColor="text1"/>
          <w:highlight w:val="none"/>
          <w14:textFill>
            <w14:solidFill>
              <w14:schemeClr w14:val="tx1"/>
            </w14:solidFill>
          </w14:textFill>
        </w:rPr>
        <w:t>一、资格审查办法</w:t>
      </w:r>
      <w:bookmarkEnd w:id="352"/>
    </w:p>
    <w:p>
      <w:pPr>
        <w:pStyle w:val="5"/>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53" w:name="_Toc24370"/>
      <w:r>
        <w:rPr>
          <w:rFonts w:hint="eastAsia" w:ascii="宋体" w:hAnsi="宋体" w:eastAsia="宋体" w:cs="宋体"/>
          <w:color w:val="000000" w:themeColor="text1"/>
          <w:sz w:val="24"/>
          <w:szCs w:val="24"/>
          <w:highlight w:val="none"/>
          <w14:textFill>
            <w14:solidFill>
              <w14:schemeClr w14:val="tx1"/>
            </w14:solidFill>
          </w14:textFill>
        </w:rPr>
        <w:t>1. 总则</w:t>
      </w:r>
      <w:bookmarkEnd w:id="353"/>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1.1根据《中华人民共和国政府采购法》、《中华人民共和国政府采购法实施条例》、《政府采购货物和服务招标投标管理办法》（财政部令第87号）等法律制度</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结合采购项目特点制定本资格审查办法。</w:t>
      </w:r>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1.2开标结束后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采购人或者采购代理机构依法对投标人的资格进行审查。合格投标人不足3家的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不得评标。</w:t>
      </w:r>
    </w:p>
    <w:p>
      <w:pPr>
        <w:pStyle w:val="5"/>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354" w:name="_Toc15258"/>
      <w:r>
        <w:rPr>
          <w:rFonts w:hint="eastAsia" w:ascii="宋体" w:hAnsi="宋体" w:eastAsia="宋体" w:cs="宋体"/>
          <w:color w:val="000000" w:themeColor="text1"/>
          <w:sz w:val="24"/>
          <w:szCs w:val="24"/>
          <w:highlight w:val="none"/>
          <w14:textFill>
            <w14:solidFill>
              <w14:schemeClr w14:val="tx1"/>
            </w14:solidFill>
          </w14:textFill>
        </w:rPr>
        <w:t>2. 资格性</w:t>
      </w:r>
      <w:r>
        <w:rPr>
          <w:rFonts w:hint="eastAsia" w:ascii="宋体" w:hAnsi="宋体" w:eastAsia="宋体" w:cs="宋体"/>
          <w:color w:val="000000" w:themeColor="text1"/>
          <w:sz w:val="24"/>
          <w:szCs w:val="24"/>
          <w:highlight w:val="none"/>
          <w:lang w:val="en-US" w:eastAsia="zh-CN"/>
          <w14:textFill>
            <w14:solidFill>
              <w14:schemeClr w14:val="tx1"/>
            </w14:solidFill>
          </w14:textFill>
        </w:rPr>
        <w:t>审查</w:t>
      </w:r>
      <w:bookmarkEnd w:id="354"/>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2.1</w:t>
      </w:r>
      <w:r>
        <w:rPr>
          <w:rFonts w:hint="eastAsia" w:ascii="宋体" w:hAnsi="宋体" w:eastAsia="宋体" w:cs="宋体"/>
          <w:color w:val="000000" w:themeColor="text1"/>
          <w:highlight w:val="none"/>
          <w14:textFill>
            <w14:solidFill>
              <w14:schemeClr w14:val="tx1"/>
            </w14:solidFill>
          </w14:textFill>
        </w:rPr>
        <w:t>采购人或者采购代理机构依据法律法规和本招标文件的规定</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对投标文件是否按照规定要求提供资格性证明材料、是否属于禁止参加投标的供应商等进行审查</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以确定投标供应商是否具备投标资格</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并出具资格审查报告。</w:t>
      </w:r>
      <w:r>
        <w:rPr>
          <w:rFonts w:hint="eastAsia" w:ascii="宋体" w:hAnsi="宋体" w:eastAsia="宋体" w:cs="宋体"/>
          <w:color w:val="000000" w:themeColor="text1"/>
          <w:highlight w:val="none"/>
          <w:lang w:val="en-US" w:eastAsia="zh-CN"/>
          <w14:textFill>
            <w14:solidFill>
              <w14:schemeClr w14:val="tx1"/>
            </w14:solidFill>
          </w14:textFill>
        </w:rPr>
        <w:t xml:space="preserve">  </w:t>
      </w:r>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2.2</w:t>
      </w:r>
      <w:r>
        <w:rPr>
          <w:rFonts w:hint="eastAsia" w:ascii="宋体" w:hAnsi="宋体" w:eastAsia="宋体" w:cs="宋体"/>
          <w:color w:val="000000" w:themeColor="text1"/>
          <w:highlight w:val="none"/>
          <w14:textFill>
            <w14:solidFill>
              <w14:schemeClr w14:val="tx1"/>
            </w14:solidFill>
          </w14:textFill>
        </w:rPr>
        <w:t>资格审查时因断电、断网、系统故障或其他不可抗力等因素，导致资格审查小组无法通过系统阅读投标文件进行审查的，待系统恢复后继续审查。出现上述情况时，</w:t>
      </w:r>
      <w:r>
        <w:rPr>
          <w:rFonts w:hint="eastAsia" w:ascii="宋体" w:hAnsi="宋体" w:eastAsia="宋体" w:cs="宋体"/>
          <w:color w:val="000000" w:themeColor="text1"/>
          <w:highlight w:val="none"/>
          <w:lang w:val="en-US" w:eastAsia="zh-CN"/>
          <w14:textFill>
            <w14:solidFill>
              <w14:schemeClr w14:val="tx1"/>
            </w14:solidFill>
          </w14:textFill>
        </w:rPr>
        <w:t>采购代理机构</w:t>
      </w:r>
      <w:r>
        <w:rPr>
          <w:rFonts w:hint="eastAsia" w:ascii="宋体" w:hAnsi="宋体" w:eastAsia="宋体" w:cs="宋体"/>
          <w:color w:val="000000" w:themeColor="text1"/>
          <w:highlight w:val="none"/>
          <w14:textFill>
            <w14:solidFill>
              <w14:schemeClr w14:val="tx1"/>
            </w14:solidFill>
          </w14:textFill>
        </w:rPr>
        <w:t>将以电子邮件形式通知各投标人。</w:t>
      </w:r>
    </w:p>
    <w:p>
      <w:pPr>
        <w:pStyle w:val="13"/>
        <w:pageBreakBefore w:val="0"/>
        <w:widowControl w:val="0"/>
        <w:tabs>
          <w:tab w:val="left" w:pos="600"/>
        </w:tabs>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资格性的具体事项见下表（</w:t>
      </w:r>
      <w:r>
        <w:rPr>
          <w:rFonts w:hint="eastAsia" w:ascii="宋体" w:hAnsi="宋体" w:eastAsia="宋体" w:cs="宋体"/>
          <w:color w:val="000000" w:themeColor="text1"/>
          <w:sz w:val="24"/>
          <w:highlight w:val="none"/>
          <w14:textFill>
            <w14:solidFill>
              <w14:schemeClr w14:val="tx1"/>
            </w14:solidFill>
          </w14:textFill>
        </w:rPr>
        <w:t>资格性审查表）。</w:t>
      </w:r>
    </w:p>
    <w:tbl>
      <w:tblPr>
        <w:tblStyle w:val="33"/>
        <w:tblW w:w="9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26"/>
        <w:gridCol w:w="2594"/>
        <w:gridCol w:w="4838"/>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3836"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资格性审查项</w:t>
            </w:r>
          </w:p>
        </w:tc>
        <w:tc>
          <w:tcPr>
            <w:tcW w:w="483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1446" w:firstLineChars="600"/>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通过条件</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3836" w:type="dxa"/>
            <w:gridSpan w:val="3"/>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具有独立承担民事责任的能力</w:t>
            </w:r>
          </w:p>
        </w:tc>
        <w:tc>
          <w:tcPr>
            <w:tcW w:w="4838" w:type="dxa"/>
            <w:vAlign w:val="center"/>
          </w:tcPr>
          <w:p>
            <w:pPr>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①供应商若为企业法人：提供统一社会信用代码营业执照复印件；②若为事业法人：提供统一社会信用代码法人登记证书复印件；③若为其他组织：提供对应主管部门颁发的准许执业证明文件或营业执照复印件；④若为自然人：提供身份证明材料复印件；⑤分支机构参与投标的应取得具有独立法人资格的上级机构出具的授权文件，采用多级授权的，应保证授权链条的完整性及有效性。</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bCs/>
                <w:color w:val="000000" w:themeColor="text1"/>
                <w:kern w:val="0"/>
                <w:sz w:val="24"/>
                <w:szCs w:val="24"/>
                <w:highlight w:val="none"/>
                <w:lang w:eastAsia="zh-CN"/>
                <w14:textFill>
                  <w14:solidFill>
                    <w14:schemeClr w14:val="tx1"/>
                  </w14:solidFill>
                </w14:textFill>
              </w:rPr>
            </w:pPr>
            <w:r>
              <w:rPr>
                <w:rFonts w:hint="eastAsia" w:ascii="宋体" w:hAnsi="宋体" w:cs="宋体"/>
                <w:bCs/>
                <w:color w:val="000000" w:themeColor="text1"/>
                <w:kern w:val="0"/>
                <w:sz w:val="24"/>
                <w:szCs w:val="24"/>
                <w:highlight w:val="none"/>
                <w:lang w:val="en-US" w:eastAsia="zh-Hans"/>
                <w14:textFill>
                  <w14:solidFill>
                    <w14:schemeClr w14:val="tx1"/>
                  </w14:solidFill>
                </w14:textFill>
              </w:rPr>
              <w:t>供应商应提交前述材料的</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复印件，</w:t>
            </w:r>
            <w:r>
              <w:rPr>
                <w:rFonts w:hint="eastAsia" w:ascii="宋体" w:hAnsi="宋体" w:eastAsia="宋体" w:cs="宋体"/>
                <w:color w:val="000000" w:themeColor="text1"/>
                <w:sz w:val="24"/>
                <w:szCs w:val="24"/>
                <w:highlight w:val="none"/>
                <w14:textFill>
                  <w14:solidFill>
                    <w14:schemeClr w14:val="tx1"/>
                  </w14:solidFill>
                </w14:textFill>
              </w:rPr>
              <w:t>加盖</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投标人单位电子印章</w:t>
            </w:r>
            <w:r>
              <w:rPr>
                <w:rFonts w:hint="eastAsia" w:ascii="宋体" w:hAnsi="宋体" w:eastAsia="宋体" w:cs="宋体"/>
                <w:color w:val="000000" w:themeColor="text1"/>
                <w:sz w:val="24"/>
                <w:szCs w:val="24"/>
                <w:highlight w:val="none"/>
                <w:lang w:eastAsia="zh-CN"/>
                <w14:textFill>
                  <w14:solidFill>
                    <w14:schemeClr w14:val="tx1"/>
                  </w14:solidFill>
                </w14:textFill>
              </w:rPr>
              <w:t>。</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1116" w:type="dxa"/>
            <w:vMerge w:val="restart"/>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具有良好的商业信誉和健全的财务会计制度</w:t>
            </w:r>
          </w:p>
        </w:tc>
        <w:tc>
          <w:tcPr>
            <w:tcW w:w="2720" w:type="dxa"/>
            <w:gridSpan w:val="2"/>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2.1</w:t>
            </w:r>
            <w:r>
              <w:rPr>
                <w:rFonts w:hint="eastAsia" w:ascii="宋体" w:hAnsi="宋体" w:eastAsia="宋体" w:cs="宋体"/>
                <w:color w:val="000000" w:themeColor="text1"/>
                <w:sz w:val="24"/>
                <w:szCs w:val="24"/>
                <w:highlight w:val="none"/>
                <w14:textFill>
                  <w14:solidFill>
                    <w14:schemeClr w14:val="tx1"/>
                  </w14:solidFill>
                </w14:textFill>
              </w:rPr>
              <w:t>具有良好的商业信誉的证明材料</w:t>
            </w:r>
          </w:p>
        </w:tc>
        <w:tc>
          <w:tcPr>
            <w:tcW w:w="4838" w:type="dxa"/>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具有良好的商业信誉的承诺函</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加盖</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投标人单位电子印章</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Cs/>
                <w:color w:val="000000" w:themeColor="text1"/>
                <w:kern w:val="0"/>
                <w:sz w:val="24"/>
                <w:szCs w:val="24"/>
                <w:highlight w:val="none"/>
                <w14:textFill>
                  <w14:solidFill>
                    <w14:schemeClr w14:val="tx1"/>
                  </w14:solidFill>
                </w14:textFill>
              </w:rPr>
              <w:t>格式见招标文件第三章。</w:t>
            </w:r>
          </w:p>
        </w:tc>
        <w:tc>
          <w:tcPr>
            <w:tcW w:w="1012"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1116" w:type="dxa"/>
            <w:vMerge w:val="continue"/>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720" w:type="dxa"/>
            <w:gridSpan w:val="2"/>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2.2</w:t>
            </w:r>
            <w:r>
              <w:rPr>
                <w:rFonts w:hint="eastAsia" w:ascii="宋体" w:hAnsi="宋体" w:eastAsia="宋体" w:cs="宋体"/>
                <w:color w:val="000000" w:themeColor="text1"/>
                <w:sz w:val="24"/>
                <w:szCs w:val="24"/>
                <w:highlight w:val="none"/>
                <w14:textFill>
                  <w14:solidFill>
                    <w14:schemeClr w14:val="tx1"/>
                  </w14:solidFill>
                </w14:textFill>
              </w:rPr>
              <w:t>具有健全的财务会计制度的证明材料</w:t>
            </w:r>
          </w:p>
        </w:tc>
        <w:tc>
          <w:tcPr>
            <w:tcW w:w="4838" w:type="dxa"/>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2020年</w:t>
            </w:r>
            <w:r>
              <w:rPr>
                <w:rFonts w:hint="eastAsia" w:ascii="宋体" w:hAnsi="宋体" w:eastAsia="宋体" w:cs="宋体"/>
                <w:color w:val="000000" w:themeColor="text1"/>
                <w:sz w:val="24"/>
                <w:highlight w:val="none"/>
                <w14:textFill>
                  <w14:solidFill>
                    <w14:schemeClr w14:val="tx1"/>
                  </w14:solidFill>
                </w14:textFill>
              </w:rPr>
              <w:t>度资产负债表或银行出具的资信证明</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numPr>
                <w:ilvl w:val="0"/>
                <w:numId w:val="8"/>
              </w:numPr>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加盖</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投标人单位电子印章</w:t>
            </w:r>
            <w:r>
              <w:rPr>
                <w:rFonts w:hint="eastAsia" w:ascii="宋体" w:hAnsi="宋体" w:eastAsia="宋体" w:cs="宋体"/>
                <w:bCs/>
                <w:color w:val="000000" w:themeColor="text1"/>
                <w:kern w:val="0"/>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kern w:val="0"/>
                <w:sz w:val="24"/>
                <w:szCs w:val="24"/>
                <w:highlight w:val="none"/>
                <w14:textFill>
                  <w14:solidFill>
                    <w14:schemeClr w14:val="tx1"/>
                  </w14:solidFill>
                </w14:textFill>
              </w:rPr>
              <w:t>投标人成立时间至投标截止时间止不满一个会计年度的</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Cs/>
                <w:color w:val="000000" w:themeColor="text1"/>
                <w:kern w:val="0"/>
                <w:sz w:val="24"/>
                <w:szCs w:val="24"/>
                <w:highlight w:val="none"/>
                <w14:textFill>
                  <w14:solidFill>
                    <w14:schemeClr w14:val="tx1"/>
                  </w14:solidFill>
                </w14:textFill>
              </w:rPr>
              <w:t>提供成立后任意时段的资产负债表复印件</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加盖</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投标人单位电子印章</w:t>
            </w:r>
            <w:r>
              <w:rPr>
                <w:rFonts w:hint="eastAsia" w:ascii="宋体" w:hAnsi="宋体" w:eastAsia="宋体" w:cs="宋体"/>
                <w:bCs/>
                <w:color w:val="000000" w:themeColor="text1"/>
                <w:kern w:val="0"/>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szCs w:val="24"/>
                <w:highlight w:val="none"/>
                <w:lang w:bidi="ar"/>
                <w14:textFill>
                  <w14:solidFill>
                    <w14:schemeClr w14:val="tx1"/>
                  </w14:solidFill>
                </w14:textFill>
              </w:rPr>
              <w:t>银行资信证明出具时间在投标截止时间前</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三</w:t>
            </w:r>
            <w:r>
              <w:rPr>
                <w:rFonts w:hint="eastAsia" w:ascii="宋体" w:hAnsi="宋体" w:eastAsia="宋体" w:cs="宋体"/>
                <w:color w:val="000000" w:themeColor="text1"/>
                <w:kern w:val="0"/>
                <w:sz w:val="24"/>
                <w:szCs w:val="24"/>
                <w:highlight w:val="none"/>
                <w:lang w:bidi="ar"/>
                <w14:textFill>
                  <w14:solidFill>
                    <w14:schemeClr w14:val="tx1"/>
                  </w14:solidFill>
                </w14:textFill>
              </w:rPr>
              <w:t>个月内有效。</w:t>
            </w:r>
          </w:p>
        </w:tc>
        <w:tc>
          <w:tcPr>
            <w:tcW w:w="1012"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3836"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具有履行合同所必</w:t>
            </w:r>
            <w:r>
              <w:rPr>
                <w:rFonts w:hint="eastAsia" w:ascii="宋体" w:hAnsi="宋体" w:eastAsia="宋体" w:cs="宋体"/>
                <w:color w:val="000000" w:themeColor="text1"/>
                <w:sz w:val="24"/>
                <w:szCs w:val="24"/>
                <w:highlight w:val="none"/>
                <w:lang w:val="en-US" w:eastAsia="zh-CN"/>
                <w14:textFill>
                  <w14:solidFill>
                    <w14:schemeClr w14:val="tx1"/>
                  </w14:solidFill>
                </w14:textFill>
              </w:rPr>
              <w:t>需</w:t>
            </w:r>
            <w:r>
              <w:rPr>
                <w:rFonts w:hint="eastAsia" w:ascii="宋体" w:hAnsi="宋体" w:eastAsia="宋体" w:cs="宋体"/>
                <w:color w:val="000000" w:themeColor="text1"/>
                <w:sz w:val="24"/>
                <w:szCs w:val="24"/>
                <w:highlight w:val="none"/>
                <w14:textFill>
                  <w14:solidFill>
                    <w14:schemeClr w14:val="tx1"/>
                  </w14:solidFill>
                </w14:textFill>
              </w:rPr>
              <w:t>的设备和专业技术能力</w:t>
            </w:r>
          </w:p>
        </w:tc>
        <w:tc>
          <w:tcPr>
            <w:tcW w:w="4838"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000000" w:themeColor="text1"/>
                <w:kern w:val="0"/>
                <w:sz w:val="24"/>
                <w:szCs w:val="24"/>
                <w:highlight w:val="none"/>
                <w:lang w:eastAsia="zh-CN"/>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上传空白页即可，不对本项上传的材料作资格审查</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p>
        </w:tc>
        <w:tc>
          <w:tcPr>
            <w:tcW w:w="1012"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9" w:hRule="atLeast"/>
          <w:jc w:val="center"/>
        </w:trPr>
        <w:tc>
          <w:tcPr>
            <w:tcW w:w="3836"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有依法缴纳税收和社会保障资金的良好记录</w:t>
            </w:r>
          </w:p>
        </w:tc>
        <w:tc>
          <w:tcPr>
            <w:tcW w:w="4838"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有依法缴纳税收和社会保障资金的良好记录</w:t>
            </w:r>
            <w:r>
              <w:rPr>
                <w:rFonts w:hint="eastAsia" w:ascii="宋体" w:hAnsi="宋体" w:eastAsia="宋体" w:cs="宋体"/>
                <w:color w:val="000000" w:themeColor="text1"/>
                <w:sz w:val="24"/>
                <w:szCs w:val="24"/>
                <w:highlight w:val="none"/>
                <w:lang w:val="en-US" w:eastAsia="zh-CN"/>
                <w14:textFill>
                  <w14:solidFill>
                    <w14:schemeClr w14:val="tx1"/>
                  </w14:solidFill>
                </w14:textFill>
              </w:rPr>
              <w:t>的承诺函。</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加盖</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投标人单位电子印章</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Cs/>
                <w:color w:val="000000" w:themeColor="text1"/>
                <w:kern w:val="0"/>
                <w:sz w:val="24"/>
                <w:szCs w:val="24"/>
                <w:highlight w:val="none"/>
                <w14:textFill>
                  <w14:solidFill>
                    <w14:schemeClr w14:val="tx1"/>
                  </w14:solidFill>
                </w14:textFill>
              </w:rPr>
              <w:t>格式见招标文件第三章</w:t>
            </w:r>
            <w:r>
              <w:rPr>
                <w:rFonts w:hint="eastAsia" w:ascii="宋体" w:hAnsi="宋体" w:eastAsia="宋体" w:cs="宋体"/>
                <w:color w:val="000000" w:themeColor="text1"/>
                <w:sz w:val="24"/>
                <w:szCs w:val="24"/>
                <w:highlight w:val="none"/>
                <w14:textFill>
                  <w14:solidFill>
                    <w14:schemeClr w14:val="tx1"/>
                  </w14:solidFill>
                </w14:textFill>
              </w:rPr>
              <w:t>。</w:t>
            </w:r>
          </w:p>
        </w:tc>
        <w:tc>
          <w:tcPr>
            <w:tcW w:w="1012"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7" w:hRule="atLeast"/>
          <w:jc w:val="center"/>
        </w:trPr>
        <w:tc>
          <w:tcPr>
            <w:tcW w:w="3836"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参加政府采购活动前三年内</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在经营活动中没有重大违法记录</w:t>
            </w:r>
          </w:p>
        </w:tc>
        <w:tc>
          <w:tcPr>
            <w:tcW w:w="483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投标人参加政府采购活动前三年内</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在经营活动中没有重大违法记录的承诺函</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加盖</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投标人单位电子印章</w:t>
            </w:r>
            <w:r>
              <w:rPr>
                <w:rFonts w:hint="eastAsia" w:ascii="宋体" w:hAnsi="宋体" w:eastAsia="宋体" w:cs="宋体"/>
                <w:color w:val="000000" w:themeColor="text1"/>
                <w:kern w:val="0"/>
                <w:sz w:val="24"/>
                <w:szCs w:val="24"/>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供应商在参加政府采购活动前3年内因违法经营被禁止在一定期限内参加政府采购活动</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期限届满的</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可以参加政府采购活动。</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3836"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法律、行政法规规定的其他条件</w:t>
            </w:r>
          </w:p>
        </w:tc>
        <w:tc>
          <w:tcPr>
            <w:tcW w:w="4838"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bCs/>
                <w:color w:val="000000" w:themeColor="text1"/>
                <w:kern w:val="0"/>
                <w:sz w:val="24"/>
                <w:szCs w:val="24"/>
                <w:highlight w:val="none"/>
                <w:lang w:eastAsia="zh-CN"/>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无须提供证明材料，上传空白页即可，不对本项上传的材料作资格审查</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jc w:val="center"/>
        </w:trPr>
        <w:tc>
          <w:tcPr>
            <w:tcW w:w="1242" w:type="dxa"/>
            <w:gridSpan w:val="2"/>
            <w:vAlign w:val="center"/>
          </w:tcPr>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right="0" w:rightChars="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根据采购项目提出的特殊条件</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right="0" w:rightChars="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2594"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供应商及现任法定代表人、主要负责人在参加本项目政府采购活动前3年内不具有行贿犯罪记录</w:t>
            </w:r>
          </w:p>
        </w:tc>
        <w:tc>
          <w:tcPr>
            <w:tcW w:w="4838"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供应商及现任法定代表人、主要负责人在参加本项目政府采购活动前3年内不具有行贿犯罪记录</w:t>
            </w:r>
            <w:r>
              <w:rPr>
                <w:rFonts w:hint="eastAsia" w:ascii="宋体" w:hAnsi="宋体" w:eastAsia="宋体" w:cs="宋体"/>
                <w:color w:val="000000" w:themeColor="text1"/>
                <w:sz w:val="24"/>
                <w:szCs w:val="24"/>
                <w:highlight w:val="none"/>
                <w14:textFill>
                  <w14:solidFill>
                    <w14:schemeClr w14:val="tx1"/>
                  </w14:solidFill>
                </w14:textFill>
              </w:rPr>
              <w:t>的承诺函</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加盖</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投标人单位电子印章</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格式见本招标文件第三章。</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7" w:hRule="atLeast"/>
          <w:jc w:val="center"/>
        </w:trPr>
        <w:tc>
          <w:tcPr>
            <w:tcW w:w="3836" w:type="dxa"/>
            <w:gridSpan w:val="3"/>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8.</w:t>
            </w:r>
            <w:r>
              <w:rPr>
                <w:rFonts w:hint="eastAsia" w:ascii="宋体" w:hAnsi="宋体" w:eastAsia="宋体" w:cs="宋体"/>
                <w:color w:val="000000" w:themeColor="text1"/>
                <w:kern w:val="0"/>
                <w:sz w:val="24"/>
                <w:szCs w:val="24"/>
                <w:highlight w:val="none"/>
                <w14:textFill>
                  <w14:solidFill>
                    <w14:schemeClr w14:val="tx1"/>
                  </w14:solidFill>
                </w14:textFill>
              </w:rPr>
              <w:t>法定代表人身份</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证明</w:t>
            </w:r>
          </w:p>
        </w:tc>
        <w:tc>
          <w:tcPr>
            <w:tcW w:w="483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提供</w:t>
            </w:r>
            <w:r>
              <w:rPr>
                <w:rFonts w:hint="eastAsia" w:ascii="宋体" w:hAnsi="宋体" w:eastAsia="宋体" w:cs="宋体"/>
                <w:color w:val="000000" w:themeColor="text1"/>
                <w:sz w:val="24"/>
                <w:szCs w:val="24"/>
                <w:highlight w:val="none"/>
                <w14:textFill>
                  <w14:solidFill>
                    <w14:schemeClr w14:val="tx1"/>
                  </w14:solidFill>
                </w14:textFill>
              </w:rPr>
              <w:t>法定代表人身份</w:t>
            </w:r>
            <w:r>
              <w:rPr>
                <w:rFonts w:hint="eastAsia" w:ascii="宋体" w:hAnsi="宋体" w:eastAsia="宋体" w:cs="宋体"/>
                <w:color w:val="000000" w:themeColor="text1"/>
                <w:sz w:val="24"/>
                <w:szCs w:val="24"/>
                <w:highlight w:val="none"/>
                <w:lang w:val="en-US" w:eastAsia="zh-CN"/>
                <w14:textFill>
                  <w14:solidFill>
                    <w14:schemeClr w14:val="tx1"/>
                  </w14:solidFill>
                </w14:textFill>
              </w:rPr>
              <w:t>证明书。</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法定代表人身份</w:t>
            </w:r>
            <w:r>
              <w:rPr>
                <w:rFonts w:hint="eastAsia" w:ascii="宋体" w:hAnsi="宋体" w:eastAsia="宋体" w:cs="宋体"/>
                <w:color w:val="000000" w:themeColor="text1"/>
                <w:sz w:val="24"/>
                <w:szCs w:val="24"/>
                <w:highlight w:val="none"/>
                <w:lang w:val="en-US" w:eastAsia="zh-CN"/>
                <w14:textFill>
                  <w14:solidFill>
                    <w14:schemeClr w14:val="tx1"/>
                  </w14:solidFill>
                </w14:textFill>
              </w:rPr>
              <w:t>证明书须</w:t>
            </w:r>
            <w:r>
              <w:rPr>
                <w:rFonts w:hint="eastAsia" w:ascii="宋体" w:hAnsi="宋体" w:eastAsia="宋体" w:cs="宋体"/>
                <w:color w:val="000000" w:themeColor="text1"/>
                <w:sz w:val="24"/>
                <w:szCs w:val="24"/>
                <w:highlight w:val="none"/>
                <w14:textFill>
                  <w14:solidFill>
                    <w14:schemeClr w14:val="tx1"/>
                  </w14:solidFill>
                </w14:textFill>
              </w:rPr>
              <w:t>加盖</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投标人单位电子印章</w:t>
            </w:r>
            <w:r>
              <w:rPr>
                <w:rFonts w:hint="eastAsia" w:ascii="宋体" w:hAnsi="宋体" w:eastAsia="宋体" w:cs="宋体"/>
                <w:color w:val="000000" w:themeColor="text1"/>
                <w:kern w:val="0"/>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ascii="宋体" w:hAnsi="宋体" w:eastAsia="宋体" w:cs="宋体"/>
                <w:color w:val="000000" w:themeColor="text1"/>
                <w:sz w:val="24"/>
                <w:szCs w:val="24"/>
                <w:highlight w:val="none"/>
                <w:lang w:val="en-US" w:eastAsia="zh-CN"/>
                <w14:textFill>
                  <w14:solidFill>
                    <w14:schemeClr w14:val="tx1"/>
                  </w14:solidFill>
                </w14:textFill>
              </w:rPr>
              <w:t>身份证复印件</w:t>
            </w:r>
            <w:r>
              <w:rPr>
                <w:rFonts w:hint="eastAsia" w:ascii="宋体" w:hAnsi="宋体" w:eastAsia="宋体" w:cs="宋体"/>
                <w:color w:val="000000" w:themeColor="text1"/>
                <w:sz w:val="24"/>
                <w:szCs w:val="24"/>
                <w:highlight w:val="none"/>
                <w14:textFill>
                  <w14:solidFill>
                    <w14:schemeClr w14:val="tx1"/>
                  </w14:solidFill>
                </w14:textFill>
              </w:rPr>
              <w:t>（身份证两面均应复印</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在有效期内）</w:t>
            </w:r>
            <w:r>
              <w:rPr>
                <w:rFonts w:hint="eastAsia" w:ascii="宋体" w:hAnsi="宋体" w:eastAsia="宋体" w:cs="宋体"/>
                <w:color w:val="000000" w:themeColor="text1"/>
                <w:sz w:val="24"/>
                <w:szCs w:val="24"/>
                <w:highlight w:val="none"/>
                <w:lang w:val="en-US" w:eastAsia="zh-CN"/>
                <w14:textFill>
                  <w14:solidFill>
                    <w14:schemeClr w14:val="tx1"/>
                  </w14:solidFill>
                </w14:textFill>
              </w:rPr>
              <w:t>或护照复印件，</w:t>
            </w:r>
            <w:r>
              <w:rPr>
                <w:rFonts w:hint="eastAsia" w:ascii="宋体" w:hAnsi="宋体" w:eastAsia="宋体" w:cs="宋体"/>
                <w:color w:val="000000" w:themeColor="text1"/>
                <w:sz w:val="24"/>
                <w:szCs w:val="24"/>
                <w:highlight w:val="none"/>
                <w14:textFill>
                  <w14:solidFill>
                    <w14:schemeClr w14:val="tx1"/>
                  </w14:solidFill>
                </w14:textFill>
              </w:rPr>
              <w:t>加盖</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投标人单位电子印章。</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3" w:hRule="atLeast"/>
          <w:jc w:val="center"/>
        </w:trPr>
        <w:tc>
          <w:tcPr>
            <w:tcW w:w="3836" w:type="dxa"/>
            <w:gridSpan w:val="3"/>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9.</w:t>
            </w:r>
            <w:r>
              <w:rPr>
                <w:rFonts w:hint="eastAsia" w:ascii="宋体" w:hAnsi="宋体" w:eastAsia="宋体" w:cs="宋体"/>
                <w:color w:val="000000" w:themeColor="text1"/>
                <w:kern w:val="0"/>
                <w:sz w:val="24"/>
                <w:szCs w:val="24"/>
                <w:highlight w:val="none"/>
                <w14:textFill>
                  <w14:solidFill>
                    <w14:schemeClr w14:val="tx1"/>
                  </w14:solidFill>
                </w14:textFill>
              </w:rPr>
              <w:t>不属于禁止参加投标的供应商</w:t>
            </w:r>
          </w:p>
        </w:tc>
        <w:tc>
          <w:tcPr>
            <w:tcW w:w="4838" w:type="dxa"/>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不属于禁止参加投标的供应商</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不属于根据招标文件规定的禁止参加本次政府采购活动的供应商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或无效情形</w:t>
            </w: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不属于国家相关法律法规及制度规定的禁止参加本次政府采购活动的供应商</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说明：按</w:t>
            </w:r>
            <w:r>
              <w:rPr>
                <w:rFonts w:hint="eastAsia" w:ascii="宋体" w:hAnsi="宋体" w:eastAsia="宋体" w:cs="宋体"/>
                <w:color w:val="000000" w:themeColor="text1"/>
                <w:sz w:val="24"/>
                <w:szCs w:val="24"/>
                <w:highlight w:val="none"/>
                <w14:textFill>
                  <w14:solidFill>
                    <w14:schemeClr w14:val="tx1"/>
                  </w14:solidFill>
                </w14:textFill>
              </w:rPr>
              <w:t>本招标文件第三章</w:t>
            </w:r>
            <w:r>
              <w:rPr>
                <w:rFonts w:hint="eastAsia" w:ascii="宋体" w:hAnsi="宋体" w:eastAsia="宋体" w:cs="宋体"/>
                <w:color w:val="000000" w:themeColor="text1"/>
                <w:sz w:val="24"/>
                <w:szCs w:val="24"/>
                <w:highlight w:val="none"/>
                <w:lang w:val="en-US" w:eastAsia="zh-CN"/>
                <w14:textFill>
                  <w14:solidFill>
                    <w14:schemeClr w14:val="tx1"/>
                  </w14:solidFill>
                </w14:textFill>
              </w:rPr>
              <w:t>格式内容提供承诺函（内容不得删减）。</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674" w:type="dxa"/>
            <w:gridSpan w:val="4"/>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结论</w:t>
            </w:r>
          </w:p>
        </w:tc>
        <w:tc>
          <w:tcPr>
            <w:tcW w:w="101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注：以上每一项结论均为“通过”的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则投标人的投标文件通过资格性审查；如有其中任意一项结论为“不通过”的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则投标人的投标文件按无效投标文件处理。如果采购人或者采购代理机构认为投标人有任意一项不通过的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应在资格审查报告中载明不通过的具体原因。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2.3</w:t>
      </w:r>
      <w:r>
        <w:rPr>
          <w:rFonts w:hint="eastAsia" w:ascii="宋体" w:hAnsi="宋体" w:eastAsia="宋体" w:cs="宋体"/>
          <w:b/>
          <w:bCs/>
          <w:color w:val="000000" w:themeColor="text1"/>
          <w:highlight w:val="none"/>
          <w14:textFill>
            <w14:solidFill>
              <w14:schemeClr w14:val="tx1"/>
            </w14:solidFill>
          </w14:textFill>
        </w:rPr>
        <w:t>“信用中国”和“中国政府采购网”网站查询结果，将以纸质截图或将截图保存至电子介质的形式留存。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2.4</w:t>
      </w:r>
      <w:r>
        <w:rPr>
          <w:rFonts w:hint="eastAsia" w:ascii="宋体" w:hAnsi="宋体" w:eastAsia="宋体" w:cs="宋体"/>
          <w:b/>
          <w:bCs/>
          <w:color w:val="000000" w:themeColor="text1"/>
          <w:highlight w:val="none"/>
          <w14:textFill>
            <w14:solidFill>
              <w14:schemeClr w14:val="tx1"/>
            </w14:solidFill>
          </w14:textFill>
        </w:rPr>
        <w:t>投标人的投标文件资格性审查时被判定为无效的，</w:t>
      </w:r>
      <w:r>
        <w:rPr>
          <w:rFonts w:hint="eastAsia" w:ascii="宋体" w:hAnsi="宋体" w:eastAsia="宋体" w:cs="宋体"/>
          <w:b/>
          <w:bCs/>
          <w:color w:val="000000" w:themeColor="text1"/>
          <w:highlight w:val="none"/>
          <w:lang w:val="en-US" w:eastAsia="zh-CN"/>
          <w14:textFill>
            <w14:solidFill>
              <w14:schemeClr w14:val="tx1"/>
            </w14:solidFill>
          </w14:textFill>
        </w:rPr>
        <w:t>采购代理机构</w:t>
      </w:r>
      <w:r>
        <w:rPr>
          <w:rFonts w:hint="eastAsia" w:ascii="宋体" w:hAnsi="宋体" w:eastAsia="宋体" w:cs="宋体"/>
          <w:b/>
          <w:bCs/>
          <w:color w:val="000000" w:themeColor="text1"/>
          <w:highlight w:val="none"/>
          <w14:textFill>
            <w14:solidFill>
              <w14:schemeClr w14:val="tx1"/>
            </w14:solidFill>
          </w14:textFill>
        </w:rPr>
        <w:t>将通知投标人（以短信、现场公示、电话、“政府采购云平台”等任一方式）。投标人如对资格审查结论有异议的，应及时向</w:t>
      </w:r>
      <w:r>
        <w:rPr>
          <w:rFonts w:hint="eastAsia" w:ascii="宋体" w:hAnsi="宋体" w:eastAsia="宋体" w:cs="宋体"/>
          <w:b/>
          <w:bCs/>
          <w:color w:val="000000" w:themeColor="text1"/>
          <w:highlight w:val="none"/>
          <w:lang w:val="en-US" w:eastAsia="zh-CN"/>
          <w14:textFill>
            <w14:solidFill>
              <w14:schemeClr w14:val="tx1"/>
            </w14:solidFill>
          </w14:textFill>
        </w:rPr>
        <w:t>采购代理机构</w:t>
      </w:r>
      <w:r>
        <w:rPr>
          <w:rFonts w:hint="eastAsia" w:ascii="宋体" w:hAnsi="宋体" w:eastAsia="宋体" w:cs="宋体"/>
          <w:b/>
          <w:bCs/>
          <w:color w:val="000000" w:themeColor="text1"/>
          <w:highlight w:val="none"/>
          <w14:textFill>
            <w14:solidFill>
              <w14:schemeClr w14:val="tx1"/>
            </w14:solidFill>
          </w14:textFill>
        </w:rPr>
        <w:t>反馈意见。</w:t>
      </w:r>
      <w:r>
        <w:rPr>
          <w:rFonts w:hint="eastAsia" w:ascii="宋体" w:hAnsi="宋体" w:eastAsia="宋体" w:cs="宋体"/>
          <w:b/>
          <w:bCs/>
          <w:color w:val="000000" w:themeColor="text1"/>
          <w:highlight w:val="none"/>
          <w:lang w:val="en-US" w:eastAsia="zh-CN"/>
          <w14:textFill>
            <w14:solidFill>
              <w14:schemeClr w14:val="tx1"/>
            </w14:solidFill>
          </w14:textFill>
        </w:rPr>
        <w:t>采购代理机构</w:t>
      </w:r>
      <w:r>
        <w:rPr>
          <w:rFonts w:hint="eastAsia" w:ascii="宋体" w:hAnsi="宋体" w:eastAsia="宋体" w:cs="宋体"/>
          <w:b/>
          <w:bCs/>
          <w:color w:val="000000" w:themeColor="text1"/>
          <w:highlight w:val="none"/>
          <w14:textFill>
            <w14:solidFill>
              <w14:schemeClr w14:val="tx1"/>
            </w14:solidFill>
          </w14:textFill>
        </w:rPr>
        <w:t>将及时告知资格审查小组。（说明：无论投标人是否收到通知或提供反馈意见，均不影响资格审查和评标工作，且</w:t>
      </w:r>
      <w:r>
        <w:rPr>
          <w:rFonts w:hint="eastAsia" w:ascii="宋体" w:hAnsi="宋体" w:eastAsia="宋体" w:cs="宋体"/>
          <w:b/>
          <w:bCs/>
          <w:color w:val="000000" w:themeColor="text1"/>
          <w:highlight w:val="none"/>
          <w:lang w:val="en-US" w:eastAsia="zh-CN"/>
          <w14:textFill>
            <w14:solidFill>
              <w14:schemeClr w14:val="tx1"/>
            </w14:solidFill>
          </w14:textFill>
        </w:rPr>
        <w:t>采购代理机构</w:t>
      </w:r>
      <w:r>
        <w:rPr>
          <w:rFonts w:hint="eastAsia" w:ascii="宋体" w:hAnsi="宋体" w:eastAsia="宋体" w:cs="宋体"/>
          <w:b/>
          <w:bCs/>
          <w:color w:val="000000" w:themeColor="text1"/>
          <w:highlight w:val="none"/>
          <w14:textFill>
            <w14:solidFill>
              <w14:schemeClr w14:val="tx1"/>
            </w14:solidFill>
          </w14:textFill>
        </w:rPr>
        <w:t>对此将不承担任何的责任。投标人对资格审查结论有异议的，其反馈意见仅限于资格审查小组对资格审查结论的正确性进行复核，避免出现审查错误。）</w:t>
      </w:r>
    </w:p>
    <w:p>
      <w:pPr>
        <w:pStyle w:val="4"/>
        <w:keepNext/>
        <w:keepLines/>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bookmarkStart w:id="355" w:name="_Toc2894"/>
      <w:r>
        <w:rPr>
          <w:rFonts w:hint="eastAsia" w:ascii="宋体" w:hAnsi="宋体" w:eastAsia="宋体" w:cs="宋体"/>
          <w:color w:val="000000" w:themeColor="text1"/>
          <w:highlight w:val="none"/>
          <w14:textFill>
            <w14:solidFill>
              <w14:schemeClr w14:val="tx1"/>
            </w14:solidFill>
          </w14:textFill>
        </w:rPr>
        <w:t>二、评标办法</w:t>
      </w:r>
      <w:bookmarkEnd w:id="350"/>
      <w:bookmarkEnd w:id="355"/>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56" w:name="_Toc208849007"/>
      <w:bookmarkStart w:id="357" w:name="_Toc183582280"/>
      <w:bookmarkStart w:id="358" w:name="_Toc217446097"/>
      <w:bookmarkStart w:id="359" w:name="_Toc20355"/>
      <w:bookmarkStart w:id="360" w:name="_Toc11549"/>
      <w:bookmarkStart w:id="361" w:name="_Toc183682415"/>
      <w:r>
        <w:rPr>
          <w:rFonts w:hint="eastAsia" w:ascii="宋体" w:hAnsi="宋体" w:eastAsia="宋体" w:cs="宋体"/>
          <w:color w:val="000000" w:themeColor="text1"/>
          <w:sz w:val="24"/>
          <w:szCs w:val="24"/>
          <w:highlight w:val="none"/>
          <w14:textFill>
            <w14:solidFill>
              <w14:schemeClr w14:val="tx1"/>
            </w14:solidFill>
          </w14:textFill>
        </w:rPr>
        <w:t>1.总则</w:t>
      </w:r>
      <w:bookmarkEnd w:id="356"/>
      <w:bookmarkEnd w:id="357"/>
      <w:bookmarkEnd w:id="358"/>
      <w:bookmarkEnd w:id="359"/>
      <w:bookmarkEnd w:id="360"/>
      <w:bookmarkEnd w:id="361"/>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 根据《中华人民共和国政府采购法》、《中华人民共和国政府采购法实施条例》、《政府采购货物和服务招标投标管理办法》（财政部令第87号）等法律制度</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结合采购项目特点制定本评标办法。</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1.2 </w:t>
      </w:r>
      <w:r>
        <w:rPr>
          <w:rFonts w:hint="eastAsia" w:ascii="宋体" w:hAnsi="宋体" w:eastAsia="宋体" w:cs="宋体"/>
          <w:bCs/>
          <w:color w:val="000000" w:themeColor="text1"/>
          <w:highlight w:val="none"/>
          <w14:textFill>
            <w14:solidFill>
              <w14:schemeClr w14:val="tx1"/>
            </w14:solidFill>
          </w14:textFill>
        </w:rPr>
        <w:t>评标工作由采购代理机构负责组织</w:t>
      </w:r>
      <w:r>
        <w:rPr>
          <w:rFonts w:hint="eastAsia" w:ascii="宋体" w:hAnsi="宋体" w:eastAsia="宋体" w:cs="宋体"/>
          <w:bCs/>
          <w:color w:val="000000" w:themeColor="text1"/>
          <w:highlight w:val="none"/>
          <w:lang w:eastAsia="zh-CN"/>
          <w14:textFill>
            <w14:solidFill>
              <w14:schemeClr w14:val="tx1"/>
            </w14:solidFill>
          </w14:textFill>
        </w:rPr>
        <w:t>，</w:t>
      </w:r>
      <w:r>
        <w:rPr>
          <w:rFonts w:hint="eastAsia" w:ascii="宋体" w:hAnsi="宋体" w:eastAsia="宋体" w:cs="宋体"/>
          <w:bCs/>
          <w:color w:val="000000" w:themeColor="text1"/>
          <w:highlight w:val="none"/>
          <w14:textFill>
            <w14:solidFill>
              <w14:schemeClr w14:val="tx1"/>
            </w14:solidFill>
          </w14:textFill>
        </w:rPr>
        <w:t>具体评标事务由采购代理机构依法组建的评标委员会负责。评标委员会由采购人代表和有关技术、经济、法律等方面的专家组成。</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 评标工作应遵循公平、公正、科学及择优的原则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并以相同的评标程序和标准对待所有的投标人。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 评标委员会按照招标文件规定的评标方法和标准进行评标</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并独立履行下列职责：</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bookmarkStart w:id="362" w:name="_Toc217446098"/>
      <w:r>
        <w:rPr>
          <w:rFonts w:hint="eastAsia" w:ascii="宋体" w:hAnsi="宋体" w:eastAsia="宋体" w:cs="宋体"/>
          <w:color w:val="000000" w:themeColor="text1"/>
          <w:highlight w:val="none"/>
          <w14:textFill>
            <w14:solidFill>
              <w14:schemeClr w14:val="tx1"/>
            </w14:solidFill>
          </w14:textFill>
        </w:rPr>
        <w:t>（一）审查、评价投标文件是否符合招标文件的商务、技术等实质性要求；</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（二）要求投标人对投标文件有关事项作出澄清或者说明；</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（三）对投标文件进行比较和评价；</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（四）确定中标候选人名单</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以及根据采购人委托直接确定中标人；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（五）向采购人、采购代理机构或者有关部门报告评标中发现的违法行为；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（六）法律、法规和规章规定的其他职责。</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 评标过程独立、保密。投标人非法干预评标过程的行为将导致其投标文件作为无效处理。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1.6评标委员会评价投标文件的响应性</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对于投标人而言</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除评标委员会要求其澄清、说明或者补正而提供的资料外</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仅依据投标文件本身的内容</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不寻求其他外部证据。</w:t>
      </w:r>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63" w:name="_Toc16691"/>
      <w:bookmarkStart w:id="364" w:name="_Toc5596"/>
      <w:r>
        <w:rPr>
          <w:rFonts w:hint="eastAsia" w:ascii="宋体" w:hAnsi="宋体" w:eastAsia="宋体" w:cs="宋体"/>
          <w:color w:val="000000" w:themeColor="text1"/>
          <w:sz w:val="24"/>
          <w:szCs w:val="24"/>
          <w:highlight w:val="none"/>
          <w14:textFill>
            <w14:solidFill>
              <w14:schemeClr w14:val="tx1"/>
            </w14:solidFill>
          </w14:textFill>
        </w:rPr>
        <w:t>2.评标方法</w:t>
      </w:r>
      <w:bookmarkEnd w:id="363"/>
      <w:bookmarkEnd w:id="364"/>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本项目评标方法为：综合评分法。</w:t>
      </w:r>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65" w:name="_Toc2603"/>
      <w:bookmarkStart w:id="366" w:name="_Toc11848"/>
      <w:r>
        <w:rPr>
          <w:rFonts w:hint="eastAsia" w:ascii="宋体" w:hAnsi="宋体" w:eastAsia="宋体" w:cs="宋体"/>
          <w:color w:val="000000" w:themeColor="text1"/>
          <w:sz w:val="24"/>
          <w:szCs w:val="24"/>
          <w:highlight w:val="none"/>
          <w14:textFill>
            <w14:solidFill>
              <w14:schemeClr w14:val="tx1"/>
            </w14:solidFill>
          </w14:textFill>
        </w:rPr>
        <w:t>3.评标程序</w:t>
      </w:r>
      <w:bookmarkEnd w:id="362"/>
      <w:bookmarkEnd w:id="365"/>
      <w:bookmarkEnd w:id="366"/>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bookmarkStart w:id="367" w:name="_Toc217446103"/>
      <w:bookmarkStart w:id="368" w:name="_Toc217446099"/>
      <w:r>
        <w:rPr>
          <w:rFonts w:hint="eastAsia" w:ascii="宋体" w:hAnsi="宋体" w:eastAsia="宋体" w:cs="宋体"/>
          <w:color w:val="000000" w:themeColor="text1"/>
          <w:highlight w:val="none"/>
          <w14:textFill>
            <w14:solidFill>
              <w14:schemeClr w14:val="tx1"/>
            </w14:solidFill>
          </w14:textFill>
        </w:rPr>
        <w:t>3.1熟悉和理解招标文件和停止评标。</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3.1.1评标委员会正式评标前</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应当对招标文件进行熟悉和理解</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内容主要包括招标文件中采购项目技术、服务和商务要求、评标方法和标准以及可能涉及签订政府采购合同的内容等。</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3.1.2评标委员会熟悉和理解招标文件以及评标过程中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发现本招标文件有下列情形之一的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评标委员会应当停止评标：</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（1）招标文件的规定存在歧义、重大缺陷的；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（2）招标文件明显以不合理条件对供应商实行差别待遇或者歧视待遇的；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（3）采购项目属于国家规定的优先、强制采购范围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但是招标文件未依法体现优先、强制采购相关规定的；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（4）采购项目属于政府采购促进中小企业发展的范围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但是招标文件未依法体现促进中小企业发展相关规定的；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（5）招标文件规定的评标方法是综合评分法之外的评标方法</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或者虽然名称为综合评分法</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但实际上不符合国家规定；</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（6）招标文件将投标人的资格条件列为评分因素的；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（7）招标文件有违反国家其他有关强制性规定的情形。</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3.1.3出现本条3.1.2规定应当停止评标情形的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评标委员会成员应当向采购人或者采购代理机构书面说明情况。除本条规定和评标委员会无法依法组建的情形外</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评标委员会成员不得以任何方式和理由停止评标。</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符合性检查。</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评标委员会对符合资格的投标人的投标文件进行符合性审查</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以确定其是否满足招标文件的实质性要求。本项目符合性审查事项仅限于本招标文件的明确规定。投标文件是否满足招标文件的实质性要求</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必须以本招标文件的明确规定作为依据</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否则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不能对投标文件作为无效处理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评标委员会不得臆测符合性审查事项。</w:t>
      </w:r>
    </w:p>
    <w:p>
      <w:pPr>
        <w:pStyle w:val="13"/>
        <w:pageBreakBefore w:val="0"/>
        <w:tabs>
          <w:tab w:val="left" w:pos="600"/>
        </w:tabs>
        <w:kinsoku/>
        <w:wordWrap/>
        <w:overflowPunct/>
        <w:topLinePunct w:val="0"/>
        <w:bidi w:val="0"/>
        <w:spacing w:beforeAutospacing="0" w:afterAutospacing="0" w:line="360" w:lineRule="auto"/>
        <w:ind w:left="0" w:leftChars="0" w:right="0" w:rightChars="0" w:firstLine="482"/>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符合性审查的具体事项见下表（符合性审查表）。</w:t>
      </w:r>
    </w:p>
    <w:tbl>
      <w:tblPr>
        <w:tblStyle w:val="33"/>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500"/>
        <w:gridCol w:w="5168"/>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37" w:type="dxa"/>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r>
              <w:rPr>
                <w:rFonts w:hint="eastAsia" w:ascii="宋体" w:hAnsi="宋体" w:eastAsia="宋体" w:cs="宋体"/>
                <w:b/>
                <w:bCs/>
                <w:color w:val="000000" w:themeColor="text1"/>
                <w:kern w:val="0"/>
                <w:highlight w:val="none"/>
                <w14:textFill>
                  <w14:solidFill>
                    <w14:schemeClr w14:val="tx1"/>
                  </w14:solidFill>
                </w14:textFill>
              </w:rPr>
              <w:t>序号</w:t>
            </w:r>
          </w:p>
        </w:tc>
        <w:tc>
          <w:tcPr>
            <w:tcW w:w="2500"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r>
              <w:rPr>
                <w:rFonts w:hint="eastAsia" w:ascii="宋体" w:hAnsi="宋体" w:eastAsia="宋体" w:cs="宋体"/>
                <w:b/>
                <w:bCs/>
                <w:color w:val="000000" w:themeColor="text1"/>
                <w:kern w:val="0"/>
                <w:highlight w:val="none"/>
                <w14:textFill>
                  <w14:solidFill>
                    <w14:schemeClr w14:val="tx1"/>
                  </w14:solidFill>
                </w14:textFill>
              </w:rPr>
              <w:t>符合性审查项</w:t>
            </w:r>
          </w:p>
        </w:tc>
        <w:tc>
          <w:tcPr>
            <w:tcW w:w="5168" w:type="dxa"/>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r>
              <w:rPr>
                <w:rFonts w:hint="eastAsia" w:ascii="宋体" w:hAnsi="宋体" w:eastAsia="宋体" w:cs="宋体"/>
                <w:b/>
                <w:bCs/>
                <w:color w:val="000000" w:themeColor="text1"/>
                <w:kern w:val="0"/>
                <w:highlight w:val="none"/>
                <w14:textFill>
                  <w14:solidFill>
                    <w14:schemeClr w14:val="tx1"/>
                  </w14:solidFill>
                </w14:textFill>
              </w:rPr>
              <w:t>通过条件</w:t>
            </w:r>
          </w:p>
        </w:tc>
        <w:tc>
          <w:tcPr>
            <w:tcW w:w="917" w:type="dxa"/>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r>
              <w:rPr>
                <w:rFonts w:hint="eastAsia" w:ascii="宋体" w:hAnsi="宋体" w:eastAsia="宋体" w:cs="宋体"/>
                <w:b/>
                <w:bCs/>
                <w:color w:val="000000" w:themeColor="text1"/>
                <w:kern w:val="0"/>
                <w:highlight w:val="none"/>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000000" w:themeColor="text1"/>
                <w:kern w:val="0"/>
                <w:highlight w:val="none"/>
                <w:lang w:eastAsia="zh-CN"/>
                <w14:textFill>
                  <w14:solidFill>
                    <w14:schemeClr w14:val="tx1"/>
                  </w14:solidFill>
                </w14:textFill>
              </w:rPr>
            </w:pPr>
            <w:r>
              <w:rPr>
                <w:rFonts w:hint="eastAsia" w:ascii="宋体" w:hAnsi="宋体" w:eastAsia="宋体" w:cs="宋体"/>
                <w:bCs/>
                <w:color w:val="000000" w:themeColor="text1"/>
                <w:kern w:val="0"/>
                <w:highlight w:val="none"/>
                <w:lang w:val="en-US" w:eastAsia="zh-CN"/>
                <w14:textFill>
                  <w14:solidFill>
                    <w14:schemeClr w14:val="tx1"/>
                  </w14:solidFill>
                </w14:textFill>
              </w:rPr>
              <w:t>1</w:t>
            </w:r>
          </w:p>
        </w:tc>
        <w:tc>
          <w:tcPr>
            <w:tcW w:w="2500"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bCs/>
                <w:color w:val="000000" w:themeColor="text1"/>
                <w:kern w:val="0"/>
                <w:highlight w:val="none"/>
                <w14:textFill>
                  <w14:solidFill>
                    <w14:schemeClr w14:val="tx1"/>
                  </w14:solidFill>
                </w14:textFill>
              </w:rPr>
              <w:t>投标文件盖章</w:t>
            </w:r>
          </w:p>
        </w:tc>
        <w:tc>
          <w:tcPr>
            <w:tcW w:w="5168" w:type="dxa"/>
            <w:vAlign w:val="center"/>
          </w:tcPr>
          <w:p>
            <w:pPr>
              <w:pageBreakBefore w:val="0"/>
              <w:kinsoku/>
              <w:wordWrap/>
              <w:overflowPunct/>
              <w:topLinePunct w:val="0"/>
              <w:bidi w:val="0"/>
              <w:spacing w:beforeAutospacing="0" w:afterAutospacing="0" w:line="360" w:lineRule="auto"/>
              <w:ind w:left="0" w:leftChars="0" w:right="0" w:rightChars="0" w:firstLine="0" w:firstLineChars="0"/>
              <w:jc w:val="left"/>
              <w:textAlignment w:val="auto"/>
              <w:rPr>
                <w:rFonts w:hint="eastAsia"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投标文件均按招标文件要求盖章（评分标准中要求提供的证明材料除外）。 </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000000" w:themeColor="text1"/>
                <w:kern w:val="0"/>
                <w:highlight w:val="none"/>
                <w:lang w:eastAsia="zh-CN"/>
                <w14:textFill>
                  <w14:solidFill>
                    <w14:schemeClr w14:val="tx1"/>
                  </w14:solidFill>
                </w14:textFill>
              </w:rPr>
            </w:pPr>
            <w:r>
              <w:rPr>
                <w:rFonts w:hint="eastAsia" w:ascii="宋体" w:hAnsi="宋体" w:eastAsia="宋体" w:cs="宋体"/>
                <w:bCs/>
                <w:color w:val="000000" w:themeColor="text1"/>
                <w:kern w:val="0"/>
                <w:highlight w:val="none"/>
                <w:lang w:val="en-US" w:eastAsia="zh-CN"/>
                <w14:textFill>
                  <w14:solidFill>
                    <w14:schemeClr w14:val="tx1"/>
                  </w14:solidFill>
                </w14:textFill>
              </w:rPr>
              <w:t>2</w:t>
            </w:r>
          </w:p>
        </w:tc>
        <w:tc>
          <w:tcPr>
            <w:tcW w:w="2500" w:type="dxa"/>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bCs/>
                <w:color w:val="000000" w:themeColor="text1"/>
                <w:kern w:val="0"/>
                <w:highlight w:val="none"/>
                <w14:textFill>
                  <w14:solidFill>
                    <w14:schemeClr w14:val="tx1"/>
                  </w14:solidFill>
                </w14:textFill>
              </w:rPr>
              <w:t>投标文件组成</w:t>
            </w:r>
          </w:p>
        </w:tc>
        <w:tc>
          <w:tcPr>
            <w:tcW w:w="5168" w:type="dxa"/>
            <w:vAlign w:val="center"/>
          </w:tcPr>
          <w:p>
            <w:pPr>
              <w:pageBreakBefore w:val="0"/>
              <w:kinsoku/>
              <w:wordWrap/>
              <w:overflowPunct/>
              <w:topLinePunct w:val="0"/>
              <w:bidi w:val="0"/>
              <w:spacing w:beforeAutospacing="0" w:afterAutospacing="0" w:line="360" w:lineRule="auto"/>
              <w:ind w:left="0" w:leftChars="0" w:right="0" w:rightChars="0" w:firstLine="0" w:firstLineChars="0"/>
              <w:textAlignment w:val="auto"/>
              <w:rPr>
                <w:rFonts w:hint="eastAsia" w:ascii="宋体" w:hAnsi="宋体" w:eastAsia="宋体" w:cs="宋体"/>
                <w:b/>
                <w:bCs/>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投标文件的组成符合招标文件第二章14条的规定要求。</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000000" w:themeColor="text1"/>
                <w:kern w:val="0"/>
                <w:highlight w:val="none"/>
                <w:lang w:eastAsia="zh-CN"/>
                <w14:textFill>
                  <w14:solidFill>
                    <w14:schemeClr w14:val="tx1"/>
                  </w14:solidFill>
                </w14:textFill>
              </w:rPr>
            </w:pPr>
            <w:r>
              <w:rPr>
                <w:rFonts w:hint="eastAsia" w:ascii="宋体" w:hAnsi="宋体" w:eastAsia="宋体" w:cs="宋体"/>
                <w:bCs/>
                <w:color w:val="000000" w:themeColor="text1"/>
                <w:kern w:val="0"/>
                <w:highlight w:val="none"/>
                <w:lang w:val="en-US" w:eastAsia="zh-CN"/>
                <w14:textFill>
                  <w14:solidFill>
                    <w14:schemeClr w14:val="tx1"/>
                  </w14:solidFill>
                </w14:textFill>
              </w:rPr>
              <w:t>3</w:t>
            </w:r>
          </w:p>
        </w:tc>
        <w:tc>
          <w:tcPr>
            <w:tcW w:w="2500" w:type="dxa"/>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bCs/>
                <w:color w:val="000000" w:themeColor="text1"/>
                <w:kern w:val="0"/>
                <w:highlight w:val="none"/>
                <w14:textFill>
                  <w14:solidFill>
                    <w14:schemeClr w14:val="tx1"/>
                  </w14:solidFill>
                </w14:textFill>
              </w:rPr>
              <w:t>投标文件的计量单位、语言、报价货币、投标有效期、知识产权</w:t>
            </w:r>
          </w:p>
        </w:tc>
        <w:tc>
          <w:tcPr>
            <w:tcW w:w="5168" w:type="dxa"/>
            <w:vAlign w:val="center"/>
          </w:tcPr>
          <w:p>
            <w:pPr>
              <w:pageBreakBefore w:val="0"/>
              <w:kinsoku/>
              <w:wordWrap/>
              <w:overflowPunct/>
              <w:topLinePunct w:val="0"/>
              <w:bidi w:val="0"/>
              <w:spacing w:beforeAutospacing="0" w:afterAutospacing="0" w:line="360" w:lineRule="auto"/>
              <w:ind w:left="0" w:leftChars="0" w:right="0" w:rightChars="0" w:firstLine="0" w:firstLineChars="0"/>
              <w:textAlignment w:val="auto"/>
              <w:rPr>
                <w:rFonts w:hint="eastAsia" w:ascii="宋体" w:hAnsi="宋体" w:eastAsia="宋体" w:cs="宋体"/>
                <w:b/>
                <w:bCs/>
                <w:color w:val="000000" w:themeColor="text1"/>
                <w:kern w:val="0"/>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计量单位、语言、报价货币、投标有效期、知识产权均符合招标文件的要求。</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000000" w:themeColor="text1"/>
                <w:kern w:val="0"/>
                <w:highlight w:val="none"/>
                <w:lang w:val="en-US" w:eastAsia="zh-CN"/>
                <w14:textFill>
                  <w14:solidFill>
                    <w14:schemeClr w14:val="tx1"/>
                  </w14:solidFill>
                </w14:textFill>
              </w:rPr>
            </w:pPr>
            <w:r>
              <w:rPr>
                <w:rFonts w:hint="eastAsia" w:ascii="宋体" w:hAnsi="宋体" w:eastAsia="宋体" w:cs="宋体"/>
                <w:bCs/>
                <w:color w:val="000000" w:themeColor="text1"/>
                <w:kern w:val="0"/>
                <w:highlight w:val="none"/>
                <w:lang w:val="en-US" w:eastAsia="zh-CN"/>
                <w14:textFill>
                  <w14:solidFill>
                    <w14:schemeClr w14:val="tx1"/>
                  </w14:solidFill>
                </w14:textFill>
              </w:rPr>
              <w:t>4</w:t>
            </w:r>
          </w:p>
        </w:tc>
        <w:tc>
          <w:tcPr>
            <w:tcW w:w="2500"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bCs/>
                <w:color w:val="000000" w:themeColor="text1"/>
                <w:kern w:val="0"/>
                <w:highlight w:val="none"/>
                <w14:textFill>
                  <w14:solidFill>
                    <w14:schemeClr w14:val="tx1"/>
                  </w14:solidFill>
                </w14:textFill>
              </w:rPr>
              <w:t>投标报价</w:t>
            </w:r>
          </w:p>
        </w:tc>
        <w:tc>
          <w:tcPr>
            <w:tcW w:w="5168" w:type="dxa"/>
            <w:vAlign w:val="center"/>
          </w:tcPr>
          <w:p>
            <w:pPr>
              <w:pageBreakBefore w:val="0"/>
              <w:kinsoku/>
              <w:wordWrap/>
              <w:overflowPunct/>
              <w:topLinePunct w:val="0"/>
              <w:bidi w:val="0"/>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kern w:val="0"/>
                <w:highlight w:val="none"/>
                <w14:textFill>
                  <w14:solidFill>
                    <w14:schemeClr w14:val="tx1"/>
                  </w14:solidFill>
                </w14:textFill>
              </w:rPr>
              <w:t>1</w:t>
            </w:r>
            <w:r>
              <w:rPr>
                <w:rFonts w:hint="eastAsia" w:ascii="宋体" w:hAnsi="宋体" w:eastAsia="宋体" w:cs="宋体"/>
                <w:bCs/>
                <w:color w:val="000000" w:themeColor="text1"/>
                <w:kern w:val="0"/>
                <w:highlight w:val="none"/>
                <w:lang w:val="en-US" w:eastAsia="zh-CN"/>
                <w14:textFill>
                  <w14:solidFill>
                    <w14:schemeClr w14:val="tx1"/>
                  </w14:solidFill>
                </w14:textFill>
              </w:rPr>
              <w:t>.</w:t>
            </w:r>
            <w:r>
              <w:rPr>
                <w:rFonts w:hint="eastAsia" w:ascii="宋体" w:hAnsi="宋体" w:eastAsia="宋体" w:cs="宋体"/>
                <w:bCs/>
                <w:color w:val="000000" w:themeColor="text1"/>
                <w:kern w:val="0"/>
                <w:highlight w:val="none"/>
                <w14:textFill>
                  <w14:solidFill>
                    <w14:schemeClr w14:val="tx1"/>
                  </w14:solidFill>
                </w14:textFill>
              </w:rPr>
              <w:t>符合招标文件第二章须知前附表第1项的规定；2</w:t>
            </w:r>
            <w:r>
              <w:rPr>
                <w:rFonts w:hint="eastAsia" w:ascii="宋体" w:hAnsi="宋体" w:eastAsia="宋体" w:cs="宋体"/>
                <w:bCs/>
                <w:color w:val="000000" w:themeColor="text1"/>
                <w:kern w:val="0"/>
                <w:highlight w:val="none"/>
                <w:lang w:val="en-US" w:eastAsia="zh-CN"/>
                <w14:textFill>
                  <w14:solidFill>
                    <w14:schemeClr w14:val="tx1"/>
                  </w14:solidFill>
                </w14:textFill>
              </w:rPr>
              <w:t>.</w:t>
            </w:r>
            <w:r>
              <w:rPr>
                <w:rFonts w:hint="eastAsia" w:ascii="宋体" w:hAnsi="宋体" w:eastAsia="宋体" w:cs="宋体"/>
                <w:bCs/>
                <w:color w:val="000000" w:themeColor="text1"/>
                <w:kern w:val="0"/>
                <w:highlight w:val="none"/>
                <w14:textFill>
                  <w14:solidFill>
                    <w14:schemeClr w14:val="tx1"/>
                  </w14:solidFill>
                </w14:textFill>
              </w:rPr>
              <w:t>按招标文件第二章须知前附表第2项的规定</w:t>
            </w:r>
            <w:r>
              <w:rPr>
                <w:rFonts w:hint="eastAsia" w:ascii="宋体" w:hAnsi="宋体" w:eastAsia="宋体" w:cs="宋体"/>
                <w:bCs/>
                <w:color w:val="000000" w:themeColor="text1"/>
                <w:kern w:val="0"/>
                <w:highlight w:val="none"/>
                <w:lang w:eastAsia="zh-CN"/>
                <w14:textFill>
                  <w14:solidFill>
                    <w14:schemeClr w14:val="tx1"/>
                  </w14:solidFill>
                </w14:textFill>
              </w:rPr>
              <w:t>，</w:t>
            </w:r>
            <w:r>
              <w:rPr>
                <w:rFonts w:hint="eastAsia" w:ascii="宋体" w:hAnsi="宋体" w:eastAsia="宋体" w:cs="宋体"/>
                <w:bCs/>
                <w:color w:val="000000" w:themeColor="text1"/>
                <w:kern w:val="0"/>
                <w:highlight w:val="none"/>
                <w14:textFill>
                  <w14:solidFill>
                    <w14:schemeClr w14:val="tx1"/>
                  </w14:solidFill>
                </w14:textFill>
              </w:rPr>
              <w:t>不属于以低于成本价竞争；3</w:t>
            </w:r>
            <w:r>
              <w:rPr>
                <w:rFonts w:hint="eastAsia" w:ascii="宋体" w:hAnsi="宋体" w:eastAsia="宋体" w:cs="宋体"/>
                <w:bCs/>
                <w:color w:val="000000" w:themeColor="text1"/>
                <w:kern w:val="0"/>
                <w:highlight w:val="none"/>
                <w:lang w:val="en-US" w:eastAsia="zh-CN"/>
                <w14:textFill>
                  <w14:solidFill>
                    <w14:schemeClr w14:val="tx1"/>
                  </w14:solidFill>
                </w14:textFill>
              </w:rPr>
              <w:t>.</w:t>
            </w:r>
            <w:r>
              <w:rPr>
                <w:rFonts w:hint="eastAsia" w:ascii="宋体" w:hAnsi="宋体" w:eastAsia="宋体" w:cs="宋体"/>
                <w:bCs/>
                <w:color w:val="000000" w:themeColor="text1"/>
                <w:kern w:val="0"/>
                <w:highlight w:val="none"/>
                <w14:textFill>
                  <w14:solidFill>
                    <w14:schemeClr w14:val="tx1"/>
                  </w14:solidFill>
                </w14:textFill>
              </w:rPr>
              <w:t>符合招标文件第二章第四条15条的规定；【注：（1）</w:t>
            </w:r>
            <w:r>
              <w:rPr>
                <w:rFonts w:hint="eastAsia" w:ascii="宋体" w:hAnsi="宋体" w:eastAsia="宋体" w:cs="宋体"/>
                <w:color w:val="000000" w:themeColor="text1"/>
                <w:highlight w:val="none"/>
                <w14:textFill>
                  <w14:solidFill>
                    <w14:schemeClr w14:val="tx1"/>
                  </w14:solidFill>
                </w14:textFill>
              </w:rPr>
              <w:t>报价唯一；（2）投标报价应包含本次招标要求的所有货物及服务的费用】。</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000000" w:themeColor="text1"/>
                <w:kern w:val="0"/>
                <w:highlight w:val="none"/>
                <w:lang w:eastAsia="zh-CN"/>
                <w14:textFill>
                  <w14:solidFill>
                    <w14:schemeClr w14:val="tx1"/>
                  </w14:solidFill>
                </w14:textFill>
              </w:rPr>
            </w:pPr>
            <w:r>
              <w:rPr>
                <w:rFonts w:hint="eastAsia" w:ascii="宋体" w:hAnsi="宋体" w:eastAsia="宋体" w:cs="宋体"/>
                <w:bCs/>
                <w:color w:val="000000" w:themeColor="text1"/>
                <w:kern w:val="0"/>
                <w:highlight w:val="none"/>
                <w:lang w:val="en-US" w:eastAsia="zh-CN"/>
                <w14:textFill>
                  <w14:solidFill>
                    <w14:schemeClr w14:val="tx1"/>
                  </w14:solidFill>
                </w14:textFill>
              </w:rPr>
              <w:t>5</w:t>
            </w:r>
          </w:p>
        </w:tc>
        <w:tc>
          <w:tcPr>
            <w:tcW w:w="2500"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bCs/>
                <w:color w:val="000000" w:themeColor="text1"/>
                <w:kern w:val="0"/>
                <w:highlight w:val="none"/>
                <w14:textFill>
                  <w14:solidFill>
                    <w14:schemeClr w14:val="tx1"/>
                  </w14:solidFill>
                </w14:textFill>
              </w:rPr>
              <w:t>第6章列为实质性条款的技术、商务和其他要求</w:t>
            </w:r>
          </w:p>
        </w:tc>
        <w:tc>
          <w:tcPr>
            <w:tcW w:w="5168" w:type="dxa"/>
            <w:vAlign w:val="center"/>
          </w:tcPr>
          <w:p>
            <w:pPr>
              <w:pageBreakBefore w:val="0"/>
              <w:kinsoku/>
              <w:wordWrap/>
              <w:overflowPunct/>
              <w:topLinePunct w:val="0"/>
              <w:bidi w:val="0"/>
              <w:spacing w:beforeAutospacing="0" w:afterAutospacing="0" w:line="360" w:lineRule="auto"/>
              <w:ind w:left="0" w:leftChars="0" w:right="0" w:rightChars="0" w:firstLine="0" w:firstLine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投标文件均实质性响应招标文件中列为实质性条款的技术、商务和其他要求。</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000000" w:themeColor="text1"/>
                <w:kern w:val="0"/>
                <w:highlight w:val="none"/>
                <w:lang w:eastAsia="zh-CN"/>
                <w14:textFill>
                  <w14:solidFill>
                    <w14:schemeClr w14:val="tx1"/>
                  </w14:solidFill>
                </w14:textFill>
              </w:rPr>
            </w:pPr>
            <w:r>
              <w:rPr>
                <w:rFonts w:hint="eastAsia" w:ascii="宋体" w:hAnsi="宋体" w:eastAsia="宋体" w:cs="宋体"/>
                <w:bCs/>
                <w:color w:val="000000" w:themeColor="text1"/>
                <w:kern w:val="0"/>
                <w:highlight w:val="none"/>
                <w:lang w:val="en-US" w:eastAsia="zh-CN"/>
                <w14:textFill>
                  <w14:solidFill>
                    <w14:schemeClr w14:val="tx1"/>
                  </w14:solidFill>
                </w14:textFill>
              </w:rPr>
              <w:t>6</w:t>
            </w:r>
          </w:p>
        </w:tc>
        <w:tc>
          <w:tcPr>
            <w:tcW w:w="2500" w:type="dxa"/>
            <w:vAlign w:val="center"/>
          </w:tcPr>
          <w:p>
            <w:pPr>
              <w:pageBreakBefore w:val="0"/>
              <w:kinsoku/>
              <w:wordWrap/>
              <w:overflowPunct/>
              <w:topLinePunct w:val="0"/>
              <w:bidi w:val="0"/>
              <w:snapToGrid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bCs/>
                <w:color w:val="000000" w:themeColor="text1"/>
                <w:kern w:val="0"/>
                <w:highlight w:val="none"/>
                <w14:textFill>
                  <w14:solidFill>
                    <w14:schemeClr w14:val="tx1"/>
                  </w14:solidFill>
                </w14:textFill>
              </w:rPr>
              <w:t>进口产品</w:t>
            </w:r>
          </w:p>
        </w:tc>
        <w:tc>
          <w:tcPr>
            <w:tcW w:w="5168" w:type="dxa"/>
            <w:vAlign w:val="center"/>
          </w:tcPr>
          <w:p>
            <w:pPr>
              <w:pageBreakBefore w:val="0"/>
              <w:tabs>
                <w:tab w:val="left" w:pos="317"/>
              </w:tabs>
              <w:kinsoku/>
              <w:wordWrap/>
              <w:overflowPunct/>
              <w:topLinePunct w:val="0"/>
              <w:bidi w:val="0"/>
              <w:spacing w:beforeAutospacing="0" w:afterAutospacing="0" w:line="360" w:lineRule="auto"/>
              <w:ind w:left="0" w:leftChars="0" w:right="0" w:rightChars="0" w:firstLine="0" w:firstLineChars="0"/>
              <w:jc w:val="left"/>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不允许采购进口产品</w:t>
            </w:r>
            <w:r>
              <w:rPr>
                <w:rFonts w:hint="eastAsia" w:ascii="宋体" w:hAnsi="宋体" w:eastAsia="宋体" w:cs="宋体"/>
                <w:color w:val="000000" w:themeColor="text1"/>
                <w:highlight w:val="none"/>
                <w:lang w:eastAsia="zh-CN"/>
                <w14:textFill>
                  <w14:solidFill>
                    <w14:schemeClr w14:val="tx1"/>
                  </w14:solidFill>
                </w14:textFill>
              </w:rPr>
              <w:t>。</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7"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000000" w:themeColor="text1"/>
                <w:kern w:val="0"/>
                <w:highlight w:val="none"/>
                <w:lang w:val="en-US" w:eastAsia="zh-CN"/>
                <w14:textFill>
                  <w14:solidFill>
                    <w14:schemeClr w14:val="tx1"/>
                  </w14:solidFill>
                </w14:textFill>
              </w:rPr>
            </w:pPr>
            <w:r>
              <w:rPr>
                <w:rFonts w:hint="eastAsia" w:ascii="宋体" w:hAnsi="宋体" w:eastAsia="宋体" w:cs="宋体"/>
                <w:bCs/>
                <w:color w:val="000000" w:themeColor="text1"/>
                <w:kern w:val="0"/>
                <w:highlight w:val="none"/>
                <w:lang w:val="en-US" w:eastAsia="zh-CN"/>
                <w14:textFill>
                  <w14:solidFill>
                    <w14:schemeClr w14:val="tx1"/>
                  </w14:solidFill>
                </w14:textFill>
              </w:rPr>
              <w:t>7</w:t>
            </w:r>
          </w:p>
        </w:tc>
        <w:tc>
          <w:tcPr>
            <w:tcW w:w="2500" w:type="dxa"/>
            <w:vAlign w:val="center"/>
          </w:tcPr>
          <w:p>
            <w:pPr>
              <w:pageBreakBefore w:val="0"/>
              <w:kinsoku/>
              <w:wordWrap/>
              <w:overflowPunct/>
              <w:topLinePunct w:val="0"/>
              <w:bidi w:val="0"/>
              <w:spacing w:beforeAutospacing="0" w:afterAutospacing="0" w:line="240" w:lineRule="auto"/>
              <w:ind w:left="0" w:leftChars="0" w:right="0" w:rightChars="0" w:firstLine="0" w:firstLineChars="0"/>
              <w:jc w:val="left"/>
              <w:textAlignment w:val="auto"/>
              <w:rPr>
                <w:rFonts w:hint="eastAsia"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bCs/>
                <w:color w:val="000000" w:themeColor="text1"/>
                <w:kern w:val="0"/>
                <w:highlight w:val="none"/>
                <w:lang w:val="en-US" w:eastAsia="zh-CN"/>
                <w14:textFill>
                  <w14:solidFill>
                    <w14:schemeClr w14:val="tx1"/>
                  </w14:solidFill>
                </w14:textFill>
              </w:rPr>
              <w:t>招标文件规定的无效情形</w:t>
            </w:r>
          </w:p>
        </w:tc>
        <w:tc>
          <w:tcPr>
            <w:tcW w:w="5168"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textAlignment w:val="auto"/>
              <w:rPr>
                <w:rFonts w:hint="eastAsia" w:ascii="宋体" w:hAnsi="宋体" w:eastAsia="宋体" w:cs="宋体"/>
                <w:bCs/>
                <w:color w:val="000000" w:themeColor="text1"/>
                <w:kern w:val="0"/>
                <w:highlight w:val="none"/>
                <w:lang w:val="en-US" w:eastAsia="zh-CN"/>
                <w14:textFill>
                  <w14:solidFill>
                    <w14:schemeClr w14:val="tx1"/>
                  </w14:solidFill>
                </w14:textFill>
              </w:rPr>
            </w:pPr>
            <w:r>
              <w:rPr>
                <w:rFonts w:hint="eastAsia" w:ascii="宋体" w:hAnsi="宋体" w:eastAsia="宋体" w:cs="宋体"/>
                <w:bCs/>
                <w:color w:val="000000" w:themeColor="text1"/>
                <w:kern w:val="0"/>
                <w:highlight w:val="none"/>
                <w:lang w:val="en-US" w:eastAsia="zh-CN"/>
                <w14:textFill>
                  <w14:solidFill>
                    <w14:schemeClr w14:val="tx1"/>
                  </w14:solidFill>
                </w14:textFill>
              </w:rPr>
              <w:t>1.投标人串通投标；2.投标人非法干预评标过程；3.招标文件规定的其他无效情形。</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5" w:type="dxa"/>
            <w:gridSpan w:val="3"/>
            <w:vAlign w:val="center"/>
          </w:tcPr>
          <w:p>
            <w:pPr>
              <w:pageBreakBefore w:val="0"/>
              <w:widowControl/>
              <w:kinsoku/>
              <w:wordWrap/>
              <w:overflowPunct/>
              <w:topLinePunct w:val="0"/>
              <w:bidi w:val="0"/>
              <w:spacing w:beforeAutospacing="0" w:afterAutospacing="0" w:line="240" w:lineRule="auto"/>
              <w:ind w:left="0" w:leftChars="0" w:right="0" w:rightChars="0" w:firstLine="0" w:firstLineChars="0"/>
              <w:jc w:val="center"/>
              <w:textAlignment w:val="auto"/>
              <w:rPr>
                <w:rFonts w:hint="eastAsia"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bCs/>
                <w:color w:val="000000" w:themeColor="text1"/>
                <w:kern w:val="0"/>
                <w:highlight w:val="none"/>
                <w14:textFill>
                  <w14:solidFill>
                    <w14:schemeClr w14:val="tx1"/>
                  </w14:solidFill>
                </w14:textFill>
              </w:rPr>
              <w:t>结论</w:t>
            </w:r>
          </w:p>
        </w:tc>
        <w:tc>
          <w:tcPr>
            <w:tcW w:w="917" w:type="dxa"/>
            <w:vAlign w:val="center"/>
          </w:tcPr>
          <w:p>
            <w:pPr>
              <w:pageBreakBefore w:val="0"/>
              <w:widowControl/>
              <w:kinsoku/>
              <w:wordWrap/>
              <w:overflowPunct/>
              <w:topLinePunct w:val="0"/>
              <w:bidi w:val="0"/>
              <w:spacing w:beforeAutospacing="0" w:afterAutospacing="0" w:line="360" w:lineRule="auto"/>
              <w:ind w:left="0" w:leftChars="0" w:right="0" w:rightChars="0" w:firstLine="0" w:firstLineChars="0"/>
              <w:jc w:val="center"/>
              <w:textAlignment w:val="auto"/>
              <w:rPr>
                <w:rFonts w:hint="eastAsia" w:ascii="宋体" w:hAnsi="宋体" w:eastAsia="宋体" w:cs="宋体"/>
                <w:b/>
                <w:bCs/>
                <w:color w:val="000000" w:themeColor="text1"/>
                <w:kern w:val="0"/>
                <w:highlight w:val="none"/>
                <w14:textFill>
                  <w14:solidFill>
                    <w14:schemeClr w14:val="tx1"/>
                  </w14:solidFill>
                </w14:textFill>
              </w:rPr>
            </w:pPr>
          </w:p>
        </w:tc>
      </w:tr>
    </w:tbl>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以上每一项结论均为“通过”的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则投标人的投标文件通过符合性审查；如有任意一项结论为“不通过”的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则投标人的投标文件按无效投标文件处理。如果评标委员会认为投标人有任意一项不通过的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应在评标报告中载明不通过的具体原因。</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比较与评价。评标委员会按照招标文件中规定的评标方法和标准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对符合性审查合格的投标文件进行商务和技术评估</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综合比较与评价。</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复核。评分汇总结束后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评标委员会应当进行复核</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特别要对拟推荐为中标候选供应商的、报价最低的、投标文件被认定为无效的进行重点复核。</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推荐中标候选供应商。评标结果按评审后得分由高到低顺序排列。得分相同的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按投标报价由低到高顺序排列。得分且投标报价相同的并列。投标文件满足招标文件全部实质性要求</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且按照评审因素的量化指标评审得分最高的投标人为排名第一的中标候选人。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评标委员会可推荐的中标候选供应商数量不能满足招标文件规定的数量的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只有在获得采购人书面同意后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可以根据实际情况推荐中标候选供应商。未获得采购人的书面同意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评标委员会不得在招标文件规定之外推荐中标候选供应商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否则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采购人可以不予认可。</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出具评标报告。评标委员会根据全体评标成员签字的原始评标记录和评标结果编写评标报告。评标报告应当包括以下内容：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（一）招标公告刊登的媒体名称、开标日期和地点；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（二）投标人名单和评标委员会成员名单；</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（三）评标方法和标准；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（四）开标记录和评标情况及说明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包括无效投标人名单及原因；</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（五）评标结果</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确定的中标候选人名单或者经采购人委托直接确定的中标人；</w:t>
      </w:r>
    </w:p>
    <w:p>
      <w:pPr>
        <w:pageBreakBefore w:val="0"/>
        <w:kinsoku/>
        <w:wordWrap/>
        <w:overflowPunct/>
        <w:topLinePunct w:val="0"/>
        <w:bidi w:val="0"/>
        <w:spacing w:beforeAutospacing="0" w:afterAutospacing="0" w:line="360" w:lineRule="auto"/>
        <w:ind w:left="0" w:leftChars="0" w:right="0" w:right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（六）报价最高的投标人为中标候选人的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评标委员会应当对其报价的合理性予以特别说明；</w:t>
      </w:r>
    </w:p>
    <w:p>
      <w:pPr>
        <w:pageBreakBefore w:val="0"/>
        <w:kinsoku/>
        <w:wordWrap/>
        <w:overflowPunct/>
        <w:topLinePunct w:val="0"/>
        <w:bidi w:val="0"/>
        <w:spacing w:beforeAutospacing="0" w:afterAutospacing="0" w:line="360" w:lineRule="auto"/>
        <w:ind w:left="0" w:leftChars="0" w:right="0" w:rightChars="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（七）其他需要说明的情况</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包括评标过程中投标人根据评标委员会要求进行的澄清、说明或者补正</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评标委员会成员的更换等。</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评标委员会成员应当在评标报告中签字确认</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对评标过程和结果有不同意见的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应当在评标报告中写明并说明理由。签字但未写明不同意见或者未说明理由的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视同无意见。拒不签字又未另行书面说明其不同意见和理由的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视同同意评标结果。</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7</w:t>
      </w:r>
      <w:r>
        <w:rPr>
          <w:rFonts w:hint="eastAsia" w:ascii="宋体" w:hAnsi="宋体" w:eastAsia="宋体" w:cs="宋体"/>
          <w:color w:val="000000" w:themeColor="text1"/>
          <w:highlight w:val="none"/>
          <w14:textFill>
            <w14:solidFill>
              <w14:schemeClr w14:val="tx1"/>
            </w14:solidFill>
          </w14:textFill>
        </w:rPr>
        <w:t>评标争议处理规则。评标委员会在评审过程中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对于符合性审查、对供应商投标文件做无效投标处理及其他需要共同认定的事项存在争议的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应当以少数服从多数的原则做出结论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但不得违背法律法规和招标文件规定。有不同意见的评标委员会成员认为认定过程和结果不符合法律法规或者招标文件规定的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应当及时向采购人或者采购代理机构书面反映。采购人或者采购代理机构收到书面反映后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应当书面报告采购项目同级财政部门依法处理。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供应商应当书面澄清、说明或者补正。</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.1在评标过程中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评标委员会对投标文件中含义不明确、同类问题表述不一致或者有明显文字和计算错误的内容</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应当以书面形式（须由评标委员会全体成员签字）要求供应商作出必要的书面澄清、说明或者补正</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并给予供应商必要的反馈时间。</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.2供应商应当书面澄清、说明或者补正</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并加盖公章</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单位电子印章</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在</w:t>
      </w:r>
      <w:r>
        <w:rPr>
          <w:rFonts w:hint="eastAsia" w:ascii="宋体" w:hAnsi="宋体" w:eastAsia="宋体" w:cs="宋体"/>
          <w:color w:val="000000" w:themeColor="text1"/>
          <w:highlight w:val="none"/>
          <w14:textFill>
            <w14:solidFill>
              <w14:schemeClr w14:val="tx1"/>
            </w14:solidFill>
          </w14:textFill>
        </w:rPr>
        <w:t>评标委员会</w:t>
      </w:r>
      <w:r>
        <w:rPr>
          <w:rFonts w:hint="eastAsia" w:ascii="宋体" w:hAnsi="宋体" w:eastAsia="宋体" w:cs="宋体"/>
          <w:color w:val="000000" w:themeColor="text1"/>
          <w:highlight w:val="none"/>
          <w:lang w:val="en-US" w:eastAsia="zh-CN"/>
          <w14:textFill>
            <w14:solidFill>
              <w14:schemeClr w14:val="tx1"/>
            </w14:solidFill>
          </w14:textFill>
        </w:rPr>
        <w:t>要求的时间内通过“政府采购云平台”提交</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否则无效。澄清、说明或者更正不影响投标文件的效力</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有效的澄清、说明或者补正材料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是投标文件的组成部分。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.3评标委员会要求供应商澄清、说明或者补正</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不得超出招标文件的范围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不得以此让供应商实质改变投标文件的内容</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不得影响供应商公平竞争。本项目下列内容不得澄清：</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（一）按财政部规定应当在评标时不予承认的投标文件内容事项；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（二）投标文件中已经明确的内容事项；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（三）投标文件未提供的材料。</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.4投标文件报价出现前后不一致的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除招标文件另有规定外</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按照下列规定修正：</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（一）投标文件中开标一览表（报价表）内容与投标文件中相应内容不一致的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以开标一览表（报价表）为准；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（二）大写金额和小写金额不一致的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以大写金额为准；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（三）单价金额小数点或者百分比有明显错位的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以开标一览表的总价为准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并修改单价；</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（四）总价金额与按单价汇总金额不一致的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以单价金额计算结果为准。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同时出现两种以上不一致的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按照前款规定的顺序修正。修正后的报价按照《政府采购货物和服务招标投标管理办法》（财政部令第87号）第五十一条第二款的规定经投标人确认后产生约束力</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投标人不确认的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其投标无效。</w:t>
      </w:r>
    </w:p>
    <w:p>
      <w:pPr>
        <w:pStyle w:val="48"/>
        <w:pageBreakBefore w:val="0"/>
        <w:kinsoku/>
        <w:wordWrap/>
        <w:overflowPunct/>
        <w:topLinePunct w:val="0"/>
        <w:bidi w:val="0"/>
        <w:spacing w:beforeAutospacing="0" w:afterAutospacing="0" w:line="360" w:lineRule="auto"/>
        <w:ind w:left="0" w:leftChars="0" w:right="0" w:righ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r>
        <w:rPr>
          <w:rFonts w:hint="eastAsia" w:ascii="宋体" w:hAnsi="宋体" w:eastAsia="宋体" w:cs="宋体"/>
          <w:color w:val="000000" w:themeColor="text1"/>
          <w:highlight w:val="none"/>
          <w:lang w:val="en-US" w:eastAsia="zh-CN"/>
          <w14:textFill>
            <w14:solidFill>
              <w14:schemeClr w14:val="tx1"/>
            </w14:solidFill>
          </w14:textFill>
        </w:rPr>
        <w:t xml:space="preserve">9 </w:t>
      </w:r>
      <w:r>
        <w:rPr>
          <w:rFonts w:hint="eastAsia" w:ascii="宋体" w:hAnsi="宋体" w:eastAsia="宋体" w:cs="宋体"/>
          <w:color w:val="000000" w:themeColor="text1"/>
          <w:highlight w:val="none"/>
          <w14:textFill>
            <w14:solidFill>
              <w14:schemeClr w14:val="tx1"/>
            </w14:solidFill>
          </w14:textFill>
        </w:rPr>
        <w:t>低于成本价投标处理。在评标过程中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评标委员会认为投标人的报价明显低于其他通过符合性审查投标人的报价</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有可能影响货物质量或者不能诚信履约的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评标委员会应当要求其在评标现场合理的时间内提供成本构成书面说明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并提交相关证明材料。供应商书面说明应当按照国家财务会计制度的规定要求</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逐项就供应商提供的货物的成本、税金及附加、销售费用、管理费用、财务费用等成本构成事项详细陈述。</w:t>
      </w:r>
    </w:p>
    <w:p>
      <w:pPr>
        <w:pStyle w:val="48"/>
        <w:pageBreakBefore w:val="0"/>
        <w:kinsoku/>
        <w:wordWrap/>
        <w:overflowPunct/>
        <w:topLinePunct w:val="0"/>
        <w:bidi w:val="0"/>
        <w:spacing w:beforeAutospacing="0" w:afterAutospacing="0" w:line="360" w:lineRule="auto"/>
        <w:ind w:left="0" w:leftChars="0" w:right="0" w:righ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供应商书面说明应当加盖公章</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u w:val="none"/>
          <w14:textFill>
            <w14:solidFill>
              <w14:schemeClr w14:val="tx1"/>
            </w14:solidFill>
          </w14:textFill>
        </w:rPr>
        <w:t>单位</w:t>
      </w:r>
      <w:r>
        <w:rPr>
          <w:rFonts w:hint="eastAsia" w:ascii="宋体" w:hAnsi="宋体" w:eastAsia="宋体" w:cs="宋体"/>
          <w:color w:val="000000" w:themeColor="text1"/>
          <w:highlight w:val="none"/>
          <w:u w:val="none"/>
          <w:lang w:val="en-US" w:eastAsia="zh-CN"/>
          <w14:textFill>
            <w14:solidFill>
              <w14:schemeClr w14:val="tx1"/>
            </w14:solidFill>
          </w14:textFill>
        </w:rPr>
        <w:t>电子印章</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在</w:t>
      </w:r>
      <w:r>
        <w:rPr>
          <w:rFonts w:hint="eastAsia" w:ascii="宋体" w:hAnsi="宋体" w:eastAsia="宋体" w:cs="宋体"/>
          <w:color w:val="000000" w:themeColor="text1"/>
          <w:highlight w:val="none"/>
          <w14:textFill>
            <w14:solidFill>
              <w14:schemeClr w14:val="tx1"/>
            </w14:solidFill>
          </w14:textFill>
        </w:rPr>
        <w:t>评标委员会</w:t>
      </w:r>
      <w:r>
        <w:rPr>
          <w:rFonts w:hint="eastAsia" w:ascii="宋体" w:hAnsi="宋体" w:eastAsia="宋体" w:cs="宋体"/>
          <w:color w:val="000000" w:themeColor="text1"/>
          <w:highlight w:val="none"/>
          <w:lang w:val="en-US" w:eastAsia="zh-CN"/>
          <w14:textFill>
            <w14:solidFill>
              <w14:schemeClr w14:val="tx1"/>
            </w14:solidFill>
          </w14:textFill>
        </w:rPr>
        <w:t>要求的时间内通过“政府采购云平台”提交</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否则无效。</w:t>
      </w:r>
    </w:p>
    <w:p>
      <w:pPr>
        <w:pStyle w:val="48"/>
        <w:pageBreakBefore w:val="0"/>
        <w:kinsoku/>
        <w:wordWrap/>
        <w:overflowPunct/>
        <w:topLinePunct w:val="0"/>
        <w:bidi w:val="0"/>
        <w:spacing w:beforeAutospacing="0" w:afterAutospacing="0" w:line="360" w:lineRule="auto"/>
        <w:ind w:left="0" w:leftChars="0" w:right="0" w:righ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供应商提供书面说明后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应当结合采购项目采购需求、专业实际情况、供应商财务状况报告、与其他供应商比较情况等就供应商书面说明进行审查评价。供应商拒绝或者变相拒绝提供有效书面说明或者书面说明不能证明其报价合理性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评标委员会应当将其投标文件作为无效处理。</w:t>
      </w:r>
    </w:p>
    <w:p>
      <w:pPr>
        <w:pStyle w:val="48"/>
        <w:pageBreakBefore w:val="0"/>
        <w:kinsoku/>
        <w:wordWrap/>
        <w:overflowPunct/>
        <w:topLinePunct w:val="0"/>
        <w:bidi w:val="0"/>
        <w:spacing w:beforeAutospacing="0" w:afterAutospacing="0" w:line="360" w:lineRule="auto"/>
        <w:ind w:left="0" w:leftChars="0" w:right="0" w:rightChars="0" w:firstLine="482" w:firstLineChars="200"/>
        <w:jc w:val="both"/>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评标结束之前，投标人应随时关注系统提示，及时通过“政府采购云平台”在线响应评标委员会发出的澄清、说明或补正要求，签章并确认提交成功。逾时回复将不能提交，视为投标人自行放弃，其损失由投标人承担。</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评标结果汇总完成后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采购代理机构应当组织2名以上的本单位工作人员</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在采购现场监督人员的监督之下</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依据有关的法律制度和采购文件对评标结果进行复核</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出具复核报告。评标报告签署前</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经复核发现存在以下情形之一的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评标委员会应当当场修改评标结果</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并在评标报告中记载；评标报告签署后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采购人或者采购代理机构发现存在以下情形之一的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应当组织原评标委员会进行重新评审</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重新评审改变评标结果的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书面报告本级财政部门；投标人对以下情形提出质疑的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采购人或者采购代理机构可以组织原评标委员会进行重新评审</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重新评审改变评标结果的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书面报告本级财政部门：</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（一）分值汇总计算错误的；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（二）分项评分超出评分标准范围的；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（三）评标委员会成员对客观评审因素评分不一致的；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（四）经评标委员会认定评分畸高、畸低的。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除上列情形外</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任何人不得修改评标结果。</w:t>
      </w:r>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69" w:name="_Toc1943"/>
      <w:bookmarkStart w:id="370" w:name="_Toc30077"/>
      <w:r>
        <w:rPr>
          <w:rFonts w:hint="eastAsia" w:ascii="宋体" w:hAnsi="宋体" w:eastAsia="宋体" w:cs="宋体"/>
          <w:color w:val="000000" w:themeColor="text1"/>
          <w:sz w:val="24"/>
          <w:szCs w:val="24"/>
          <w:highlight w:val="none"/>
          <w14:textFill>
            <w14:solidFill>
              <w14:schemeClr w14:val="tx1"/>
            </w14:solidFill>
          </w14:textFill>
        </w:rPr>
        <w:t>4.评标细则及标准</w:t>
      </w:r>
      <w:bookmarkEnd w:id="367"/>
      <w:bookmarkEnd w:id="369"/>
      <w:bookmarkEnd w:id="370"/>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4.1本次综合评分的因素是：详见综合评分明细表。</w:t>
      </w:r>
    </w:p>
    <w:p>
      <w:pPr>
        <w:pStyle w:val="48"/>
        <w:pageBreakBefore w:val="0"/>
        <w:kinsoku/>
        <w:wordWrap/>
        <w:overflowPunct/>
        <w:topLinePunct w:val="0"/>
        <w:bidi w:val="0"/>
        <w:spacing w:beforeAutospacing="0" w:afterAutospacing="0" w:line="360" w:lineRule="auto"/>
        <w:ind w:left="0" w:leftChars="0" w:right="0" w:righ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4.2 评标委员会成员应当根据自身专业情况对每个有效投标供应商的投标文件进行独立评分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加权汇总每项评分因素的得分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得出每个有效投标供应商的总分。技术类评分因素由技术方面评标委员会成员独立评分。经济类评分因素由经济方面评标委员会成员独立评分。采购人代表原则上对技术类评分因素独立评分。价格和其他不能明确区分的评分因素由评标委员会成员共同评分。</w:t>
      </w:r>
    </w:p>
    <w:p>
      <w:pPr>
        <w:pStyle w:val="48"/>
        <w:pageBreakBefore w:val="0"/>
        <w:kinsoku/>
        <w:wordWrap/>
        <w:overflowPunct/>
        <w:topLinePunct w:val="0"/>
        <w:bidi w:val="0"/>
        <w:spacing w:beforeAutospacing="0" w:afterAutospacing="0" w:line="360" w:lineRule="auto"/>
        <w:ind w:left="0" w:leftChars="0" w:right="0" w:righ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4.3综合评分明细表</w:t>
      </w:r>
    </w:p>
    <w:tbl>
      <w:tblPr>
        <w:tblStyle w:val="33"/>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844"/>
        <w:gridCol w:w="813"/>
        <w:gridCol w:w="5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序号</w:t>
            </w:r>
          </w:p>
        </w:tc>
        <w:tc>
          <w:tcPr>
            <w:tcW w:w="1844"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评分因素</w:t>
            </w:r>
          </w:p>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及权值</w:t>
            </w:r>
          </w:p>
        </w:tc>
        <w:tc>
          <w:tcPr>
            <w:tcW w:w="81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分值</w:t>
            </w:r>
          </w:p>
        </w:tc>
        <w:tc>
          <w:tcPr>
            <w:tcW w:w="5598"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82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w:t>
            </w:r>
          </w:p>
        </w:tc>
        <w:tc>
          <w:tcPr>
            <w:tcW w:w="1844" w:type="dxa"/>
            <w:noWrap w:val="0"/>
            <w:vAlign w:val="center"/>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报价（共同评分因素）</w:t>
            </w:r>
          </w:p>
        </w:tc>
        <w:tc>
          <w:tcPr>
            <w:tcW w:w="81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30</w:t>
            </w:r>
          </w:p>
        </w:tc>
        <w:tc>
          <w:tcPr>
            <w:tcW w:w="5598" w:type="dxa"/>
            <w:noWrap w:val="0"/>
            <w:vAlign w:val="top"/>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1.以满足投标文件要求且报价最低的投标报价为评审基准价，其价格分为满分。其他投标人的价格分统一按照下列公式计算：投标报价得分=（投标基准价／最后投标报价）×分值。</w:t>
            </w:r>
          </w:p>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2.对小型和微型企业（含监狱企业、残疾人福利性单位）的报价（如涉及）给予10%的扣除，用扣除后的价格参与评审。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823" w:type="dxa"/>
            <w:noWrap w:val="0"/>
            <w:vAlign w:val="center"/>
          </w:tcPr>
          <w:p>
            <w:pPr>
              <w:widowControl/>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2</w:t>
            </w:r>
          </w:p>
        </w:tc>
        <w:tc>
          <w:tcPr>
            <w:tcW w:w="1844" w:type="dxa"/>
            <w:noWrap w:val="0"/>
            <w:vAlign w:val="center"/>
          </w:tcPr>
          <w:p>
            <w:pPr>
              <w:widowControl/>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功能要求及技术指标</w:t>
            </w:r>
            <w:r>
              <w:rPr>
                <w:rFonts w:hint="eastAsia" w:ascii="宋体" w:cs="宋体"/>
                <w:color w:val="000000" w:themeColor="text1"/>
                <w:sz w:val="24"/>
                <w:lang w:bidi="ar-SA"/>
                <w14:textFill>
                  <w14:solidFill>
                    <w14:schemeClr w14:val="tx1"/>
                  </w14:solidFill>
                </w14:textFill>
              </w:rPr>
              <w:t>（</w:t>
            </w:r>
            <w:r>
              <w:rPr>
                <w:rFonts w:hint="eastAsia"/>
                <w:color w:val="000000" w:themeColor="text1"/>
                <w:sz w:val="24"/>
                <w14:textFill>
                  <w14:solidFill>
                    <w14:schemeClr w14:val="tx1"/>
                  </w14:solidFill>
                </w14:textFill>
              </w:rPr>
              <w:t>技术类评分因素</w:t>
            </w:r>
            <w:r>
              <w:rPr>
                <w:rFonts w:hint="eastAsia" w:ascii="宋体" w:cs="宋体"/>
                <w:color w:val="000000" w:themeColor="text1"/>
                <w:sz w:val="24"/>
                <w:lang w:bidi="ar-SA"/>
                <w14:textFill>
                  <w14:solidFill>
                    <w14:schemeClr w14:val="tx1"/>
                  </w14:solidFill>
                </w14:textFill>
              </w:rPr>
              <w:t>）</w:t>
            </w:r>
          </w:p>
        </w:tc>
        <w:tc>
          <w:tcPr>
            <w:tcW w:w="813" w:type="dxa"/>
            <w:noWrap w:val="0"/>
            <w:vAlign w:val="center"/>
          </w:tcPr>
          <w:p>
            <w:pPr>
              <w:widowControl/>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39</w:t>
            </w:r>
          </w:p>
        </w:tc>
        <w:tc>
          <w:tcPr>
            <w:tcW w:w="5598" w:type="dxa"/>
            <w:noWrap w:val="0"/>
            <w:vAlign w:val="center"/>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所投产品“功能、技术参数及相关要求”中：</w:t>
            </w:r>
          </w:p>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1.非加“▲”和“</w:t>
            </w:r>
            <w:r>
              <w:rPr>
                <w:rFonts w:hint="eastAsia" w:ascii="宋体" w:cs="宋体"/>
                <w:color w:val="000000" w:themeColor="text1"/>
                <w:kern w:val="0"/>
                <w:sz w:val="24"/>
                <w:lang w:bidi="ar-SA"/>
                <w14:textFill>
                  <w14:solidFill>
                    <w14:schemeClr w14:val="tx1"/>
                  </w14:solidFill>
                </w14:textFill>
              </w:rPr>
              <w:t>●</w:t>
            </w:r>
            <w:r>
              <w:rPr>
                <w:rFonts w:hint="eastAsia" w:ascii="宋体" w:cs="宋体"/>
                <w:color w:val="000000" w:themeColor="text1"/>
                <w:sz w:val="24"/>
                <w:lang w:bidi="ar-SA"/>
                <w14:textFill>
                  <w14:solidFill>
                    <w14:schemeClr w14:val="tx1"/>
                  </w14:solidFill>
                </w14:textFill>
              </w:rPr>
              <w:t>”项共220项：全部满足招标要求的得22分，有一项不满足的扣0.1分，扣完为止；（注：以投标产品技术参数表为准）</w:t>
            </w:r>
          </w:p>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2.加“▲”和“</w:t>
            </w:r>
            <w:r>
              <w:rPr>
                <w:rFonts w:hint="eastAsia" w:ascii="宋体" w:cs="宋体"/>
                <w:color w:val="000000" w:themeColor="text1"/>
                <w:kern w:val="0"/>
                <w:sz w:val="24"/>
                <w:lang w:bidi="ar-SA"/>
                <w14:textFill>
                  <w14:solidFill>
                    <w14:schemeClr w14:val="tx1"/>
                  </w14:solidFill>
                </w14:textFill>
              </w:rPr>
              <w:t>●</w:t>
            </w:r>
            <w:r>
              <w:rPr>
                <w:rFonts w:hint="eastAsia" w:ascii="宋体" w:cs="宋体"/>
                <w:color w:val="000000" w:themeColor="text1"/>
                <w:sz w:val="24"/>
                <w:lang w:bidi="ar-SA"/>
                <w14:textFill>
                  <w14:solidFill>
                    <w14:schemeClr w14:val="tx1"/>
                  </w14:solidFill>
                </w14:textFill>
              </w:rPr>
              <w:t>”项共17项：全部满足招标要求得17分，有一项不满足的扣1分，扣完为止。（</w:t>
            </w:r>
            <w:r>
              <w:rPr>
                <w:color w:val="000000" w:themeColor="text1"/>
                <w:sz w:val="24"/>
                <w14:textFill>
                  <w14:solidFill>
                    <w14:schemeClr w14:val="tx1"/>
                  </w14:solidFill>
                </w14:textFill>
              </w:rPr>
              <w:t>注：</w:t>
            </w:r>
            <w:r>
              <w:rPr>
                <w:rFonts w:hint="eastAsia" w:ascii="宋体" w:cs="宋体"/>
                <w:color w:val="000000" w:themeColor="text1"/>
                <w:sz w:val="24"/>
                <w:lang w:bidi="ar-SA"/>
                <w14:textFill>
                  <w14:solidFill>
                    <w14:schemeClr w14:val="tx1"/>
                  </w14:solidFill>
                </w14:textFill>
              </w:rPr>
              <w:t>带“▲”项，需提供具有“CMA”或“CNAS”标识的有效检测报告复印件并加盖投标人公章；</w:t>
            </w:r>
            <w:r>
              <w:rPr>
                <w:rFonts w:hint="eastAsia"/>
                <w:color w:val="000000" w:themeColor="text1"/>
                <w:sz w:val="24"/>
                <w14:textFill>
                  <w14:solidFill>
                    <w14:schemeClr w14:val="tx1"/>
                  </w14:solidFill>
                </w14:textFill>
              </w:rPr>
              <w:t>带</w:t>
            </w:r>
            <w:r>
              <w:rPr>
                <w:rFonts w:hint="eastAsia" w:ascii="宋体" w:cs="宋体"/>
                <w:color w:val="000000" w:themeColor="text1"/>
                <w:sz w:val="24"/>
                <w:lang w:bidi="ar-SA"/>
                <w14:textFill>
                  <w14:solidFill>
                    <w14:schemeClr w14:val="tx1"/>
                  </w14:solidFill>
                </w14:textFill>
              </w:rPr>
              <w:t>“</w:t>
            </w:r>
            <w:r>
              <w:rPr>
                <w:rFonts w:hint="eastAsia" w:ascii="宋体" w:cs="宋体"/>
                <w:color w:val="000000" w:themeColor="text1"/>
                <w:kern w:val="0"/>
                <w:sz w:val="24"/>
                <w:lang w:bidi="ar-SA"/>
                <w14:textFill>
                  <w14:solidFill>
                    <w14:schemeClr w14:val="tx1"/>
                  </w14:solidFill>
                </w14:textFill>
              </w:rPr>
              <w:t>●</w:t>
            </w:r>
            <w:r>
              <w:rPr>
                <w:rFonts w:hint="eastAsia" w:ascii="宋体" w:cs="宋体"/>
                <w:color w:val="000000" w:themeColor="text1"/>
                <w:sz w:val="24"/>
                <w:lang w:bidi="ar-SA"/>
                <w14:textFill>
                  <w14:solidFill>
                    <w14:schemeClr w14:val="tx1"/>
                  </w14:solidFill>
                </w14:textFill>
              </w:rPr>
              <w:t>”项，</w:t>
            </w:r>
            <w:r>
              <w:rPr>
                <w:rFonts w:hint="eastAsia" w:ascii="宋体" w:cs="宋体"/>
                <w:color w:val="000000" w:themeColor="text1"/>
                <w:kern w:val="0"/>
                <w:sz w:val="24"/>
                <w:lang w:bidi="ar-SA"/>
                <w14:textFill>
                  <w14:solidFill>
                    <w14:schemeClr w14:val="tx1"/>
                  </w14:solidFill>
                </w14:textFill>
              </w:rPr>
              <w:t>需提供相应功能截图并加盖投标人公章。）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2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3</w:t>
            </w:r>
          </w:p>
        </w:tc>
        <w:tc>
          <w:tcPr>
            <w:tcW w:w="1844" w:type="dxa"/>
            <w:noWrap w:val="0"/>
            <w:vAlign w:val="center"/>
          </w:tcPr>
          <w:p>
            <w:pPr>
              <w:widowControl/>
              <w:spacing w:line="360" w:lineRule="auto"/>
              <w:ind w:left="0" w:leftChars="0" w:firstLine="0" w:firstLineChars="0"/>
              <w:jc w:val="center"/>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产品质量保障</w:t>
            </w:r>
            <w:r>
              <w:rPr>
                <w:rFonts w:hint="eastAsia" w:ascii="宋体" w:cs="宋体"/>
                <w:color w:val="000000" w:themeColor="text1"/>
                <w:sz w:val="24"/>
                <w:lang w:bidi="ar-SA"/>
                <w14:textFill>
                  <w14:solidFill>
                    <w14:schemeClr w14:val="tx1"/>
                  </w14:solidFill>
                </w14:textFill>
              </w:rPr>
              <w:t>（</w:t>
            </w:r>
            <w:r>
              <w:rPr>
                <w:rFonts w:hint="eastAsia"/>
                <w:color w:val="000000" w:themeColor="text1"/>
                <w:sz w:val="24"/>
                <w14:textFill>
                  <w14:solidFill>
                    <w14:schemeClr w14:val="tx1"/>
                  </w14:solidFill>
                </w14:textFill>
              </w:rPr>
              <w:t>技术类评分因素</w:t>
            </w:r>
            <w:r>
              <w:rPr>
                <w:rFonts w:hint="eastAsia" w:ascii="宋体" w:cs="宋体"/>
                <w:color w:val="000000" w:themeColor="text1"/>
                <w:sz w:val="24"/>
                <w:lang w:bidi="ar-SA"/>
                <w14:textFill>
                  <w14:solidFill>
                    <w14:schemeClr w14:val="tx1"/>
                  </w14:solidFill>
                </w14:textFill>
              </w:rPr>
              <w:t>）</w:t>
            </w:r>
          </w:p>
        </w:tc>
        <w:tc>
          <w:tcPr>
            <w:tcW w:w="813" w:type="dxa"/>
            <w:noWrap w:val="0"/>
            <w:vAlign w:val="center"/>
          </w:tcPr>
          <w:p>
            <w:pPr>
              <w:widowControl/>
              <w:spacing w:line="360" w:lineRule="auto"/>
              <w:ind w:left="0" w:leftChars="0" w:firstLine="0" w:firstLineChars="0"/>
              <w:jc w:val="center"/>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12</w:t>
            </w:r>
          </w:p>
        </w:tc>
        <w:tc>
          <w:tcPr>
            <w:tcW w:w="5598" w:type="dxa"/>
            <w:noWrap w:val="0"/>
            <w:vAlign w:val="center"/>
          </w:tcPr>
          <w:p>
            <w:pPr>
              <w:widowControl/>
              <w:spacing w:line="360" w:lineRule="auto"/>
              <w:ind w:left="0" w:leftChars="0" w:firstLine="0" w:firstLineChars="0"/>
              <w:jc w:val="left"/>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1.投标人所投高清录播主机平均无故障时间：MTBF≥10万小时得2分，8万小时≤MTBF＜10万小时得1.5分，5万小时≤MTBF＜8万小时得1分，MTBF＜5万小时不得分；（注：须提供与投标产品一致，带“CMA”或“CNAS”标识的有效检测证明材料，并加盖投标人公章。）</w:t>
            </w:r>
          </w:p>
          <w:p>
            <w:pPr>
              <w:widowControl/>
              <w:spacing w:line="360" w:lineRule="auto"/>
              <w:ind w:left="0" w:leftChars="0" w:firstLine="0" w:firstLineChars="0"/>
              <w:jc w:val="left"/>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2.投标人所投录播软件、</w:t>
            </w:r>
            <w:r>
              <w:rPr>
                <w:rFonts w:hint="eastAsia" w:ascii="宋体" w:cs="宋体"/>
                <w:color w:val="000000" w:themeColor="text1"/>
                <w:kern w:val="0"/>
                <w:sz w:val="24"/>
                <w:lang w:bidi="ar-SA"/>
                <w14:textFill>
                  <w14:solidFill>
                    <w14:schemeClr w14:val="tx1"/>
                  </w14:solidFill>
                </w14:textFill>
              </w:rPr>
              <w:t>区域级管理平台</w:t>
            </w:r>
            <w:r>
              <w:rPr>
                <w:rFonts w:hint="eastAsia" w:ascii="宋体" w:cs="宋体"/>
                <w:bCs/>
                <w:color w:val="000000" w:themeColor="text1"/>
                <w:kern w:val="0"/>
                <w:sz w:val="24"/>
                <w:lang w:bidi="ar-SA"/>
                <w14:textFill>
                  <w14:solidFill>
                    <w14:schemeClr w14:val="tx1"/>
                  </w14:solidFill>
                </w14:textFill>
              </w:rPr>
              <w:t>、</w:t>
            </w:r>
            <w:r>
              <w:rPr>
                <w:rFonts w:hint="eastAsia" w:ascii="宋体" w:cs="宋体"/>
                <w:color w:val="000000" w:themeColor="text1"/>
                <w:kern w:val="0"/>
                <w:sz w:val="24"/>
                <w:lang w:bidi="ar-SA"/>
                <w14:textFill>
                  <w14:solidFill>
                    <w14:schemeClr w14:val="tx1"/>
                  </w14:solidFill>
                </w14:textFill>
              </w:rPr>
              <w:t>虚</w:t>
            </w:r>
            <w:r>
              <w:rPr>
                <w:rFonts w:hint="eastAsia" w:ascii="宋体" w:cs="宋体"/>
                <w:bCs/>
                <w:color w:val="000000" w:themeColor="text1"/>
                <w:kern w:val="0"/>
                <w:sz w:val="24"/>
                <w:lang w:bidi="ar-SA"/>
                <w14:textFill>
                  <w14:solidFill>
                    <w14:schemeClr w14:val="tx1"/>
                  </w14:solidFill>
                </w14:textFill>
              </w:rPr>
              <w:t>拟演播室系统、非线性编辑系统获得计算机软件著作权登记证书的得6分，缺一项扣1.5分，扣完为止。（注：投标人须提供与投标产品一致计算机软件著作权登记证书有效证件）</w:t>
            </w:r>
          </w:p>
          <w:p>
            <w:pPr>
              <w:widowControl/>
              <w:spacing w:line="360" w:lineRule="auto"/>
              <w:ind w:left="0" w:leftChars="0" w:firstLine="0" w:firstLineChars="0"/>
              <w:jc w:val="left"/>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3.为保证预装软件后期升级与硬件相互兼容，投标人所投录播系统软件，区域级管理平台分别为高清录播主机生产厂家自行研发得2分，缺一项扣1分；（注：投标人提供承诺函）</w:t>
            </w:r>
          </w:p>
          <w:p>
            <w:pPr>
              <w:widowControl/>
              <w:spacing w:line="360" w:lineRule="auto"/>
              <w:ind w:left="0" w:leftChars="0" w:firstLine="0" w:firstLineChars="0"/>
              <w:jc w:val="left"/>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4. 为保证预装软件后期升级与硬件相互兼容，广播系统软件为广播控制主机1生产厂家自行研发得2分，不提供不提分。（注：投标人提供承诺函）</w:t>
            </w:r>
          </w:p>
          <w:p>
            <w:pPr>
              <w:widowControl/>
              <w:spacing w:line="360" w:lineRule="auto"/>
              <w:ind w:left="0" w:leftChars="0" w:firstLine="0" w:firstLineChars="0"/>
              <w:jc w:val="left"/>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Merge w:val="restart"/>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w:t>
            </w:r>
          </w:p>
        </w:tc>
        <w:tc>
          <w:tcPr>
            <w:tcW w:w="1844" w:type="dxa"/>
            <w:vMerge w:val="restart"/>
            <w:noWrap w:val="0"/>
            <w:vAlign w:val="center"/>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履约能力（共同评分因素）</w:t>
            </w:r>
          </w:p>
        </w:tc>
        <w:tc>
          <w:tcPr>
            <w:tcW w:w="81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2</w:t>
            </w:r>
          </w:p>
        </w:tc>
        <w:tc>
          <w:tcPr>
            <w:tcW w:w="5598" w:type="dxa"/>
            <w:noWrap w:val="0"/>
            <w:vAlign w:val="center"/>
          </w:tcPr>
          <w:p>
            <w:pPr>
              <w:widowControl/>
              <w:spacing w:line="360" w:lineRule="auto"/>
              <w:ind w:left="0" w:leftChars="0" w:firstLine="0" w:firstLineChars="0"/>
              <w:jc w:val="left"/>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2018年1月1日至今（以合同签订时间为准），投标人每有1个已完成类似项目业绩得1分，最多得2分，无不得分。</w:t>
            </w:r>
          </w:p>
          <w:p>
            <w:pPr>
              <w:widowControl/>
              <w:spacing w:line="360" w:lineRule="auto"/>
              <w:ind w:left="0" w:leftChars="0" w:firstLine="0" w:firstLineChars="0"/>
              <w:jc w:val="left"/>
              <w:rPr>
                <w:color w:val="000000" w:themeColor="text1"/>
                <w:sz w:val="24"/>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注：提供项目合同和完工证明材料复印件，并加盖投标人公章。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Merge w:val="continue"/>
            <w:noWrap w:val="0"/>
            <w:vAlign w:val="center"/>
          </w:tcPr>
          <w:p>
            <w:pPr>
              <w:ind w:left="0" w:leftChars="0" w:firstLine="0" w:firstLineChars="0"/>
              <w:rPr>
                <w:color w:val="000000" w:themeColor="text1"/>
                <w14:textFill>
                  <w14:solidFill>
                    <w14:schemeClr w14:val="tx1"/>
                  </w14:solidFill>
                </w14:textFill>
              </w:rPr>
            </w:pPr>
          </w:p>
        </w:tc>
        <w:tc>
          <w:tcPr>
            <w:tcW w:w="1844" w:type="dxa"/>
            <w:vMerge w:val="continue"/>
            <w:noWrap w:val="0"/>
            <w:vAlign w:val="center"/>
          </w:tcPr>
          <w:p>
            <w:pPr>
              <w:ind w:left="0" w:leftChars="0" w:firstLine="0" w:firstLineChars="0"/>
              <w:rPr>
                <w:color w:val="000000" w:themeColor="text1"/>
                <w14:textFill>
                  <w14:solidFill>
                    <w14:schemeClr w14:val="tx1"/>
                  </w14:solidFill>
                </w14:textFill>
              </w:rPr>
            </w:pPr>
          </w:p>
        </w:tc>
        <w:tc>
          <w:tcPr>
            <w:tcW w:w="81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2</w:t>
            </w:r>
          </w:p>
        </w:tc>
        <w:tc>
          <w:tcPr>
            <w:tcW w:w="5598" w:type="dxa"/>
            <w:noWrap w:val="0"/>
            <w:vAlign w:val="center"/>
          </w:tcPr>
          <w:p>
            <w:pPr>
              <w:widowControl/>
              <w:spacing w:line="360" w:lineRule="auto"/>
              <w:ind w:left="0" w:leftChars="0" w:firstLine="0" w:firstLineChars="0"/>
              <w:jc w:val="left"/>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投标人具有质量管理体系认证证书，得2分。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82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5</w:t>
            </w:r>
          </w:p>
        </w:tc>
        <w:tc>
          <w:tcPr>
            <w:tcW w:w="1844" w:type="dxa"/>
            <w:noWrap w:val="0"/>
            <w:vAlign w:val="center"/>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培训方案（</w:t>
            </w:r>
            <w:r>
              <w:rPr>
                <w:rFonts w:hint="eastAsia"/>
                <w:color w:val="000000" w:themeColor="text1"/>
                <w:sz w:val="24"/>
                <w14:textFill>
                  <w14:solidFill>
                    <w14:schemeClr w14:val="tx1"/>
                  </w14:solidFill>
                </w14:textFill>
              </w:rPr>
              <w:t>技术类评分因素</w:t>
            </w:r>
            <w:r>
              <w:rPr>
                <w:rFonts w:hint="eastAsia" w:ascii="宋体" w:cs="宋体"/>
                <w:color w:val="000000" w:themeColor="text1"/>
                <w:sz w:val="24"/>
                <w:lang w:bidi="ar-SA"/>
                <w14:textFill>
                  <w14:solidFill>
                    <w14:schemeClr w14:val="tx1"/>
                  </w14:solidFill>
                </w14:textFill>
              </w:rPr>
              <w:t>）</w:t>
            </w:r>
          </w:p>
        </w:tc>
        <w:tc>
          <w:tcPr>
            <w:tcW w:w="81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3</w:t>
            </w:r>
          </w:p>
        </w:tc>
        <w:tc>
          <w:tcPr>
            <w:tcW w:w="5598" w:type="dxa"/>
            <w:noWrap w:val="0"/>
            <w:vAlign w:val="center"/>
          </w:tcPr>
          <w:p>
            <w:pPr>
              <w:widowControl/>
              <w:spacing w:line="360" w:lineRule="auto"/>
              <w:ind w:left="0" w:leftChars="0" w:firstLine="0" w:firstLineChars="0"/>
              <w:jc w:val="left"/>
              <w:rPr>
                <w:color w:val="000000" w:themeColor="text1"/>
                <w:sz w:val="24"/>
                <w14:textFill>
                  <w14:solidFill>
                    <w14:schemeClr w14:val="tx1"/>
                  </w14:solidFill>
                </w14:textFill>
              </w:rPr>
            </w:pPr>
            <w:r>
              <w:rPr>
                <w:rFonts w:hint="eastAsia" w:ascii="宋体" w:cs="宋体"/>
                <w:color w:val="000000" w:themeColor="text1"/>
                <w:sz w:val="24"/>
                <w:lang w:bidi="ar-SA"/>
                <w14:textFill>
                  <w14:solidFill>
                    <w14:schemeClr w14:val="tx1"/>
                  </w14:solidFill>
                </w14:textFill>
              </w:rPr>
              <w:t>投标人提供与本项目相关的培训方案有以下要素且完全符合采购需求得3分，每有一项不符合采购需求扣0.5分，扣完为止，扣完为止。①培训目标②培训师具备培训资格；（注：提供培训师教师资格证复印件，无不得分）③培训时间及方式④ 培训资料⑤ 培训效果评价（检测）措施⑥对老师跟踪培训措施。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w:t>
            </w:r>
          </w:p>
        </w:tc>
        <w:tc>
          <w:tcPr>
            <w:tcW w:w="1844" w:type="dxa"/>
            <w:noWrap w:val="0"/>
            <w:vAlign w:val="center"/>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实施方案（</w:t>
            </w:r>
            <w:r>
              <w:rPr>
                <w:rFonts w:hint="eastAsia"/>
                <w:color w:val="000000" w:themeColor="text1"/>
                <w:sz w:val="24"/>
                <w14:textFill>
                  <w14:solidFill>
                    <w14:schemeClr w14:val="tx1"/>
                  </w14:solidFill>
                </w14:textFill>
              </w:rPr>
              <w:t>技术类评分因素</w:t>
            </w:r>
            <w:r>
              <w:rPr>
                <w:rFonts w:hint="eastAsia" w:ascii="宋体" w:cs="宋体"/>
                <w:color w:val="000000" w:themeColor="text1"/>
                <w:sz w:val="24"/>
                <w:lang w:bidi="ar-SA"/>
                <w14:textFill>
                  <w14:solidFill>
                    <w14:schemeClr w14:val="tx1"/>
                  </w14:solidFill>
                </w14:textFill>
              </w:rPr>
              <w:t>）</w:t>
            </w:r>
          </w:p>
        </w:tc>
        <w:tc>
          <w:tcPr>
            <w:tcW w:w="813" w:type="dxa"/>
            <w:noWrap w:val="0"/>
            <w:vAlign w:val="center"/>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3</w:t>
            </w:r>
          </w:p>
        </w:tc>
        <w:tc>
          <w:tcPr>
            <w:tcW w:w="5598" w:type="dxa"/>
            <w:noWrap w:val="0"/>
            <w:vAlign w:val="center"/>
          </w:tcPr>
          <w:p>
            <w:pPr>
              <w:widowControl/>
              <w:spacing w:line="360" w:lineRule="auto"/>
              <w:ind w:left="0" w:leftChars="0" w:firstLine="0" w:firstLineChars="0"/>
              <w:jc w:val="left"/>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投标人提供与本项目相关的实施方案有以下要素且完全符合采购需求得3分，每有一项不符合采购需求扣0.5分，扣完为止。</w:t>
            </w:r>
          </w:p>
          <w:p>
            <w:pPr>
              <w:pStyle w:val="12"/>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①施工标准及工艺②施工进度③项目安全措施④质量控制措施⑤应急方案⑥项目自验措施。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Merge w:val="restart"/>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7</w:t>
            </w:r>
          </w:p>
        </w:tc>
        <w:tc>
          <w:tcPr>
            <w:tcW w:w="1844" w:type="dxa"/>
            <w:vMerge w:val="restart"/>
            <w:noWrap w:val="0"/>
            <w:vAlign w:val="center"/>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售后服务（</w:t>
            </w:r>
            <w:r>
              <w:rPr>
                <w:rFonts w:hint="eastAsia"/>
                <w:color w:val="000000" w:themeColor="text1"/>
                <w:sz w:val="24"/>
                <w14:textFill>
                  <w14:solidFill>
                    <w14:schemeClr w14:val="tx1"/>
                  </w14:solidFill>
                </w14:textFill>
              </w:rPr>
              <w:t>技术类评分因素</w:t>
            </w:r>
            <w:r>
              <w:rPr>
                <w:rFonts w:hint="eastAsia" w:ascii="宋体" w:cs="宋体"/>
                <w:color w:val="000000" w:themeColor="text1"/>
                <w:sz w:val="24"/>
                <w:lang w:bidi="ar-SA"/>
                <w14:textFill>
                  <w14:solidFill>
                    <w14:schemeClr w14:val="tx1"/>
                  </w14:solidFill>
                </w14:textFill>
              </w:rPr>
              <w:t>）</w:t>
            </w:r>
          </w:p>
        </w:tc>
        <w:tc>
          <w:tcPr>
            <w:tcW w:w="813" w:type="dxa"/>
            <w:noWrap w:val="0"/>
            <w:vAlign w:val="center"/>
          </w:tcPr>
          <w:p>
            <w:pPr>
              <w:spacing w:line="360" w:lineRule="auto"/>
              <w:ind w:left="0" w:leftChars="0" w:firstLine="0" w:firstLineChars="0"/>
              <w:jc w:val="center"/>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3</w:t>
            </w:r>
          </w:p>
        </w:tc>
        <w:tc>
          <w:tcPr>
            <w:tcW w:w="5598" w:type="dxa"/>
            <w:noWrap w:val="0"/>
            <w:vAlign w:val="center"/>
          </w:tcPr>
          <w:p>
            <w:pPr>
              <w:spacing w:line="360" w:lineRule="auto"/>
              <w:ind w:left="0" w:leftChars="0" w:firstLine="0" w:firstLineChars="0"/>
              <w:rPr>
                <w:rFonts w:hint="eastAsia" w:ascii="宋体" w:cs="宋体"/>
                <w:bCs/>
                <w:color w:val="000000" w:themeColor="text1"/>
                <w:kern w:val="0"/>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投标人</w:t>
            </w:r>
            <w:r>
              <w:rPr>
                <w:rFonts w:hint="eastAsia" w:ascii="宋体" w:cs="宋体"/>
                <w:bCs/>
                <w:color w:val="000000" w:themeColor="text1"/>
                <w:kern w:val="0"/>
                <w:sz w:val="24"/>
                <w:lang w:bidi="ar-SA"/>
                <w14:textFill>
                  <w14:solidFill>
                    <w14:schemeClr w14:val="tx1"/>
                  </w14:solidFill>
                </w14:textFill>
              </w:rPr>
              <w:t>承诺高清录播主机、音频终端、广播控制主机售后服务年限：</w:t>
            </w:r>
          </w:p>
          <w:p>
            <w:pPr>
              <w:spacing w:line="360" w:lineRule="auto"/>
              <w:ind w:left="0" w:leftChars="0" w:firstLine="0" w:firstLineChars="0"/>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 xml:space="preserve">1.每有1个产品售后服务年限为4年以上（含4年）不足5年的，得0.5分； </w:t>
            </w:r>
          </w:p>
          <w:p>
            <w:pPr>
              <w:spacing w:line="360" w:lineRule="auto"/>
              <w:ind w:left="0" w:leftChars="0" w:firstLine="0" w:firstLineChars="0"/>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2.每有1个产品售后服务年限为5年以上（含5年），得1分；</w:t>
            </w:r>
          </w:p>
          <w:p>
            <w:pPr>
              <w:spacing w:line="360" w:lineRule="auto"/>
              <w:ind w:left="0" w:leftChars="0" w:firstLine="0" w:firstLineChars="0"/>
              <w:rPr>
                <w:rFonts w:hint="eastAsia" w:ascii="宋体" w:cs="宋体"/>
                <w:bCs/>
                <w:color w:val="000000" w:themeColor="text1"/>
                <w:kern w:val="0"/>
                <w:sz w:val="24"/>
                <w:lang w:bidi="ar-SA"/>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注：本项目最多得3分；（注：投标人需提供承诺书，并加盖投标人公章，不提供不得分）。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823" w:type="dxa"/>
            <w:vMerge w:val="continue"/>
            <w:noWrap w:val="0"/>
            <w:vAlign w:val="center"/>
          </w:tcPr>
          <w:p>
            <w:pPr>
              <w:ind w:left="0" w:leftChars="0" w:firstLine="0" w:firstLineChars="0"/>
              <w:rPr>
                <w:color w:val="000000" w:themeColor="text1"/>
                <w14:textFill>
                  <w14:solidFill>
                    <w14:schemeClr w14:val="tx1"/>
                  </w14:solidFill>
                </w14:textFill>
              </w:rPr>
            </w:pPr>
          </w:p>
        </w:tc>
        <w:tc>
          <w:tcPr>
            <w:tcW w:w="1844" w:type="dxa"/>
            <w:vMerge w:val="continue"/>
            <w:noWrap w:val="0"/>
            <w:vAlign w:val="center"/>
          </w:tcPr>
          <w:p>
            <w:pPr>
              <w:ind w:left="0" w:leftChars="0" w:firstLine="0" w:firstLineChars="0"/>
              <w:rPr>
                <w:color w:val="000000" w:themeColor="text1"/>
                <w14:textFill>
                  <w14:solidFill>
                    <w14:schemeClr w14:val="tx1"/>
                  </w14:solidFill>
                </w14:textFill>
              </w:rPr>
            </w:pPr>
          </w:p>
        </w:tc>
        <w:tc>
          <w:tcPr>
            <w:tcW w:w="81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3</w:t>
            </w:r>
          </w:p>
        </w:tc>
        <w:tc>
          <w:tcPr>
            <w:tcW w:w="5598" w:type="dxa"/>
            <w:noWrap w:val="0"/>
            <w:vAlign w:val="center"/>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1.投标人提供与本项目相关的售后服务方案有以下要素且完全符合采购需求得3分，</w:t>
            </w:r>
            <w:r>
              <w:rPr>
                <w:rFonts w:hint="eastAsia" w:ascii="宋体" w:cs="宋体"/>
                <w:color w:val="000000" w:themeColor="text1"/>
                <w:kern w:val="0"/>
                <w:sz w:val="24"/>
                <w:lang w:bidi="ar-SA"/>
                <w14:textFill>
                  <w14:solidFill>
                    <w14:schemeClr w14:val="tx1"/>
                  </w14:solidFill>
                </w14:textFill>
              </w:rPr>
              <w:t>每有一项不符合采购需求扣0.5分，</w:t>
            </w:r>
            <w:r>
              <w:rPr>
                <w:rFonts w:hint="eastAsia" w:ascii="宋体" w:cs="宋体"/>
                <w:color w:val="000000" w:themeColor="text1"/>
                <w:sz w:val="24"/>
                <w:lang w:bidi="ar-SA"/>
                <w14:textFill>
                  <w14:solidFill>
                    <w14:schemeClr w14:val="tx1"/>
                  </w14:solidFill>
                </w14:textFill>
              </w:rPr>
              <w:t>扣完为止。</w:t>
            </w:r>
          </w:p>
          <w:p>
            <w:pPr>
              <w:spacing w:line="360" w:lineRule="auto"/>
              <w:ind w:left="0" w:leftChars="0" w:firstLine="0" w:firstLineChars="0"/>
              <w:rPr>
                <w:color w:val="000000" w:themeColor="text1"/>
                <w:sz w:val="24"/>
                <w14:textFill>
                  <w14:solidFill>
                    <w14:schemeClr w14:val="tx1"/>
                  </w14:solidFill>
                </w14:textFill>
              </w:rPr>
            </w:pPr>
            <w:r>
              <w:rPr>
                <w:rFonts w:hint="eastAsia" w:ascii="宋体" w:cs="宋体"/>
                <w:bCs/>
                <w:color w:val="000000" w:themeColor="text1"/>
                <w:kern w:val="0"/>
                <w:sz w:val="24"/>
                <w:lang w:bidi="ar-SA"/>
                <w14:textFill>
                  <w14:solidFill>
                    <w14:schemeClr w14:val="tx1"/>
                  </w14:solidFill>
                </w14:textFill>
              </w:rPr>
              <w:t>①响应机制②响应保障措施③备件供应④每期开学前售后巡检方案⑤售后二维码⑥售后现场服务能力</w:t>
            </w:r>
            <w:r>
              <w:rPr>
                <w:rFonts w:hint="eastAsia" w:ascii="宋体" w:cs="宋体"/>
                <w:color w:val="000000" w:themeColor="text1"/>
                <w:sz w:val="24"/>
                <w:lang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2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8</w:t>
            </w:r>
          </w:p>
        </w:tc>
        <w:tc>
          <w:tcPr>
            <w:tcW w:w="1844" w:type="dxa"/>
            <w:noWrap w:val="0"/>
            <w:vAlign w:val="center"/>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节能、环境标志、无线局域网产品（共同评分因素）</w:t>
            </w:r>
          </w:p>
        </w:tc>
        <w:tc>
          <w:tcPr>
            <w:tcW w:w="81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3</w:t>
            </w:r>
          </w:p>
        </w:tc>
        <w:tc>
          <w:tcPr>
            <w:tcW w:w="5598" w:type="dxa"/>
            <w:noWrap w:val="0"/>
            <w:vAlign w:val="top"/>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投标人所投产品中：每有一项属于节能产品政府采购品目清单中优先采购范围的得1分，每有一项属于环境标志产品政府采购品目清单中优先采购范围的得1分，每有一项属于无限局域网产品政府采购品目清单中优先采购范围的得1分，本项共3分。</w:t>
            </w:r>
          </w:p>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注：1.可重复计分；</w:t>
            </w:r>
          </w:p>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2.本项目采购的产品中属于节能产品、环境标志产品政府采购品目清单中强制采购范围的，不属于本项评分范围；</w:t>
            </w:r>
          </w:p>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3.投标人所投产品属于节能产品或环境标志产品政府采购品目清单中优先采购范围的，应当在投标文件中提供国家确定的认证机构出具的、处于有效期之内的节能产品或环境标志产品认证证书复印件并加盖投标人公章，否则不予给分；</w:t>
            </w:r>
          </w:p>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4.投标人所投产品属于优先采购范围内的无线局域网产品的，需提供《中国政府采购网》公布的无线局域网产品政府采购清单封面及对应页并加盖投标人公章，否则不予给分；</w:t>
            </w:r>
          </w:p>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5.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无线局域网产品优先采购范围以中国政府采购网公布的《无线局域网认证产品政府采购清单》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p>
        </w:tc>
        <w:tc>
          <w:tcPr>
            <w:tcW w:w="1844" w:type="dxa"/>
            <w:noWrap w:val="0"/>
            <w:vAlign w:val="center"/>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合计</w:t>
            </w:r>
          </w:p>
        </w:tc>
        <w:tc>
          <w:tcPr>
            <w:tcW w:w="813" w:type="dxa"/>
            <w:noWrap w:val="0"/>
            <w:vAlign w:val="center"/>
          </w:tcPr>
          <w:p>
            <w:pPr>
              <w:spacing w:line="360" w:lineRule="auto"/>
              <w:ind w:left="0" w:leftChars="0" w:firstLine="0" w:firstLineChars="0"/>
              <w:jc w:val="center"/>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100</w:t>
            </w:r>
          </w:p>
        </w:tc>
        <w:tc>
          <w:tcPr>
            <w:tcW w:w="5598" w:type="dxa"/>
            <w:noWrap w:val="0"/>
            <w:vAlign w:val="top"/>
          </w:tcPr>
          <w:p>
            <w:pPr>
              <w:spacing w:line="360" w:lineRule="auto"/>
              <w:ind w:left="0" w:leftChars="0" w:firstLine="0" w:firstLineChars="0"/>
              <w:rPr>
                <w:rFonts w:hint="eastAsia" w:ascii="宋体" w:cs="宋体"/>
                <w:color w:val="000000" w:themeColor="text1"/>
                <w:sz w:val="24"/>
                <w:lang w:bidi="ar-SA"/>
                <w14:textFill>
                  <w14:solidFill>
                    <w14:schemeClr w14:val="tx1"/>
                  </w14:solidFill>
                </w14:textFill>
              </w:rPr>
            </w:pPr>
          </w:p>
        </w:tc>
      </w:tr>
    </w:tbl>
    <w:p>
      <w:pPr>
        <w:pStyle w:val="13"/>
        <w:pageBreakBefore w:val="0"/>
        <w:tabs>
          <w:tab w:val="left" w:pos="600"/>
        </w:tabs>
        <w:kinsoku/>
        <w:wordWrap/>
        <w:overflowPunct/>
        <w:topLinePunct w:val="0"/>
        <w:bidi w:val="0"/>
        <w:spacing w:beforeAutospacing="0" w:afterAutospacing="0" w:line="360" w:lineRule="auto"/>
        <w:ind w:left="0" w:leftChars="0" w:right="0" w:rightChars="0" w:firstLine="482"/>
        <w:textAlignment w:val="auto"/>
        <w:rPr>
          <w:rFonts w:hint="eastAsia" w:ascii="宋体" w:hAnsi="宋体" w:eastAsia="宋体" w:cs="宋体"/>
          <w:b/>
          <w:color w:val="000000" w:themeColor="text1"/>
          <w:sz w:val="24"/>
          <w:szCs w:val="24"/>
          <w:highlight w:val="none"/>
          <w:lang w:val="en-US" w:eastAsia="zh-CN" w:bidi="ar"/>
          <w14:textFill>
            <w14:solidFill>
              <w14:schemeClr w14:val="tx1"/>
            </w14:solidFill>
          </w14:textFill>
        </w:rPr>
      </w:pPr>
      <w:r>
        <w:rPr>
          <w:rFonts w:hint="eastAsia" w:ascii="宋体" w:hAnsi="宋体" w:eastAsia="宋体" w:cs="宋体"/>
          <w:b/>
          <w:color w:val="000000" w:themeColor="text1"/>
          <w:sz w:val="24"/>
          <w:szCs w:val="24"/>
          <w:highlight w:val="none"/>
          <w:lang w:bidi="ar"/>
          <w14:textFill>
            <w14:solidFill>
              <w14:schemeClr w14:val="tx1"/>
            </w14:solidFill>
          </w14:textFill>
        </w:rPr>
        <w:t>注：</w:t>
      </w:r>
      <w:r>
        <w:rPr>
          <w:rFonts w:hint="eastAsia" w:ascii="宋体" w:hAnsi="宋体" w:eastAsia="宋体" w:cs="宋体"/>
          <w:b/>
          <w:color w:val="000000" w:themeColor="text1"/>
          <w:sz w:val="24"/>
          <w:szCs w:val="24"/>
          <w:highlight w:val="none"/>
          <w:lang w:val="en-US" w:eastAsia="zh-CN" w:bidi="ar"/>
          <w14:textFill>
            <w14:solidFill>
              <w14:schemeClr w14:val="tx1"/>
            </w14:solidFill>
          </w14:textFill>
        </w:rPr>
        <w:t>1.</w:t>
      </w:r>
      <w:r>
        <w:rPr>
          <w:rFonts w:hint="eastAsia" w:ascii="宋体" w:hAnsi="宋体" w:eastAsia="宋体" w:cs="宋体"/>
          <w:b/>
          <w:color w:val="000000" w:themeColor="text1"/>
          <w:sz w:val="24"/>
          <w:szCs w:val="24"/>
          <w:highlight w:val="none"/>
          <w:lang w:bidi="ar"/>
          <w14:textFill>
            <w14:solidFill>
              <w14:schemeClr w14:val="tx1"/>
            </w14:solidFill>
          </w14:textFill>
        </w:rPr>
        <w:t>评分依据的所有证明材料须清晰可辨</w:t>
      </w:r>
      <w:r>
        <w:rPr>
          <w:rFonts w:hint="eastAsia" w:ascii="宋体" w:hAnsi="宋体" w:eastAsia="宋体" w:cs="宋体"/>
          <w:b/>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color w:val="000000" w:themeColor="text1"/>
          <w:sz w:val="24"/>
          <w:szCs w:val="24"/>
          <w:highlight w:val="none"/>
          <w:lang w:bidi="ar"/>
          <w14:textFill>
            <w14:solidFill>
              <w14:schemeClr w14:val="tx1"/>
            </w14:solidFill>
          </w14:textFill>
        </w:rPr>
        <w:t>加盖投标单位公章</w:t>
      </w:r>
      <w:r>
        <w:rPr>
          <w:rFonts w:hint="eastAsia" w:ascii="宋体" w:hAnsi="宋体" w:eastAsia="宋体" w:cs="宋体"/>
          <w:b/>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color w:val="000000" w:themeColor="text1"/>
          <w:sz w:val="24"/>
          <w:szCs w:val="24"/>
          <w:highlight w:val="none"/>
          <w:lang w:val="en-US" w:eastAsia="zh-CN" w:bidi="ar"/>
          <w14:textFill>
            <w14:solidFill>
              <w14:schemeClr w14:val="tx1"/>
            </w14:solidFill>
          </w14:textFill>
        </w:rPr>
        <w:t>电子印章）</w:t>
      </w:r>
      <w:r>
        <w:rPr>
          <w:rFonts w:hint="eastAsia" w:ascii="宋体" w:hAnsi="宋体" w:eastAsia="宋体" w:cs="宋体"/>
          <w:b/>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color w:val="000000" w:themeColor="text1"/>
          <w:sz w:val="24"/>
          <w:szCs w:val="24"/>
          <w:highlight w:val="none"/>
          <w:lang w:bidi="ar"/>
          <w14:textFill>
            <w14:solidFill>
              <w14:schemeClr w14:val="tx1"/>
            </w14:solidFill>
          </w14:textFill>
        </w:rPr>
        <w:t>若提供的证明材料不实</w:t>
      </w:r>
      <w:r>
        <w:rPr>
          <w:rFonts w:hint="eastAsia" w:ascii="宋体" w:hAnsi="宋体" w:eastAsia="宋体" w:cs="宋体"/>
          <w:b/>
          <w:color w:val="000000" w:themeColor="text1"/>
          <w:sz w:val="24"/>
          <w:szCs w:val="24"/>
          <w:highlight w:val="none"/>
          <w:lang w:eastAsia="zh-CN" w:bidi="ar"/>
          <w14:textFill>
            <w14:solidFill>
              <w14:schemeClr w14:val="tx1"/>
            </w14:solidFill>
          </w14:textFill>
        </w:rPr>
        <w:t>，</w:t>
      </w:r>
      <w:r>
        <w:rPr>
          <w:rFonts w:hint="eastAsia" w:ascii="宋体" w:hAnsi="宋体" w:eastAsia="宋体" w:cs="宋体"/>
          <w:b/>
          <w:color w:val="000000" w:themeColor="text1"/>
          <w:sz w:val="24"/>
          <w:szCs w:val="24"/>
          <w:highlight w:val="none"/>
          <w:lang w:bidi="ar"/>
          <w14:textFill>
            <w14:solidFill>
              <w14:schemeClr w14:val="tx1"/>
            </w14:solidFill>
          </w14:textFill>
        </w:rPr>
        <w:t>一切后果由投标人承担</w:t>
      </w:r>
      <w:r>
        <w:rPr>
          <w:rFonts w:hint="eastAsia" w:ascii="宋体" w:hAnsi="宋体" w:eastAsia="宋体" w:cs="宋体"/>
          <w:b/>
          <w:color w:val="000000" w:themeColor="text1"/>
          <w:sz w:val="24"/>
          <w:szCs w:val="24"/>
          <w:highlight w:val="none"/>
          <w:lang w:val="en-US" w:eastAsia="zh-CN" w:bidi="ar"/>
          <w14:textFill>
            <w14:solidFill>
              <w14:schemeClr w14:val="tx1"/>
            </w14:solidFill>
          </w14:textFill>
        </w:rPr>
        <w:t>。</w:t>
      </w:r>
    </w:p>
    <w:p>
      <w:pPr>
        <w:pStyle w:val="13"/>
        <w:pageBreakBefore w:val="0"/>
        <w:tabs>
          <w:tab w:val="left" w:pos="600"/>
        </w:tabs>
        <w:kinsoku/>
        <w:wordWrap/>
        <w:overflowPunct/>
        <w:topLinePunct w:val="0"/>
        <w:bidi w:val="0"/>
        <w:spacing w:beforeAutospacing="0" w:afterAutospacing="0" w:line="360" w:lineRule="auto"/>
        <w:ind w:left="0" w:leftChars="0" w:right="0" w:rightChars="0" w:firstLine="482"/>
        <w:textAlignment w:val="auto"/>
        <w:rPr>
          <w:rFonts w:hint="eastAsia" w:ascii="宋体" w:hAnsi="宋体" w:eastAsia="宋体" w:cs="宋体"/>
          <w:b/>
          <w:color w:val="000000" w:themeColor="text1"/>
          <w:sz w:val="24"/>
          <w:szCs w:val="24"/>
          <w:highlight w:val="none"/>
          <w:lang w:val="en-US" w:eastAsia="zh-CN" w:bidi="ar"/>
          <w14:textFill>
            <w14:solidFill>
              <w14:schemeClr w14:val="tx1"/>
            </w14:solidFill>
          </w14:textFill>
        </w:rPr>
      </w:pPr>
      <w:r>
        <w:rPr>
          <w:rFonts w:hint="eastAsia" w:ascii="宋体" w:hAnsi="宋体" w:eastAsia="宋体" w:cs="宋体"/>
          <w:b/>
          <w:color w:val="000000" w:themeColor="text1"/>
          <w:sz w:val="24"/>
          <w:szCs w:val="24"/>
          <w:highlight w:val="none"/>
          <w:lang w:val="en-US" w:eastAsia="zh-CN" w:bidi="ar"/>
          <w14:textFill>
            <w14:solidFill>
              <w14:schemeClr w14:val="tx1"/>
            </w14:solidFill>
          </w14:textFill>
        </w:rPr>
        <w:t>2.评分的取值按四舍五入法，保留小数点后两位。</w:t>
      </w:r>
    </w:p>
    <w:p>
      <w:pPr>
        <w:pStyle w:val="4"/>
        <w:pageBreakBefore w:val="0"/>
        <w:kinsoku/>
        <w:wordWrap/>
        <w:overflowPunct/>
        <w:topLinePunct w:val="0"/>
        <w:bidi w:val="0"/>
        <w:spacing w:before="0" w:beforeAutospacing="0" w:after="0" w:afterAutospacing="0" w:line="360" w:lineRule="auto"/>
        <w:ind w:left="0" w:leftChars="0" w:right="0" w:righ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71" w:name="_Toc12042"/>
      <w:bookmarkStart w:id="372" w:name="_Toc5407"/>
      <w:bookmarkStart w:id="373" w:name="_Toc217446060"/>
      <w:r>
        <w:rPr>
          <w:rFonts w:hint="eastAsia" w:ascii="宋体" w:hAnsi="宋体" w:eastAsia="宋体" w:cs="宋体"/>
          <w:color w:val="000000" w:themeColor="text1"/>
          <w:sz w:val="24"/>
          <w:szCs w:val="24"/>
          <w:highlight w:val="none"/>
          <w14:textFill>
            <w14:solidFill>
              <w14:schemeClr w14:val="tx1"/>
            </w14:solidFill>
          </w14:textFill>
        </w:rPr>
        <w:t>5.废标</w:t>
      </w:r>
      <w:bookmarkEnd w:id="371"/>
      <w:bookmarkEnd w:id="372"/>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5.1本次政府采购活动中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出现下列情形之一的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予以废标：</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（1）符合专业条件的供应商或者对招标文件作实质响应的供应商不足三家的；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（2）出现影响采购公正的违法、违规行为的；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（3）投标人的报价均超过了采购预算</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采购人不能支付的；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（4）因重大变故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采购任务取消的。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废标后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采购代理机构应在四川政府采购网上公告</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并公告废标的情形。投标人需要知晓导致废标情形的具体原因和理由的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可以通过书面形式询问采购人或者采购代理机构。</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5.2对于评标过程中废标的采购项目</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评标委员会应当对招标文件是否存在倾向性和歧视性、是否存在不合理条款进行论证</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并出具书面论证意见。</w:t>
      </w:r>
      <w:bookmarkEnd w:id="368"/>
      <w:bookmarkEnd w:id="373"/>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74" w:name="_Toc8056"/>
      <w:bookmarkStart w:id="375" w:name="_Toc8804"/>
      <w:bookmarkStart w:id="376" w:name="_Toc183682432"/>
      <w:bookmarkStart w:id="377" w:name="_Toc217446105"/>
      <w:bookmarkStart w:id="378" w:name="_Toc183582297"/>
      <w:bookmarkStart w:id="379" w:name="_Toc208849022"/>
      <w:bookmarkStart w:id="380" w:name="_Toc2060"/>
      <w:r>
        <w:rPr>
          <w:rFonts w:hint="eastAsia" w:ascii="宋体" w:hAnsi="宋体" w:eastAsia="宋体" w:cs="宋体"/>
          <w:color w:val="000000" w:themeColor="text1"/>
          <w:sz w:val="24"/>
          <w:szCs w:val="24"/>
          <w:highlight w:val="none"/>
          <w14:textFill>
            <w14:solidFill>
              <w14:schemeClr w14:val="tx1"/>
            </w14:solidFill>
          </w14:textFill>
        </w:rPr>
        <w:t>6.定标</w:t>
      </w:r>
      <w:bookmarkEnd w:id="374"/>
      <w:bookmarkEnd w:id="375"/>
      <w:bookmarkStart w:id="381" w:name="_Toc217446061"/>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6.1. 定标原则</w:t>
      </w:r>
      <w:bookmarkEnd w:id="381"/>
      <w:r>
        <w:rPr>
          <w:rFonts w:hint="eastAsia" w:ascii="宋体" w:hAnsi="宋体" w:eastAsia="宋体" w:cs="宋体"/>
          <w:color w:val="000000" w:themeColor="text1"/>
          <w:highlight w:val="none"/>
          <w14:textFill>
            <w14:solidFill>
              <w14:schemeClr w14:val="tx1"/>
            </w14:solidFill>
          </w14:textFill>
        </w:rPr>
        <w:t>：根据委托代理协议的约定</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本项目根据评标委员会推荐的中标候选供应商名单</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按顺序确定中标供应商。</w:t>
      </w:r>
      <w:bookmarkStart w:id="382" w:name="_Toc217446062"/>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6.2. 定标程序</w:t>
      </w:r>
      <w:bookmarkEnd w:id="382"/>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6.2.1 评标委员会将评标情况写出书面报告</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推荐中标候选供应商。评标结果按评审后得分由高到低顺序排列。得分相同的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按投标报价由低到高顺序排列。得分且投标报价相同的并列。投标文件满足招标文件全部实质性要求</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且按照评审因素的量化指标评审得分最高的投标人为排名第一的中标候选人。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6.2.2 采购代理机构在评标结束后2个工作日内将评标报告</w:t>
      </w:r>
      <w:r>
        <w:rPr>
          <w:rFonts w:hint="eastAsia" w:ascii="宋体" w:hAnsi="宋体" w:eastAsia="宋体" w:cs="宋体"/>
          <w:color w:val="000000" w:themeColor="text1"/>
          <w:highlight w:val="none"/>
          <w:lang w:val="en-US" w:eastAsia="zh-CN"/>
          <w14:textFill>
            <w14:solidFill>
              <w14:schemeClr w14:val="tx1"/>
            </w14:solidFill>
          </w14:textFill>
        </w:rPr>
        <w:t>提交</w:t>
      </w:r>
      <w:r>
        <w:rPr>
          <w:rFonts w:hint="eastAsia" w:ascii="宋体" w:hAnsi="宋体" w:eastAsia="宋体" w:cs="宋体"/>
          <w:color w:val="000000" w:themeColor="text1"/>
          <w:highlight w:val="none"/>
          <w14:textFill>
            <w14:solidFill>
              <w14:schemeClr w14:val="tx1"/>
            </w14:solidFill>
          </w14:textFill>
        </w:rPr>
        <w:t>采购人。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6.2.3 采购人应当自收到评标报告之日起</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个工作日内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在评标报告确定的中标候选人名单中按顺序确定中标人。中标候选人并列的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采取随机抽取的方式确定。采购人在收到评标报告</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个工作日内未按评标报告推荐的中标候选人顺序确定中标人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又不能说明合法理由的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视同按评标报告推荐的顺序确定排名第一的中标候选人为中标人。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6.2.4 根据采购人确定的中标供应商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采购代理机构自采购人确定中标供应商之日起2个工作日内</w:t>
      </w:r>
      <w:r>
        <w:rPr>
          <w:rFonts w:hint="eastAsia" w:ascii="宋体" w:hAnsi="宋体" w:eastAsia="宋体" w:cs="宋体"/>
          <w:color w:val="000000" w:themeColor="text1"/>
          <w:highlight w:val="none"/>
          <w:lang w:val="en-US" w:eastAsia="zh-CN"/>
          <w14:textFill>
            <w14:solidFill>
              <w14:schemeClr w14:val="tx1"/>
            </w14:solidFill>
          </w14:textFill>
        </w:rPr>
        <w:t>通过</w:t>
      </w:r>
      <w:r>
        <w:rPr>
          <w:rFonts w:hint="eastAsia" w:ascii="宋体" w:hAnsi="宋体" w:eastAsia="宋体" w:cs="宋体"/>
          <w:color w:val="000000" w:themeColor="text1"/>
          <w:highlight w:val="none"/>
          <w:lang w:val="zh-CN" w:eastAsia="zh-CN"/>
          <w14:textFill>
            <w14:solidFill>
              <w14:schemeClr w14:val="tx1"/>
            </w14:solidFill>
          </w14:textFill>
        </w:rPr>
        <w:t>政府采购云平台</w:t>
      </w:r>
      <w:r>
        <w:rPr>
          <w:rFonts w:hint="eastAsia" w:ascii="宋体" w:hAnsi="宋体" w:eastAsia="宋体" w:cs="宋体"/>
          <w:color w:val="000000" w:themeColor="text1"/>
          <w:highlight w:val="none"/>
          <w:lang w:val="en-US" w:eastAsia="zh-CN"/>
          <w14:textFill>
            <w14:solidFill>
              <w14:schemeClr w14:val="tx1"/>
            </w14:solidFill>
          </w14:textFill>
        </w:rPr>
        <w:t>向</w:t>
      </w:r>
      <w:r>
        <w:rPr>
          <w:rFonts w:hint="eastAsia" w:ascii="宋体" w:hAnsi="宋体" w:eastAsia="宋体" w:cs="宋体"/>
          <w:color w:val="000000" w:themeColor="text1"/>
          <w:highlight w:val="none"/>
          <w:lang w:val="zh-CN"/>
          <w14:textFill>
            <w14:solidFill>
              <w14:schemeClr w14:val="tx1"/>
            </w14:solidFill>
          </w14:textFill>
        </w:rPr>
        <w:t>中标供应商发出中标通知书</w:t>
      </w:r>
      <w:r>
        <w:rPr>
          <w:rFonts w:hint="eastAsia" w:ascii="宋体" w:hAnsi="宋体" w:eastAsia="宋体" w:cs="宋体"/>
          <w:color w:val="000000" w:themeColor="text1"/>
          <w:highlight w:val="none"/>
          <w:lang w:eastAsia="zh-CN"/>
          <w14:textFill>
            <w14:solidFill>
              <w14:schemeClr w14:val="tx1"/>
            </w14:solidFill>
          </w14:textFill>
        </w:rPr>
        <w:t>，并</w:t>
      </w:r>
      <w:r>
        <w:rPr>
          <w:rFonts w:hint="eastAsia" w:ascii="宋体" w:hAnsi="宋体" w:eastAsia="宋体" w:cs="宋体"/>
          <w:color w:val="000000" w:themeColor="text1"/>
          <w:highlight w:val="none"/>
          <w14:textFill>
            <w14:solidFill>
              <w14:schemeClr w14:val="tx1"/>
            </w14:solidFill>
          </w14:textFill>
        </w:rPr>
        <w:t>在四川政府采购网上发布中标公告。</w:t>
      </w:r>
      <w:r>
        <w:rPr>
          <w:rFonts w:hint="eastAsia" w:ascii="宋体" w:hAnsi="宋体" w:eastAsia="宋体" w:cs="宋体"/>
          <w:color w:val="000000" w:themeColor="text1"/>
          <w:highlight w:val="none"/>
          <w:lang w:val="zh-CN"/>
          <w14:textFill>
            <w14:solidFill>
              <w14:schemeClr w14:val="tx1"/>
            </w14:solidFill>
          </w14:textFill>
        </w:rPr>
        <w:t>中标供应商自行登录政府采购云平台下载中标通知书。</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6.2.5 招标采购单位不退回投标人投标文件和其他投标资料。</w:t>
      </w:r>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83" w:name="_Toc4682"/>
      <w:r>
        <w:rPr>
          <w:rFonts w:hint="eastAsia" w:ascii="宋体" w:hAnsi="宋体" w:eastAsia="宋体" w:cs="宋体"/>
          <w:color w:val="000000" w:themeColor="text1"/>
          <w:sz w:val="24"/>
          <w:szCs w:val="24"/>
          <w:highlight w:val="none"/>
          <w14:textFill>
            <w14:solidFill>
              <w14:schemeClr w14:val="tx1"/>
            </w14:solidFill>
          </w14:textFill>
        </w:rPr>
        <w:t>7.</w:t>
      </w:r>
      <w:bookmarkEnd w:id="376"/>
      <w:bookmarkEnd w:id="377"/>
      <w:bookmarkEnd w:id="378"/>
      <w:bookmarkEnd w:id="379"/>
      <w:r>
        <w:rPr>
          <w:rFonts w:hint="eastAsia" w:ascii="宋体" w:hAnsi="宋体" w:eastAsia="宋体" w:cs="宋体"/>
          <w:color w:val="000000" w:themeColor="text1"/>
          <w:sz w:val="24"/>
          <w:szCs w:val="24"/>
          <w:highlight w:val="none"/>
          <w14:textFill>
            <w14:solidFill>
              <w14:schemeClr w14:val="tx1"/>
            </w14:solidFill>
          </w14:textFill>
        </w:rPr>
        <w:t>评标专家在政府采购活动中承担以下义务</w:t>
      </w:r>
      <w:bookmarkEnd w:id="380"/>
      <w:bookmarkEnd w:id="383"/>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（一）遵守评审工作纪律； </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（二）按照客观、公正、审慎的原则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根据采购文件规定的评审程序、评审方法和评审标准进行独立评审；</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（三）不得泄露评审文件、评审情况和在评审过程中获悉的商业秘密；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（四）及时向监督部门报告评审过程中采购组织单位向评审专家做倾向性、误导性的解释或者说明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供应商行贿、提供虚假材料或者串通、受到的非法干预情况等违法违规行为；</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（五）发现采购文件内容违反国家有关强制性规定或者存在歧义、重大缺陷导致评审工作无法进行时</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停止评审并向采购组织单位书面说明情况；</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（六）配合答复处理供应商的询问、质疑和投诉等事项；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（七）法律、法规和规章规定的其他义务。</w:t>
      </w:r>
    </w:p>
    <w:p>
      <w:pPr>
        <w:pStyle w:val="4"/>
        <w:pageBreakBefore w:val="0"/>
        <w:kinsoku/>
        <w:wordWrap/>
        <w:overflowPunct/>
        <w:topLinePunct w:val="0"/>
        <w:bidi w:val="0"/>
        <w:spacing w:before="0" w:beforeAutospacing="0" w:after="0" w:afterAutospacing="0" w:line="360" w:lineRule="auto"/>
        <w:ind w:left="0" w:leftChars="0" w:right="0" w:rightChars="0" w:firstLine="482"/>
        <w:textAlignment w:val="auto"/>
        <w:rPr>
          <w:rFonts w:hint="eastAsia" w:ascii="宋体" w:hAnsi="宋体" w:eastAsia="宋体" w:cs="宋体"/>
          <w:color w:val="000000" w:themeColor="text1"/>
          <w:sz w:val="24"/>
          <w:szCs w:val="24"/>
          <w:highlight w:val="none"/>
          <w14:textFill>
            <w14:solidFill>
              <w14:schemeClr w14:val="tx1"/>
            </w14:solidFill>
          </w14:textFill>
        </w:rPr>
      </w:pPr>
      <w:bookmarkStart w:id="384" w:name="_Toc9964"/>
      <w:bookmarkStart w:id="385" w:name="_Toc5669"/>
      <w:r>
        <w:rPr>
          <w:rFonts w:hint="eastAsia" w:ascii="宋体" w:hAnsi="宋体" w:eastAsia="宋体" w:cs="宋体"/>
          <w:color w:val="000000" w:themeColor="text1"/>
          <w:sz w:val="24"/>
          <w:szCs w:val="24"/>
          <w:highlight w:val="none"/>
          <w14:textFill>
            <w14:solidFill>
              <w14:schemeClr w14:val="tx1"/>
            </w14:solidFill>
          </w14:textFill>
        </w:rPr>
        <w:t>8.评标专家在政府采购活动中应当遵守以下工作纪律</w:t>
      </w:r>
      <w:bookmarkEnd w:id="384"/>
      <w:bookmarkEnd w:id="385"/>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（一）遵行《政府采购法》第十二条和《政府采购法实施条例》第九条及财政部关于回避的规定。</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（二）评标前</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应当将通讯工具或者相关电子设备交由采购代理机构统一保管。</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（三）评标过程中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不得与外界联系</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因发生不可预见情况</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确实需要与外界联系的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应当在监督人员监督之下办理。</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（四）评标过程中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不得干预或者影响正常评标工作</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不得发表倾向性、引导性意见</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不得修改或细化招标文件确定的评标程序、评标方法、评标因素和评标标准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不得接受供应商主动提出的澄清和解释</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不得征询采购人代表的意见</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不得协商评分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不得违反规定的评标格式评分和撰写评标意见</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不得拒绝对自己的评标意见签字确认。</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（五）在评标过程中和评标结束后</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不得记录、复制或带走任何评标资料</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除因规定的义务外</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不得向外界透露评标内容。</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（六）在评标过程中不得擅离职守</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影响评标程序正常进行</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服从评标现场采购代理机构的现场秩序管理</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接受评标现场监督人员的合法监督。</w:t>
      </w:r>
    </w:p>
    <w:p>
      <w:pPr>
        <w:pageBreakBefore w:val="0"/>
        <w:kinsoku/>
        <w:wordWrap/>
        <w:overflowPunct/>
        <w:topLinePunct w:val="0"/>
        <w:bidi w:val="0"/>
        <w:spacing w:beforeAutospacing="0" w:afterAutospacing="0" w:line="360" w:lineRule="auto"/>
        <w:ind w:left="0" w:leftChars="0" w:right="0" w:rightChars="0"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（七）遵守有关廉洁自律规定</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确定参与评标至评标结束前不私自接触投标人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不得收受供应商及有关业务单位和个人的财物或好处</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不得接受采购组织单位的请托。</w:t>
      </w:r>
      <w:r>
        <w:rPr>
          <w:rFonts w:hint="eastAsia" w:ascii="宋体" w:hAnsi="宋体" w:eastAsia="宋体" w:cs="宋体"/>
          <w:color w:val="000000" w:themeColor="text1"/>
          <w:highlight w:val="none"/>
          <w14:textFill>
            <w14:solidFill>
              <w14:schemeClr w14:val="tx1"/>
            </w14:solidFill>
          </w14:textFill>
        </w:rPr>
        <w:br w:type="page"/>
      </w:r>
    </w:p>
    <w:p>
      <w:pPr>
        <w:pStyle w:val="3"/>
        <w:pageBreakBefore w:val="0"/>
        <w:kinsoku/>
        <w:wordWrap/>
        <w:overflowPunct/>
        <w:topLinePunct w:val="0"/>
        <w:autoSpaceDE/>
        <w:autoSpaceDN/>
        <w:bidi w:val="0"/>
        <w:adjustRightInd/>
        <w:snapToGrid/>
        <w:spacing w:before="260" w:after="260" w:line="360" w:lineRule="auto"/>
        <w:ind w:left="0" w:leftChars="0" w:right="0" w:rightChars="0" w:firstLine="0" w:firstLineChars="0"/>
        <w:jc w:val="center"/>
        <w:textAlignment w:val="auto"/>
        <w:rPr>
          <w:rFonts w:hint="eastAsia" w:ascii="宋体" w:hAnsi="宋体" w:eastAsia="宋体" w:cs="宋体"/>
          <w:color w:val="000000" w:themeColor="text1"/>
          <w:highlight w:val="none"/>
          <w14:textFill>
            <w14:solidFill>
              <w14:schemeClr w14:val="tx1"/>
            </w14:solidFill>
          </w14:textFill>
        </w:rPr>
      </w:pPr>
      <w:bookmarkStart w:id="386" w:name="_Toc29709"/>
      <w:bookmarkStart w:id="387" w:name="_Toc31162"/>
      <w:r>
        <w:rPr>
          <w:rFonts w:hint="eastAsia" w:ascii="宋体" w:hAnsi="宋体" w:eastAsia="宋体" w:cs="宋体"/>
          <w:color w:val="000000" w:themeColor="text1"/>
          <w:sz w:val="36"/>
          <w:szCs w:val="36"/>
          <w:highlight w:val="none"/>
          <w14:textFill>
            <w14:solidFill>
              <w14:schemeClr w14:val="tx1"/>
            </w14:solidFill>
          </w14:textFill>
        </w:rPr>
        <w:t>第八章 政府采购合同</w:t>
      </w:r>
      <w:bookmarkEnd w:id="386"/>
      <w:bookmarkEnd w:id="387"/>
    </w:p>
    <w:p>
      <w:pPr>
        <w:pStyle w:val="3"/>
        <w:spacing w:line="360" w:lineRule="auto"/>
        <w:jc w:val="both"/>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大邑县教育局2021年度部分学校信息化设备（第二批）政府采购项目合同书</w:t>
      </w:r>
    </w:p>
    <w:p>
      <w:pPr>
        <w:spacing w:line="360" w:lineRule="auto"/>
        <w:ind w:firstLine="480"/>
        <w:rPr>
          <w:rFonts w:hint="eastAsia" w:ascii="宋体" w:cs="宋体"/>
          <w:color w:val="000000" w:themeColor="text1"/>
          <w:kern w:val="0"/>
          <w:sz w:val="24"/>
          <w:lang w:bidi="ar"/>
          <w14:textFill>
            <w14:solidFill>
              <w14:schemeClr w14:val="tx1"/>
            </w14:solidFill>
          </w14:textFill>
        </w:rPr>
      </w:pPr>
      <w:r>
        <w:rPr>
          <w:rFonts w:hint="eastAsia" w:ascii="宋体" w:cs="宋体"/>
          <w:color w:val="000000" w:themeColor="text1"/>
          <w:kern w:val="0"/>
          <w:sz w:val="24"/>
          <w:lang w:bidi="ar"/>
          <w14:textFill>
            <w14:solidFill>
              <w14:schemeClr w14:val="tx1"/>
            </w14:solidFill>
          </w14:textFill>
        </w:rPr>
        <w:t xml:space="preserve">合同编号：      </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kern w:val="0"/>
          <w:sz w:val="24"/>
          <w:lang w:bidi="ar"/>
          <w14:textFill>
            <w14:solidFill>
              <w14:schemeClr w14:val="tx1"/>
            </w14:solidFill>
          </w14:textFill>
        </w:rPr>
        <w:t>签订地点：</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kern w:val="0"/>
          <w:sz w:val="24"/>
          <w:lang w:bidi="ar"/>
          <w14:textFill>
            <w14:solidFill>
              <w14:schemeClr w14:val="tx1"/>
            </w14:solidFill>
          </w14:textFill>
        </w:rPr>
        <w:t>签订时间： 年 月 日</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kern w:val="0"/>
          <w:sz w:val="24"/>
          <w:lang w:bidi="ar"/>
          <w14:textFill>
            <w14:solidFill>
              <w14:schemeClr w14:val="tx1"/>
            </w14:solidFill>
          </w14:textFill>
        </w:rPr>
        <w:t>甲方（甲方）：</w:t>
      </w:r>
      <w:r>
        <w:rPr>
          <w:rFonts w:hint="eastAsia" w:ascii="宋体" w:cs="宋体"/>
          <w:color w:val="000000" w:themeColor="text1"/>
          <w:kern w:val="0"/>
          <w:sz w:val="24"/>
          <w:u w:val="single"/>
          <w:lang w:bidi="ar"/>
          <w14:textFill>
            <w14:solidFill>
              <w14:schemeClr w14:val="tx1"/>
            </w14:solidFill>
          </w14:textFill>
        </w:rPr>
        <w:t xml:space="preserve">      大邑县教育局        </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kern w:val="0"/>
          <w:sz w:val="24"/>
          <w:lang w:bidi="ar"/>
          <w14:textFill>
            <w14:solidFill>
              <w14:schemeClr w14:val="tx1"/>
            </w14:solidFill>
          </w14:textFill>
        </w:rPr>
        <w:t>供应商（乙方）：</w:t>
      </w:r>
      <w:r>
        <w:rPr>
          <w:rFonts w:hint="eastAsia" w:ascii="宋体" w:cs="宋体"/>
          <w:color w:val="000000" w:themeColor="text1"/>
          <w:kern w:val="0"/>
          <w:sz w:val="24"/>
          <w:u w:val="single"/>
          <w:lang w:bidi="ar"/>
          <w14:textFill>
            <w14:solidFill>
              <w14:schemeClr w14:val="tx1"/>
            </w14:solidFill>
          </w14:textFill>
        </w:rPr>
        <w:t xml:space="preserve">                           </w:t>
      </w:r>
      <w:r>
        <w:rPr>
          <w:rFonts w:hint="eastAsia" w:ascii="宋体" w:cs="宋体"/>
          <w:color w:val="000000" w:themeColor="text1"/>
          <w:kern w:val="0"/>
          <w:sz w:val="24"/>
          <w:lang w:bidi="ar"/>
          <w14:textFill>
            <w14:solidFill>
              <w14:schemeClr w14:val="tx1"/>
            </w14:solidFill>
          </w14:textFill>
        </w:rPr>
        <w:t xml:space="preserve">    </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大邑县教育局2021年度部分学校信息化设备（第二批）政府采购项目”经四川浩行招标代理有限公司组织国内公开招标，乙方成为合法供应商。依照《中华人民共和国民法典》、《政府采购货物和服务招标投标管理办法》、《中华人民共和国政府采购法》及其他有关法律、行政法规，遵循平等、自愿、公平和诚实信用的原则，双方就本次招标的项目建设，同意按下述条款和条件签署《大邑县教育局2021年度部分学校信息化设备（第二批）政府采购项目合同书》（以下简称“本合同”或“合同”）。本合同的各条款（内容）受《中华人民共和国民法典》等相关法律保护和制约。</w:t>
      </w:r>
    </w:p>
    <w:p>
      <w:pPr>
        <w:spacing w:before="240" w:after="60" w:line="400" w:lineRule="exact"/>
        <w:ind w:firstLine="482"/>
        <w:rPr>
          <w:rFonts w:hint="eastAsia" w:ascii="宋体" w:cs="宋体"/>
          <w:b/>
          <w:bCs/>
          <w:color w:val="000000" w:themeColor="text1"/>
          <w:sz w:val="24"/>
          <w:lang w:val="zh-CN" w:eastAsia="zh-CN" w:bidi="ar-SA"/>
          <w14:textFill>
            <w14:solidFill>
              <w14:schemeClr w14:val="tx1"/>
            </w14:solidFill>
          </w14:textFill>
        </w:rPr>
      </w:pPr>
      <w:bookmarkStart w:id="388" w:name="_Toc504829722"/>
      <w:r>
        <w:rPr>
          <w:rFonts w:hint="eastAsia" w:ascii="宋体" w:cs="宋体"/>
          <w:b/>
          <w:bCs/>
          <w:color w:val="000000" w:themeColor="text1"/>
          <w:sz w:val="24"/>
          <w:lang w:val="zh-CN" w:eastAsia="zh-CN" w:bidi="ar-SA"/>
          <w14:textFill>
            <w14:solidFill>
              <w14:schemeClr w14:val="tx1"/>
            </w14:solidFill>
          </w14:textFill>
        </w:rPr>
        <w:t>第一条</w:t>
      </w:r>
      <w:r>
        <w:rPr>
          <w:rFonts w:hint="eastAsia" w:ascii="宋体" w:cs="宋体"/>
          <w:b/>
          <w:bCs/>
          <w:color w:val="000000" w:themeColor="text1"/>
          <w:sz w:val="24"/>
          <w:lang w:bidi="ar-SA"/>
          <w14:textFill>
            <w14:solidFill>
              <w14:schemeClr w14:val="tx1"/>
            </w14:solidFill>
          </w14:textFill>
        </w:rPr>
        <w:t xml:space="preserve">  </w:t>
      </w:r>
      <w:r>
        <w:rPr>
          <w:rFonts w:hint="eastAsia" w:ascii="宋体" w:cs="宋体"/>
          <w:b/>
          <w:bCs/>
          <w:color w:val="000000" w:themeColor="text1"/>
          <w:sz w:val="24"/>
          <w:lang w:val="zh-CN" w:eastAsia="zh-CN" w:bidi="ar-SA"/>
          <w14:textFill>
            <w14:solidFill>
              <w14:schemeClr w14:val="tx1"/>
            </w14:solidFill>
          </w14:textFill>
        </w:rPr>
        <w:t>合同概况及相关名词、术语释义</w:t>
      </w:r>
      <w:bookmarkEnd w:id="388"/>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1.1合同项目：本合同的“合同项目”指“大邑县教育局2021年度部分学校信息化设备（第二批）政府采购项目”（以下简称“合同项目”）。</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1.2合同附件：以下各合同附件，如无特别标注统称“合同附件”。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1.2.1合同附件1：甲方的《大邑县教育局2021年度部分学校信息化设备（第二批）政府采购项目招标文件》（以下简称《招标文件》）；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1.2.2合同附件2：乙方的《大邑县教育局2021年度部分学校信息化设备（第二批）政府采购项目投标文件》（以下简称《投标文件》）；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1.2.3合同附件3：《中标通知书》；</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1.2.4《合同附件》表述相异或未作表述、要求的，按本合同载明的相应条款执行；</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1.2.5《合同附件》为本合同不可分割的部分，同时享有法律效力。</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1.3合同方：“甲方、乙方”如无特别称谓时统称“合同方”。</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1.4履约：合同方在履约过程中的如“项目货物提供”、“《乙方实施方案》的编制”、“履约验收”等行为，如无特别标注时统称的“履约”。</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1.5合同货物：《大邑县教育局2021年度部分学校信息化设备（第二批）政府采购项目合同货物明细表》载明的设备、系统等，如无特别标注以下统称“合同货物”；</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1.6配置方案：乙方按甲方要求的格式、内容编制的《大邑县教育局2021年度部分学校信息化设备（第二批）政府采购项目配置方案》，如无特别标注以下简称《配置方案》。</w:t>
      </w:r>
    </w:p>
    <w:p>
      <w:pPr>
        <w:spacing w:before="240" w:after="60" w:line="400" w:lineRule="exact"/>
        <w:ind w:firstLine="482"/>
        <w:rPr>
          <w:rFonts w:hint="eastAsia"/>
          <w:color w:val="000000" w:themeColor="text1"/>
          <w:sz w:val="24"/>
          <w14:textFill>
            <w14:solidFill>
              <w14:schemeClr w14:val="tx1"/>
            </w14:solidFill>
          </w14:textFill>
        </w:rPr>
      </w:pPr>
      <w:r>
        <w:rPr>
          <w:rFonts w:hint="eastAsia" w:ascii="宋体" w:cs="宋体"/>
          <w:b/>
          <w:bCs/>
          <w:color w:val="000000" w:themeColor="text1"/>
          <w:sz w:val="24"/>
          <w:lang w:val="zh-CN" w:eastAsia="zh-CN" w:bidi="ar-SA"/>
          <w14:textFill>
            <w14:solidFill>
              <w14:schemeClr w14:val="tx1"/>
            </w14:solidFill>
          </w14:textFill>
        </w:rPr>
        <w:t>第二条</w:t>
      </w:r>
      <w:r>
        <w:rPr>
          <w:rFonts w:hint="eastAsia" w:ascii="宋体" w:cs="宋体"/>
          <w:b/>
          <w:bCs/>
          <w:color w:val="000000" w:themeColor="text1"/>
          <w:sz w:val="24"/>
          <w:lang w:bidi="ar-SA"/>
          <w14:textFill>
            <w14:solidFill>
              <w14:schemeClr w14:val="tx1"/>
            </w14:solidFill>
          </w14:textFill>
        </w:rPr>
        <w:t xml:space="preserve">  </w:t>
      </w:r>
      <w:r>
        <w:rPr>
          <w:rFonts w:hint="eastAsia" w:ascii="宋体" w:cs="宋体"/>
          <w:b/>
          <w:bCs/>
          <w:color w:val="000000" w:themeColor="text1"/>
          <w:sz w:val="24"/>
          <w:lang w:val="zh-CN" w:eastAsia="zh-CN" w:bidi="ar-SA"/>
          <w14:textFill>
            <w14:solidFill>
              <w14:schemeClr w14:val="tx1"/>
            </w14:solidFill>
          </w14:textFill>
        </w:rPr>
        <w:t>履约基本要求及遵循的相关规范、标准及要求</w:t>
      </w:r>
    </w:p>
    <w:p>
      <w:pPr>
        <w:spacing w:line="360" w:lineRule="auto"/>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乙方保障“大邑县教育局2021年度部分学校信息化设备（第二批）政府采购项目”整个项目的正常运行，所有设备建设应遵循地方、省、国家各规范和标准。</w:t>
      </w:r>
    </w:p>
    <w:p>
      <w:pPr>
        <w:spacing w:line="360" w:lineRule="auto"/>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2.2</w:t>
      </w:r>
      <w:r>
        <w:rPr>
          <w:rFonts w:hint="eastAsia"/>
          <w:color w:val="000000" w:themeColor="text1"/>
          <w:sz w:val="24"/>
          <w14:textFill>
            <w14:solidFill>
              <w14:schemeClr w14:val="tx1"/>
            </w14:solidFill>
          </w14:textFill>
        </w:rPr>
        <w:t xml:space="preserve">为保障合同正常履约，乙方与甲方签订合同前需出具高清录播主机、电视台主机、音频终端、广播控制主机的厂家参数证明，并加盖厂家公章，不提供厂家参数证明，视为虚假应标； </w:t>
      </w:r>
    </w:p>
    <w:p>
      <w:pPr>
        <w:spacing w:line="360" w:lineRule="auto"/>
        <w:ind w:firstLine="420"/>
        <w:rPr>
          <w:rFonts w:hint="eastAsia"/>
          <w:color w:val="000000" w:themeColor="text1"/>
          <w:sz w:val="24"/>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2.3</w:t>
      </w:r>
      <w:r>
        <w:rPr>
          <w:rFonts w:hint="eastAsia"/>
          <w:color w:val="000000" w:themeColor="text1"/>
          <w:sz w:val="24"/>
          <w14:textFill>
            <w14:solidFill>
              <w14:schemeClr w14:val="tx1"/>
            </w14:solidFill>
          </w14:textFill>
        </w:rPr>
        <w:t>乙方在综合布线时，应充分利用学校现有管网进行贯穿，必须铺设的管线在走线（管槽）时要尽量减少对学校校容、风格的负面影响；本次建设将涉及部分地面、路面的开挖，乙方须做好预埋回填和地面、路面及被破坏的墙面的恢复并取得用户的认可；</w:t>
      </w:r>
    </w:p>
    <w:p>
      <w:pPr>
        <w:spacing w:line="360" w:lineRule="auto"/>
        <w:ind w:firstLine="42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2.4</w:t>
      </w:r>
      <w:r>
        <w:rPr>
          <w:rFonts w:hint="eastAsia"/>
          <w:color w:val="000000" w:themeColor="text1"/>
          <w:sz w:val="24"/>
          <w14:textFill>
            <w14:solidFill>
              <w14:schemeClr w14:val="tx1"/>
            </w14:solidFill>
          </w14:textFill>
        </w:rPr>
        <w:t>乙方建设时，须满足紧急避险要求、消防规范要求、室内环保要求，在实施隐蔽工程时，须有效地避让包含（但不限于）燃气、用水、通信、电力等使用方现有在用的管道及其相关设备设施；</w:t>
      </w:r>
    </w:p>
    <w:p>
      <w:pPr>
        <w:spacing w:line="360" w:lineRule="auto"/>
        <w:ind w:firstLine="420"/>
        <w:rPr>
          <w:rFonts w:hint="eastAsia"/>
          <w:color w:val="000000" w:themeColor="text1"/>
          <w14:textFill>
            <w14:solidFill>
              <w14:schemeClr w14:val="tx1"/>
            </w14:solidFill>
          </w14:textFill>
        </w:rPr>
      </w:pPr>
      <w:r>
        <w:rPr>
          <w:color w:val="000000" w:themeColor="text1"/>
          <w:sz w:val="24"/>
          <w14:textFill>
            <w14:solidFill>
              <w14:schemeClr w14:val="tx1"/>
            </w14:solidFill>
          </w14:textFill>
        </w:rPr>
        <w:t>2.5</w:t>
      </w:r>
      <w:r>
        <w:rPr>
          <w:rFonts w:hint="eastAsia"/>
          <w:color w:val="000000" w:themeColor="text1"/>
          <w:sz w:val="24"/>
          <w14:textFill>
            <w14:solidFill>
              <w14:schemeClr w14:val="tx1"/>
            </w14:solidFill>
          </w14:textFill>
        </w:rPr>
        <w:t>乙方在桥架安装、敷设光纤、网线、电源线等综合布线前，须详细勘查安装位置和放线（管、槽）现场环境，确定最佳敷设方案；在施工过程中，应对隐蔽工程涉及的事前、事中、事后的包含（但不限于）能证明乙方规范履约或设备（设施）的安装符合稳固、安全原则等行为进行包含（但不限于）音像资料的收集、留存，备履约验收等环节使用；综合布线时应做到归纳有序、标识清晰；</w:t>
      </w:r>
    </w:p>
    <w:p>
      <w:pPr>
        <w:spacing w:line="360" w:lineRule="auto"/>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2.6</w:t>
      </w:r>
      <w:r>
        <w:rPr>
          <w:rFonts w:hint="eastAsia"/>
          <w:color w:val="000000" w:themeColor="text1"/>
          <w:sz w:val="24"/>
          <w14:textFill>
            <w14:solidFill>
              <w14:schemeClr w14:val="tx1"/>
            </w14:solidFill>
          </w14:textFill>
        </w:rPr>
        <w:t>预装相关软件永久免费升级，甲方后期与其它平台之间对接需提供技术支持。</w:t>
      </w:r>
    </w:p>
    <w:p>
      <w:pPr>
        <w:spacing w:line="360" w:lineRule="auto"/>
        <w:ind w:firstLine="420"/>
        <w:rPr>
          <w:color w:val="000000" w:themeColor="text1"/>
          <w:sz w:val="24"/>
          <w14:textFill>
            <w14:solidFill>
              <w14:schemeClr w14:val="tx1"/>
            </w14:solidFill>
          </w14:textFill>
        </w:rPr>
      </w:pPr>
      <w:r>
        <w:rPr>
          <w:color w:val="000000" w:themeColor="text1"/>
          <w:sz w:val="24"/>
          <w14:textFill>
            <w14:solidFill>
              <w14:schemeClr w14:val="tx1"/>
            </w14:solidFill>
          </w14:textFill>
        </w:rPr>
        <w:t>2.6</w:t>
      </w:r>
      <w:r>
        <w:rPr>
          <w:rFonts w:hint="eastAsia"/>
          <w:color w:val="000000" w:themeColor="text1"/>
          <w:sz w:val="24"/>
          <w14:textFill>
            <w14:solidFill>
              <w14:schemeClr w14:val="tx1"/>
            </w14:solidFill>
          </w14:textFill>
        </w:rPr>
        <w:t>货物须符合本项目招标和投标文件的质量要求、技术指标与出厂标准。</w:t>
      </w:r>
    </w:p>
    <w:p>
      <w:pPr>
        <w:spacing w:line="400" w:lineRule="exact"/>
        <w:ind w:firstLine="480" w:firstLineChars="200"/>
        <w:rPr>
          <w:rFonts w:hint="eastAsia" w:ascii="宋体" w:cs="宋体"/>
          <w:bCs/>
          <w:color w:val="000000" w:themeColor="text1"/>
          <w:lang w:bidi="ar-SA"/>
          <w14:textFill>
            <w14:solidFill>
              <w14:schemeClr w14:val="tx1"/>
            </w14:solidFill>
          </w14:textFill>
        </w:rPr>
      </w:pPr>
      <w:r>
        <w:rPr>
          <w:color w:val="000000" w:themeColor="text1"/>
          <w:sz w:val="24"/>
          <w14:textFill>
            <w14:solidFill>
              <w14:schemeClr w14:val="tx1"/>
            </w14:solidFill>
          </w14:textFill>
        </w:rPr>
        <w:t>2.7</w:t>
      </w:r>
      <w:r>
        <w:rPr>
          <w:rFonts w:hint="eastAsia"/>
          <w:color w:val="000000" w:themeColor="text1"/>
          <w:sz w:val="24"/>
          <w14:textFill>
            <w14:solidFill>
              <w14:schemeClr w14:val="tx1"/>
            </w14:solidFill>
          </w14:textFill>
        </w:rPr>
        <w:t>货物须符合节能、环保、稳定性高、利管控、利服务、利扩展、易释放静电、低辐射、对人体无害等因素。</w:t>
      </w:r>
    </w:p>
    <w:p>
      <w:pPr>
        <w:pStyle w:val="25"/>
        <w:spacing w:line="400" w:lineRule="exact"/>
        <w:ind w:firstLine="482"/>
        <w:jc w:val="left"/>
        <w:outlineLvl w:val="9"/>
        <w:rPr>
          <w:rFonts w:hint="eastAsia" w:ascii="宋体" w:cs="宋体"/>
          <w:color w:val="000000" w:themeColor="text1"/>
          <w:sz w:val="24"/>
          <w:szCs w:val="24"/>
          <w:lang w:bidi="ar-SA"/>
          <w14:textFill>
            <w14:solidFill>
              <w14:schemeClr w14:val="tx1"/>
            </w14:solidFill>
          </w14:textFill>
        </w:rPr>
      </w:pPr>
      <w:r>
        <w:rPr>
          <w:rFonts w:hint="eastAsia" w:ascii="宋体" w:cs="宋体"/>
          <w:color w:val="000000" w:themeColor="text1"/>
          <w:sz w:val="24"/>
          <w:szCs w:val="24"/>
          <w:lang w:bidi="ar-SA"/>
          <w14:textFill>
            <w14:solidFill>
              <w14:schemeClr w14:val="tx1"/>
            </w14:solidFill>
          </w14:textFill>
        </w:rPr>
        <w:t>2.8本项目遵循但不限于以下各规范、标准。</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GB/T 14197-2012 音频、视频和视听系统互连的优选配接值</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GB/T 17975.1-2010 信息技术运动图像及其伴音信息的通用编码第1部分：系统</w:t>
      </w:r>
    </w:p>
    <w:p>
      <w:pPr>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GB/T 17975.2-2000 信息技术 运动图像及其伴音信号的通用编码 第2部分：视频</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GB/T 17975.3-2002 信息技术 运动图像及其伴音信号的通用编码 第3部分: 音频</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GB/T 21050-2007    《信息安全技术 网络交换机安全技术要求》</w:t>
      </w:r>
    </w:p>
    <w:p>
      <w:pPr>
        <w:pStyle w:val="12"/>
        <w:spacing w:after="0"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GB/T 28037-2011    投影机通用范围</w:t>
      </w:r>
    </w:p>
    <w:p>
      <w:pPr>
        <w:pStyle w:val="12"/>
        <w:spacing w:after="0"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GB 50526-2010</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公共广播系统工程技术规范</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GB4943-2011</w:t>
      </w:r>
      <w:r>
        <w:rPr>
          <w:rFonts w:hint="eastAsia"/>
          <w:color w:val="000000" w:themeColor="text1"/>
          <w:sz w:val="24"/>
          <w14:textFill>
            <w14:solidFill>
              <w14:schemeClr w14:val="tx1"/>
            </w14:solidFill>
          </w14:textFill>
        </w:rPr>
        <w:tab/>
      </w:r>
      <w:r>
        <w:rPr>
          <w:rFonts w:hint="eastAsia"/>
          <w:color w:val="000000" w:themeColor="text1"/>
          <w:sz w:val="24"/>
          <w14:textFill>
            <w14:solidFill>
              <w14:schemeClr w14:val="tx1"/>
            </w14:solidFill>
          </w14:textFill>
        </w:rPr>
        <w:t xml:space="preserve">     信息技术设备的安全</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GB8898-2011</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音频、视频及类似电子设备安全要求</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 50311-2016</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综合布线系统工程设计规范 </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 50312-2007</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综合布线系统工程验收规范</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GB/T 21671-2008</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基于以太网技术的局域网系统验收测评规范</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GB/T 24612.1-2009 </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电气设备应用场所的安全要求第1部分：总则 </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GB/T 24612.2-2009</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电气设备应用场所的安全要求第2部分：在断电状态下操作的安全措施 </w:t>
      </w:r>
    </w:p>
    <w:p>
      <w:pPr>
        <w:pStyle w:val="52"/>
        <w:rPr>
          <w:rFonts w:hint="eastAsia" w:ascii="宋体"/>
          <w:b/>
          <w:color w:val="000000" w:themeColor="text1"/>
          <w14:textFill>
            <w14:solidFill>
              <w14:schemeClr w14:val="tx1"/>
            </w14:solidFill>
          </w14:textFill>
        </w:rPr>
      </w:pPr>
      <w:r>
        <w:rPr>
          <w:color w:val="000000" w:themeColor="text1"/>
          <w14:textFill>
            <w14:solidFill>
              <w14:schemeClr w14:val="tx1"/>
            </w14:solidFill>
          </w14:textFill>
        </w:rPr>
        <w:t xml:space="preserve">GB/T 36447-2018  </w:t>
      </w:r>
      <w:r>
        <w:rPr>
          <w:rFonts w:hint="eastAsia"/>
          <w:color w:val="000000" w:themeColor="text1"/>
          <w14:textFill>
            <w14:solidFill>
              <w14:schemeClr w14:val="tx1"/>
            </w14:solidFill>
          </w14:textFill>
        </w:rPr>
        <w:t>多媒体教学环境设计要求</w:t>
      </w:r>
    </w:p>
    <w:p>
      <w:pPr>
        <w:spacing w:before="240" w:after="60" w:line="400" w:lineRule="exact"/>
        <w:ind w:firstLine="482"/>
        <w:rPr>
          <w:rFonts w:hint="eastAsia" w:ascii="宋体" w:cs="宋体"/>
          <w:b/>
          <w:bCs/>
          <w:color w:val="000000" w:themeColor="text1"/>
          <w:sz w:val="24"/>
          <w:lang w:val="zh-CN" w:eastAsia="zh-CN" w:bidi="ar-SA"/>
          <w14:textFill>
            <w14:solidFill>
              <w14:schemeClr w14:val="tx1"/>
            </w14:solidFill>
          </w14:textFill>
        </w:rPr>
      </w:pPr>
      <w:r>
        <w:rPr>
          <w:rFonts w:hint="eastAsia" w:ascii="宋体" w:cs="宋体"/>
          <w:b/>
          <w:bCs/>
          <w:color w:val="000000" w:themeColor="text1"/>
          <w:sz w:val="24"/>
          <w:lang w:val="zh-CN" w:eastAsia="zh-CN" w:bidi="ar-SA"/>
          <w14:textFill>
            <w14:solidFill>
              <w14:schemeClr w14:val="tx1"/>
            </w14:solidFill>
          </w14:textFill>
        </w:rPr>
        <w:t>第三条  合同总价及合同货物</w:t>
      </w:r>
    </w:p>
    <w:p>
      <w:pPr>
        <w:spacing w:line="360" w:lineRule="auto"/>
        <w:ind w:firstLine="600" w:firstLineChars="25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3.1本合同总价为人民币****元（大写人民币***元整）。</w:t>
      </w:r>
    </w:p>
    <w:p>
      <w:pPr>
        <w:spacing w:line="360" w:lineRule="auto"/>
        <w:ind w:firstLine="600" w:firstLineChars="25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3.2合同总价包括系统设计、项目所属货物运输、现场实施、设备及器件安装调试、技术服务、技术资料、技术培训、质量保证及保修、税费及乙方承诺承担的其它费用。履约过程中合同总价不变，甲方无须另向乙方支付本合同规定之外的其他任何费用。</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 xml:space="preserve">3.3合同货物、合同总价及详细技术指标和参数详见《大邑县教育局2021年度部分学校信息化设备（第二批）政府采购项目合同货物明细表》。（以投标文件为准）                                                </w:t>
      </w:r>
    </w:p>
    <w:p>
      <w:pPr>
        <w:spacing w:before="240" w:after="60" w:line="400" w:lineRule="exact"/>
        <w:ind w:firstLine="482"/>
        <w:rPr>
          <w:rFonts w:hint="eastAsia" w:ascii="宋体" w:cs="宋体"/>
          <w:color w:val="000000" w:themeColor="text1"/>
          <w:sz w:val="24"/>
          <w:lang w:bidi="ar-SA"/>
          <w14:textFill>
            <w14:solidFill>
              <w14:schemeClr w14:val="tx1"/>
            </w14:solidFill>
          </w14:textFill>
        </w:rPr>
      </w:pPr>
      <w:r>
        <w:rPr>
          <w:rFonts w:hint="eastAsia" w:ascii="宋体" w:cs="宋体"/>
          <w:b/>
          <w:bCs/>
          <w:color w:val="000000" w:themeColor="text1"/>
          <w:sz w:val="24"/>
          <w:lang w:val="zh-CN" w:eastAsia="zh-CN" w:bidi="ar-SA"/>
          <w14:textFill>
            <w14:solidFill>
              <w14:schemeClr w14:val="tx1"/>
            </w14:solidFill>
          </w14:textFill>
        </w:rPr>
        <w:t>第四条  合同货物的提供、接收及基本的质量要求</w:t>
      </w:r>
    </w:p>
    <w:p>
      <w:pPr>
        <w:spacing w:before="240" w:after="60" w:line="400" w:lineRule="exact"/>
        <w:ind w:firstLine="602" w:firstLineChars="250"/>
        <w:jc w:val="left"/>
        <w:rPr>
          <w:rFonts w:hint="eastAsia" w:ascii="宋体" w:cs="宋体"/>
          <w:b/>
          <w:bCs/>
          <w:color w:val="000000" w:themeColor="text1"/>
          <w:kern w:val="28"/>
          <w:sz w:val="24"/>
          <w:lang w:val="zh-CN" w:eastAsia="zh-CN" w:bidi="ar-SA"/>
          <w14:textFill>
            <w14:solidFill>
              <w14:schemeClr w14:val="tx1"/>
            </w14:solidFill>
          </w14:textFill>
        </w:rPr>
      </w:pPr>
      <w:r>
        <w:rPr>
          <w:rFonts w:hint="eastAsia" w:ascii="宋体" w:cs="宋体"/>
          <w:b/>
          <w:bCs/>
          <w:color w:val="000000" w:themeColor="text1"/>
          <w:kern w:val="28"/>
          <w:sz w:val="24"/>
          <w:lang w:val="zh-CN" w:eastAsia="zh-CN" w:bidi="ar-SA"/>
          <w14:textFill>
            <w14:solidFill>
              <w14:schemeClr w14:val="tx1"/>
            </w14:solidFill>
          </w14:textFill>
        </w:rPr>
        <w:t>4.41、合同货物的提供。</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4.1.1乙方提供的合同货物须是全新的，其“货物名称、品牌型号、规格及技术参数、单位、数量”须与《合同》包含的《大邑县教育局2021年度部分学校信息化设备（第二批）政府采购项目合同货物明细表》载明的信息完全一致。如果乙方送到使用方的货物与《大邑县教育局2021年度部分学校信息化设备（第二批）政府采购项目合同货物明细表》载明的信息不一致，使用方有权拒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4.1.2箱（包）装的货物，在开箱（包）前其外包装无拆封、破损、污渍等现象；开箱（包）后，设备外观无陈旧、划伤、污渍现象。如果有上述现象，使用方有权拒收。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4.1.3合同货物不能是“三无产品或非正版”，应该具备“装箱清单、《产品检测（验）报告》、《使用手册》、《说明书》、《合格证》或“合格标识”、制造厂家铭牌或标识”等资料。如果是“三无产品或非正版”、缺（漏）上述相关资料且乙方无法说明其原因，使用方有权拒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4.1.4合同货物出现乙方运输、装卸、保管不当等造成的质量问题时，乙方须负责三包（包修、包换、包退）。</w:t>
      </w:r>
    </w:p>
    <w:p>
      <w:pPr>
        <w:spacing w:before="240" w:after="60" w:line="400" w:lineRule="exact"/>
        <w:ind w:firstLine="602" w:firstLineChars="250"/>
        <w:jc w:val="left"/>
        <w:rPr>
          <w:rFonts w:hint="eastAsia" w:ascii="宋体" w:cs="宋体"/>
          <w:b/>
          <w:bCs/>
          <w:color w:val="000000" w:themeColor="text1"/>
          <w:kern w:val="28"/>
          <w:sz w:val="24"/>
          <w:lang w:val="zh-CN" w:eastAsia="zh-CN" w:bidi="ar-SA"/>
          <w14:textFill>
            <w14:solidFill>
              <w14:schemeClr w14:val="tx1"/>
            </w14:solidFill>
          </w14:textFill>
        </w:rPr>
      </w:pPr>
      <w:r>
        <w:rPr>
          <w:rFonts w:hint="eastAsia" w:ascii="宋体" w:cs="宋体"/>
          <w:b/>
          <w:bCs/>
          <w:color w:val="000000" w:themeColor="text1"/>
          <w:kern w:val="28"/>
          <w:sz w:val="24"/>
          <w:lang w:bidi="ar-SA"/>
          <w14:textFill>
            <w14:solidFill>
              <w14:schemeClr w14:val="tx1"/>
            </w14:solidFill>
          </w14:textFill>
        </w:rPr>
        <w:t>4.2</w:t>
      </w:r>
      <w:r>
        <w:rPr>
          <w:rFonts w:hint="eastAsia" w:ascii="宋体" w:cs="宋体"/>
          <w:b/>
          <w:bCs/>
          <w:color w:val="000000" w:themeColor="text1"/>
          <w:kern w:val="28"/>
          <w:sz w:val="24"/>
          <w:lang w:val="zh-CN" w:eastAsia="zh-CN" w:bidi="ar-SA"/>
          <w14:textFill>
            <w14:solidFill>
              <w14:schemeClr w14:val="tx1"/>
            </w14:solidFill>
          </w14:textFill>
        </w:rPr>
        <w:t>合同标货物的接收。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4.2.1合同货物送达使用方时，乙方应约请、督促使用方对照《大邑县教育局2021年度部分学校信息化设备（第二批）政府采购项目(招标编号XXXX)合同货物明细表》，核点到场货物的“货物名称、品牌、型号、数量”、填写《合同货物接收单》及对此次接收的货物进行收存和保管。</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4.2.2《合同货物接收单》：由使用方核签的《合同货物接收单》将作为“单项验收”及“整体验收”的重要凭据，乙方和使用方均应留底、保存备查。</w:t>
      </w:r>
    </w:p>
    <w:tbl>
      <w:tblPr>
        <w:tblStyle w:val="33"/>
        <w:tblW w:w="868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2125"/>
        <w:gridCol w:w="1131"/>
        <w:gridCol w:w="1305"/>
        <w:gridCol w:w="155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left="0" w:leftChars="0" w:firstLine="0" w:firstLineChars="0"/>
              <w:jc w:val="center"/>
              <w:rPr>
                <w:rFonts w:hint="eastAsia" w:ascii="宋体" w:cs="宋体"/>
                <w:color w:val="000000" w:themeColor="text1"/>
                <w:kern w:val="0"/>
                <w:sz w:val="24"/>
                <w:lang w:bidi="ar-SA"/>
                <w14:textFill>
                  <w14:solidFill>
                    <w14:schemeClr w14:val="tx1"/>
                  </w14:solidFill>
                </w14:textFill>
              </w:rPr>
            </w:pPr>
            <w:r>
              <w:rPr>
                <w:rFonts w:hint="eastAsia" w:ascii="宋体" w:cs="宋体"/>
                <w:color w:val="000000" w:themeColor="text1"/>
                <w:kern w:val="0"/>
                <w:sz w:val="24"/>
                <w:lang w:bidi="ar-SA"/>
                <w14:textFill>
                  <w14:solidFill>
                    <w14:schemeClr w14:val="tx1"/>
                  </w14:solidFill>
                </w14:textFill>
              </w:rPr>
              <w:t>序号</w:t>
            </w:r>
          </w:p>
        </w:tc>
        <w:tc>
          <w:tcPr>
            <w:tcW w:w="2125"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left="0" w:leftChars="0" w:firstLine="0" w:firstLineChars="0"/>
              <w:jc w:val="center"/>
              <w:rPr>
                <w:rFonts w:hint="eastAsia" w:ascii="宋体" w:cs="宋体"/>
                <w:color w:val="000000" w:themeColor="text1"/>
                <w:kern w:val="0"/>
                <w:sz w:val="24"/>
                <w:lang w:bidi="ar-SA"/>
                <w14:textFill>
                  <w14:solidFill>
                    <w14:schemeClr w14:val="tx1"/>
                  </w14:solidFill>
                </w14:textFill>
              </w:rPr>
            </w:pPr>
            <w:r>
              <w:rPr>
                <w:rFonts w:hint="eastAsia" w:ascii="宋体" w:cs="宋体"/>
                <w:color w:val="000000" w:themeColor="text1"/>
                <w:kern w:val="0"/>
                <w:sz w:val="24"/>
                <w:lang w:bidi="ar-SA"/>
                <w14:textFill>
                  <w14:solidFill>
                    <w14:schemeClr w14:val="tx1"/>
                  </w14:solidFill>
                </w14:textFill>
              </w:rPr>
              <w:t>货物名称</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left="0" w:leftChars="0" w:firstLine="0" w:firstLineChars="0"/>
              <w:jc w:val="center"/>
              <w:rPr>
                <w:rFonts w:hint="eastAsia" w:ascii="宋体" w:cs="宋体"/>
                <w:color w:val="000000" w:themeColor="text1"/>
                <w:kern w:val="0"/>
                <w:sz w:val="24"/>
                <w:lang w:bidi="ar-SA"/>
                <w14:textFill>
                  <w14:solidFill>
                    <w14:schemeClr w14:val="tx1"/>
                  </w14:solidFill>
                </w14:textFill>
              </w:rPr>
            </w:pPr>
            <w:r>
              <w:rPr>
                <w:rFonts w:hint="eastAsia" w:ascii="宋体" w:cs="宋体"/>
                <w:color w:val="000000" w:themeColor="text1"/>
                <w:kern w:val="0"/>
                <w:sz w:val="24"/>
                <w:lang w:bidi="ar-SA"/>
                <w14:textFill>
                  <w14:solidFill>
                    <w14:schemeClr w14:val="tx1"/>
                  </w14:solidFill>
                </w14:textFill>
              </w:rPr>
              <w:t>品牌</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left="0" w:leftChars="0" w:firstLine="0" w:firstLineChars="0"/>
              <w:jc w:val="center"/>
              <w:rPr>
                <w:rFonts w:hint="eastAsia" w:ascii="宋体" w:cs="宋体"/>
                <w:color w:val="000000" w:themeColor="text1"/>
                <w:kern w:val="0"/>
                <w:sz w:val="24"/>
                <w:lang w:bidi="ar-SA"/>
                <w14:textFill>
                  <w14:solidFill>
                    <w14:schemeClr w14:val="tx1"/>
                  </w14:solidFill>
                </w14:textFill>
              </w:rPr>
            </w:pPr>
            <w:r>
              <w:rPr>
                <w:rFonts w:hint="eastAsia" w:ascii="宋体" w:cs="宋体"/>
                <w:color w:val="000000" w:themeColor="text1"/>
                <w:kern w:val="0"/>
                <w:sz w:val="24"/>
                <w:lang w:bidi="ar-SA"/>
                <w14:textFill>
                  <w14:solidFill>
                    <w14:schemeClr w14:val="tx1"/>
                  </w14:solidFill>
                </w14:textFill>
              </w:rPr>
              <w:t>型号</w:t>
            </w:r>
          </w:p>
        </w:tc>
        <w:tc>
          <w:tcPr>
            <w:tcW w:w="155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left="0" w:leftChars="0" w:firstLine="0" w:firstLineChars="0"/>
              <w:jc w:val="center"/>
              <w:rPr>
                <w:rFonts w:hint="eastAsia" w:ascii="宋体" w:cs="宋体"/>
                <w:color w:val="000000" w:themeColor="text1"/>
                <w:kern w:val="0"/>
                <w:sz w:val="24"/>
                <w:lang w:bidi="ar-SA"/>
                <w14:textFill>
                  <w14:solidFill>
                    <w14:schemeClr w14:val="tx1"/>
                  </w14:solidFill>
                </w14:textFill>
              </w:rPr>
            </w:pPr>
            <w:r>
              <w:rPr>
                <w:rFonts w:hint="eastAsia" w:ascii="宋体" w:cs="宋体"/>
                <w:color w:val="000000" w:themeColor="text1"/>
                <w:kern w:val="0"/>
                <w:sz w:val="24"/>
                <w:lang w:bidi="ar-SA"/>
                <w14:textFill>
                  <w14:solidFill>
                    <w14:schemeClr w14:val="tx1"/>
                  </w14:solidFill>
                </w14:textFill>
              </w:rPr>
              <w:t>数量</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ind w:left="0" w:leftChars="0" w:firstLine="0" w:firstLineChars="0"/>
              <w:jc w:val="center"/>
              <w:rPr>
                <w:rFonts w:hint="eastAsia" w:ascii="宋体" w:cs="宋体"/>
                <w:color w:val="000000" w:themeColor="text1"/>
                <w:kern w:val="0"/>
                <w:sz w:val="24"/>
                <w:lang w:bidi="ar-SA"/>
                <w14:textFill>
                  <w14:solidFill>
                    <w14:schemeClr w14:val="tx1"/>
                  </w14:solidFill>
                </w14:textFill>
              </w:rPr>
            </w:pPr>
            <w:r>
              <w:rPr>
                <w:rFonts w:hint="eastAsia" w:ascii="宋体" w:cs="宋体"/>
                <w:color w:val="000000" w:themeColor="text1"/>
                <w:kern w:val="0"/>
                <w:sz w:val="24"/>
                <w:lang w:bidi="ar-SA"/>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cs="宋体"/>
                <w:color w:val="000000" w:themeColor="text1"/>
                <w:kern w:val="0"/>
                <w:sz w:val="24"/>
                <w:lang w:bidi="ar-SA"/>
                <w14:textFill>
                  <w14:solidFill>
                    <w14:schemeClr w14:val="tx1"/>
                  </w14:solidFill>
                </w14:textFill>
              </w:rPr>
            </w:pPr>
          </w:p>
        </w:tc>
        <w:tc>
          <w:tcPr>
            <w:tcW w:w="2125"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left"/>
              <w:rPr>
                <w:rFonts w:hint="eastAsia" w:ascii="宋体" w:cs="宋体"/>
                <w:color w:val="000000" w:themeColor="text1"/>
                <w:kern w:val="0"/>
                <w:sz w:val="24"/>
                <w:lang w:bidi="ar-SA"/>
                <w14:textFill>
                  <w14:solidFill>
                    <w14:schemeClr w14:val="tx1"/>
                  </w14:solidFill>
                </w14:textFill>
              </w:rPr>
            </w:pP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cs="宋体"/>
                <w:color w:val="000000" w:themeColor="text1"/>
                <w:kern w:val="0"/>
                <w:sz w:val="24"/>
                <w:lang w:bidi="ar-SA"/>
                <w14:textFill>
                  <w14:solidFill>
                    <w14:schemeClr w14:val="tx1"/>
                  </w14:solidFill>
                </w14:textFill>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cs="宋体"/>
                <w:color w:val="000000" w:themeColor="text1"/>
                <w:kern w:val="0"/>
                <w:sz w:val="24"/>
                <w:lang w:bidi="ar-SA"/>
                <w14:textFill>
                  <w14:solidFill>
                    <w14:schemeClr w14:val="tx1"/>
                  </w14:solidFill>
                </w14:textFill>
              </w:rPr>
            </w:pPr>
          </w:p>
        </w:tc>
        <w:tc>
          <w:tcPr>
            <w:tcW w:w="1558"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cs="宋体"/>
                <w:color w:val="000000" w:themeColor="text1"/>
                <w:kern w:val="0"/>
                <w:sz w:val="24"/>
                <w:lang w:bidi="ar-SA"/>
                <w14:textFill>
                  <w14:solidFill>
                    <w14:schemeClr w14:val="tx1"/>
                  </w14:solidFill>
                </w14:textFill>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cs="宋体"/>
                <w:color w:val="000000" w:themeColor="text1"/>
                <w:kern w:val="0"/>
                <w:sz w:val="24"/>
                <w:lang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9"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cs="宋体"/>
                <w:color w:val="000000" w:themeColor="text1"/>
                <w:kern w:val="0"/>
                <w:sz w:val="24"/>
                <w:lang w:bidi="ar-SA"/>
                <w14:textFill>
                  <w14:solidFill>
                    <w14:schemeClr w14:val="tx1"/>
                  </w14:solidFill>
                </w14:textFill>
              </w:rPr>
            </w:pPr>
          </w:p>
        </w:tc>
        <w:tc>
          <w:tcPr>
            <w:tcW w:w="2125"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left"/>
              <w:rPr>
                <w:rFonts w:hint="eastAsia" w:ascii="宋体" w:cs="宋体"/>
                <w:color w:val="000000" w:themeColor="text1"/>
                <w:kern w:val="0"/>
                <w:sz w:val="24"/>
                <w:lang w:bidi="ar-SA"/>
                <w14:textFill>
                  <w14:solidFill>
                    <w14:schemeClr w14:val="tx1"/>
                  </w14:solidFill>
                </w14:textFill>
              </w:rPr>
            </w:pPr>
          </w:p>
        </w:tc>
        <w:tc>
          <w:tcPr>
            <w:tcW w:w="1131"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cs="宋体"/>
                <w:color w:val="000000" w:themeColor="text1"/>
                <w:kern w:val="0"/>
                <w:sz w:val="24"/>
                <w:lang w:bidi="ar-SA"/>
                <w14:textFill>
                  <w14:solidFill>
                    <w14:schemeClr w14:val="tx1"/>
                  </w14:solidFill>
                </w14:textFill>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cs="宋体"/>
                <w:color w:val="000000" w:themeColor="text1"/>
                <w:kern w:val="0"/>
                <w:sz w:val="24"/>
                <w:lang w:bidi="ar-SA"/>
                <w14:textFill>
                  <w14:solidFill>
                    <w14:schemeClr w14:val="tx1"/>
                  </w14:solidFill>
                </w14:textFill>
              </w:rPr>
            </w:pPr>
          </w:p>
        </w:tc>
        <w:tc>
          <w:tcPr>
            <w:tcW w:w="1558"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cs="宋体"/>
                <w:color w:val="000000" w:themeColor="text1"/>
                <w:kern w:val="0"/>
                <w:sz w:val="24"/>
                <w:lang w:bidi="ar-SA"/>
                <w14:textFill>
                  <w14:solidFill>
                    <w14:schemeClr w14:val="tx1"/>
                  </w14:solidFill>
                </w14:textFill>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center"/>
              <w:rPr>
                <w:rFonts w:hint="eastAsia" w:ascii="宋体" w:cs="宋体"/>
                <w:color w:val="000000" w:themeColor="text1"/>
                <w:kern w:val="0"/>
                <w:sz w:val="24"/>
                <w:lang w:bidi="ar-SA"/>
                <w14:textFill>
                  <w14:solidFill>
                    <w14:schemeClr w14:val="tx1"/>
                  </w14:solidFill>
                </w14:textFill>
              </w:rPr>
            </w:pPr>
          </w:p>
        </w:tc>
      </w:tr>
    </w:tbl>
    <w:p>
      <w:pPr>
        <w:spacing w:line="400" w:lineRule="exact"/>
        <w:rPr>
          <w:rFonts w:hint="eastAsia" w:ascii="宋体" w:cs="宋体"/>
          <w:b/>
          <w:bCs/>
          <w:color w:val="000000" w:themeColor="text1"/>
          <w:kern w:val="28"/>
          <w:sz w:val="24"/>
          <w:lang w:val="zh-CN" w:eastAsia="zh-CN" w:bidi="ar-SA"/>
          <w14:textFill>
            <w14:solidFill>
              <w14:schemeClr w14:val="tx1"/>
            </w14:solidFill>
          </w14:textFill>
        </w:rPr>
      </w:pPr>
      <w:r>
        <w:rPr>
          <w:rFonts w:hint="eastAsia" w:ascii="宋体" w:cs="宋体"/>
          <w:b/>
          <w:bCs/>
          <w:color w:val="000000" w:themeColor="text1"/>
          <w:kern w:val="28"/>
          <w:sz w:val="24"/>
          <w:lang w:val="zh-CN" w:eastAsia="zh-CN" w:bidi="ar-SA"/>
          <w14:textFill>
            <w14:solidFill>
              <w14:schemeClr w14:val="tx1"/>
            </w14:solidFill>
          </w14:textFill>
        </w:rPr>
        <w:t>4.3合同货物的权属及使用。</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4.3.1单项验收前，未经乙方允许，使用方不得擅自使用乙方尚在安装、调试中的设备，否则，因此造成的设备损坏等责任由使用方承担相应损失的赔偿；</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4.3.2单项验收前，乙方各设备安装、调试完毕后，应指导各使用方对各设备进行试运行，试运行发现设备问题，乙方应及时进行更换；</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4.3.3单项验收合格后，《大邑县教育局2021年度部分学校信息化设备（第二批）政府采购项目(招标编号XXXX)合同货物明细表》载明的货物所有权、使用权为对应的使用方自动获取，但是，在设备和系统的使用中，如果乙方未按《培训方案》的要求对管理员进行 “设备（系统）的基本工作原理、设备（系统）的安装调试及常规应用设置、日常维护保养的注意事项”等方面的知识、技能的培训，未对普通使用者（普通教师）进行“设备（系统）的使用、常规维护、设备保养及使用注意事项”等使用方面的知识、技能培训，因此造成的设备、系统损坏等责任由乙方负责并承担相应损失。</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4.3.4乙方已执行《培训方案》且获得使用方的认可，但使用方未按照相应规程进行操作致设备和系统损坏的，由使用方承担全部损失。</w:t>
      </w:r>
    </w:p>
    <w:p>
      <w:pPr>
        <w:spacing w:line="400" w:lineRule="exact"/>
        <w:ind w:firstLine="482"/>
        <w:rPr>
          <w:rFonts w:hint="eastAsia" w:ascii="宋体" w:cs="宋体"/>
          <w:b/>
          <w:color w:val="000000" w:themeColor="text1"/>
          <w:sz w:val="24"/>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4.3、合同货物的变更。</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4.3.1合同货物的制造商因“破产、倒闭、被兼并、灾害事故、被国家相关勒令停止生产”等因素致无法向甲方按合同进行供货时，乙方向甲方出具有效证明文件，甲方、乙方双方可以通过协商，在完成相关程序手续后方可进行合同货物的变更，变更后的货物，其“规格及技术参数、数量”不得低于《响应文件》，合同总价不变。</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4.3.2合同货物因“产品升级换代”等因素无法向甲方按合同进行供货时，乙方向甲方出具有效证明文件，甲方、乙方双方可以通过协商，在完成相关程序手续后方可进行合同货物的变更，变更后的货物，其“规格及技术参数、数量”不得低于《投标文件》，合同总价不变。</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4.3.3甲方及使用方按国家、行业的相关标准和规范，对乙方到场前的合同货物进行质量抽检。如果抽检的货物不符合国家、行业的相关标准和规范、有质量或安全隐患等问题，乙方须无条件地为甲方调换符合国家、行业的相关标准和规范且质量达标的物货，否则视为乙方违约。</w:t>
      </w:r>
    </w:p>
    <w:p>
      <w:pPr>
        <w:spacing w:line="420" w:lineRule="exact"/>
        <w:ind w:firstLine="482"/>
        <w:rPr>
          <w:rFonts w:hint="eastAsia" w:ascii="宋体" w:cs="宋体"/>
          <w:b/>
          <w:bCs/>
          <w:color w:val="000000" w:themeColor="text1"/>
          <w:sz w:val="24"/>
          <w:lang w:val="zh-CN" w:eastAsia="zh-CN" w:bidi="ar-SA"/>
          <w14:textFill>
            <w14:solidFill>
              <w14:schemeClr w14:val="tx1"/>
            </w14:solidFill>
          </w14:textFill>
        </w:rPr>
      </w:pPr>
      <w:r>
        <w:rPr>
          <w:rFonts w:hint="eastAsia" w:ascii="宋体" w:cs="宋体"/>
          <w:b/>
          <w:bCs/>
          <w:color w:val="000000" w:themeColor="text1"/>
          <w:sz w:val="24"/>
          <w:lang w:val="zh-CN" w:eastAsia="zh-CN" w:bidi="ar-SA"/>
          <w14:textFill>
            <w14:solidFill>
              <w14:schemeClr w14:val="tx1"/>
            </w14:solidFill>
          </w14:textFill>
        </w:rPr>
        <w:t>第五条  售后服务</w:t>
      </w:r>
    </w:p>
    <w:p>
      <w:pPr>
        <w:spacing w:line="420" w:lineRule="exact"/>
        <w:ind w:firstLine="482"/>
        <w:rPr>
          <w:rFonts w:hint="eastAsia" w:ascii="宋体" w:cs="宋体"/>
          <w:b/>
          <w:color w:val="000000" w:themeColor="text1"/>
          <w:sz w:val="24"/>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5.1整体质保期限。</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5.1.1此次采购所有设备，“验收”合格之日后，乙方须提供至少36个月（3年）的免费质保期内的服务，投标文件中载明大于36个月质保产品，以投标文件为准，并出具乙方售后服务承诺。</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5.1.2免费质保期到期后的设备，乙方须提供后续的技术支持及维修维护服务。</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5.1.3  售后服务期限内，安仁中学广播系统在高考和中考时使用期间，乙方须派人员到现场进行技术保障，保障高考和中考顺利进行。</w:t>
      </w:r>
    </w:p>
    <w:p>
      <w:pPr>
        <w:spacing w:before="240" w:after="60" w:line="400" w:lineRule="exact"/>
        <w:ind w:firstLine="482"/>
        <w:jc w:val="left"/>
        <w:rPr>
          <w:rFonts w:hint="eastAsia" w:ascii="宋体" w:cs="宋体"/>
          <w:b/>
          <w:bCs/>
          <w:color w:val="000000" w:themeColor="text1"/>
          <w:kern w:val="28"/>
          <w:sz w:val="24"/>
          <w:lang w:val="zh-CN" w:eastAsia="zh-CN" w:bidi="ar-SA"/>
          <w14:textFill>
            <w14:solidFill>
              <w14:schemeClr w14:val="tx1"/>
            </w14:solidFill>
          </w14:textFill>
        </w:rPr>
      </w:pPr>
      <w:r>
        <w:rPr>
          <w:rFonts w:hint="eastAsia" w:ascii="宋体" w:cs="宋体"/>
          <w:b/>
          <w:bCs/>
          <w:color w:val="000000" w:themeColor="text1"/>
          <w:kern w:val="28"/>
          <w:sz w:val="24"/>
          <w:lang w:val="zh-CN" w:eastAsia="zh-CN" w:bidi="ar-SA"/>
          <w14:textFill>
            <w14:solidFill>
              <w14:schemeClr w14:val="tx1"/>
            </w14:solidFill>
          </w14:textFill>
        </w:rPr>
        <w:t>5.2售后服务时间及维修换件处置方式。</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5.2.1乙方提供7*24小时服务，从接到甲方报修信息（电话、网络报修或其它通讯信息）起，在4小时内修复设备，使报修设备正常使用。</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5.2.2若乙方在4小时内无法修复设备，须在8个小时（含确定故障时间）内提供与原机（件）相同或经用户认可的相近档次备机（件）替换报修设备，以保证报修设备正常使用。</w:t>
      </w:r>
    </w:p>
    <w:p>
      <w:pPr>
        <w:spacing w:before="240" w:after="60" w:line="400" w:lineRule="exact"/>
        <w:ind w:firstLine="482"/>
        <w:jc w:val="left"/>
        <w:rPr>
          <w:rFonts w:hint="eastAsia" w:ascii="宋体" w:cs="宋体"/>
          <w:b/>
          <w:bCs/>
          <w:color w:val="000000" w:themeColor="text1"/>
          <w:kern w:val="28"/>
          <w:sz w:val="24"/>
          <w:lang w:val="zh-CN" w:eastAsia="zh-CN" w:bidi="ar-SA"/>
          <w14:textFill>
            <w14:solidFill>
              <w14:schemeClr w14:val="tx1"/>
            </w14:solidFill>
          </w14:textFill>
        </w:rPr>
      </w:pPr>
      <w:r>
        <w:rPr>
          <w:rFonts w:hint="eastAsia" w:ascii="宋体" w:cs="宋体"/>
          <w:b/>
          <w:bCs/>
          <w:color w:val="000000" w:themeColor="text1"/>
          <w:kern w:val="28"/>
          <w:sz w:val="24"/>
          <w:lang w:val="zh-CN" w:eastAsia="zh-CN" w:bidi="ar-SA"/>
          <w14:textFill>
            <w14:solidFill>
              <w14:schemeClr w14:val="tx1"/>
            </w14:solidFill>
          </w14:textFill>
        </w:rPr>
        <w:t>5.3售后服务信息的收集、整理。</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乙方应收集、整理售后服务的相关资料（包含“报修日期、报修单位、报修人、报修方式、报修人联系方式、报修设备名称、接件人信息、维修维护人信息、报修设备的处置方式、报修设备的处置结果、报修设备处置完结的时间、报修单位盖章、报修人签字”等在内），此资料将作为甲方向乙方支付“售后服务保证金”的支撑材料。</w:t>
      </w:r>
    </w:p>
    <w:p>
      <w:pPr>
        <w:spacing w:before="240" w:after="60" w:line="400" w:lineRule="exact"/>
        <w:ind w:firstLine="482"/>
        <w:rPr>
          <w:rFonts w:hint="eastAsia" w:ascii="宋体" w:cs="宋体"/>
          <w:b/>
          <w:bCs/>
          <w:color w:val="000000" w:themeColor="text1"/>
          <w:sz w:val="24"/>
          <w:lang w:val="zh-CN" w:eastAsia="zh-CN" w:bidi="ar-SA"/>
          <w14:textFill>
            <w14:solidFill>
              <w14:schemeClr w14:val="tx1"/>
            </w14:solidFill>
          </w14:textFill>
        </w:rPr>
      </w:pPr>
      <w:r>
        <w:rPr>
          <w:rFonts w:hint="eastAsia" w:ascii="宋体" w:cs="宋体"/>
          <w:b/>
          <w:bCs/>
          <w:color w:val="000000" w:themeColor="text1"/>
          <w:sz w:val="24"/>
          <w:lang w:val="zh-CN" w:eastAsia="zh-CN" w:bidi="ar-SA"/>
          <w14:textFill>
            <w14:solidFill>
              <w14:schemeClr w14:val="tx1"/>
            </w14:solidFill>
          </w14:textFill>
        </w:rPr>
        <w:t>第六条  履约验收</w:t>
      </w:r>
    </w:p>
    <w:p>
      <w:pPr>
        <w:spacing w:before="240" w:after="60" w:line="400" w:lineRule="exact"/>
        <w:ind w:firstLine="482"/>
        <w:jc w:val="left"/>
        <w:rPr>
          <w:rFonts w:hint="eastAsia" w:ascii="宋体" w:cs="宋体"/>
          <w:b/>
          <w:bCs/>
          <w:color w:val="000000" w:themeColor="text1"/>
          <w:kern w:val="28"/>
          <w:sz w:val="24"/>
          <w:lang w:val="zh-CN" w:eastAsia="zh-CN" w:bidi="ar-SA"/>
          <w14:textFill>
            <w14:solidFill>
              <w14:schemeClr w14:val="tx1"/>
            </w14:solidFill>
          </w14:textFill>
        </w:rPr>
      </w:pPr>
      <w:r>
        <w:rPr>
          <w:rFonts w:hint="eastAsia" w:ascii="宋体" w:cs="宋体"/>
          <w:b/>
          <w:bCs/>
          <w:color w:val="000000" w:themeColor="text1"/>
          <w:kern w:val="28"/>
          <w:sz w:val="24"/>
          <w:lang w:val="zh-CN" w:eastAsia="zh-CN" w:bidi="ar-SA"/>
          <w14:textFill>
            <w14:solidFill>
              <w14:schemeClr w14:val="tx1"/>
            </w14:solidFill>
          </w14:textFill>
        </w:rPr>
        <w:t>6.1履约验收的前置条件。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6.1.1乙方保障“大邑县教育局2021年度部分学校信息化设备（第二批）政府采购项目”整个项目的正常使用，所有设备建设应遵循地方、省、国家各规范和标准。</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6.1.2乙方建设完成信息化设备运输、安装和调试后，首先自验，再由项目学校试使用30天，各设备都能正常运行。</w:t>
      </w:r>
    </w:p>
    <w:p>
      <w:pPr>
        <w:spacing w:line="400" w:lineRule="exact"/>
        <w:ind w:firstLine="482"/>
        <w:rPr>
          <w:rFonts w:hint="eastAsia" w:ascii="宋体" w:cs="宋体"/>
          <w:b/>
          <w:color w:val="000000" w:themeColor="text1"/>
          <w:sz w:val="24"/>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6.2验收环节。</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6.2.1第一个环节：乙方自验，出示“自验合格”报告；</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6.2.2第二个环节：项目学校试运行，若合格出示“试运行合格”报告；</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6.2.3第三个环节：项目学校组织人员验收，若合格出具“单项验收合格”报告；</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6.2.4第四个环节：乙方向甲方申请整体验收；甲方组织专家和甲方进行验收，若合格，出具“整体验收合格”报告。</w:t>
      </w:r>
    </w:p>
    <w:p>
      <w:pPr>
        <w:spacing w:line="400" w:lineRule="exact"/>
        <w:ind w:firstLine="482"/>
        <w:rPr>
          <w:rFonts w:hint="eastAsia" w:ascii="宋体" w:cs="宋体"/>
          <w:b/>
          <w:color w:val="000000" w:themeColor="text1"/>
          <w:sz w:val="24"/>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每一个环节的验收，甲方均可能邀请财政等监督部门参与。</w:t>
      </w:r>
    </w:p>
    <w:p>
      <w:pPr>
        <w:spacing w:before="240" w:after="60" w:line="400" w:lineRule="exact"/>
        <w:ind w:firstLine="482"/>
        <w:jc w:val="left"/>
        <w:rPr>
          <w:rFonts w:hint="eastAsia" w:ascii="宋体" w:cs="宋体"/>
          <w:b/>
          <w:bCs/>
          <w:color w:val="000000" w:themeColor="text1"/>
          <w:kern w:val="28"/>
          <w:sz w:val="24"/>
          <w:lang w:val="zh-CN" w:eastAsia="zh-CN" w:bidi="ar-SA"/>
          <w14:textFill>
            <w14:solidFill>
              <w14:schemeClr w14:val="tx1"/>
            </w14:solidFill>
          </w14:textFill>
        </w:rPr>
      </w:pPr>
      <w:r>
        <w:rPr>
          <w:rFonts w:hint="eastAsia" w:ascii="宋体" w:cs="宋体"/>
          <w:b/>
          <w:bCs/>
          <w:color w:val="000000" w:themeColor="text1"/>
          <w:kern w:val="28"/>
          <w:sz w:val="24"/>
          <w:lang w:val="zh-CN" w:eastAsia="zh-CN" w:bidi="ar-SA"/>
          <w14:textFill>
            <w14:solidFill>
              <w14:schemeClr w14:val="tx1"/>
            </w14:solidFill>
          </w14:textFill>
        </w:rPr>
        <w:t>6.3验收原则。</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6.3.1依照《大邑县财政局关于印发&lt;大邑县政府采购项目需求论证和履约验收管理办法&gt;的通知》等县级及以上国家最新的有关法律法规、乙方的投标承诺、合同的相关约定进行验收。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6.3.2验收过程中，如验收人员对质量要求、技术指标的解读等有相互抵触或异议的，以合同中载明的质量要求、技术指标为准进行验收。同时，甲方有权组织技术专家对合同产品的质量、性能等进行抽查。</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6.3.3验收过程中，乙方提供的产品有次品、损坏或其它不符合合同约定标准的情况，乙方应配合验收组完成详尽的《验收情况记录》或由验收组、乙方双方签署的《验收事件备忘录》，此《验收情况记录》或《验收事件备忘录》将作为补全产品数额、更换不合格产品或对损坏的部件进行更换等行为的有效依据，同时，由此产生的验收时间延误及因此而产生的相关费用由乙方承担，再次验收时间相应顺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6.3.4验收过程中，乙方提供的设备如果质量缺陷经2次维修仍不能达到合同约定的质量标准的，验收方有权要求更换同质同型的全新设备。</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6.3.5验收时，乙方应将合同设备的原厂装箱清单、配件、随机工具、用户使用手册、原厂保修卡等资料收集、整理、归类后交付给乙方；乙方不能完整交付上述资料、材料的，必须负责补齐，否则视为未按合同约定交货。</w:t>
      </w:r>
    </w:p>
    <w:p>
      <w:pPr>
        <w:spacing w:before="240" w:after="60" w:line="400" w:lineRule="exact"/>
        <w:ind w:firstLine="482"/>
        <w:jc w:val="left"/>
        <w:rPr>
          <w:rFonts w:hint="eastAsia" w:ascii="宋体" w:cs="宋体"/>
          <w:b/>
          <w:bCs/>
          <w:color w:val="000000" w:themeColor="text1"/>
          <w:kern w:val="28"/>
          <w:sz w:val="24"/>
          <w:lang w:val="zh-CN" w:eastAsia="zh-CN" w:bidi="ar-SA"/>
          <w14:textFill>
            <w14:solidFill>
              <w14:schemeClr w14:val="tx1"/>
            </w14:solidFill>
          </w14:textFill>
        </w:rPr>
      </w:pPr>
      <w:r>
        <w:rPr>
          <w:rFonts w:hint="eastAsia" w:ascii="宋体" w:cs="宋体"/>
          <w:b/>
          <w:bCs/>
          <w:color w:val="000000" w:themeColor="text1"/>
          <w:kern w:val="28"/>
          <w:sz w:val="24"/>
          <w:lang w:val="zh-CN" w:eastAsia="zh-CN" w:bidi="ar-SA"/>
          <w14:textFill>
            <w14:solidFill>
              <w14:schemeClr w14:val="tx1"/>
            </w14:solidFill>
          </w14:textFill>
        </w:rPr>
        <w:t>6.4验收的内容。</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6.4.1乙方是否具备“履约验收的前置条件”？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6.4.2甲方、乙方、项目学校分别留存的《货物接收单》的数量、内容是否一致？</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6.4.3乙方提供货物品牌、数量、规格及技术参数是否与合同一致？</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6.4.4乙方提供货物建设（如有时）是否符合相关国家、省级及行业规范与标准与本合同约定？</w:t>
      </w:r>
    </w:p>
    <w:p>
      <w:pPr>
        <w:spacing w:before="240" w:after="60" w:line="400" w:lineRule="exact"/>
        <w:ind w:firstLine="482"/>
        <w:jc w:val="left"/>
        <w:rPr>
          <w:rFonts w:hint="eastAsia" w:ascii="宋体" w:cs="宋体"/>
          <w:b/>
          <w:bCs/>
          <w:color w:val="000000" w:themeColor="text1"/>
          <w:kern w:val="28"/>
          <w:sz w:val="24"/>
          <w:lang w:val="zh-CN" w:eastAsia="zh-CN" w:bidi="ar-SA"/>
          <w14:textFill>
            <w14:solidFill>
              <w14:schemeClr w14:val="tx1"/>
            </w14:solidFill>
          </w14:textFill>
        </w:rPr>
      </w:pPr>
      <w:r>
        <w:rPr>
          <w:rFonts w:hint="eastAsia" w:ascii="宋体" w:cs="宋体"/>
          <w:b/>
          <w:bCs/>
          <w:color w:val="000000" w:themeColor="text1"/>
          <w:kern w:val="28"/>
          <w:sz w:val="24"/>
          <w:lang w:val="zh-CN" w:eastAsia="zh-CN" w:bidi="ar-SA"/>
          <w14:textFill>
            <w14:solidFill>
              <w14:schemeClr w14:val="tx1"/>
            </w14:solidFill>
          </w14:textFill>
        </w:rPr>
        <w:t>6.5验收。</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6.5.1货物到货并安装、调试完毕后，乙方向甲方提出“验收”的书面申请，甲、乙双方协商确定“验收”日期并由甲方组织实施。</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6.5.2“验收”时，如果乙方有以下情形，当次“验收”结论为“不合格”。</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6.5.2.2乙方实施工艺不符合相关规范致有重大安全隐患，且甲方有权追究乙方相应责任。</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6.5.2.3非客观原因或非甲方的原因，本次采购项目的建设周期（含因验收不合格而约定的整改周期）超过1倍本合同约定的完工日期。</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6.5.2.4因乙方管理不善等原因，其实施人员或设备、设施及工具在“验收”合格前给甲方（含各项目学校）的人员造成人身重大伤害或财产重大损失，且甲方有追究乙方相应责任。</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6.5.2.5乙方因其“实施工艺有轻微缺陷”或“相关资料不齐全”，经甲方提出整改意见却不整改或整改不到位。</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6.5.3甲方、乙方根据7.2条的约定进定在每一环节验收合格后出具该环节验收合格报告，全部环节“验收合格”后，甲方向乙方出具《大邑县政府采购货物类采购整体验收合格报告》。</w:t>
      </w:r>
    </w:p>
    <w:p>
      <w:pPr>
        <w:spacing w:before="240" w:after="60" w:line="400" w:lineRule="exact"/>
        <w:ind w:firstLine="482"/>
        <w:rPr>
          <w:rFonts w:hint="eastAsia" w:ascii="宋体" w:cs="宋体"/>
          <w:b/>
          <w:bCs/>
          <w:color w:val="000000" w:themeColor="text1"/>
          <w:sz w:val="24"/>
          <w:lang w:val="zh-CN" w:eastAsia="zh-CN" w:bidi="ar-SA"/>
          <w14:textFill>
            <w14:solidFill>
              <w14:schemeClr w14:val="tx1"/>
            </w14:solidFill>
          </w14:textFill>
        </w:rPr>
      </w:pPr>
      <w:r>
        <w:rPr>
          <w:rFonts w:hint="eastAsia" w:ascii="宋体" w:cs="宋体"/>
          <w:b/>
          <w:bCs/>
          <w:color w:val="000000" w:themeColor="text1"/>
          <w:sz w:val="24"/>
          <w:lang w:val="zh-CN" w:eastAsia="zh-CN" w:bidi="ar-SA"/>
          <w14:textFill>
            <w14:solidFill>
              <w14:schemeClr w14:val="tx1"/>
            </w14:solidFill>
          </w14:textFill>
        </w:rPr>
        <w:t>第七条</w:t>
      </w:r>
      <w:r>
        <w:rPr>
          <w:rFonts w:hint="eastAsia" w:ascii="宋体" w:cs="宋体"/>
          <w:b/>
          <w:bCs/>
          <w:color w:val="000000" w:themeColor="text1"/>
          <w:sz w:val="24"/>
          <w:lang w:bidi="ar-SA"/>
          <w14:textFill>
            <w14:solidFill>
              <w14:schemeClr w14:val="tx1"/>
            </w14:solidFill>
          </w14:textFill>
        </w:rPr>
        <w:t xml:space="preserve">  </w:t>
      </w:r>
      <w:r>
        <w:rPr>
          <w:rFonts w:hint="eastAsia" w:ascii="宋体" w:cs="宋体"/>
          <w:b/>
          <w:bCs/>
          <w:color w:val="000000" w:themeColor="text1"/>
          <w:sz w:val="24"/>
          <w:lang w:val="zh-CN" w:eastAsia="zh-CN" w:bidi="ar-SA"/>
          <w14:textFill>
            <w14:solidFill>
              <w14:schemeClr w14:val="tx1"/>
            </w14:solidFill>
          </w14:textFill>
        </w:rPr>
        <w:t>补充采购</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如果甲方有客观的需求，甲、乙双方按《中华人民共和国政府采购法》之《第五章政府采购合同》之第四十九条“政府采购合同履行中，甲方需追加与合同标的相同的货物、工程或者服务的，在不改变合同其它条款的前提下，可以与供应商签订补充合同，但所有补充合同的采购金额不得超过原合同采购金额的百分之十。”的规定，在遵循《大邑县教育局2021年度部分信息化政府采购合同书》所订立的各项约定的前提下，签订《大邑县教育局2021年度部分信息化政府采购合同》（以下简称《补充合同》），完成补充合同货物的采购。</w:t>
      </w:r>
    </w:p>
    <w:p>
      <w:pPr>
        <w:spacing w:before="240" w:after="60" w:line="400" w:lineRule="exact"/>
        <w:ind w:firstLine="482"/>
        <w:rPr>
          <w:rFonts w:hint="eastAsia" w:ascii="宋体" w:cs="宋体"/>
          <w:b/>
          <w:bCs/>
          <w:color w:val="000000" w:themeColor="text1"/>
          <w:sz w:val="24"/>
          <w:lang w:val="zh-CN" w:eastAsia="zh-CN" w:bidi="ar-SA"/>
          <w14:textFill>
            <w14:solidFill>
              <w14:schemeClr w14:val="tx1"/>
            </w14:solidFill>
          </w14:textFill>
        </w:rPr>
      </w:pPr>
      <w:r>
        <w:rPr>
          <w:rFonts w:hint="eastAsia" w:ascii="宋体" w:cs="宋体"/>
          <w:b/>
          <w:bCs/>
          <w:color w:val="000000" w:themeColor="text1"/>
          <w:sz w:val="24"/>
          <w:lang w:val="zh-CN" w:eastAsia="zh-CN" w:bidi="ar-SA"/>
          <w14:textFill>
            <w14:solidFill>
              <w14:schemeClr w14:val="tx1"/>
            </w14:solidFill>
          </w14:textFill>
        </w:rPr>
        <w:t>第八条</w:t>
      </w:r>
      <w:r>
        <w:rPr>
          <w:rFonts w:hint="eastAsia" w:ascii="宋体" w:cs="宋体"/>
          <w:b/>
          <w:bCs/>
          <w:color w:val="000000" w:themeColor="text1"/>
          <w:sz w:val="24"/>
          <w:lang w:bidi="ar-SA"/>
          <w14:textFill>
            <w14:solidFill>
              <w14:schemeClr w14:val="tx1"/>
            </w14:solidFill>
          </w14:textFill>
        </w:rPr>
        <w:t xml:space="preserve">  </w:t>
      </w:r>
      <w:r>
        <w:rPr>
          <w:rFonts w:hint="eastAsia" w:ascii="宋体" w:cs="宋体"/>
          <w:b/>
          <w:bCs/>
          <w:color w:val="000000" w:themeColor="text1"/>
          <w:sz w:val="24"/>
          <w:lang w:val="zh-CN" w:eastAsia="zh-CN" w:bidi="ar-SA"/>
          <w14:textFill>
            <w14:solidFill>
              <w14:schemeClr w14:val="tx1"/>
            </w14:solidFill>
          </w14:textFill>
        </w:rPr>
        <w:t>合同款的支付</w:t>
      </w:r>
    </w:p>
    <w:p>
      <w:pPr>
        <w:spacing w:before="240" w:after="60" w:line="400" w:lineRule="exact"/>
        <w:ind w:firstLine="482"/>
        <w:jc w:val="left"/>
        <w:rPr>
          <w:rFonts w:hint="eastAsia" w:ascii="宋体" w:cs="宋体"/>
          <w:b/>
          <w:bCs/>
          <w:color w:val="000000" w:themeColor="text1"/>
          <w:kern w:val="28"/>
          <w:sz w:val="24"/>
          <w:lang w:bidi="ar-SA"/>
          <w14:textFill>
            <w14:solidFill>
              <w14:schemeClr w14:val="tx1"/>
            </w14:solidFill>
          </w14:textFill>
        </w:rPr>
      </w:pPr>
      <w:r>
        <w:rPr>
          <w:rFonts w:hint="eastAsia" w:ascii="宋体" w:cs="宋体"/>
          <w:b/>
          <w:bCs/>
          <w:color w:val="000000" w:themeColor="text1"/>
          <w:kern w:val="28"/>
          <w:sz w:val="24"/>
          <w:lang w:bidi="ar-SA"/>
          <w14:textFill>
            <w14:solidFill>
              <w14:schemeClr w14:val="tx1"/>
            </w14:solidFill>
          </w14:textFill>
        </w:rPr>
        <w:t>8.1 合同款组成。</w:t>
      </w:r>
    </w:p>
    <w:p>
      <w:pPr>
        <w:pStyle w:val="2"/>
        <w:spacing w:line="480" w:lineRule="auto"/>
        <w:ind w:firstLine="480"/>
        <w:rPr>
          <w:rFonts w:hint="eastAsia" w:cs="宋体"/>
          <w:color w:val="000000" w:themeColor="text1"/>
          <w:kern w:val="2"/>
          <w:sz w:val="24"/>
          <w:szCs w:val="24"/>
          <w:lang w:bidi="ar-SA"/>
          <w14:textFill>
            <w14:solidFill>
              <w14:schemeClr w14:val="tx1"/>
            </w14:solidFill>
          </w14:textFill>
        </w:rPr>
      </w:pPr>
      <w:r>
        <w:rPr>
          <w:rFonts w:hint="eastAsia" w:cs="宋体"/>
          <w:color w:val="000000" w:themeColor="text1"/>
          <w:kern w:val="2"/>
          <w:sz w:val="24"/>
          <w:szCs w:val="24"/>
          <w:lang w:bidi="ar-SA"/>
          <w14:textFill>
            <w14:solidFill>
              <w14:schemeClr w14:val="tx1"/>
            </w14:solidFill>
          </w14:textFill>
        </w:rPr>
        <w:t>合同款由“首批建设费用（占合同总价的90%）、”“培训服务费（占合同总价的5%）”、 “售后服务费（占合同总价的5%）”3个部分组成。</w:t>
      </w:r>
    </w:p>
    <w:p>
      <w:pPr>
        <w:spacing w:before="240" w:after="60" w:line="400" w:lineRule="exact"/>
        <w:ind w:firstLine="482"/>
        <w:jc w:val="left"/>
        <w:rPr>
          <w:rFonts w:hint="eastAsia" w:ascii="宋体" w:cs="宋体"/>
          <w:b/>
          <w:bCs/>
          <w:color w:val="000000" w:themeColor="text1"/>
          <w:kern w:val="28"/>
          <w:sz w:val="24"/>
          <w:lang w:val="zh-CN" w:eastAsia="zh-CN" w:bidi="ar-SA"/>
          <w14:textFill>
            <w14:solidFill>
              <w14:schemeClr w14:val="tx1"/>
            </w14:solidFill>
          </w14:textFill>
        </w:rPr>
      </w:pPr>
      <w:r>
        <w:rPr>
          <w:rFonts w:hint="eastAsia" w:ascii="宋体" w:cs="宋体"/>
          <w:b/>
          <w:bCs/>
          <w:color w:val="000000" w:themeColor="text1"/>
          <w:kern w:val="28"/>
          <w:sz w:val="24"/>
          <w:lang w:bidi="ar-SA"/>
          <w14:textFill>
            <w14:solidFill>
              <w14:schemeClr w14:val="tx1"/>
            </w14:solidFill>
          </w14:textFill>
        </w:rPr>
        <w:t>8</w:t>
      </w:r>
      <w:r>
        <w:rPr>
          <w:rFonts w:hint="eastAsia" w:ascii="宋体" w:cs="宋体"/>
          <w:b/>
          <w:bCs/>
          <w:color w:val="000000" w:themeColor="text1"/>
          <w:kern w:val="28"/>
          <w:sz w:val="24"/>
          <w:lang w:val="zh-CN" w:eastAsia="zh-CN" w:bidi="ar-SA"/>
          <w14:textFill>
            <w14:solidFill>
              <w14:schemeClr w14:val="tx1"/>
            </w14:solidFill>
          </w14:textFill>
        </w:rPr>
        <w:t>.2合同款的支付。</w:t>
      </w:r>
    </w:p>
    <w:p>
      <w:pPr>
        <w:spacing w:line="500" w:lineRule="exact"/>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8.2.1 项目整体“验收合格”后，乙方提出支付“首批建设费用（占合同总价的90%）、”“培训服务费（占合同总价的5%）”的书面申请，经甲方审签认定后，待合同款划拨到甲方账户后，甲方通知乙方出具与该次付款金额等额有效的增值税专用发票，甲方自收到发票后15个日历日内向乙方***元，即（大写：***元整）；</w:t>
      </w:r>
    </w:p>
    <w:p>
      <w:pPr>
        <w:spacing w:line="500" w:lineRule="exact"/>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8.2.2乙方执行完所有售后服务内容及年限，具备售后服务的相关资料（包含但不限于“报修日期、报修单位、报修人、报修方式、报修人联系方式、报修设备名称、接件人信息、维修维护人信息、报修设备的处置方式、报修设备的处置结果、报修设备处置完结的时间、报修单位盖章、报修人签字”等），由各项目学校对乙方售后服务水平、售后服务质量等事项进行验收，所有验收结论均为“合格”时，乙方向甲方提出支付“售后服务保证金”的书面申请，经甲方审签认定后，甲方通知乙方出具与该次付款金额等额有效的增值税专用发票，甲方自收到发票后15个日历日内，向乙方支付合同总价5%，即***元（大写：***元整）。</w:t>
      </w:r>
    </w:p>
    <w:p>
      <w:pPr>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8.3售后服务费的扣除。</w:t>
      </w:r>
    </w:p>
    <w:p>
      <w:pPr>
        <w:spacing w:line="500" w:lineRule="exact"/>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8.3.1三年质保期内，乙方的设备、设施或售后实施等行为非客观原因或非甲方的原因给甲方（含各项目）的人员造成人身重大伤害或财产重大损失的，甲方100%地扣除乙方的“售后服务保证金”。如果此“售后服务保证金”不足以弥补上述损失，乙方须补齐差缺部分，并追究相应责任。</w:t>
      </w:r>
    </w:p>
    <w:p>
      <w:pPr>
        <w:spacing w:line="500" w:lineRule="exact"/>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8.3.2三年免费质保期内，乙方未按约定进行售后服务，导致学校书面向甲方提出投诉的，每有1次投诉，甲方扣除乙方的“售后服务费*5%”，累次扣除直至扣完为止。</w:t>
      </w:r>
    </w:p>
    <w:p>
      <w:pPr>
        <w:spacing w:line="500" w:lineRule="exact"/>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8.3.3三年免费质保期到期后，乙方未提交甲方售后服务“合格”证明或经甲方多次提醒仍超过12个月未提出“售后服务费”给付申请的，视为乙方自动放弃收取“履约保证金”。</w:t>
      </w:r>
    </w:p>
    <w:p>
      <w:pPr>
        <w:spacing w:before="240" w:after="60" w:line="400" w:lineRule="exact"/>
        <w:ind w:firstLine="482"/>
        <w:rPr>
          <w:rFonts w:hint="eastAsia" w:ascii="宋体" w:cs="宋体"/>
          <w:b/>
          <w:bCs/>
          <w:color w:val="000000" w:themeColor="text1"/>
          <w:kern w:val="28"/>
          <w:sz w:val="24"/>
          <w:lang w:bidi="ar-SA"/>
          <w14:textFill>
            <w14:solidFill>
              <w14:schemeClr w14:val="tx1"/>
            </w14:solidFill>
          </w14:textFill>
        </w:rPr>
      </w:pPr>
      <w:r>
        <w:rPr>
          <w:rFonts w:hint="eastAsia" w:ascii="宋体" w:cs="宋体"/>
          <w:b/>
          <w:bCs/>
          <w:color w:val="000000" w:themeColor="text1"/>
          <w:kern w:val="28"/>
          <w:sz w:val="24"/>
          <w:lang w:bidi="ar-SA"/>
          <w14:textFill>
            <w14:solidFill>
              <w14:schemeClr w14:val="tx1"/>
            </w14:solidFill>
          </w14:textFill>
        </w:rPr>
        <w:t>第九条  违约责任</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9.1甲方的违约责任</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9.1.1甲方无正当理由拒收货物，甲方应偿付合同总价百分之一的违约金；</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9.1.2甲方逾期支付货款的，除应及时付足货款外，应向乙方偿付欠款总额万分之二/天的违约金；逾期付款超过30天的，乙方有权终止本合同；</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9.1.3甲方偿付的违约金不足以弥补乙方直接损失的，还应按乙方损失尚未弥补的部分，支付赔偿金给乙方。</w:t>
      </w:r>
      <w:r>
        <w:rPr>
          <w:rFonts w:hint="eastAsia" w:ascii="宋体" w:cs="宋体"/>
          <w:color w:val="000000" w:themeColor="text1"/>
          <w:sz w:val="24"/>
          <w:lang w:bidi="ar-SA"/>
          <w14:textFill>
            <w14:solidFill>
              <w14:schemeClr w14:val="tx1"/>
            </w14:solidFill>
          </w14:textFill>
        </w:rPr>
        <w:cr/>
      </w:r>
      <w:r>
        <w:rPr>
          <w:rFonts w:hint="eastAsia" w:ascii="宋体" w:cs="宋体"/>
          <w:color w:val="000000" w:themeColor="text1"/>
          <w:sz w:val="24"/>
          <w:lang w:bidi="ar-SA"/>
          <w14:textFill>
            <w14:solidFill>
              <w14:schemeClr w14:val="tx1"/>
            </w14:solidFill>
          </w14:textFill>
        </w:rPr>
        <w:t xml:space="preserve">    9.2乙方的违约责任</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9.2.1乙方交付的货物质量不符合本合同规定的，乙方应向甲方支付合同总价的百分之一的违约金，并须在本合同规定的交货时间内更换合格的货物给甲方，否则，视作乙方不能交付货物而违约，按“11.2.2”项规定由乙方偿付违约赔偿金给甲方。</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9.2.2乙方不能交付货物或逾期交付货物而违约的，除应及时交足货物外，应向甲方偿付逾期交货部分货款总额的万分之二/天的违约金；逾期交货超过30天，甲方有权终止本合同，乙方则应按合同总价的百分之一的款额向甲方偿付赔偿金，并须全额退还甲方已经付给乙方的货款及其利息，利息按乙方占有甲方款项期间的中国人民银行同期同档借款利率计算。</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9.2.3乙方货物经甲方送交经国家认可的质量技术监督机构检测后，如检测结果认定货物质量不符合本合同规定标准的，则视为乙方没有按时交货而违约，乙方须在3天内无条件更换合格的货物，如逾期不能更换合格的货物，或更换后的货物经检测仍不符合本合同规定标准的，甲方有权终止本合同，乙方应另付合同总价的百分之一的赔偿金给甲方，并须全额退还甲方已经付给乙方的货款及其利息。</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9.2.4如货物经乙方3次维修仍不能达到本合同约定的质量标准，甲方有权退货，并视作乙方不能交付货物而须支付合同总价百分之一赔偿金给甲方，并须全额退还甲方已经付给乙方的货款及其利息。</w:t>
      </w:r>
    </w:p>
    <w:p>
      <w:pPr>
        <w:spacing w:line="360" w:lineRule="auto"/>
        <w:ind w:firstLine="48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9.2.5乙方保证本合同货物的权利无瑕疵，包括所有权及知识产权等权利无瑕疵。如任何第三方经法院（或仲裁机构）判决或裁决有权对上述货物主张权利或国家机关依法对货物没收查处的，乙方除应向甲方返还已收款项外，还应另按合同总价的百分之一向甲方支付违约金并赔偿因此给甲方造成的一切损失。</w:t>
      </w:r>
    </w:p>
    <w:p>
      <w:pPr>
        <w:spacing w:line="360" w:lineRule="auto"/>
        <w:ind w:firstLine="480"/>
        <w:jc w:val="left"/>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9.2.6乙方偿付的违约金不足以弥补甲方损失的，还应按甲方损失尚未弥的部分，支付赔偿金给甲方。</w:t>
      </w:r>
    </w:p>
    <w:p>
      <w:pPr>
        <w:spacing w:before="240" w:after="60" w:line="400" w:lineRule="exact"/>
        <w:ind w:firstLine="482"/>
        <w:rPr>
          <w:rFonts w:hint="eastAsia" w:ascii="宋体" w:cs="宋体"/>
          <w:b/>
          <w:bCs/>
          <w:color w:val="000000" w:themeColor="text1"/>
          <w:sz w:val="24"/>
          <w:lang w:val="zh-CN" w:eastAsia="zh-CN" w:bidi="ar-SA"/>
          <w14:textFill>
            <w14:solidFill>
              <w14:schemeClr w14:val="tx1"/>
            </w14:solidFill>
          </w14:textFill>
        </w:rPr>
      </w:pPr>
      <w:r>
        <w:rPr>
          <w:rFonts w:hint="eastAsia" w:ascii="宋体" w:cs="宋体"/>
          <w:b/>
          <w:bCs/>
          <w:color w:val="000000" w:themeColor="text1"/>
          <w:sz w:val="24"/>
          <w:lang w:val="zh-CN" w:eastAsia="zh-CN" w:bidi="ar-SA"/>
          <w14:textFill>
            <w14:solidFill>
              <w14:schemeClr w14:val="tx1"/>
            </w14:solidFill>
          </w14:textFill>
        </w:rPr>
        <w:t>第十条</w:t>
      </w:r>
      <w:r>
        <w:rPr>
          <w:rFonts w:hint="eastAsia" w:ascii="宋体" w:cs="宋体"/>
          <w:b/>
          <w:bCs/>
          <w:color w:val="000000" w:themeColor="text1"/>
          <w:sz w:val="24"/>
          <w:lang w:bidi="ar-SA"/>
          <w14:textFill>
            <w14:solidFill>
              <w14:schemeClr w14:val="tx1"/>
            </w14:solidFill>
          </w14:textFill>
        </w:rPr>
        <w:t xml:space="preserve">  </w:t>
      </w:r>
      <w:r>
        <w:rPr>
          <w:rFonts w:hint="eastAsia" w:ascii="宋体" w:cs="宋体"/>
          <w:b/>
          <w:bCs/>
          <w:color w:val="000000" w:themeColor="text1"/>
          <w:sz w:val="24"/>
          <w:lang w:val="zh-CN" w:eastAsia="zh-CN" w:bidi="ar-SA"/>
          <w14:textFill>
            <w14:solidFill>
              <w14:schemeClr w14:val="tx1"/>
            </w14:solidFill>
          </w14:textFill>
        </w:rPr>
        <w:t>各款项的结算凭证</w:t>
      </w:r>
    </w:p>
    <w:p>
      <w:pPr>
        <w:spacing w:line="400" w:lineRule="exact"/>
        <w:ind w:firstLine="600" w:firstLineChars="25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乙方须向甲方出具合法有效完整的完税发票及凭证资料进行各项款项的支付结算。</w:t>
      </w:r>
    </w:p>
    <w:p>
      <w:pPr>
        <w:spacing w:before="240" w:after="60" w:line="400" w:lineRule="exact"/>
        <w:ind w:firstLine="482"/>
        <w:rPr>
          <w:rFonts w:hint="eastAsia" w:ascii="宋体" w:cs="宋体"/>
          <w:b/>
          <w:bCs/>
          <w:color w:val="000000" w:themeColor="text1"/>
          <w:sz w:val="24"/>
          <w:lang w:val="zh-CN" w:eastAsia="zh-CN" w:bidi="ar-SA"/>
          <w14:textFill>
            <w14:solidFill>
              <w14:schemeClr w14:val="tx1"/>
            </w14:solidFill>
          </w14:textFill>
        </w:rPr>
      </w:pPr>
      <w:bookmarkStart w:id="389" w:name="_Toc504829749"/>
      <w:r>
        <w:rPr>
          <w:rFonts w:hint="eastAsia" w:ascii="宋体" w:cs="宋体"/>
          <w:b/>
          <w:bCs/>
          <w:color w:val="000000" w:themeColor="text1"/>
          <w:sz w:val="24"/>
          <w:lang w:val="zh-CN" w:eastAsia="zh-CN" w:bidi="ar-SA"/>
          <w14:textFill>
            <w14:solidFill>
              <w14:schemeClr w14:val="tx1"/>
            </w14:solidFill>
          </w14:textFill>
        </w:rPr>
        <w:t>第十一条</w:t>
      </w:r>
      <w:r>
        <w:rPr>
          <w:rFonts w:hint="eastAsia" w:ascii="宋体" w:cs="宋体"/>
          <w:b/>
          <w:bCs/>
          <w:color w:val="000000" w:themeColor="text1"/>
          <w:sz w:val="24"/>
          <w:lang w:bidi="ar-SA"/>
          <w14:textFill>
            <w14:solidFill>
              <w14:schemeClr w14:val="tx1"/>
            </w14:solidFill>
          </w14:textFill>
        </w:rPr>
        <w:t xml:space="preserve">  </w:t>
      </w:r>
      <w:r>
        <w:rPr>
          <w:rFonts w:hint="eastAsia" w:ascii="宋体" w:cs="宋体"/>
          <w:b/>
          <w:bCs/>
          <w:color w:val="000000" w:themeColor="text1"/>
          <w:sz w:val="24"/>
          <w:lang w:val="zh-CN" w:eastAsia="zh-CN" w:bidi="ar-SA"/>
          <w14:textFill>
            <w14:solidFill>
              <w14:schemeClr w14:val="tx1"/>
            </w14:solidFill>
          </w14:textFill>
        </w:rPr>
        <w:t>争议解决办法</w:t>
      </w:r>
      <w:bookmarkEnd w:id="389"/>
    </w:p>
    <w:p>
      <w:pPr>
        <w:spacing w:line="360" w:lineRule="auto"/>
        <w:ind w:firstLine="600" w:firstLineChars="25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11.1合同方在合同货物质量方面发生的争议，由具有法定质量检测资格的第三方进行质量鉴定。经鉴定，合同货物符合合同标准的，鉴定费由甲方承担；合同货物不符合合同标准的，鉴定费由乙方承担。</w:t>
      </w:r>
    </w:p>
    <w:p>
      <w:pPr>
        <w:spacing w:line="360" w:lineRule="auto"/>
        <w:ind w:firstLine="600" w:firstLineChars="25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11.2履约期间，若甲、乙双方发生民事争议，可双方协商解决或由合同签订地的有关部门调解解决；协商或调解不能解决争议的，由合同签订地人民法院依法裁决。本合同签订地为四川省成都市大邑县。</w:t>
      </w:r>
    </w:p>
    <w:p>
      <w:pPr>
        <w:spacing w:before="240" w:after="60" w:line="400" w:lineRule="exact"/>
        <w:ind w:firstLine="482"/>
        <w:rPr>
          <w:rFonts w:hint="eastAsia" w:ascii="宋体" w:cs="宋体"/>
          <w:b/>
          <w:bCs/>
          <w:color w:val="000000" w:themeColor="text1"/>
          <w:sz w:val="24"/>
          <w:lang w:val="zh-CN" w:eastAsia="zh-CN" w:bidi="ar-SA"/>
          <w14:textFill>
            <w14:solidFill>
              <w14:schemeClr w14:val="tx1"/>
            </w14:solidFill>
          </w14:textFill>
        </w:rPr>
      </w:pPr>
      <w:bookmarkStart w:id="390" w:name="_Toc504829750"/>
      <w:r>
        <w:rPr>
          <w:rFonts w:hint="eastAsia" w:ascii="宋体" w:cs="宋体"/>
          <w:b/>
          <w:bCs/>
          <w:color w:val="000000" w:themeColor="text1"/>
          <w:sz w:val="24"/>
          <w:lang w:val="zh-CN" w:eastAsia="zh-CN" w:bidi="ar-SA"/>
          <w14:textFill>
            <w14:solidFill>
              <w14:schemeClr w14:val="tx1"/>
            </w14:solidFill>
          </w14:textFill>
        </w:rPr>
        <w:t>第十</w:t>
      </w:r>
      <w:r>
        <w:rPr>
          <w:rFonts w:hint="eastAsia" w:ascii="宋体" w:cs="宋体"/>
          <w:b/>
          <w:bCs/>
          <w:color w:val="000000" w:themeColor="text1"/>
          <w:sz w:val="24"/>
          <w:lang w:bidi="ar-SA"/>
          <w14:textFill>
            <w14:solidFill>
              <w14:schemeClr w14:val="tx1"/>
            </w14:solidFill>
          </w14:textFill>
        </w:rPr>
        <w:t>四</w:t>
      </w:r>
      <w:r>
        <w:rPr>
          <w:rFonts w:hint="eastAsia" w:ascii="宋体" w:cs="宋体"/>
          <w:b/>
          <w:bCs/>
          <w:color w:val="000000" w:themeColor="text1"/>
          <w:sz w:val="24"/>
          <w:lang w:val="zh-CN" w:eastAsia="zh-CN" w:bidi="ar-SA"/>
          <w14:textFill>
            <w14:solidFill>
              <w14:schemeClr w14:val="tx1"/>
            </w14:solidFill>
          </w14:textFill>
        </w:rPr>
        <w:t>条</w:t>
      </w:r>
      <w:r>
        <w:rPr>
          <w:rFonts w:hint="eastAsia" w:ascii="宋体" w:cs="宋体"/>
          <w:b/>
          <w:bCs/>
          <w:color w:val="000000" w:themeColor="text1"/>
          <w:sz w:val="24"/>
          <w:lang w:bidi="ar-SA"/>
          <w14:textFill>
            <w14:solidFill>
              <w14:schemeClr w14:val="tx1"/>
            </w14:solidFill>
          </w14:textFill>
        </w:rPr>
        <w:t xml:space="preserve">  </w:t>
      </w:r>
      <w:r>
        <w:rPr>
          <w:rFonts w:hint="eastAsia" w:ascii="宋体" w:cs="宋体"/>
          <w:b/>
          <w:bCs/>
          <w:color w:val="000000" w:themeColor="text1"/>
          <w:sz w:val="24"/>
          <w:lang w:val="zh-CN" w:eastAsia="zh-CN" w:bidi="ar-SA"/>
          <w14:textFill>
            <w14:solidFill>
              <w14:schemeClr w14:val="tx1"/>
            </w14:solidFill>
          </w14:textFill>
        </w:rPr>
        <w:t>其他</w:t>
      </w:r>
      <w:bookmarkEnd w:id="390"/>
    </w:p>
    <w:p>
      <w:pPr>
        <w:spacing w:line="360" w:lineRule="auto"/>
        <w:ind w:firstLine="600" w:firstLineChars="25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15.1如有未尽事宜，由双方依法订立补充合同。</w:t>
      </w:r>
    </w:p>
    <w:p>
      <w:pPr>
        <w:spacing w:line="360" w:lineRule="auto"/>
        <w:ind w:firstLine="600" w:firstLineChars="250"/>
        <w:rPr>
          <w:rFonts w:hint="eastAsia" w:ascii="宋体" w:cs="宋体"/>
          <w:color w:val="000000" w:themeColor="text1"/>
          <w:sz w:val="24"/>
          <w:lang w:bidi="ar-SA"/>
          <w14:textFill>
            <w14:solidFill>
              <w14:schemeClr w14:val="tx1"/>
            </w14:solidFill>
          </w14:textFill>
        </w:rPr>
      </w:pPr>
      <w:r>
        <w:rPr>
          <w:rFonts w:hint="eastAsia" w:ascii="宋体" w:cs="宋体"/>
          <w:color w:val="000000" w:themeColor="text1"/>
          <w:sz w:val="24"/>
          <w:lang w:bidi="ar-SA"/>
          <w14:textFill>
            <w14:solidFill>
              <w14:schemeClr w14:val="tx1"/>
            </w14:solidFill>
          </w14:textFill>
        </w:rPr>
        <w:t>15.2本合同一式五份（甲方二份、乙方二份、招标代理公司一份），自双方签章之日起生效且同具法律效力。</w:t>
      </w:r>
    </w:p>
    <w:p>
      <w:pPr>
        <w:spacing w:line="400" w:lineRule="exact"/>
        <w:ind w:firstLine="600" w:firstLineChars="250"/>
        <w:rPr>
          <w:rFonts w:hint="eastAsia" w:ascii="宋体" w:cs="宋体"/>
          <w:color w:val="000000" w:themeColor="text1"/>
          <w:sz w:val="24"/>
          <w:lang w:bidi="ar-SA"/>
          <w14:textFill>
            <w14:solidFill>
              <w14:schemeClr w14:val="tx1"/>
            </w14:solidFill>
          </w14:textFill>
        </w:rPr>
      </w:pPr>
    </w:p>
    <w:p>
      <w:pPr>
        <w:spacing w:line="480" w:lineRule="auto"/>
        <w:ind w:left="485" w:leftChars="202" w:right="-334" w:rightChars="-139" w:firstLine="0" w:firstLineChars="0"/>
        <w:jc w:val="left"/>
        <w:rPr>
          <w:rFonts w:hint="eastAsia" w:ascii="宋体" w:cs="宋体"/>
          <w:b/>
          <w:color w:val="000000" w:themeColor="text1"/>
          <w:sz w:val="24"/>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甲方（盖章）：大邑县教育局              乙方（盖章）：</w:t>
      </w:r>
      <w:r>
        <w:rPr>
          <w:rFonts w:hint="eastAsia" w:ascii="宋体" w:cs="宋体"/>
          <w:color w:val="000000" w:themeColor="text1"/>
          <w:sz w:val="24"/>
          <w:lang w:bidi="ar-SA"/>
          <w14:textFill>
            <w14:solidFill>
              <w14:schemeClr w14:val="tx1"/>
            </w14:solidFill>
          </w14:textFill>
        </w:rPr>
        <w:t> </w:t>
      </w:r>
      <w:r>
        <w:rPr>
          <w:rFonts w:hint="eastAsia" w:ascii="宋体" w:cs="宋体"/>
          <w:color w:val="000000" w:themeColor="text1"/>
          <w:sz w:val="24"/>
          <w:lang w:bidi="ar-SA"/>
          <w14:textFill>
            <w14:solidFill>
              <w14:schemeClr w14:val="tx1"/>
            </w14:solidFill>
          </w14:textFill>
        </w:rPr>
        <w:br w:type="textWrapping"/>
      </w:r>
      <w:r>
        <w:rPr>
          <w:rFonts w:hint="eastAsia" w:ascii="宋体" w:cs="宋体"/>
          <w:b/>
          <w:color w:val="000000" w:themeColor="text1"/>
          <w:sz w:val="24"/>
          <w:lang w:bidi="ar-SA"/>
          <w14:textFill>
            <w14:solidFill>
              <w14:schemeClr w14:val="tx1"/>
            </w14:solidFill>
          </w14:textFill>
        </w:rPr>
        <w:t>法定代表人（授权代表）：                法定代表人（授权代表）：</w:t>
      </w:r>
    </w:p>
    <w:p>
      <w:pPr>
        <w:spacing w:line="480" w:lineRule="auto"/>
        <w:ind w:left="6147" w:leftChars="198" w:right="-1294" w:rightChars="-539" w:hanging="5672" w:hangingChars="2354"/>
        <w:rPr>
          <w:rFonts w:hint="eastAsia" w:ascii="宋体" w:cs="宋体"/>
          <w:color w:val="000000" w:themeColor="text1"/>
          <w:sz w:val="24"/>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 xml:space="preserve">地址：大邑县晋原镇富民路富民路北段一号  地址： </w:t>
      </w:r>
    </w:p>
    <w:p>
      <w:pPr>
        <w:spacing w:line="480" w:lineRule="auto"/>
        <w:ind w:left="-648" w:leftChars="-270" w:right="-1054" w:rightChars="-439" w:firstLine="1128" w:firstLineChars="468"/>
        <w:jc w:val="left"/>
        <w:rPr>
          <w:rFonts w:hint="eastAsia" w:ascii="宋体" w:cs="宋体"/>
          <w:b/>
          <w:color w:val="000000" w:themeColor="text1"/>
          <w:sz w:val="24"/>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 xml:space="preserve">开户银行：成都银行大邑支行           </w:t>
      </w:r>
      <w:r>
        <w:rPr>
          <w:rFonts w:hint="eastAsia" w:ascii="宋体" w:cs="宋体"/>
          <w:b/>
          <w:color w:val="000000" w:themeColor="text1"/>
          <w:sz w:val="24"/>
          <w:lang w:val="en-US" w:eastAsia="zh-CN" w:bidi="ar-SA"/>
          <w14:textFill>
            <w14:solidFill>
              <w14:schemeClr w14:val="tx1"/>
            </w14:solidFill>
          </w14:textFill>
        </w:rPr>
        <w:t xml:space="preserve"> </w:t>
      </w:r>
      <w:r>
        <w:rPr>
          <w:rFonts w:hint="eastAsia" w:ascii="宋体" w:cs="宋体"/>
          <w:b/>
          <w:color w:val="000000" w:themeColor="text1"/>
          <w:sz w:val="24"/>
          <w:lang w:bidi="ar-SA"/>
          <w14:textFill>
            <w14:solidFill>
              <w14:schemeClr w14:val="tx1"/>
            </w14:solidFill>
          </w14:textFill>
        </w:rPr>
        <w:t xml:space="preserve">  开户银行： </w:t>
      </w:r>
    </w:p>
    <w:p>
      <w:pPr>
        <w:spacing w:line="480" w:lineRule="auto"/>
        <w:ind w:left="-648" w:leftChars="-270" w:firstLine="1128" w:firstLineChars="468"/>
        <w:jc w:val="left"/>
        <w:rPr>
          <w:rFonts w:hint="eastAsia" w:ascii="宋体" w:cs="宋体"/>
          <w:b/>
          <w:color w:val="000000" w:themeColor="text1"/>
          <w:sz w:val="24"/>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 xml:space="preserve">账号：60022012209884600028            </w:t>
      </w:r>
      <w:r>
        <w:rPr>
          <w:rFonts w:hint="eastAsia" w:ascii="宋体" w:cs="宋体"/>
          <w:b/>
          <w:color w:val="000000" w:themeColor="text1"/>
          <w:sz w:val="24"/>
          <w:lang w:val="en-US" w:eastAsia="zh-CN" w:bidi="ar-SA"/>
          <w14:textFill>
            <w14:solidFill>
              <w14:schemeClr w14:val="tx1"/>
            </w14:solidFill>
          </w14:textFill>
        </w:rPr>
        <w:t xml:space="preserve"> </w:t>
      </w:r>
      <w:r>
        <w:rPr>
          <w:rFonts w:hint="eastAsia" w:ascii="宋体" w:cs="宋体"/>
          <w:b/>
          <w:color w:val="000000" w:themeColor="text1"/>
          <w:sz w:val="24"/>
          <w:lang w:bidi="ar-SA"/>
          <w14:textFill>
            <w14:solidFill>
              <w14:schemeClr w14:val="tx1"/>
            </w14:solidFill>
          </w14:textFill>
        </w:rPr>
        <w:t xml:space="preserve"> 账号：                    </w:t>
      </w:r>
    </w:p>
    <w:p>
      <w:pPr>
        <w:spacing w:line="480" w:lineRule="auto"/>
        <w:ind w:left="-648" w:leftChars="-270" w:firstLine="1128" w:firstLineChars="468"/>
        <w:jc w:val="left"/>
        <w:rPr>
          <w:rFonts w:hint="eastAsia" w:ascii="宋体" w:cs="宋体"/>
          <w:b/>
          <w:color w:val="000000" w:themeColor="text1"/>
          <w:sz w:val="24"/>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 xml:space="preserve">电话：028-88292104                   </w:t>
      </w:r>
      <w:r>
        <w:rPr>
          <w:rFonts w:hint="eastAsia" w:ascii="宋体" w:cs="宋体"/>
          <w:b/>
          <w:color w:val="000000" w:themeColor="text1"/>
          <w:sz w:val="24"/>
          <w:lang w:val="en-US" w:eastAsia="zh-CN" w:bidi="ar-SA"/>
          <w14:textFill>
            <w14:solidFill>
              <w14:schemeClr w14:val="tx1"/>
            </w14:solidFill>
          </w14:textFill>
        </w:rPr>
        <w:t xml:space="preserve">  </w:t>
      </w:r>
      <w:r>
        <w:rPr>
          <w:rFonts w:hint="eastAsia" w:ascii="宋体" w:cs="宋体"/>
          <w:b/>
          <w:color w:val="000000" w:themeColor="text1"/>
          <w:sz w:val="24"/>
          <w:lang w:bidi="ar-SA"/>
          <w14:textFill>
            <w14:solidFill>
              <w14:schemeClr w14:val="tx1"/>
            </w14:solidFill>
          </w14:textFill>
        </w:rPr>
        <w:t xml:space="preserve"> 电话：</w:t>
      </w:r>
    </w:p>
    <w:p>
      <w:pPr>
        <w:spacing w:line="480" w:lineRule="auto"/>
        <w:ind w:left="-648" w:leftChars="-270" w:firstLine="1128" w:firstLineChars="468"/>
        <w:jc w:val="left"/>
        <w:rPr>
          <w:rFonts w:hint="eastAsia" w:ascii="宋体" w:cs="宋体"/>
          <w:b/>
          <w:color w:val="000000" w:themeColor="text1"/>
          <w:sz w:val="24"/>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 xml:space="preserve">传真：                                </w:t>
      </w:r>
      <w:r>
        <w:rPr>
          <w:rFonts w:hint="eastAsia" w:ascii="宋体" w:cs="宋体"/>
          <w:b/>
          <w:color w:val="000000" w:themeColor="text1"/>
          <w:sz w:val="24"/>
          <w:lang w:val="en-US" w:eastAsia="zh-CN" w:bidi="ar-SA"/>
          <w14:textFill>
            <w14:solidFill>
              <w14:schemeClr w14:val="tx1"/>
            </w14:solidFill>
          </w14:textFill>
        </w:rPr>
        <w:t xml:space="preserve"> </w:t>
      </w:r>
      <w:r>
        <w:rPr>
          <w:rFonts w:hint="eastAsia" w:ascii="宋体" w:cs="宋体"/>
          <w:b/>
          <w:color w:val="000000" w:themeColor="text1"/>
          <w:sz w:val="24"/>
          <w:lang w:bidi="ar-SA"/>
          <w14:textFill>
            <w14:solidFill>
              <w14:schemeClr w14:val="tx1"/>
            </w14:solidFill>
          </w14:textFill>
        </w:rPr>
        <w:t xml:space="preserve"> 传真：</w:t>
      </w:r>
    </w:p>
    <w:p>
      <w:pPr>
        <w:spacing w:line="480" w:lineRule="auto"/>
        <w:rPr>
          <w:rFonts w:hint="eastAsia" w:ascii="宋体" w:cs="宋体"/>
          <w:color w:val="000000" w:themeColor="text1"/>
          <w:szCs w:val="21"/>
          <w:lang w:bidi="ar-SA"/>
          <w14:textFill>
            <w14:solidFill>
              <w14:schemeClr w14:val="tx1"/>
            </w14:solidFill>
          </w14:textFill>
        </w:rPr>
      </w:pPr>
      <w:r>
        <w:rPr>
          <w:rFonts w:hint="eastAsia" w:ascii="宋体" w:cs="宋体"/>
          <w:b/>
          <w:color w:val="000000" w:themeColor="text1"/>
          <w:sz w:val="24"/>
          <w:lang w:bidi="ar-SA"/>
          <w14:textFill>
            <w14:solidFill>
              <w14:schemeClr w14:val="tx1"/>
            </w14:solidFill>
          </w14:textFill>
        </w:rPr>
        <w:t xml:space="preserve">签约日期：   年    月   日 </w:t>
      </w:r>
      <w:r>
        <w:rPr>
          <w:rFonts w:hint="eastAsia" w:ascii="宋体" w:cs="宋体"/>
          <w:b/>
          <w:color w:val="000000" w:themeColor="text1"/>
          <w:sz w:val="24"/>
          <w:lang w:bidi="ar-SA"/>
          <w14:textFill>
            <w14:solidFill>
              <w14:schemeClr w14:val="tx1"/>
            </w14:solidFill>
          </w14:textFill>
        </w:rPr>
        <w:tab/>
      </w:r>
      <w:r>
        <w:rPr>
          <w:rFonts w:hint="eastAsia" w:ascii="宋体" w:cs="宋体"/>
          <w:b/>
          <w:color w:val="000000" w:themeColor="text1"/>
          <w:sz w:val="24"/>
          <w:lang w:bidi="ar-SA"/>
          <w14:textFill>
            <w14:solidFill>
              <w14:schemeClr w14:val="tx1"/>
            </w14:solidFill>
          </w14:textFill>
        </w:rPr>
        <w:t xml:space="preserve">         </w:t>
      </w:r>
      <w:r>
        <w:rPr>
          <w:rFonts w:hint="eastAsia" w:ascii="宋体" w:cs="宋体"/>
          <w:b/>
          <w:color w:val="000000" w:themeColor="text1"/>
          <w:sz w:val="24"/>
          <w:lang w:val="en-US" w:eastAsia="zh-CN" w:bidi="ar-SA"/>
          <w14:textFill>
            <w14:solidFill>
              <w14:schemeClr w14:val="tx1"/>
            </w14:solidFill>
          </w14:textFill>
        </w:rPr>
        <w:t xml:space="preserve">  </w:t>
      </w:r>
      <w:r>
        <w:rPr>
          <w:rFonts w:hint="eastAsia" w:ascii="宋体" w:cs="宋体"/>
          <w:b/>
          <w:color w:val="000000" w:themeColor="text1"/>
          <w:sz w:val="24"/>
          <w:lang w:bidi="ar-SA"/>
          <w14:textFill>
            <w14:solidFill>
              <w14:schemeClr w14:val="tx1"/>
            </w14:solidFill>
          </w14:textFill>
        </w:rPr>
        <w:t xml:space="preserve">  签约日期：   年   月   日</w:t>
      </w:r>
    </w:p>
    <w:p>
      <w:pPr>
        <w:widowControl/>
        <w:jc w:val="left"/>
        <w:rPr>
          <w:color w:val="000000" w:themeColor="text1"/>
          <w14:textFill>
            <w14:solidFill>
              <w14:schemeClr w14:val="tx1"/>
            </w14:solidFill>
          </w14:textFill>
        </w:rPr>
      </w:pPr>
    </w:p>
    <w:p>
      <w:pPr>
        <w:pStyle w:val="12"/>
        <w:spacing w:line="240" w:lineRule="auto"/>
        <w:ind w:left="0" w:leftChars="0" w:firstLine="0" w:firstLineChars="0"/>
        <w:rPr>
          <w:rFonts w:hint="eastAsia" w:ascii="宋体" w:hAnsi="宋体" w:eastAsia="宋体" w:cs="宋体"/>
          <w:color w:val="000000" w:themeColor="text1"/>
          <w:highlight w:val="none"/>
          <w:lang w:val="en-US" w:eastAsia="zh-CN"/>
          <w14:textFill>
            <w14:solidFill>
              <w14:schemeClr w14:val="tx1"/>
            </w14:solidFill>
          </w14:textFill>
        </w:rPr>
      </w:pPr>
    </w:p>
    <w:sectPr>
      <w:footerReference r:id="rId8" w:type="default"/>
      <w:pgSz w:w="11906" w:h="16838"/>
      <w:pgMar w:top="1440" w:right="1417" w:bottom="1440" w:left="1417" w:header="992" w:footer="99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48FC97D-FCB7-4AAC-88BB-13587EADFA20}"/>
  </w:font>
  <w:font w:name="Arial">
    <w:panose1 w:val="020B0604020202020204"/>
    <w:charset w:val="01"/>
    <w:family w:val="swiss"/>
    <w:pitch w:val="default"/>
    <w:sig w:usb0="E0002EFF" w:usb1="C000785B" w:usb2="00000009" w:usb3="00000000" w:csb0="400001FF" w:csb1="FFFF0000"/>
    <w:embedRegular r:id="rId2" w:fontKey="{0DD2D6DB-C67A-47D8-BAD1-86273C08949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E1572E7-A738-4B00-9542-05598046E4BF}"/>
  </w:font>
  <w:font w:name="Symbol">
    <w:panose1 w:val="05050102010706020507"/>
    <w:charset w:val="02"/>
    <w:family w:val="roman"/>
    <w:pitch w:val="default"/>
    <w:sig w:usb0="00000000" w:usb1="00000000" w:usb2="00000000" w:usb3="00000000" w:csb0="80000000" w:csb1="00000000"/>
    <w:embedRegular r:id="rId4" w:fontKey="{D5458E18-F263-47B7-A902-9650609CB09C}"/>
  </w:font>
  <w:font w:name="Calibri">
    <w:panose1 w:val="020F0502020204030204"/>
    <w:charset w:val="00"/>
    <w:family w:val="swiss"/>
    <w:pitch w:val="default"/>
    <w:sig w:usb0="E4002EFF" w:usb1="C000247B" w:usb2="00000009" w:usb3="00000000" w:csb0="200001FF" w:csb1="00000000"/>
    <w:embedRegular r:id="rId5" w:fontKey="{4B4726DD-5CDE-4E1E-90FD-7F1A4EEA08AF}"/>
  </w:font>
  <w:font w:name="Cambria">
    <w:panose1 w:val="02040503050406030204"/>
    <w:charset w:val="00"/>
    <w:family w:val="roman"/>
    <w:pitch w:val="default"/>
    <w:sig w:usb0="E00006FF" w:usb1="420024FF" w:usb2="02000000" w:usb3="00000000" w:csb0="2000019F" w:csb1="00000000"/>
    <w:embedRegular r:id="rId6" w:fontKey="{9BF906F8-D253-4B29-8358-082D45EF7F3E}"/>
  </w:font>
  <w:font w:name="华文仿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embedRegular r:id="rId7" w:fontKey="{3002F9EE-2273-4109-AB7A-E2C695A5ADE5}"/>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8" w:fontKey="{31A168C4-22DB-4C96-A175-DDD2288BB5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tabs>
        <w:tab w:val="center" w:pos="4652"/>
        <w:tab w:val="left" w:pos="8035"/>
      </w:tabs>
      <w:spacing w:line="240" w:lineRule="auto"/>
      <w:ind w:left="7020" w:hanging="7020" w:hangingChars="3900"/>
      <w:jc w:val="left"/>
      <w:rPr>
        <w:rFonts w:hint="eastAsia" w:ascii="华文中宋" w:hAnsi="华文中宋" w:eastAsia="华文中宋" w:cs="华文中宋"/>
        <w:b/>
        <w:bCs/>
        <w:szCs w:val="18"/>
      </w:rPr>
    </w:pPr>
    <w:r>
      <w:rPr>
        <w:rFonts w:hint="eastAsia"/>
      </w:rPr>
      <w:drawing>
        <wp:anchor distT="0" distB="0" distL="114300" distR="114300" simplePos="0" relativeHeight="251659264" behindDoc="0" locked="0" layoutInCell="1" allowOverlap="1">
          <wp:simplePos x="0" y="0"/>
          <wp:positionH relativeFrom="column">
            <wp:posOffset>2540</wp:posOffset>
          </wp:positionH>
          <wp:positionV relativeFrom="paragraph">
            <wp:posOffset>-15875</wp:posOffset>
          </wp:positionV>
          <wp:extent cx="236220" cy="360045"/>
          <wp:effectExtent l="0" t="0" r="11430" b="1905"/>
          <wp:wrapNone/>
          <wp:docPr id="3" name="图片 1029" descr="89a4e21bc0bd372b90daf6150edc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29" descr="89a4e21bc0bd372b90daf6150edcd75"/>
                  <pic:cNvPicPr>
                    <a:picLocks noChangeAspect="1"/>
                  </pic:cNvPicPr>
                </pic:nvPicPr>
                <pic:blipFill>
                  <a:blip r:embed="rId1"/>
                  <a:srcRect l="22293" t="23248" r="57680" b="33333"/>
                  <a:stretch>
                    <a:fillRect/>
                  </a:stretch>
                </pic:blipFill>
                <pic:spPr>
                  <a:xfrm>
                    <a:off x="0" y="0"/>
                    <a:ext cx="236220" cy="360045"/>
                  </a:xfrm>
                  <a:prstGeom prst="rect">
                    <a:avLst/>
                  </a:prstGeom>
                  <a:noFill/>
                  <a:ln>
                    <a:noFill/>
                  </a:ln>
                </pic:spPr>
              </pic:pic>
            </a:graphicData>
          </a:graphic>
        </wp:anchor>
      </w:drawing>
    </w:r>
    <w:r>
      <w:rPr>
        <w:rFonts w:hint="eastAsia"/>
        <w:sz w:val="16"/>
        <w:szCs w:val="21"/>
      </w:rPr>
      <w:t xml:space="preserve">     </w:t>
    </w:r>
    <w:r>
      <w:rPr>
        <w:rFonts w:hint="eastAsia" w:ascii="华文中宋" w:hAnsi="华文中宋" w:eastAsia="华文中宋" w:cs="华文中宋"/>
        <w:szCs w:val="18"/>
      </w:rPr>
      <w:t>四 川 浩 行 招 标 代 理 有 限 公 司</w:t>
    </w:r>
  </w:p>
  <w:p>
    <w:pPr>
      <w:pStyle w:val="22"/>
      <w:pBdr>
        <w:bottom w:val="single" w:color="auto" w:sz="4" w:space="0"/>
      </w:pBdr>
      <w:spacing w:line="240" w:lineRule="auto"/>
      <w:ind w:firstLine="360" w:firstLineChars="200"/>
      <w:jc w:val="both"/>
      <w:rPr>
        <w:rFonts w:eastAsia="华文中宋"/>
        <w:sz w:val="16"/>
        <w:szCs w:val="21"/>
      </w:rPr>
    </w:pPr>
    <w:r>
      <w:rPr>
        <w:rFonts w:ascii="Arial" w:hAnsi="Arial" w:eastAsia="华文中宋" w:cs="Arial"/>
        <w:szCs w:val="18"/>
      </w:rPr>
      <w:t>Sichuan Haoxing bidding Agency Co.,Ltd</w:t>
    </w:r>
    <w:r>
      <w:rPr>
        <w:rFonts w:hint="eastAsia" w:ascii="Arial" w:hAnsi="Arial" w:eastAsia="华文中宋" w:cs="Arial"/>
        <w:szCs w:val="18"/>
      </w:rPr>
      <w:t xml:space="preserve">                           </w:t>
    </w:r>
    <w:r>
      <w:rPr>
        <w:rFonts w:hint="eastAsia" w:ascii="Arial" w:hAnsi="Arial" w:eastAsia="华文中宋" w:cs="Arial"/>
        <w:szCs w:val="18"/>
        <w:lang w:val="en-US" w:eastAsia="zh-CN"/>
      </w:rPr>
      <w:t xml:space="preserve">        </w:t>
    </w:r>
    <w:r>
      <w:rPr>
        <w:rFonts w:hint="eastAsia" w:ascii="Arial" w:hAnsi="Arial" w:eastAsia="华文中宋" w:cs="Arial"/>
        <w:szCs w:val="18"/>
      </w:rPr>
      <w:t xml:space="preserve">     公平    公开    高效</w:t>
    </w:r>
  </w:p>
  <w:p>
    <w:pPr>
      <w:pStyle w:val="22"/>
      <w:keepNext w:val="0"/>
      <w:keepLines w:val="0"/>
      <w:pageBreakBefore w:val="0"/>
      <w:widowControl w:val="0"/>
      <w:pBdr>
        <w:bottom w:val="none" w:color="auto" w:sz="0" w:space="1"/>
      </w:pBdr>
      <w:tabs>
        <w:tab w:val="right" w:pos="8960"/>
        <w:tab w:val="clear" w:pos="8306"/>
      </w:tabs>
      <w:kinsoku/>
      <w:wordWrap/>
      <w:overflowPunct/>
      <w:topLinePunct w:val="0"/>
      <w:autoSpaceDE/>
      <w:autoSpaceDN/>
      <w:bidi w:val="0"/>
      <w:adjustRightInd/>
      <w:snapToGrid w:val="0"/>
      <w:spacing w:line="240" w:lineRule="auto"/>
      <w:ind w:left="0" w:leftChars="0" w:firstLine="0" w:firstLineChars="0"/>
      <w:jc w:val="left"/>
      <w:textAlignment w:val="auto"/>
      <w:rPr>
        <w:rFonts w:hint="eastAsia"/>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10097F"/>
    <w:multiLevelType w:val="singleLevel"/>
    <w:tmpl w:val="C210097F"/>
    <w:lvl w:ilvl="0" w:tentative="0">
      <w:start w:val="1"/>
      <w:numFmt w:val="decimal"/>
      <w:lvlText w:val="%1."/>
      <w:lvlJc w:val="left"/>
      <w:pPr>
        <w:tabs>
          <w:tab w:val="left" w:pos="312"/>
        </w:tabs>
        <w:ind w:left="0" w:firstLine="0"/>
      </w:pPr>
    </w:lvl>
  </w:abstractNum>
  <w:abstractNum w:abstractNumId="1">
    <w:nsid w:val="CCA18CCA"/>
    <w:multiLevelType w:val="singleLevel"/>
    <w:tmpl w:val="CCA18CCA"/>
    <w:lvl w:ilvl="0" w:tentative="0">
      <w:start w:val="1"/>
      <w:numFmt w:val="decimal"/>
      <w:lvlText w:val="%1."/>
      <w:lvlJc w:val="left"/>
      <w:pPr>
        <w:tabs>
          <w:tab w:val="left" w:pos="312"/>
        </w:tabs>
      </w:pPr>
    </w:lvl>
  </w:abstractNum>
  <w:abstractNum w:abstractNumId="2">
    <w:nsid w:val="E681472F"/>
    <w:multiLevelType w:val="singleLevel"/>
    <w:tmpl w:val="E681472F"/>
    <w:lvl w:ilvl="0" w:tentative="0">
      <w:start w:val="1"/>
      <w:numFmt w:val="decimal"/>
      <w:suff w:val="nothing"/>
      <w:lvlText w:val="（%1）"/>
      <w:lvlJc w:val="left"/>
    </w:lvl>
  </w:abstractNum>
  <w:abstractNum w:abstractNumId="3">
    <w:nsid w:val="13D309CF"/>
    <w:multiLevelType w:val="singleLevel"/>
    <w:tmpl w:val="13D309CF"/>
    <w:lvl w:ilvl="0" w:tentative="0">
      <w:start w:val="6"/>
      <w:numFmt w:val="chineseCounting"/>
      <w:suff w:val="nothing"/>
      <w:lvlText w:val="%1、"/>
      <w:lvlJc w:val="left"/>
      <w:rPr>
        <w:rFonts w:hint="eastAsia"/>
      </w:rPr>
    </w:lvl>
  </w:abstractNum>
  <w:abstractNum w:abstractNumId="4">
    <w:nsid w:val="193C3EF5"/>
    <w:multiLevelType w:val="multilevel"/>
    <w:tmpl w:val="193C3EF5"/>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33B1A64"/>
    <w:multiLevelType w:val="singleLevel"/>
    <w:tmpl w:val="333B1A64"/>
    <w:lvl w:ilvl="0" w:tentative="0">
      <w:start w:val="1"/>
      <w:numFmt w:val="chineseCounting"/>
      <w:suff w:val="nothing"/>
      <w:lvlText w:val="（%1）"/>
      <w:lvlJc w:val="left"/>
      <w:rPr>
        <w:rFonts w:hint="eastAsia"/>
      </w:rPr>
    </w:lvl>
  </w:abstractNum>
  <w:abstractNum w:abstractNumId="6">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4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
    <w:nsid w:val="58AB95CB"/>
    <w:multiLevelType w:val="singleLevel"/>
    <w:tmpl w:val="58AB95CB"/>
    <w:lvl w:ilvl="0" w:tentative="0">
      <w:start w:val="1"/>
      <w:numFmt w:val="decimal"/>
      <w:suff w:val="nothing"/>
      <w:lvlText w:val="（%1）"/>
      <w:lvlJc w:val="left"/>
    </w:lvl>
  </w:abstractNum>
  <w:abstractNum w:abstractNumId="8">
    <w:nsid w:val="7D8E3D83"/>
    <w:multiLevelType w:val="singleLevel"/>
    <w:tmpl w:val="7D8E3D83"/>
    <w:lvl w:ilvl="0" w:tentative="0">
      <w:start w:val="1"/>
      <w:numFmt w:val="chineseCounting"/>
      <w:suff w:val="nothing"/>
      <w:lvlText w:val="%1、"/>
      <w:lvlJc w:val="left"/>
      <w:rPr>
        <w:rFonts w:hint="eastAsia"/>
      </w:rPr>
    </w:lvl>
  </w:abstractNum>
  <w:num w:numId="1">
    <w:abstractNumId w:val="6"/>
  </w:num>
  <w:num w:numId="2">
    <w:abstractNumId w:val="3"/>
  </w:num>
  <w:num w:numId="3">
    <w:abstractNumId w:val="1"/>
  </w:num>
  <w:num w:numId="4">
    <w:abstractNumId w:val="5"/>
  </w:num>
  <w:num w:numId="5">
    <w:abstractNumId w:val="8"/>
  </w:num>
  <w:num w:numId="6">
    <w:abstractNumId w:val="0"/>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HorizontalSpacing w:val="210"/>
  <w:drawingGridVerticalSpacing w:val="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288"/>
    <w:rsid w:val="000059C3"/>
    <w:rsid w:val="00034288"/>
    <w:rsid w:val="00053533"/>
    <w:rsid w:val="000B4EA3"/>
    <w:rsid w:val="000D46ED"/>
    <w:rsid w:val="000D4706"/>
    <w:rsid w:val="000E0C5F"/>
    <w:rsid w:val="000E690C"/>
    <w:rsid w:val="000F27F2"/>
    <w:rsid w:val="000F4578"/>
    <w:rsid w:val="001007CC"/>
    <w:rsid w:val="0013161E"/>
    <w:rsid w:val="00132D7C"/>
    <w:rsid w:val="001545FC"/>
    <w:rsid w:val="0017202B"/>
    <w:rsid w:val="001E5B8E"/>
    <w:rsid w:val="002122A3"/>
    <w:rsid w:val="00217882"/>
    <w:rsid w:val="002203B6"/>
    <w:rsid w:val="0023527A"/>
    <w:rsid w:val="00250508"/>
    <w:rsid w:val="00284DFA"/>
    <w:rsid w:val="002A58DA"/>
    <w:rsid w:val="002B5166"/>
    <w:rsid w:val="002D6CA4"/>
    <w:rsid w:val="00345923"/>
    <w:rsid w:val="00370942"/>
    <w:rsid w:val="00392C48"/>
    <w:rsid w:val="00394FD7"/>
    <w:rsid w:val="003A444D"/>
    <w:rsid w:val="003D46FA"/>
    <w:rsid w:val="003F23CD"/>
    <w:rsid w:val="00432025"/>
    <w:rsid w:val="004520E8"/>
    <w:rsid w:val="004C129D"/>
    <w:rsid w:val="004C6C5D"/>
    <w:rsid w:val="004F3972"/>
    <w:rsid w:val="004F570C"/>
    <w:rsid w:val="005134EC"/>
    <w:rsid w:val="00536E1B"/>
    <w:rsid w:val="00544C9C"/>
    <w:rsid w:val="00560791"/>
    <w:rsid w:val="00567AF4"/>
    <w:rsid w:val="00573DF6"/>
    <w:rsid w:val="00583B65"/>
    <w:rsid w:val="005A1B38"/>
    <w:rsid w:val="005B1975"/>
    <w:rsid w:val="005C5E1D"/>
    <w:rsid w:val="005C641E"/>
    <w:rsid w:val="005D6361"/>
    <w:rsid w:val="005E676D"/>
    <w:rsid w:val="005F7F5B"/>
    <w:rsid w:val="00603040"/>
    <w:rsid w:val="006338B3"/>
    <w:rsid w:val="00647354"/>
    <w:rsid w:val="00682B7C"/>
    <w:rsid w:val="006F57D1"/>
    <w:rsid w:val="00735FB9"/>
    <w:rsid w:val="007402AA"/>
    <w:rsid w:val="00781AE0"/>
    <w:rsid w:val="007A6815"/>
    <w:rsid w:val="007E057A"/>
    <w:rsid w:val="00800E53"/>
    <w:rsid w:val="00803B08"/>
    <w:rsid w:val="00824605"/>
    <w:rsid w:val="00833E3E"/>
    <w:rsid w:val="00846C66"/>
    <w:rsid w:val="00863B59"/>
    <w:rsid w:val="008C1DE1"/>
    <w:rsid w:val="008F2AA1"/>
    <w:rsid w:val="00903FC4"/>
    <w:rsid w:val="00912B0B"/>
    <w:rsid w:val="00930564"/>
    <w:rsid w:val="0094352C"/>
    <w:rsid w:val="009613A1"/>
    <w:rsid w:val="009752CB"/>
    <w:rsid w:val="00987EFE"/>
    <w:rsid w:val="009974BC"/>
    <w:rsid w:val="009B4A58"/>
    <w:rsid w:val="009D687C"/>
    <w:rsid w:val="009F0219"/>
    <w:rsid w:val="009F414E"/>
    <w:rsid w:val="00AA0868"/>
    <w:rsid w:val="00AD35EC"/>
    <w:rsid w:val="00AE38B7"/>
    <w:rsid w:val="00B046F7"/>
    <w:rsid w:val="00B22BCC"/>
    <w:rsid w:val="00B302A7"/>
    <w:rsid w:val="00B36E14"/>
    <w:rsid w:val="00B46451"/>
    <w:rsid w:val="00B52DEF"/>
    <w:rsid w:val="00B537FB"/>
    <w:rsid w:val="00B6737B"/>
    <w:rsid w:val="00B93365"/>
    <w:rsid w:val="00BB4421"/>
    <w:rsid w:val="00BC3CD8"/>
    <w:rsid w:val="00BD05D2"/>
    <w:rsid w:val="00BE18C1"/>
    <w:rsid w:val="00BF1B22"/>
    <w:rsid w:val="00C1180D"/>
    <w:rsid w:val="00C5540D"/>
    <w:rsid w:val="00CC1EFA"/>
    <w:rsid w:val="00D4429E"/>
    <w:rsid w:val="00D44C31"/>
    <w:rsid w:val="00D475C9"/>
    <w:rsid w:val="00D630F0"/>
    <w:rsid w:val="00D63F60"/>
    <w:rsid w:val="00DB4FB1"/>
    <w:rsid w:val="00DB4FC0"/>
    <w:rsid w:val="00DE5ADB"/>
    <w:rsid w:val="00E11142"/>
    <w:rsid w:val="00E249DE"/>
    <w:rsid w:val="00E515EF"/>
    <w:rsid w:val="00E631F5"/>
    <w:rsid w:val="00E716CD"/>
    <w:rsid w:val="00E84955"/>
    <w:rsid w:val="00E909C4"/>
    <w:rsid w:val="00E94DA0"/>
    <w:rsid w:val="00E97186"/>
    <w:rsid w:val="00EE4D3A"/>
    <w:rsid w:val="00EF6CA3"/>
    <w:rsid w:val="00F35369"/>
    <w:rsid w:val="00F75262"/>
    <w:rsid w:val="00F769C8"/>
    <w:rsid w:val="00F76AA7"/>
    <w:rsid w:val="00F8407F"/>
    <w:rsid w:val="00F86475"/>
    <w:rsid w:val="00F8695C"/>
    <w:rsid w:val="00F87F77"/>
    <w:rsid w:val="00FC1B0C"/>
    <w:rsid w:val="00FE306E"/>
    <w:rsid w:val="00FF38D7"/>
    <w:rsid w:val="010D1008"/>
    <w:rsid w:val="010D4911"/>
    <w:rsid w:val="011F0A01"/>
    <w:rsid w:val="012B4C56"/>
    <w:rsid w:val="012F0270"/>
    <w:rsid w:val="013737F8"/>
    <w:rsid w:val="01401BCD"/>
    <w:rsid w:val="015A23A2"/>
    <w:rsid w:val="016116B1"/>
    <w:rsid w:val="016813F7"/>
    <w:rsid w:val="01813353"/>
    <w:rsid w:val="01861BF6"/>
    <w:rsid w:val="01896EE0"/>
    <w:rsid w:val="01951E75"/>
    <w:rsid w:val="019A717C"/>
    <w:rsid w:val="01AB089D"/>
    <w:rsid w:val="01C40E52"/>
    <w:rsid w:val="01CF45DC"/>
    <w:rsid w:val="01D9641B"/>
    <w:rsid w:val="01EE6577"/>
    <w:rsid w:val="01EF5449"/>
    <w:rsid w:val="020779B9"/>
    <w:rsid w:val="02100112"/>
    <w:rsid w:val="021F5F89"/>
    <w:rsid w:val="022360E0"/>
    <w:rsid w:val="023058AA"/>
    <w:rsid w:val="023D4A1D"/>
    <w:rsid w:val="02526679"/>
    <w:rsid w:val="025572F2"/>
    <w:rsid w:val="025E3FA1"/>
    <w:rsid w:val="025E7E1A"/>
    <w:rsid w:val="026373DC"/>
    <w:rsid w:val="02652CF7"/>
    <w:rsid w:val="02664561"/>
    <w:rsid w:val="026F788C"/>
    <w:rsid w:val="027065C7"/>
    <w:rsid w:val="027766E1"/>
    <w:rsid w:val="02796969"/>
    <w:rsid w:val="02811730"/>
    <w:rsid w:val="0282665C"/>
    <w:rsid w:val="028D1EB9"/>
    <w:rsid w:val="0292639B"/>
    <w:rsid w:val="029D5718"/>
    <w:rsid w:val="02B700F2"/>
    <w:rsid w:val="02B96FB6"/>
    <w:rsid w:val="02BB0186"/>
    <w:rsid w:val="02BE1E32"/>
    <w:rsid w:val="02C2323D"/>
    <w:rsid w:val="02E50EB4"/>
    <w:rsid w:val="02E9682A"/>
    <w:rsid w:val="02F238F0"/>
    <w:rsid w:val="030042FA"/>
    <w:rsid w:val="031446AA"/>
    <w:rsid w:val="03185243"/>
    <w:rsid w:val="031A6189"/>
    <w:rsid w:val="03282D36"/>
    <w:rsid w:val="0333077F"/>
    <w:rsid w:val="034F4522"/>
    <w:rsid w:val="03511C40"/>
    <w:rsid w:val="03603634"/>
    <w:rsid w:val="03665162"/>
    <w:rsid w:val="036F723A"/>
    <w:rsid w:val="03727E83"/>
    <w:rsid w:val="037472E5"/>
    <w:rsid w:val="03751990"/>
    <w:rsid w:val="037D5B5F"/>
    <w:rsid w:val="037F3890"/>
    <w:rsid w:val="0380221E"/>
    <w:rsid w:val="03813252"/>
    <w:rsid w:val="039023C3"/>
    <w:rsid w:val="03931AEE"/>
    <w:rsid w:val="03BA3D87"/>
    <w:rsid w:val="03BF659E"/>
    <w:rsid w:val="03CD26AB"/>
    <w:rsid w:val="03CF5A12"/>
    <w:rsid w:val="03D431B8"/>
    <w:rsid w:val="03DD479B"/>
    <w:rsid w:val="03E17746"/>
    <w:rsid w:val="03EC2CEB"/>
    <w:rsid w:val="03FF2CA0"/>
    <w:rsid w:val="040B02A1"/>
    <w:rsid w:val="04126F0C"/>
    <w:rsid w:val="04170599"/>
    <w:rsid w:val="041C454F"/>
    <w:rsid w:val="042773A1"/>
    <w:rsid w:val="042964D8"/>
    <w:rsid w:val="042D6B54"/>
    <w:rsid w:val="042E4BDA"/>
    <w:rsid w:val="04346DBA"/>
    <w:rsid w:val="04352ADA"/>
    <w:rsid w:val="0445545C"/>
    <w:rsid w:val="04466C39"/>
    <w:rsid w:val="04472788"/>
    <w:rsid w:val="04476094"/>
    <w:rsid w:val="044F0C64"/>
    <w:rsid w:val="04515B48"/>
    <w:rsid w:val="04557BD6"/>
    <w:rsid w:val="045B5C1E"/>
    <w:rsid w:val="046314F5"/>
    <w:rsid w:val="046E2AB2"/>
    <w:rsid w:val="046F0F26"/>
    <w:rsid w:val="0475769A"/>
    <w:rsid w:val="04797D28"/>
    <w:rsid w:val="04950631"/>
    <w:rsid w:val="049E42E5"/>
    <w:rsid w:val="04AD5F66"/>
    <w:rsid w:val="04BD1D29"/>
    <w:rsid w:val="04C03328"/>
    <w:rsid w:val="04CF3643"/>
    <w:rsid w:val="04DA7AD2"/>
    <w:rsid w:val="04DD6303"/>
    <w:rsid w:val="04EF1730"/>
    <w:rsid w:val="04F05E86"/>
    <w:rsid w:val="04F648BA"/>
    <w:rsid w:val="05092CE1"/>
    <w:rsid w:val="050A59E5"/>
    <w:rsid w:val="050C752D"/>
    <w:rsid w:val="051B68BD"/>
    <w:rsid w:val="05277456"/>
    <w:rsid w:val="053932F0"/>
    <w:rsid w:val="05492733"/>
    <w:rsid w:val="054E25D3"/>
    <w:rsid w:val="05502ABD"/>
    <w:rsid w:val="055301C3"/>
    <w:rsid w:val="0555004F"/>
    <w:rsid w:val="055A43FE"/>
    <w:rsid w:val="055B6696"/>
    <w:rsid w:val="057D75AB"/>
    <w:rsid w:val="057E1E10"/>
    <w:rsid w:val="05962E6D"/>
    <w:rsid w:val="05B86C61"/>
    <w:rsid w:val="05B94108"/>
    <w:rsid w:val="05CD0405"/>
    <w:rsid w:val="05D2085E"/>
    <w:rsid w:val="05D75869"/>
    <w:rsid w:val="05DC1BA5"/>
    <w:rsid w:val="05E06E08"/>
    <w:rsid w:val="05FA35D0"/>
    <w:rsid w:val="06037217"/>
    <w:rsid w:val="060E63D2"/>
    <w:rsid w:val="0629472D"/>
    <w:rsid w:val="062E254E"/>
    <w:rsid w:val="063B2EBA"/>
    <w:rsid w:val="0646636A"/>
    <w:rsid w:val="065E6B48"/>
    <w:rsid w:val="06605EC9"/>
    <w:rsid w:val="06634CD9"/>
    <w:rsid w:val="06653B19"/>
    <w:rsid w:val="067B2E4C"/>
    <w:rsid w:val="06A40007"/>
    <w:rsid w:val="06A86903"/>
    <w:rsid w:val="06AD7ACC"/>
    <w:rsid w:val="06AF229D"/>
    <w:rsid w:val="06B00C1D"/>
    <w:rsid w:val="06B45205"/>
    <w:rsid w:val="06BC7172"/>
    <w:rsid w:val="06BD60FA"/>
    <w:rsid w:val="06BF0E0E"/>
    <w:rsid w:val="06C90A05"/>
    <w:rsid w:val="06CD32C8"/>
    <w:rsid w:val="06DA1A12"/>
    <w:rsid w:val="06E24CC4"/>
    <w:rsid w:val="06E56C72"/>
    <w:rsid w:val="06E827D0"/>
    <w:rsid w:val="06EC03C0"/>
    <w:rsid w:val="06F05122"/>
    <w:rsid w:val="06F218E2"/>
    <w:rsid w:val="06F72588"/>
    <w:rsid w:val="06FA37E7"/>
    <w:rsid w:val="070009A7"/>
    <w:rsid w:val="070630C0"/>
    <w:rsid w:val="070C6588"/>
    <w:rsid w:val="070D74B9"/>
    <w:rsid w:val="07276505"/>
    <w:rsid w:val="07377E5F"/>
    <w:rsid w:val="073C4D43"/>
    <w:rsid w:val="074F5D18"/>
    <w:rsid w:val="07507EBE"/>
    <w:rsid w:val="075A4EC9"/>
    <w:rsid w:val="075B4F94"/>
    <w:rsid w:val="07614287"/>
    <w:rsid w:val="076E7F28"/>
    <w:rsid w:val="07780B45"/>
    <w:rsid w:val="077A3CF4"/>
    <w:rsid w:val="077C67FE"/>
    <w:rsid w:val="079047D5"/>
    <w:rsid w:val="07970520"/>
    <w:rsid w:val="07B127B7"/>
    <w:rsid w:val="07BA0AF6"/>
    <w:rsid w:val="07C10641"/>
    <w:rsid w:val="07C323B7"/>
    <w:rsid w:val="07C46750"/>
    <w:rsid w:val="07DA6D2B"/>
    <w:rsid w:val="07DC755F"/>
    <w:rsid w:val="07E02C8B"/>
    <w:rsid w:val="07F978AE"/>
    <w:rsid w:val="07FF7B93"/>
    <w:rsid w:val="08153A5C"/>
    <w:rsid w:val="08246CB9"/>
    <w:rsid w:val="0832478B"/>
    <w:rsid w:val="083661DE"/>
    <w:rsid w:val="084508AE"/>
    <w:rsid w:val="084C16B1"/>
    <w:rsid w:val="08526DED"/>
    <w:rsid w:val="085336DB"/>
    <w:rsid w:val="085F74E0"/>
    <w:rsid w:val="08704238"/>
    <w:rsid w:val="087B0DFD"/>
    <w:rsid w:val="087E66D5"/>
    <w:rsid w:val="088246BE"/>
    <w:rsid w:val="08AA7809"/>
    <w:rsid w:val="08AC1B93"/>
    <w:rsid w:val="08B532C2"/>
    <w:rsid w:val="08C0580D"/>
    <w:rsid w:val="08CA15F9"/>
    <w:rsid w:val="08D93735"/>
    <w:rsid w:val="08EA18EF"/>
    <w:rsid w:val="08EA7E81"/>
    <w:rsid w:val="08F246BF"/>
    <w:rsid w:val="090034FD"/>
    <w:rsid w:val="09177FFE"/>
    <w:rsid w:val="09187A66"/>
    <w:rsid w:val="091D2045"/>
    <w:rsid w:val="091E48E0"/>
    <w:rsid w:val="09205315"/>
    <w:rsid w:val="0930282D"/>
    <w:rsid w:val="09351543"/>
    <w:rsid w:val="09356458"/>
    <w:rsid w:val="09457F49"/>
    <w:rsid w:val="094E0A55"/>
    <w:rsid w:val="095132A8"/>
    <w:rsid w:val="0957482D"/>
    <w:rsid w:val="09615629"/>
    <w:rsid w:val="09790E11"/>
    <w:rsid w:val="09907510"/>
    <w:rsid w:val="099D6E92"/>
    <w:rsid w:val="09BF4516"/>
    <w:rsid w:val="09C160CD"/>
    <w:rsid w:val="09D2731E"/>
    <w:rsid w:val="09D64427"/>
    <w:rsid w:val="09DE7C72"/>
    <w:rsid w:val="09EB2670"/>
    <w:rsid w:val="09FB3329"/>
    <w:rsid w:val="0A031760"/>
    <w:rsid w:val="0A06539A"/>
    <w:rsid w:val="0A087D7A"/>
    <w:rsid w:val="0A0D0BB5"/>
    <w:rsid w:val="0A10214A"/>
    <w:rsid w:val="0A123675"/>
    <w:rsid w:val="0A1F16FE"/>
    <w:rsid w:val="0A1F246F"/>
    <w:rsid w:val="0A1F3467"/>
    <w:rsid w:val="0A202827"/>
    <w:rsid w:val="0A2267D1"/>
    <w:rsid w:val="0A2741E7"/>
    <w:rsid w:val="0A38702F"/>
    <w:rsid w:val="0A451710"/>
    <w:rsid w:val="0A4B4FD1"/>
    <w:rsid w:val="0A6441E0"/>
    <w:rsid w:val="0A6B6593"/>
    <w:rsid w:val="0A784E3F"/>
    <w:rsid w:val="0A7B5268"/>
    <w:rsid w:val="0A7D6A4F"/>
    <w:rsid w:val="0A7F6AE5"/>
    <w:rsid w:val="0A84468F"/>
    <w:rsid w:val="0A8C68F2"/>
    <w:rsid w:val="0A8D0C4D"/>
    <w:rsid w:val="0A9905EB"/>
    <w:rsid w:val="0AC07C62"/>
    <w:rsid w:val="0AC9301A"/>
    <w:rsid w:val="0AD630E5"/>
    <w:rsid w:val="0ADD522B"/>
    <w:rsid w:val="0AEA469F"/>
    <w:rsid w:val="0AEB500B"/>
    <w:rsid w:val="0AFA4006"/>
    <w:rsid w:val="0AFB2C26"/>
    <w:rsid w:val="0B096AAE"/>
    <w:rsid w:val="0B0F674F"/>
    <w:rsid w:val="0B104553"/>
    <w:rsid w:val="0B13541C"/>
    <w:rsid w:val="0B1E03E2"/>
    <w:rsid w:val="0B4026AC"/>
    <w:rsid w:val="0B49116C"/>
    <w:rsid w:val="0B4B62CB"/>
    <w:rsid w:val="0B4F606F"/>
    <w:rsid w:val="0B540A98"/>
    <w:rsid w:val="0B6336C0"/>
    <w:rsid w:val="0B700D16"/>
    <w:rsid w:val="0B7135F8"/>
    <w:rsid w:val="0B805D8E"/>
    <w:rsid w:val="0B81741B"/>
    <w:rsid w:val="0B841543"/>
    <w:rsid w:val="0B84278A"/>
    <w:rsid w:val="0B987E80"/>
    <w:rsid w:val="0BA81F03"/>
    <w:rsid w:val="0BAE4BF2"/>
    <w:rsid w:val="0BED4E56"/>
    <w:rsid w:val="0C0162AC"/>
    <w:rsid w:val="0C045867"/>
    <w:rsid w:val="0C0B3769"/>
    <w:rsid w:val="0C0D4D29"/>
    <w:rsid w:val="0C0F4E62"/>
    <w:rsid w:val="0C11638D"/>
    <w:rsid w:val="0C2A2402"/>
    <w:rsid w:val="0C3034E5"/>
    <w:rsid w:val="0C3259B9"/>
    <w:rsid w:val="0C326D99"/>
    <w:rsid w:val="0C5648BE"/>
    <w:rsid w:val="0C5760A4"/>
    <w:rsid w:val="0C712756"/>
    <w:rsid w:val="0C7A5748"/>
    <w:rsid w:val="0C7B267D"/>
    <w:rsid w:val="0C805631"/>
    <w:rsid w:val="0C874663"/>
    <w:rsid w:val="0C935F62"/>
    <w:rsid w:val="0CA747C6"/>
    <w:rsid w:val="0CB34841"/>
    <w:rsid w:val="0CEA611B"/>
    <w:rsid w:val="0CF80A1A"/>
    <w:rsid w:val="0D0F5D4F"/>
    <w:rsid w:val="0D1D4ED0"/>
    <w:rsid w:val="0D1F543D"/>
    <w:rsid w:val="0D2032F6"/>
    <w:rsid w:val="0D2546BE"/>
    <w:rsid w:val="0D2F5D0A"/>
    <w:rsid w:val="0D3C2AF9"/>
    <w:rsid w:val="0D4465E6"/>
    <w:rsid w:val="0D594122"/>
    <w:rsid w:val="0D631326"/>
    <w:rsid w:val="0D6D3677"/>
    <w:rsid w:val="0D723575"/>
    <w:rsid w:val="0D8E3321"/>
    <w:rsid w:val="0D9A3A46"/>
    <w:rsid w:val="0DC07A7D"/>
    <w:rsid w:val="0DC25F50"/>
    <w:rsid w:val="0DC46D19"/>
    <w:rsid w:val="0DCD7BDB"/>
    <w:rsid w:val="0DCF7F3F"/>
    <w:rsid w:val="0DD344F0"/>
    <w:rsid w:val="0DDF760D"/>
    <w:rsid w:val="0DF22E86"/>
    <w:rsid w:val="0E192216"/>
    <w:rsid w:val="0E2822F8"/>
    <w:rsid w:val="0E2D6EC5"/>
    <w:rsid w:val="0E361DEA"/>
    <w:rsid w:val="0E374DBB"/>
    <w:rsid w:val="0E3D2A20"/>
    <w:rsid w:val="0E3F6419"/>
    <w:rsid w:val="0E45796B"/>
    <w:rsid w:val="0E49501E"/>
    <w:rsid w:val="0E5B78B3"/>
    <w:rsid w:val="0E616BE7"/>
    <w:rsid w:val="0E6A5C67"/>
    <w:rsid w:val="0E710FB3"/>
    <w:rsid w:val="0E7421FD"/>
    <w:rsid w:val="0E771261"/>
    <w:rsid w:val="0E7D604B"/>
    <w:rsid w:val="0E84695C"/>
    <w:rsid w:val="0E867930"/>
    <w:rsid w:val="0E875767"/>
    <w:rsid w:val="0E927FB9"/>
    <w:rsid w:val="0E934A71"/>
    <w:rsid w:val="0E980A1D"/>
    <w:rsid w:val="0EAB5790"/>
    <w:rsid w:val="0EAC646E"/>
    <w:rsid w:val="0EB65C50"/>
    <w:rsid w:val="0ECA2281"/>
    <w:rsid w:val="0ECF4998"/>
    <w:rsid w:val="0ED16F78"/>
    <w:rsid w:val="0EE928CE"/>
    <w:rsid w:val="0EE92B20"/>
    <w:rsid w:val="0EFC72E6"/>
    <w:rsid w:val="0F0E78AD"/>
    <w:rsid w:val="0F102A79"/>
    <w:rsid w:val="0F114EE0"/>
    <w:rsid w:val="0F2469B8"/>
    <w:rsid w:val="0F247F82"/>
    <w:rsid w:val="0F2D4414"/>
    <w:rsid w:val="0F3B729D"/>
    <w:rsid w:val="0F40461C"/>
    <w:rsid w:val="0F4822C2"/>
    <w:rsid w:val="0F4A0A92"/>
    <w:rsid w:val="0F5B2FAF"/>
    <w:rsid w:val="0F65669E"/>
    <w:rsid w:val="0F700B81"/>
    <w:rsid w:val="0F745D55"/>
    <w:rsid w:val="0F7F2551"/>
    <w:rsid w:val="0F836038"/>
    <w:rsid w:val="0F8C0948"/>
    <w:rsid w:val="0F940FD7"/>
    <w:rsid w:val="0FA1199C"/>
    <w:rsid w:val="0FAB35D7"/>
    <w:rsid w:val="0FAF03E6"/>
    <w:rsid w:val="0FDF1683"/>
    <w:rsid w:val="0FE64060"/>
    <w:rsid w:val="0FE828A0"/>
    <w:rsid w:val="0FF253F6"/>
    <w:rsid w:val="0FFA166E"/>
    <w:rsid w:val="0FFF6463"/>
    <w:rsid w:val="10401A92"/>
    <w:rsid w:val="10466ED8"/>
    <w:rsid w:val="10507C42"/>
    <w:rsid w:val="10582135"/>
    <w:rsid w:val="10607411"/>
    <w:rsid w:val="1066641E"/>
    <w:rsid w:val="10686709"/>
    <w:rsid w:val="107A2D20"/>
    <w:rsid w:val="107A5DA5"/>
    <w:rsid w:val="108B1CEE"/>
    <w:rsid w:val="10C87116"/>
    <w:rsid w:val="10E91CA0"/>
    <w:rsid w:val="10EB2201"/>
    <w:rsid w:val="10EC606F"/>
    <w:rsid w:val="10F26262"/>
    <w:rsid w:val="11057F6B"/>
    <w:rsid w:val="11074900"/>
    <w:rsid w:val="11095BE1"/>
    <w:rsid w:val="110C4DD4"/>
    <w:rsid w:val="11117D58"/>
    <w:rsid w:val="1116391B"/>
    <w:rsid w:val="111B69FB"/>
    <w:rsid w:val="111C16E6"/>
    <w:rsid w:val="111E36B8"/>
    <w:rsid w:val="11214A4B"/>
    <w:rsid w:val="112D6E8E"/>
    <w:rsid w:val="1133290F"/>
    <w:rsid w:val="11355818"/>
    <w:rsid w:val="11382EE0"/>
    <w:rsid w:val="113B037E"/>
    <w:rsid w:val="113B0F47"/>
    <w:rsid w:val="11441A6E"/>
    <w:rsid w:val="114D673B"/>
    <w:rsid w:val="115558D2"/>
    <w:rsid w:val="11633707"/>
    <w:rsid w:val="1170323F"/>
    <w:rsid w:val="1189716E"/>
    <w:rsid w:val="118C5E91"/>
    <w:rsid w:val="11911246"/>
    <w:rsid w:val="11A33C57"/>
    <w:rsid w:val="11B405CD"/>
    <w:rsid w:val="11BC0857"/>
    <w:rsid w:val="11BD6D2A"/>
    <w:rsid w:val="11C66E96"/>
    <w:rsid w:val="11CE5711"/>
    <w:rsid w:val="11D97FE2"/>
    <w:rsid w:val="11E211A3"/>
    <w:rsid w:val="12024902"/>
    <w:rsid w:val="120E4ED5"/>
    <w:rsid w:val="12171433"/>
    <w:rsid w:val="12286CFE"/>
    <w:rsid w:val="123D1A1A"/>
    <w:rsid w:val="12446084"/>
    <w:rsid w:val="125B7182"/>
    <w:rsid w:val="125C6525"/>
    <w:rsid w:val="126462D8"/>
    <w:rsid w:val="1268158C"/>
    <w:rsid w:val="126A2AC8"/>
    <w:rsid w:val="12840BAE"/>
    <w:rsid w:val="12871FB0"/>
    <w:rsid w:val="12917C3D"/>
    <w:rsid w:val="129B259A"/>
    <w:rsid w:val="129C4969"/>
    <w:rsid w:val="129E7465"/>
    <w:rsid w:val="12A513FB"/>
    <w:rsid w:val="12AD4DC4"/>
    <w:rsid w:val="12AD60EE"/>
    <w:rsid w:val="12B21872"/>
    <w:rsid w:val="12B41EC0"/>
    <w:rsid w:val="12C806D7"/>
    <w:rsid w:val="12CE2CAA"/>
    <w:rsid w:val="12D1292C"/>
    <w:rsid w:val="12D34115"/>
    <w:rsid w:val="12D7022F"/>
    <w:rsid w:val="12EC6E2D"/>
    <w:rsid w:val="130A227E"/>
    <w:rsid w:val="13117505"/>
    <w:rsid w:val="1313352A"/>
    <w:rsid w:val="13217572"/>
    <w:rsid w:val="13315BC6"/>
    <w:rsid w:val="133A0653"/>
    <w:rsid w:val="13406637"/>
    <w:rsid w:val="137E2AA2"/>
    <w:rsid w:val="13814EBC"/>
    <w:rsid w:val="138B6F84"/>
    <w:rsid w:val="1395419D"/>
    <w:rsid w:val="13955130"/>
    <w:rsid w:val="139E1104"/>
    <w:rsid w:val="13AB63B5"/>
    <w:rsid w:val="13B25FCE"/>
    <w:rsid w:val="13C85E43"/>
    <w:rsid w:val="13DA5B66"/>
    <w:rsid w:val="13DD2801"/>
    <w:rsid w:val="13E2000E"/>
    <w:rsid w:val="13E42F35"/>
    <w:rsid w:val="13E9359D"/>
    <w:rsid w:val="13F00195"/>
    <w:rsid w:val="13FB0A09"/>
    <w:rsid w:val="13FD5ABE"/>
    <w:rsid w:val="13FD5D5C"/>
    <w:rsid w:val="13FE54CE"/>
    <w:rsid w:val="140545ED"/>
    <w:rsid w:val="14071A99"/>
    <w:rsid w:val="14206DFD"/>
    <w:rsid w:val="142418EA"/>
    <w:rsid w:val="142E3D3B"/>
    <w:rsid w:val="14405825"/>
    <w:rsid w:val="144335DE"/>
    <w:rsid w:val="145A4ED4"/>
    <w:rsid w:val="14643546"/>
    <w:rsid w:val="146D4192"/>
    <w:rsid w:val="147666A4"/>
    <w:rsid w:val="147C66E4"/>
    <w:rsid w:val="147E3ECF"/>
    <w:rsid w:val="14883D0C"/>
    <w:rsid w:val="149735BC"/>
    <w:rsid w:val="14A62666"/>
    <w:rsid w:val="14BA2A20"/>
    <w:rsid w:val="14C2447D"/>
    <w:rsid w:val="14C40CD6"/>
    <w:rsid w:val="14CC4B55"/>
    <w:rsid w:val="14D36E5A"/>
    <w:rsid w:val="14DB6224"/>
    <w:rsid w:val="14EC4AC7"/>
    <w:rsid w:val="14F52138"/>
    <w:rsid w:val="14FD7982"/>
    <w:rsid w:val="14FD79A8"/>
    <w:rsid w:val="150C6492"/>
    <w:rsid w:val="15117A0F"/>
    <w:rsid w:val="151B1BC8"/>
    <w:rsid w:val="15205FA6"/>
    <w:rsid w:val="1520660A"/>
    <w:rsid w:val="15281A5D"/>
    <w:rsid w:val="152B4CEB"/>
    <w:rsid w:val="152C0854"/>
    <w:rsid w:val="15317FCB"/>
    <w:rsid w:val="15354666"/>
    <w:rsid w:val="15355D1F"/>
    <w:rsid w:val="15387CD9"/>
    <w:rsid w:val="153A0924"/>
    <w:rsid w:val="153E4BC6"/>
    <w:rsid w:val="15471510"/>
    <w:rsid w:val="154A53C4"/>
    <w:rsid w:val="154C1C36"/>
    <w:rsid w:val="155131DE"/>
    <w:rsid w:val="15716F63"/>
    <w:rsid w:val="15730D94"/>
    <w:rsid w:val="15755571"/>
    <w:rsid w:val="15841C9B"/>
    <w:rsid w:val="1586383F"/>
    <w:rsid w:val="1590079E"/>
    <w:rsid w:val="15996864"/>
    <w:rsid w:val="15B51CD5"/>
    <w:rsid w:val="15D761F0"/>
    <w:rsid w:val="15E06796"/>
    <w:rsid w:val="15ED75D4"/>
    <w:rsid w:val="15F16F23"/>
    <w:rsid w:val="15F401FF"/>
    <w:rsid w:val="15F42514"/>
    <w:rsid w:val="15FF6A74"/>
    <w:rsid w:val="16097C22"/>
    <w:rsid w:val="160B01F0"/>
    <w:rsid w:val="160E439B"/>
    <w:rsid w:val="161E5D01"/>
    <w:rsid w:val="1621264A"/>
    <w:rsid w:val="16257AE2"/>
    <w:rsid w:val="16262D18"/>
    <w:rsid w:val="163804F5"/>
    <w:rsid w:val="1644157A"/>
    <w:rsid w:val="16475729"/>
    <w:rsid w:val="165F4FAE"/>
    <w:rsid w:val="16704608"/>
    <w:rsid w:val="167549AA"/>
    <w:rsid w:val="167F760B"/>
    <w:rsid w:val="16844EFC"/>
    <w:rsid w:val="16893CF3"/>
    <w:rsid w:val="168B7DAE"/>
    <w:rsid w:val="168E30ED"/>
    <w:rsid w:val="1698217E"/>
    <w:rsid w:val="169A45BB"/>
    <w:rsid w:val="169C2C18"/>
    <w:rsid w:val="169C64FF"/>
    <w:rsid w:val="16AA517E"/>
    <w:rsid w:val="16AE6888"/>
    <w:rsid w:val="16B8349C"/>
    <w:rsid w:val="16C33FD5"/>
    <w:rsid w:val="16D066F3"/>
    <w:rsid w:val="16DA44D2"/>
    <w:rsid w:val="16E2347D"/>
    <w:rsid w:val="16EA61AA"/>
    <w:rsid w:val="16ED1592"/>
    <w:rsid w:val="16EF47E9"/>
    <w:rsid w:val="16F96E40"/>
    <w:rsid w:val="16FB2CEC"/>
    <w:rsid w:val="17077F36"/>
    <w:rsid w:val="170E4ABE"/>
    <w:rsid w:val="17116BE6"/>
    <w:rsid w:val="17215E80"/>
    <w:rsid w:val="17263EAC"/>
    <w:rsid w:val="172754EA"/>
    <w:rsid w:val="173B685B"/>
    <w:rsid w:val="174E6509"/>
    <w:rsid w:val="174F62E8"/>
    <w:rsid w:val="17515994"/>
    <w:rsid w:val="17621FED"/>
    <w:rsid w:val="17637FB7"/>
    <w:rsid w:val="17706362"/>
    <w:rsid w:val="177C6D15"/>
    <w:rsid w:val="177D67A3"/>
    <w:rsid w:val="177E6F6A"/>
    <w:rsid w:val="177F00C2"/>
    <w:rsid w:val="178518B9"/>
    <w:rsid w:val="1789087C"/>
    <w:rsid w:val="179D030D"/>
    <w:rsid w:val="17A9078E"/>
    <w:rsid w:val="17C3335D"/>
    <w:rsid w:val="17C55EBB"/>
    <w:rsid w:val="17C61B2D"/>
    <w:rsid w:val="17D108DF"/>
    <w:rsid w:val="17FF0EE6"/>
    <w:rsid w:val="1810230A"/>
    <w:rsid w:val="18162210"/>
    <w:rsid w:val="18170CD3"/>
    <w:rsid w:val="181C2CEE"/>
    <w:rsid w:val="183E0BF8"/>
    <w:rsid w:val="185572B8"/>
    <w:rsid w:val="185E1AC6"/>
    <w:rsid w:val="186A42A1"/>
    <w:rsid w:val="186D435A"/>
    <w:rsid w:val="187D09A8"/>
    <w:rsid w:val="18824E75"/>
    <w:rsid w:val="189E6E29"/>
    <w:rsid w:val="18A26C7C"/>
    <w:rsid w:val="18AF50C5"/>
    <w:rsid w:val="18B8513C"/>
    <w:rsid w:val="18C12900"/>
    <w:rsid w:val="18CD3F2F"/>
    <w:rsid w:val="18D61422"/>
    <w:rsid w:val="18D9118F"/>
    <w:rsid w:val="18DB43BA"/>
    <w:rsid w:val="18DD6F96"/>
    <w:rsid w:val="18DF24C4"/>
    <w:rsid w:val="190A1E82"/>
    <w:rsid w:val="190E5D8F"/>
    <w:rsid w:val="191B45B0"/>
    <w:rsid w:val="191C425B"/>
    <w:rsid w:val="19271433"/>
    <w:rsid w:val="192D5F96"/>
    <w:rsid w:val="19367C27"/>
    <w:rsid w:val="19377E17"/>
    <w:rsid w:val="193F2392"/>
    <w:rsid w:val="19453C90"/>
    <w:rsid w:val="194B7381"/>
    <w:rsid w:val="19531060"/>
    <w:rsid w:val="197117B5"/>
    <w:rsid w:val="1973205A"/>
    <w:rsid w:val="19766083"/>
    <w:rsid w:val="19783D5A"/>
    <w:rsid w:val="197E2905"/>
    <w:rsid w:val="198809B9"/>
    <w:rsid w:val="198E1470"/>
    <w:rsid w:val="19940D95"/>
    <w:rsid w:val="19962CA6"/>
    <w:rsid w:val="199A70AB"/>
    <w:rsid w:val="19A753F5"/>
    <w:rsid w:val="19AC11BC"/>
    <w:rsid w:val="19AF4EBC"/>
    <w:rsid w:val="19BC72F6"/>
    <w:rsid w:val="19C5422C"/>
    <w:rsid w:val="19CA13B3"/>
    <w:rsid w:val="19D123D6"/>
    <w:rsid w:val="19E9480E"/>
    <w:rsid w:val="19EB607E"/>
    <w:rsid w:val="19ED1AA1"/>
    <w:rsid w:val="19EF5747"/>
    <w:rsid w:val="1A0C3B40"/>
    <w:rsid w:val="1A0E3C66"/>
    <w:rsid w:val="1A176AFD"/>
    <w:rsid w:val="1A3376F6"/>
    <w:rsid w:val="1A397722"/>
    <w:rsid w:val="1A3B3BC3"/>
    <w:rsid w:val="1A452F4D"/>
    <w:rsid w:val="1A686A4D"/>
    <w:rsid w:val="1A753ADC"/>
    <w:rsid w:val="1A8715CD"/>
    <w:rsid w:val="1A932A05"/>
    <w:rsid w:val="1A966B40"/>
    <w:rsid w:val="1A9D6E99"/>
    <w:rsid w:val="1AC16C85"/>
    <w:rsid w:val="1AC71965"/>
    <w:rsid w:val="1AD34949"/>
    <w:rsid w:val="1AD669A7"/>
    <w:rsid w:val="1AD92BB8"/>
    <w:rsid w:val="1ADB5D96"/>
    <w:rsid w:val="1AEC5349"/>
    <w:rsid w:val="1AF6361C"/>
    <w:rsid w:val="1B054596"/>
    <w:rsid w:val="1B1342DD"/>
    <w:rsid w:val="1B2B3019"/>
    <w:rsid w:val="1B36786A"/>
    <w:rsid w:val="1B42418A"/>
    <w:rsid w:val="1B4D6675"/>
    <w:rsid w:val="1B4E3291"/>
    <w:rsid w:val="1B500FB5"/>
    <w:rsid w:val="1B5357CD"/>
    <w:rsid w:val="1B6558EB"/>
    <w:rsid w:val="1B697C24"/>
    <w:rsid w:val="1B6B1B03"/>
    <w:rsid w:val="1B6E7C4A"/>
    <w:rsid w:val="1B78402C"/>
    <w:rsid w:val="1B7D0959"/>
    <w:rsid w:val="1B7D4189"/>
    <w:rsid w:val="1B857ABE"/>
    <w:rsid w:val="1B8740FD"/>
    <w:rsid w:val="1BA27D63"/>
    <w:rsid w:val="1BA34FF1"/>
    <w:rsid w:val="1BA519BF"/>
    <w:rsid w:val="1BB04FBE"/>
    <w:rsid w:val="1BB24888"/>
    <w:rsid w:val="1BC75AD9"/>
    <w:rsid w:val="1BCA2A6E"/>
    <w:rsid w:val="1BCF2647"/>
    <w:rsid w:val="1BD027E6"/>
    <w:rsid w:val="1BDD7A71"/>
    <w:rsid w:val="1BE76B5F"/>
    <w:rsid w:val="1BF527D1"/>
    <w:rsid w:val="1BFB18F9"/>
    <w:rsid w:val="1C1534C8"/>
    <w:rsid w:val="1C2C2F11"/>
    <w:rsid w:val="1C397F19"/>
    <w:rsid w:val="1C411498"/>
    <w:rsid w:val="1C531D05"/>
    <w:rsid w:val="1C536E73"/>
    <w:rsid w:val="1C596635"/>
    <w:rsid w:val="1C5E093D"/>
    <w:rsid w:val="1C671C76"/>
    <w:rsid w:val="1C687EB0"/>
    <w:rsid w:val="1C6C6048"/>
    <w:rsid w:val="1C712835"/>
    <w:rsid w:val="1C714C85"/>
    <w:rsid w:val="1C860641"/>
    <w:rsid w:val="1C8C1EB1"/>
    <w:rsid w:val="1C96560B"/>
    <w:rsid w:val="1C9D3CEA"/>
    <w:rsid w:val="1C9D5303"/>
    <w:rsid w:val="1CA97A78"/>
    <w:rsid w:val="1CAE06D7"/>
    <w:rsid w:val="1CAF671D"/>
    <w:rsid w:val="1CB1327F"/>
    <w:rsid w:val="1CB7152C"/>
    <w:rsid w:val="1CC21BC0"/>
    <w:rsid w:val="1CC70234"/>
    <w:rsid w:val="1CDE18A7"/>
    <w:rsid w:val="1CE8446C"/>
    <w:rsid w:val="1CFD198A"/>
    <w:rsid w:val="1D0143DD"/>
    <w:rsid w:val="1D035EAD"/>
    <w:rsid w:val="1D052FF9"/>
    <w:rsid w:val="1D085DD8"/>
    <w:rsid w:val="1D135C06"/>
    <w:rsid w:val="1D1C3E64"/>
    <w:rsid w:val="1D1E03C3"/>
    <w:rsid w:val="1D1F5A78"/>
    <w:rsid w:val="1D226C88"/>
    <w:rsid w:val="1D245F94"/>
    <w:rsid w:val="1D305DBD"/>
    <w:rsid w:val="1D3205FA"/>
    <w:rsid w:val="1D330863"/>
    <w:rsid w:val="1D341419"/>
    <w:rsid w:val="1D5D6B76"/>
    <w:rsid w:val="1D670BF9"/>
    <w:rsid w:val="1D817B30"/>
    <w:rsid w:val="1DA46958"/>
    <w:rsid w:val="1DA80F8A"/>
    <w:rsid w:val="1DAF7E4D"/>
    <w:rsid w:val="1DB16266"/>
    <w:rsid w:val="1DB43C39"/>
    <w:rsid w:val="1DCA113F"/>
    <w:rsid w:val="1DEE5B95"/>
    <w:rsid w:val="1DEF004B"/>
    <w:rsid w:val="1DF4797E"/>
    <w:rsid w:val="1DFD388D"/>
    <w:rsid w:val="1DFE35F7"/>
    <w:rsid w:val="1E080A2F"/>
    <w:rsid w:val="1E101100"/>
    <w:rsid w:val="1E2D4231"/>
    <w:rsid w:val="1E2F2B25"/>
    <w:rsid w:val="1E3525AD"/>
    <w:rsid w:val="1E4B6D26"/>
    <w:rsid w:val="1E576BE0"/>
    <w:rsid w:val="1E585BC8"/>
    <w:rsid w:val="1E592CAF"/>
    <w:rsid w:val="1E5A3368"/>
    <w:rsid w:val="1E5D55AA"/>
    <w:rsid w:val="1E642C25"/>
    <w:rsid w:val="1E660F5F"/>
    <w:rsid w:val="1E7F74D6"/>
    <w:rsid w:val="1E836955"/>
    <w:rsid w:val="1E8D5826"/>
    <w:rsid w:val="1E9B55DC"/>
    <w:rsid w:val="1EA22202"/>
    <w:rsid w:val="1EA56089"/>
    <w:rsid w:val="1EA63D56"/>
    <w:rsid w:val="1EA873F8"/>
    <w:rsid w:val="1EB1494F"/>
    <w:rsid w:val="1EB90622"/>
    <w:rsid w:val="1EBA52AA"/>
    <w:rsid w:val="1EC261F9"/>
    <w:rsid w:val="1EC509E8"/>
    <w:rsid w:val="1EC51590"/>
    <w:rsid w:val="1EDC018D"/>
    <w:rsid w:val="1EDD48D7"/>
    <w:rsid w:val="1EE1107C"/>
    <w:rsid w:val="1EE40580"/>
    <w:rsid w:val="1EE975B7"/>
    <w:rsid w:val="1EF83382"/>
    <w:rsid w:val="1F030568"/>
    <w:rsid w:val="1F052BF1"/>
    <w:rsid w:val="1F0A6CC2"/>
    <w:rsid w:val="1F0C3E92"/>
    <w:rsid w:val="1F19499A"/>
    <w:rsid w:val="1F230E4C"/>
    <w:rsid w:val="1F24407B"/>
    <w:rsid w:val="1F33587E"/>
    <w:rsid w:val="1F4444FB"/>
    <w:rsid w:val="1F4E30B2"/>
    <w:rsid w:val="1F584350"/>
    <w:rsid w:val="1F5D7282"/>
    <w:rsid w:val="1F6C7296"/>
    <w:rsid w:val="1F6F53D5"/>
    <w:rsid w:val="1F903E89"/>
    <w:rsid w:val="1FB10AF4"/>
    <w:rsid w:val="1FC34446"/>
    <w:rsid w:val="1FDE337F"/>
    <w:rsid w:val="1FDE7068"/>
    <w:rsid w:val="1FE71C7D"/>
    <w:rsid w:val="1FEA7DE5"/>
    <w:rsid w:val="20013BEF"/>
    <w:rsid w:val="200440E1"/>
    <w:rsid w:val="200553E8"/>
    <w:rsid w:val="200A4A9B"/>
    <w:rsid w:val="200A7C0F"/>
    <w:rsid w:val="201A79E8"/>
    <w:rsid w:val="20227A43"/>
    <w:rsid w:val="203F164F"/>
    <w:rsid w:val="2043720F"/>
    <w:rsid w:val="204F67A3"/>
    <w:rsid w:val="206070E5"/>
    <w:rsid w:val="206747B8"/>
    <w:rsid w:val="206A2D8B"/>
    <w:rsid w:val="208431C8"/>
    <w:rsid w:val="20CD3044"/>
    <w:rsid w:val="20D807F1"/>
    <w:rsid w:val="20E45693"/>
    <w:rsid w:val="20F00336"/>
    <w:rsid w:val="21024D02"/>
    <w:rsid w:val="21054EAA"/>
    <w:rsid w:val="21176F63"/>
    <w:rsid w:val="211872C4"/>
    <w:rsid w:val="2132424B"/>
    <w:rsid w:val="214F47C5"/>
    <w:rsid w:val="21583385"/>
    <w:rsid w:val="215A09E6"/>
    <w:rsid w:val="21787AEC"/>
    <w:rsid w:val="21871332"/>
    <w:rsid w:val="21965D5B"/>
    <w:rsid w:val="219977A6"/>
    <w:rsid w:val="21A446A8"/>
    <w:rsid w:val="21A8376D"/>
    <w:rsid w:val="21B03599"/>
    <w:rsid w:val="21D6780D"/>
    <w:rsid w:val="21E37AEA"/>
    <w:rsid w:val="21EF6729"/>
    <w:rsid w:val="21FB4737"/>
    <w:rsid w:val="2202764B"/>
    <w:rsid w:val="221671F5"/>
    <w:rsid w:val="2221697D"/>
    <w:rsid w:val="22240FF6"/>
    <w:rsid w:val="222917B9"/>
    <w:rsid w:val="222B104F"/>
    <w:rsid w:val="222C0A30"/>
    <w:rsid w:val="222E50C0"/>
    <w:rsid w:val="22346E38"/>
    <w:rsid w:val="224C2E00"/>
    <w:rsid w:val="22515CF9"/>
    <w:rsid w:val="22607264"/>
    <w:rsid w:val="226E1259"/>
    <w:rsid w:val="227650B4"/>
    <w:rsid w:val="22845E9E"/>
    <w:rsid w:val="2296601C"/>
    <w:rsid w:val="22975203"/>
    <w:rsid w:val="229A3710"/>
    <w:rsid w:val="229B565D"/>
    <w:rsid w:val="22A07A7C"/>
    <w:rsid w:val="22A30AE8"/>
    <w:rsid w:val="22BE18E3"/>
    <w:rsid w:val="22BF0637"/>
    <w:rsid w:val="22C47371"/>
    <w:rsid w:val="22D25EFD"/>
    <w:rsid w:val="22E26B2C"/>
    <w:rsid w:val="22EF57A8"/>
    <w:rsid w:val="22F27093"/>
    <w:rsid w:val="23065B87"/>
    <w:rsid w:val="231936F9"/>
    <w:rsid w:val="231C5185"/>
    <w:rsid w:val="23216A47"/>
    <w:rsid w:val="23232BC6"/>
    <w:rsid w:val="23446218"/>
    <w:rsid w:val="23476A6E"/>
    <w:rsid w:val="234A3417"/>
    <w:rsid w:val="23741CD1"/>
    <w:rsid w:val="237B2C8F"/>
    <w:rsid w:val="238310CA"/>
    <w:rsid w:val="23856192"/>
    <w:rsid w:val="23A07D4E"/>
    <w:rsid w:val="23A70039"/>
    <w:rsid w:val="23B26C07"/>
    <w:rsid w:val="23B31B41"/>
    <w:rsid w:val="23B716BD"/>
    <w:rsid w:val="23C62A3A"/>
    <w:rsid w:val="23D33FEA"/>
    <w:rsid w:val="23DD25DA"/>
    <w:rsid w:val="23E10338"/>
    <w:rsid w:val="23ED60F8"/>
    <w:rsid w:val="24071976"/>
    <w:rsid w:val="24077199"/>
    <w:rsid w:val="240B69C4"/>
    <w:rsid w:val="241373C4"/>
    <w:rsid w:val="241C110B"/>
    <w:rsid w:val="24251049"/>
    <w:rsid w:val="24352DD9"/>
    <w:rsid w:val="244B306D"/>
    <w:rsid w:val="24505341"/>
    <w:rsid w:val="24537643"/>
    <w:rsid w:val="245A174C"/>
    <w:rsid w:val="245D044C"/>
    <w:rsid w:val="245D6611"/>
    <w:rsid w:val="246731D2"/>
    <w:rsid w:val="246C1D14"/>
    <w:rsid w:val="247225E3"/>
    <w:rsid w:val="247A0F0C"/>
    <w:rsid w:val="247E30AD"/>
    <w:rsid w:val="24801695"/>
    <w:rsid w:val="248020CE"/>
    <w:rsid w:val="24953755"/>
    <w:rsid w:val="24AC65AF"/>
    <w:rsid w:val="24B47BCA"/>
    <w:rsid w:val="24C72FC3"/>
    <w:rsid w:val="24CD6D58"/>
    <w:rsid w:val="24DE50B5"/>
    <w:rsid w:val="24E23ED2"/>
    <w:rsid w:val="24E632A3"/>
    <w:rsid w:val="24F4407A"/>
    <w:rsid w:val="24FA708A"/>
    <w:rsid w:val="250C43CF"/>
    <w:rsid w:val="250F3BD5"/>
    <w:rsid w:val="2524104D"/>
    <w:rsid w:val="25277116"/>
    <w:rsid w:val="253B4DB0"/>
    <w:rsid w:val="253C1239"/>
    <w:rsid w:val="254E759A"/>
    <w:rsid w:val="254F542E"/>
    <w:rsid w:val="255E2702"/>
    <w:rsid w:val="257A1C65"/>
    <w:rsid w:val="25802B19"/>
    <w:rsid w:val="25852BFC"/>
    <w:rsid w:val="25872B7E"/>
    <w:rsid w:val="25A55947"/>
    <w:rsid w:val="25B15DCE"/>
    <w:rsid w:val="25BA624A"/>
    <w:rsid w:val="25BD49B0"/>
    <w:rsid w:val="25C22396"/>
    <w:rsid w:val="25E54362"/>
    <w:rsid w:val="25E6017C"/>
    <w:rsid w:val="25E76915"/>
    <w:rsid w:val="25F93AB9"/>
    <w:rsid w:val="261D29E5"/>
    <w:rsid w:val="262C0596"/>
    <w:rsid w:val="264A33E5"/>
    <w:rsid w:val="264C6F85"/>
    <w:rsid w:val="265A222B"/>
    <w:rsid w:val="265F01A2"/>
    <w:rsid w:val="26642B00"/>
    <w:rsid w:val="26693059"/>
    <w:rsid w:val="26727A86"/>
    <w:rsid w:val="267C6936"/>
    <w:rsid w:val="26842E2E"/>
    <w:rsid w:val="268A28B1"/>
    <w:rsid w:val="268F7AA4"/>
    <w:rsid w:val="26913108"/>
    <w:rsid w:val="26944AFC"/>
    <w:rsid w:val="26952067"/>
    <w:rsid w:val="269F194C"/>
    <w:rsid w:val="26A05B8F"/>
    <w:rsid w:val="26A1013F"/>
    <w:rsid w:val="26C64D57"/>
    <w:rsid w:val="26CB75CB"/>
    <w:rsid w:val="26D549CE"/>
    <w:rsid w:val="26D85812"/>
    <w:rsid w:val="26DE1D0E"/>
    <w:rsid w:val="26DF51D4"/>
    <w:rsid w:val="26E208EF"/>
    <w:rsid w:val="26F66D4A"/>
    <w:rsid w:val="26FD2F32"/>
    <w:rsid w:val="27012954"/>
    <w:rsid w:val="270B1D72"/>
    <w:rsid w:val="2714426C"/>
    <w:rsid w:val="27180BCA"/>
    <w:rsid w:val="271F639B"/>
    <w:rsid w:val="272C0AE8"/>
    <w:rsid w:val="27331A35"/>
    <w:rsid w:val="27383955"/>
    <w:rsid w:val="273840A3"/>
    <w:rsid w:val="275E2D85"/>
    <w:rsid w:val="2768203B"/>
    <w:rsid w:val="276E1B95"/>
    <w:rsid w:val="27777989"/>
    <w:rsid w:val="27792E20"/>
    <w:rsid w:val="279A7830"/>
    <w:rsid w:val="279B1299"/>
    <w:rsid w:val="27A93331"/>
    <w:rsid w:val="27B022B6"/>
    <w:rsid w:val="27BF7B39"/>
    <w:rsid w:val="27C37FCE"/>
    <w:rsid w:val="27CA7C55"/>
    <w:rsid w:val="27E27BEB"/>
    <w:rsid w:val="27E601BB"/>
    <w:rsid w:val="27EA761A"/>
    <w:rsid w:val="27EB7D78"/>
    <w:rsid w:val="27EC5962"/>
    <w:rsid w:val="28046627"/>
    <w:rsid w:val="281031FC"/>
    <w:rsid w:val="281F0111"/>
    <w:rsid w:val="282337A1"/>
    <w:rsid w:val="28314319"/>
    <w:rsid w:val="28353D60"/>
    <w:rsid w:val="283969FC"/>
    <w:rsid w:val="284F2E95"/>
    <w:rsid w:val="284F668A"/>
    <w:rsid w:val="28581838"/>
    <w:rsid w:val="285A20FF"/>
    <w:rsid w:val="285C3F98"/>
    <w:rsid w:val="28670879"/>
    <w:rsid w:val="286E1297"/>
    <w:rsid w:val="28804E78"/>
    <w:rsid w:val="289A49FE"/>
    <w:rsid w:val="289A4F03"/>
    <w:rsid w:val="28AD5598"/>
    <w:rsid w:val="28C47158"/>
    <w:rsid w:val="28CE3ADC"/>
    <w:rsid w:val="28D477AD"/>
    <w:rsid w:val="28E45EFD"/>
    <w:rsid w:val="28E46EC3"/>
    <w:rsid w:val="28EE2FC1"/>
    <w:rsid w:val="28EE766E"/>
    <w:rsid w:val="28F0474F"/>
    <w:rsid w:val="28FA28ED"/>
    <w:rsid w:val="290318BD"/>
    <w:rsid w:val="29046D85"/>
    <w:rsid w:val="29123F82"/>
    <w:rsid w:val="29167842"/>
    <w:rsid w:val="29221677"/>
    <w:rsid w:val="2928128E"/>
    <w:rsid w:val="292F5E1F"/>
    <w:rsid w:val="293D48AF"/>
    <w:rsid w:val="2949289F"/>
    <w:rsid w:val="294E496D"/>
    <w:rsid w:val="29582210"/>
    <w:rsid w:val="29591BF9"/>
    <w:rsid w:val="295D02FE"/>
    <w:rsid w:val="29647634"/>
    <w:rsid w:val="296D038D"/>
    <w:rsid w:val="296E6364"/>
    <w:rsid w:val="29773C92"/>
    <w:rsid w:val="297D2365"/>
    <w:rsid w:val="29822AE7"/>
    <w:rsid w:val="29887358"/>
    <w:rsid w:val="2989102B"/>
    <w:rsid w:val="29970896"/>
    <w:rsid w:val="29A42D37"/>
    <w:rsid w:val="29AF59FB"/>
    <w:rsid w:val="29AF60A0"/>
    <w:rsid w:val="29CA3BDF"/>
    <w:rsid w:val="29CE64F5"/>
    <w:rsid w:val="29D05C98"/>
    <w:rsid w:val="29D72764"/>
    <w:rsid w:val="29D95270"/>
    <w:rsid w:val="29DA1E65"/>
    <w:rsid w:val="29DD6FD8"/>
    <w:rsid w:val="29E0310B"/>
    <w:rsid w:val="29ED1670"/>
    <w:rsid w:val="29F52CB9"/>
    <w:rsid w:val="29FE68E4"/>
    <w:rsid w:val="2A020BDF"/>
    <w:rsid w:val="2A1332F1"/>
    <w:rsid w:val="2A1E6152"/>
    <w:rsid w:val="2A241B5A"/>
    <w:rsid w:val="2A2B3407"/>
    <w:rsid w:val="2A2C24EC"/>
    <w:rsid w:val="2A314727"/>
    <w:rsid w:val="2A325861"/>
    <w:rsid w:val="2A34554F"/>
    <w:rsid w:val="2A3F278D"/>
    <w:rsid w:val="2A4173DE"/>
    <w:rsid w:val="2A463D97"/>
    <w:rsid w:val="2A741098"/>
    <w:rsid w:val="2A7B1F98"/>
    <w:rsid w:val="2A810AE1"/>
    <w:rsid w:val="2A8F7734"/>
    <w:rsid w:val="2AC56EC4"/>
    <w:rsid w:val="2ADD2D3F"/>
    <w:rsid w:val="2AEF6B75"/>
    <w:rsid w:val="2B01031C"/>
    <w:rsid w:val="2B085253"/>
    <w:rsid w:val="2B196015"/>
    <w:rsid w:val="2B21353D"/>
    <w:rsid w:val="2B2C4FD0"/>
    <w:rsid w:val="2B59520C"/>
    <w:rsid w:val="2B64230D"/>
    <w:rsid w:val="2B6602F8"/>
    <w:rsid w:val="2B6B2E9E"/>
    <w:rsid w:val="2B817BC9"/>
    <w:rsid w:val="2BBE0429"/>
    <w:rsid w:val="2BC60C33"/>
    <w:rsid w:val="2BC92112"/>
    <w:rsid w:val="2BD024D8"/>
    <w:rsid w:val="2BD24F7B"/>
    <w:rsid w:val="2BDE4128"/>
    <w:rsid w:val="2BF85355"/>
    <w:rsid w:val="2C046AFD"/>
    <w:rsid w:val="2C0830D7"/>
    <w:rsid w:val="2C12284C"/>
    <w:rsid w:val="2C1B0119"/>
    <w:rsid w:val="2C1F6933"/>
    <w:rsid w:val="2C2F0670"/>
    <w:rsid w:val="2C346C1B"/>
    <w:rsid w:val="2C355BBA"/>
    <w:rsid w:val="2C4577B2"/>
    <w:rsid w:val="2C573893"/>
    <w:rsid w:val="2C8157E0"/>
    <w:rsid w:val="2C8A043E"/>
    <w:rsid w:val="2CA60D7B"/>
    <w:rsid w:val="2CAB1CCB"/>
    <w:rsid w:val="2CAD1739"/>
    <w:rsid w:val="2CC72A60"/>
    <w:rsid w:val="2CD1645F"/>
    <w:rsid w:val="2CD176DE"/>
    <w:rsid w:val="2CF32908"/>
    <w:rsid w:val="2D003CA7"/>
    <w:rsid w:val="2D0B071B"/>
    <w:rsid w:val="2D201937"/>
    <w:rsid w:val="2D2040E5"/>
    <w:rsid w:val="2D2050D5"/>
    <w:rsid w:val="2D242592"/>
    <w:rsid w:val="2D28096C"/>
    <w:rsid w:val="2D2A05DD"/>
    <w:rsid w:val="2D2C7D6F"/>
    <w:rsid w:val="2D3D4846"/>
    <w:rsid w:val="2D3F0EFE"/>
    <w:rsid w:val="2D4C0DE7"/>
    <w:rsid w:val="2D506CDE"/>
    <w:rsid w:val="2D5A5B34"/>
    <w:rsid w:val="2D921A43"/>
    <w:rsid w:val="2D935EA0"/>
    <w:rsid w:val="2D9E3F9F"/>
    <w:rsid w:val="2DC73591"/>
    <w:rsid w:val="2DF43DE8"/>
    <w:rsid w:val="2E001E89"/>
    <w:rsid w:val="2E0C179B"/>
    <w:rsid w:val="2E0E6251"/>
    <w:rsid w:val="2E2379C4"/>
    <w:rsid w:val="2E2E5836"/>
    <w:rsid w:val="2E351EDB"/>
    <w:rsid w:val="2E353250"/>
    <w:rsid w:val="2E4A561E"/>
    <w:rsid w:val="2E4B5DD9"/>
    <w:rsid w:val="2E816774"/>
    <w:rsid w:val="2E99419E"/>
    <w:rsid w:val="2E9D0A79"/>
    <w:rsid w:val="2EA557CB"/>
    <w:rsid w:val="2EA577C7"/>
    <w:rsid w:val="2EB175E5"/>
    <w:rsid w:val="2EBC000D"/>
    <w:rsid w:val="2EBC350B"/>
    <w:rsid w:val="2EC2020B"/>
    <w:rsid w:val="2EEB41F8"/>
    <w:rsid w:val="2EF84502"/>
    <w:rsid w:val="2F0A3395"/>
    <w:rsid w:val="2F0C4360"/>
    <w:rsid w:val="2F1A21E7"/>
    <w:rsid w:val="2F220D58"/>
    <w:rsid w:val="2F2F177C"/>
    <w:rsid w:val="2F3A2C00"/>
    <w:rsid w:val="2F450FBE"/>
    <w:rsid w:val="2F4A4A05"/>
    <w:rsid w:val="2F4B456F"/>
    <w:rsid w:val="2F63622D"/>
    <w:rsid w:val="2F676EFE"/>
    <w:rsid w:val="2F6A7497"/>
    <w:rsid w:val="2F7313AD"/>
    <w:rsid w:val="2F7956C5"/>
    <w:rsid w:val="2F7F1FB2"/>
    <w:rsid w:val="2FA23712"/>
    <w:rsid w:val="2FC21686"/>
    <w:rsid w:val="2FC32D7D"/>
    <w:rsid w:val="2FC442BF"/>
    <w:rsid w:val="2FD9406A"/>
    <w:rsid w:val="2FDD378F"/>
    <w:rsid w:val="2FE943B0"/>
    <w:rsid w:val="2FF2599A"/>
    <w:rsid w:val="2FF27D72"/>
    <w:rsid w:val="2FF63297"/>
    <w:rsid w:val="2FFF53EC"/>
    <w:rsid w:val="30070614"/>
    <w:rsid w:val="300B4A2E"/>
    <w:rsid w:val="300E122B"/>
    <w:rsid w:val="30223962"/>
    <w:rsid w:val="3029327F"/>
    <w:rsid w:val="303A5A5F"/>
    <w:rsid w:val="30401446"/>
    <w:rsid w:val="304F463E"/>
    <w:rsid w:val="305916B1"/>
    <w:rsid w:val="30653BAD"/>
    <w:rsid w:val="30665680"/>
    <w:rsid w:val="30834426"/>
    <w:rsid w:val="30945470"/>
    <w:rsid w:val="3097637C"/>
    <w:rsid w:val="309C25BE"/>
    <w:rsid w:val="309F116A"/>
    <w:rsid w:val="30A67174"/>
    <w:rsid w:val="30B41D8B"/>
    <w:rsid w:val="30B80F66"/>
    <w:rsid w:val="30BB0A7F"/>
    <w:rsid w:val="30BF747B"/>
    <w:rsid w:val="30C51174"/>
    <w:rsid w:val="30CB0ADB"/>
    <w:rsid w:val="30CB1FBB"/>
    <w:rsid w:val="30D817B8"/>
    <w:rsid w:val="30EF6365"/>
    <w:rsid w:val="30F35981"/>
    <w:rsid w:val="30F74BD9"/>
    <w:rsid w:val="30FE1316"/>
    <w:rsid w:val="310B0BFF"/>
    <w:rsid w:val="310E1A06"/>
    <w:rsid w:val="311669DA"/>
    <w:rsid w:val="312A5252"/>
    <w:rsid w:val="312B145B"/>
    <w:rsid w:val="313112DC"/>
    <w:rsid w:val="314B29C9"/>
    <w:rsid w:val="314C7A17"/>
    <w:rsid w:val="31502B6E"/>
    <w:rsid w:val="31583BE7"/>
    <w:rsid w:val="31613BC7"/>
    <w:rsid w:val="3178088A"/>
    <w:rsid w:val="317E5D44"/>
    <w:rsid w:val="318160E0"/>
    <w:rsid w:val="318F33D0"/>
    <w:rsid w:val="319F0ADE"/>
    <w:rsid w:val="31A55634"/>
    <w:rsid w:val="31AA01F9"/>
    <w:rsid w:val="31AF780F"/>
    <w:rsid w:val="31E05431"/>
    <w:rsid w:val="31ED3E82"/>
    <w:rsid w:val="31F212A4"/>
    <w:rsid w:val="31F84A56"/>
    <w:rsid w:val="32082D21"/>
    <w:rsid w:val="320C1E35"/>
    <w:rsid w:val="320E0419"/>
    <w:rsid w:val="321F4977"/>
    <w:rsid w:val="321F7B06"/>
    <w:rsid w:val="32263239"/>
    <w:rsid w:val="322C5D3D"/>
    <w:rsid w:val="32313E32"/>
    <w:rsid w:val="32356DCF"/>
    <w:rsid w:val="3237322A"/>
    <w:rsid w:val="32392405"/>
    <w:rsid w:val="325E53D9"/>
    <w:rsid w:val="327A3494"/>
    <w:rsid w:val="32884455"/>
    <w:rsid w:val="32911FF5"/>
    <w:rsid w:val="329476DC"/>
    <w:rsid w:val="32A03C3C"/>
    <w:rsid w:val="32AD442C"/>
    <w:rsid w:val="32B73B7C"/>
    <w:rsid w:val="32B86FF1"/>
    <w:rsid w:val="32B87E8A"/>
    <w:rsid w:val="32BD1EF1"/>
    <w:rsid w:val="32C145F4"/>
    <w:rsid w:val="32CA1CE1"/>
    <w:rsid w:val="32CB67F9"/>
    <w:rsid w:val="32D4085D"/>
    <w:rsid w:val="32DE57F4"/>
    <w:rsid w:val="33037439"/>
    <w:rsid w:val="33166FE8"/>
    <w:rsid w:val="331E5EF6"/>
    <w:rsid w:val="332B313C"/>
    <w:rsid w:val="33332167"/>
    <w:rsid w:val="33377084"/>
    <w:rsid w:val="33397DB5"/>
    <w:rsid w:val="33402A5A"/>
    <w:rsid w:val="33494914"/>
    <w:rsid w:val="334B083F"/>
    <w:rsid w:val="334E3600"/>
    <w:rsid w:val="335001F7"/>
    <w:rsid w:val="33557AA8"/>
    <w:rsid w:val="335A0ABD"/>
    <w:rsid w:val="3363506F"/>
    <w:rsid w:val="3365071C"/>
    <w:rsid w:val="336801AA"/>
    <w:rsid w:val="336C23D4"/>
    <w:rsid w:val="336E27D9"/>
    <w:rsid w:val="336E49CA"/>
    <w:rsid w:val="33705E5D"/>
    <w:rsid w:val="33751518"/>
    <w:rsid w:val="33764C53"/>
    <w:rsid w:val="337C2FCC"/>
    <w:rsid w:val="337D6DD7"/>
    <w:rsid w:val="339B4888"/>
    <w:rsid w:val="33B364B4"/>
    <w:rsid w:val="33B52F0A"/>
    <w:rsid w:val="33D93CA0"/>
    <w:rsid w:val="33DC364F"/>
    <w:rsid w:val="33E90035"/>
    <w:rsid w:val="33F04231"/>
    <w:rsid w:val="33F13DB6"/>
    <w:rsid w:val="33F217D5"/>
    <w:rsid w:val="33FF60EA"/>
    <w:rsid w:val="341008AB"/>
    <w:rsid w:val="341E1F31"/>
    <w:rsid w:val="34204377"/>
    <w:rsid w:val="34243260"/>
    <w:rsid w:val="342C17B4"/>
    <w:rsid w:val="34324152"/>
    <w:rsid w:val="345B5D87"/>
    <w:rsid w:val="346D4511"/>
    <w:rsid w:val="346E633D"/>
    <w:rsid w:val="34796F95"/>
    <w:rsid w:val="34955054"/>
    <w:rsid w:val="349E5337"/>
    <w:rsid w:val="34A256D7"/>
    <w:rsid w:val="34B85CBF"/>
    <w:rsid w:val="34BB2006"/>
    <w:rsid w:val="34C01759"/>
    <w:rsid w:val="34CB4D8E"/>
    <w:rsid w:val="34D070C7"/>
    <w:rsid w:val="34D8190B"/>
    <w:rsid w:val="34E729F9"/>
    <w:rsid w:val="34E76907"/>
    <w:rsid w:val="34E908AF"/>
    <w:rsid w:val="34EA26BB"/>
    <w:rsid w:val="34ED589F"/>
    <w:rsid w:val="34FB0B7D"/>
    <w:rsid w:val="35096E48"/>
    <w:rsid w:val="350B08BC"/>
    <w:rsid w:val="35194C73"/>
    <w:rsid w:val="352C3D36"/>
    <w:rsid w:val="35364CD9"/>
    <w:rsid w:val="353B2998"/>
    <w:rsid w:val="35416BD2"/>
    <w:rsid w:val="35470988"/>
    <w:rsid w:val="3547282F"/>
    <w:rsid w:val="35550E0F"/>
    <w:rsid w:val="355510FD"/>
    <w:rsid w:val="355B0AC7"/>
    <w:rsid w:val="35661A89"/>
    <w:rsid w:val="357A2E97"/>
    <w:rsid w:val="357C6741"/>
    <w:rsid w:val="35A50559"/>
    <w:rsid w:val="35A55E01"/>
    <w:rsid w:val="35A665E3"/>
    <w:rsid w:val="35AB3FBA"/>
    <w:rsid w:val="35D50982"/>
    <w:rsid w:val="35D5205B"/>
    <w:rsid w:val="35D53A7A"/>
    <w:rsid w:val="35D768C7"/>
    <w:rsid w:val="35E75D1E"/>
    <w:rsid w:val="35EE5A6F"/>
    <w:rsid w:val="35F55359"/>
    <w:rsid w:val="35F749F3"/>
    <w:rsid w:val="35F851DD"/>
    <w:rsid w:val="3602122B"/>
    <w:rsid w:val="36040041"/>
    <w:rsid w:val="360A35AA"/>
    <w:rsid w:val="3611738B"/>
    <w:rsid w:val="36215B94"/>
    <w:rsid w:val="3626446B"/>
    <w:rsid w:val="362709D2"/>
    <w:rsid w:val="363928EB"/>
    <w:rsid w:val="367D4CB6"/>
    <w:rsid w:val="36827529"/>
    <w:rsid w:val="3687173A"/>
    <w:rsid w:val="36A07FDA"/>
    <w:rsid w:val="36A1505D"/>
    <w:rsid w:val="36A713DA"/>
    <w:rsid w:val="36AB261A"/>
    <w:rsid w:val="36AF4C83"/>
    <w:rsid w:val="36B51AE3"/>
    <w:rsid w:val="36C11FE0"/>
    <w:rsid w:val="36D01509"/>
    <w:rsid w:val="36EC1462"/>
    <w:rsid w:val="36F7710A"/>
    <w:rsid w:val="3722679F"/>
    <w:rsid w:val="37396E24"/>
    <w:rsid w:val="373A3CA1"/>
    <w:rsid w:val="373D35B2"/>
    <w:rsid w:val="374D1234"/>
    <w:rsid w:val="37556618"/>
    <w:rsid w:val="375D58F8"/>
    <w:rsid w:val="375E15C3"/>
    <w:rsid w:val="376B0E41"/>
    <w:rsid w:val="37753B20"/>
    <w:rsid w:val="378A4AA5"/>
    <w:rsid w:val="378B183B"/>
    <w:rsid w:val="37905332"/>
    <w:rsid w:val="379601E3"/>
    <w:rsid w:val="37973B43"/>
    <w:rsid w:val="379D5AEF"/>
    <w:rsid w:val="37A618AA"/>
    <w:rsid w:val="37B5384B"/>
    <w:rsid w:val="37D21352"/>
    <w:rsid w:val="37EA1560"/>
    <w:rsid w:val="37F456F3"/>
    <w:rsid w:val="37FE0EC3"/>
    <w:rsid w:val="380642FE"/>
    <w:rsid w:val="3809272A"/>
    <w:rsid w:val="38164C49"/>
    <w:rsid w:val="382B0AD7"/>
    <w:rsid w:val="38423F8B"/>
    <w:rsid w:val="38457143"/>
    <w:rsid w:val="38474DBE"/>
    <w:rsid w:val="384B51E2"/>
    <w:rsid w:val="385378E2"/>
    <w:rsid w:val="38550173"/>
    <w:rsid w:val="3861405C"/>
    <w:rsid w:val="3862095B"/>
    <w:rsid w:val="38631139"/>
    <w:rsid w:val="38762974"/>
    <w:rsid w:val="38794049"/>
    <w:rsid w:val="38806004"/>
    <w:rsid w:val="38852599"/>
    <w:rsid w:val="38866415"/>
    <w:rsid w:val="3897183A"/>
    <w:rsid w:val="38A13E80"/>
    <w:rsid w:val="38A403FE"/>
    <w:rsid w:val="38A90EA0"/>
    <w:rsid w:val="38B6474B"/>
    <w:rsid w:val="38BB7EF1"/>
    <w:rsid w:val="38BC2D1E"/>
    <w:rsid w:val="38CA7914"/>
    <w:rsid w:val="38D23AD7"/>
    <w:rsid w:val="38D46BA3"/>
    <w:rsid w:val="38DE2F1D"/>
    <w:rsid w:val="38E32D15"/>
    <w:rsid w:val="38F07D3B"/>
    <w:rsid w:val="38F225C3"/>
    <w:rsid w:val="38F4568C"/>
    <w:rsid w:val="38F54ED9"/>
    <w:rsid w:val="38F81382"/>
    <w:rsid w:val="38FA4EBA"/>
    <w:rsid w:val="38FF72D8"/>
    <w:rsid w:val="390F6F83"/>
    <w:rsid w:val="39107CAC"/>
    <w:rsid w:val="391C418D"/>
    <w:rsid w:val="391E5854"/>
    <w:rsid w:val="39296BD6"/>
    <w:rsid w:val="393227CF"/>
    <w:rsid w:val="394D2FF5"/>
    <w:rsid w:val="39523CDE"/>
    <w:rsid w:val="3957631F"/>
    <w:rsid w:val="3969374C"/>
    <w:rsid w:val="39894395"/>
    <w:rsid w:val="398C19B6"/>
    <w:rsid w:val="39A80307"/>
    <w:rsid w:val="39AB5E4A"/>
    <w:rsid w:val="39BA460E"/>
    <w:rsid w:val="39BE4E29"/>
    <w:rsid w:val="39C9570E"/>
    <w:rsid w:val="39C967B8"/>
    <w:rsid w:val="39C9767D"/>
    <w:rsid w:val="39C97FD2"/>
    <w:rsid w:val="39D45F7F"/>
    <w:rsid w:val="39EB3DBF"/>
    <w:rsid w:val="39F3532A"/>
    <w:rsid w:val="39F465E5"/>
    <w:rsid w:val="3A037EA5"/>
    <w:rsid w:val="3A06329E"/>
    <w:rsid w:val="3A0A7CFD"/>
    <w:rsid w:val="3A1A0380"/>
    <w:rsid w:val="3A2A4AC6"/>
    <w:rsid w:val="3A2C23AE"/>
    <w:rsid w:val="3A346405"/>
    <w:rsid w:val="3A396C85"/>
    <w:rsid w:val="3A3D5CA7"/>
    <w:rsid w:val="3A60628D"/>
    <w:rsid w:val="3A654C1E"/>
    <w:rsid w:val="3A6A253D"/>
    <w:rsid w:val="3A6A70F3"/>
    <w:rsid w:val="3A7D740A"/>
    <w:rsid w:val="3A7E1F6E"/>
    <w:rsid w:val="3A863327"/>
    <w:rsid w:val="3A9E17ED"/>
    <w:rsid w:val="3AA310F1"/>
    <w:rsid w:val="3AA72C5C"/>
    <w:rsid w:val="3AA876BF"/>
    <w:rsid w:val="3AA91F15"/>
    <w:rsid w:val="3AAE3480"/>
    <w:rsid w:val="3AB10C19"/>
    <w:rsid w:val="3AB27B91"/>
    <w:rsid w:val="3AE12DB0"/>
    <w:rsid w:val="3AE945C1"/>
    <w:rsid w:val="3B0B0331"/>
    <w:rsid w:val="3B156241"/>
    <w:rsid w:val="3B1B38FB"/>
    <w:rsid w:val="3B2C044D"/>
    <w:rsid w:val="3B3A32BA"/>
    <w:rsid w:val="3B46250D"/>
    <w:rsid w:val="3B4813D4"/>
    <w:rsid w:val="3B481C0A"/>
    <w:rsid w:val="3B4A4785"/>
    <w:rsid w:val="3B524EAB"/>
    <w:rsid w:val="3B5A60DE"/>
    <w:rsid w:val="3B69548F"/>
    <w:rsid w:val="3BAD14AA"/>
    <w:rsid w:val="3BAF2337"/>
    <w:rsid w:val="3BCF5EA7"/>
    <w:rsid w:val="3BD131E3"/>
    <w:rsid w:val="3BD901E0"/>
    <w:rsid w:val="3BE146B1"/>
    <w:rsid w:val="3BE83351"/>
    <w:rsid w:val="3C107D3C"/>
    <w:rsid w:val="3C174537"/>
    <w:rsid w:val="3C2A55CB"/>
    <w:rsid w:val="3C396A62"/>
    <w:rsid w:val="3C5806BB"/>
    <w:rsid w:val="3C596084"/>
    <w:rsid w:val="3C646427"/>
    <w:rsid w:val="3C646F65"/>
    <w:rsid w:val="3C797B7F"/>
    <w:rsid w:val="3C84191D"/>
    <w:rsid w:val="3C852F5B"/>
    <w:rsid w:val="3C8D04B4"/>
    <w:rsid w:val="3C9C5B4C"/>
    <w:rsid w:val="3C9E254B"/>
    <w:rsid w:val="3CA61ACB"/>
    <w:rsid w:val="3CA73BBA"/>
    <w:rsid w:val="3CA940DE"/>
    <w:rsid w:val="3CB154BC"/>
    <w:rsid w:val="3CBF2489"/>
    <w:rsid w:val="3CD54B2E"/>
    <w:rsid w:val="3CED7571"/>
    <w:rsid w:val="3CEF0D6A"/>
    <w:rsid w:val="3CF30AB7"/>
    <w:rsid w:val="3D051401"/>
    <w:rsid w:val="3D0F6B63"/>
    <w:rsid w:val="3D1A7AF1"/>
    <w:rsid w:val="3D1E069A"/>
    <w:rsid w:val="3D2017CF"/>
    <w:rsid w:val="3D2E2F47"/>
    <w:rsid w:val="3D3450E7"/>
    <w:rsid w:val="3D39449B"/>
    <w:rsid w:val="3D3D2661"/>
    <w:rsid w:val="3D3F1544"/>
    <w:rsid w:val="3D566C43"/>
    <w:rsid w:val="3D5850CD"/>
    <w:rsid w:val="3D656D04"/>
    <w:rsid w:val="3D6E3523"/>
    <w:rsid w:val="3D725B4E"/>
    <w:rsid w:val="3D800C38"/>
    <w:rsid w:val="3D8021FC"/>
    <w:rsid w:val="3D833398"/>
    <w:rsid w:val="3D85487C"/>
    <w:rsid w:val="3D88304E"/>
    <w:rsid w:val="3D94437D"/>
    <w:rsid w:val="3DAC02D5"/>
    <w:rsid w:val="3DB90871"/>
    <w:rsid w:val="3DBB59BF"/>
    <w:rsid w:val="3DC255F5"/>
    <w:rsid w:val="3DD40862"/>
    <w:rsid w:val="3DD86B90"/>
    <w:rsid w:val="3DDA7C4F"/>
    <w:rsid w:val="3E16318F"/>
    <w:rsid w:val="3E180445"/>
    <w:rsid w:val="3E193BCB"/>
    <w:rsid w:val="3E230D05"/>
    <w:rsid w:val="3E366584"/>
    <w:rsid w:val="3E3C277D"/>
    <w:rsid w:val="3E616CAA"/>
    <w:rsid w:val="3E617D05"/>
    <w:rsid w:val="3E6E56CF"/>
    <w:rsid w:val="3E7056D0"/>
    <w:rsid w:val="3E767DA9"/>
    <w:rsid w:val="3E9A6DCA"/>
    <w:rsid w:val="3E9B07FB"/>
    <w:rsid w:val="3EA169D2"/>
    <w:rsid w:val="3EA53918"/>
    <w:rsid w:val="3ECB787A"/>
    <w:rsid w:val="3EDB2D8F"/>
    <w:rsid w:val="3EDC0D45"/>
    <w:rsid w:val="3EF1680C"/>
    <w:rsid w:val="3F0635E8"/>
    <w:rsid w:val="3F093069"/>
    <w:rsid w:val="3F1B0AFD"/>
    <w:rsid w:val="3F320701"/>
    <w:rsid w:val="3F3F2DC8"/>
    <w:rsid w:val="3F416BCA"/>
    <w:rsid w:val="3F420982"/>
    <w:rsid w:val="3F500701"/>
    <w:rsid w:val="3F51256A"/>
    <w:rsid w:val="3F547253"/>
    <w:rsid w:val="3F5B1C44"/>
    <w:rsid w:val="3F5C1D27"/>
    <w:rsid w:val="3F5F3D98"/>
    <w:rsid w:val="3F7015A4"/>
    <w:rsid w:val="3F8E4483"/>
    <w:rsid w:val="3F961E30"/>
    <w:rsid w:val="3F9C5ECE"/>
    <w:rsid w:val="3FA67780"/>
    <w:rsid w:val="3FA743CB"/>
    <w:rsid w:val="3FA76F49"/>
    <w:rsid w:val="3FBF6057"/>
    <w:rsid w:val="3FCF29A0"/>
    <w:rsid w:val="3FCF50DE"/>
    <w:rsid w:val="3FD81085"/>
    <w:rsid w:val="3FE52534"/>
    <w:rsid w:val="3FEA079A"/>
    <w:rsid w:val="3FF04850"/>
    <w:rsid w:val="4007482C"/>
    <w:rsid w:val="400F111F"/>
    <w:rsid w:val="40144AB0"/>
    <w:rsid w:val="40153D7E"/>
    <w:rsid w:val="401921FD"/>
    <w:rsid w:val="401940D7"/>
    <w:rsid w:val="402C21AC"/>
    <w:rsid w:val="40322F87"/>
    <w:rsid w:val="4033559C"/>
    <w:rsid w:val="40456D9B"/>
    <w:rsid w:val="40614505"/>
    <w:rsid w:val="406266B6"/>
    <w:rsid w:val="406626E9"/>
    <w:rsid w:val="4077042A"/>
    <w:rsid w:val="40770D3D"/>
    <w:rsid w:val="407D6126"/>
    <w:rsid w:val="408263B0"/>
    <w:rsid w:val="40866E8C"/>
    <w:rsid w:val="409A76CA"/>
    <w:rsid w:val="40A66EBF"/>
    <w:rsid w:val="40D93813"/>
    <w:rsid w:val="40E87E3D"/>
    <w:rsid w:val="40F82EF5"/>
    <w:rsid w:val="41031840"/>
    <w:rsid w:val="41114143"/>
    <w:rsid w:val="411413B2"/>
    <w:rsid w:val="41161432"/>
    <w:rsid w:val="41167CDC"/>
    <w:rsid w:val="412A667A"/>
    <w:rsid w:val="413E6D05"/>
    <w:rsid w:val="41492D57"/>
    <w:rsid w:val="41496132"/>
    <w:rsid w:val="414C1224"/>
    <w:rsid w:val="41701454"/>
    <w:rsid w:val="41737904"/>
    <w:rsid w:val="417864D5"/>
    <w:rsid w:val="4190675D"/>
    <w:rsid w:val="419D599D"/>
    <w:rsid w:val="41CD6840"/>
    <w:rsid w:val="41D741A0"/>
    <w:rsid w:val="41E95355"/>
    <w:rsid w:val="41ED06DA"/>
    <w:rsid w:val="41EE538C"/>
    <w:rsid w:val="41FC5AD4"/>
    <w:rsid w:val="42092601"/>
    <w:rsid w:val="420A76C9"/>
    <w:rsid w:val="420B42DE"/>
    <w:rsid w:val="421506C6"/>
    <w:rsid w:val="4216129B"/>
    <w:rsid w:val="42167848"/>
    <w:rsid w:val="423A1B5B"/>
    <w:rsid w:val="425A6E77"/>
    <w:rsid w:val="42710DD9"/>
    <w:rsid w:val="42725469"/>
    <w:rsid w:val="42766862"/>
    <w:rsid w:val="428A22C5"/>
    <w:rsid w:val="42912804"/>
    <w:rsid w:val="42974383"/>
    <w:rsid w:val="429E574E"/>
    <w:rsid w:val="42A170BE"/>
    <w:rsid w:val="42AE70CD"/>
    <w:rsid w:val="42B41F51"/>
    <w:rsid w:val="42B67DAA"/>
    <w:rsid w:val="42C075DC"/>
    <w:rsid w:val="42CA711D"/>
    <w:rsid w:val="42EC6C7B"/>
    <w:rsid w:val="42F92727"/>
    <w:rsid w:val="43046012"/>
    <w:rsid w:val="43047973"/>
    <w:rsid w:val="431E74D1"/>
    <w:rsid w:val="43284A15"/>
    <w:rsid w:val="43296E67"/>
    <w:rsid w:val="432D1FF7"/>
    <w:rsid w:val="433345F6"/>
    <w:rsid w:val="433473A0"/>
    <w:rsid w:val="435D5D82"/>
    <w:rsid w:val="436D07FF"/>
    <w:rsid w:val="436F1F2B"/>
    <w:rsid w:val="43703DCB"/>
    <w:rsid w:val="43737CE2"/>
    <w:rsid w:val="43843D0C"/>
    <w:rsid w:val="438C72E8"/>
    <w:rsid w:val="439D2CB8"/>
    <w:rsid w:val="43A03880"/>
    <w:rsid w:val="43A20D86"/>
    <w:rsid w:val="43A63C70"/>
    <w:rsid w:val="43AF3BD2"/>
    <w:rsid w:val="43B36293"/>
    <w:rsid w:val="43B4163C"/>
    <w:rsid w:val="43D267BC"/>
    <w:rsid w:val="43EC0535"/>
    <w:rsid w:val="43F54B04"/>
    <w:rsid w:val="43F642E2"/>
    <w:rsid w:val="4400510E"/>
    <w:rsid w:val="441469C1"/>
    <w:rsid w:val="4422376C"/>
    <w:rsid w:val="44235598"/>
    <w:rsid w:val="442D4239"/>
    <w:rsid w:val="44304B56"/>
    <w:rsid w:val="443D6E3F"/>
    <w:rsid w:val="44430AE5"/>
    <w:rsid w:val="444F338A"/>
    <w:rsid w:val="44513D6E"/>
    <w:rsid w:val="445E7605"/>
    <w:rsid w:val="446B77F1"/>
    <w:rsid w:val="44744BD5"/>
    <w:rsid w:val="447828CE"/>
    <w:rsid w:val="447C4F7E"/>
    <w:rsid w:val="44833A83"/>
    <w:rsid w:val="44885060"/>
    <w:rsid w:val="449004C3"/>
    <w:rsid w:val="44983FA9"/>
    <w:rsid w:val="44A02AC7"/>
    <w:rsid w:val="44AB5149"/>
    <w:rsid w:val="44B61D8A"/>
    <w:rsid w:val="44BE779F"/>
    <w:rsid w:val="44D75C80"/>
    <w:rsid w:val="44E46CAA"/>
    <w:rsid w:val="44E55501"/>
    <w:rsid w:val="44FC55C2"/>
    <w:rsid w:val="45067F68"/>
    <w:rsid w:val="45090193"/>
    <w:rsid w:val="451133EF"/>
    <w:rsid w:val="45153D5A"/>
    <w:rsid w:val="45187657"/>
    <w:rsid w:val="451D2959"/>
    <w:rsid w:val="45236CB5"/>
    <w:rsid w:val="452415D2"/>
    <w:rsid w:val="452707A9"/>
    <w:rsid w:val="45320CB2"/>
    <w:rsid w:val="45347DCB"/>
    <w:rsid w:val="453973C1"/>
    <w:rsid w:val="454B5506"/>
    <w:rsid w:val="45585C47"/>
    <w:rsid w:val="456463DC"/>
    <w:rsid w:val="456769BA"/>
    <w:rsid w:val="456C4EDC"/>
    <w:rsid w:val="456D3FC7"/>
    <w:rsid w:val="456F47C6"/>
    <w:rsid w:val="4571321F"/>
    <w:rsid w:val="457176A2"/>
    <w:rsid w:val="45852F00"/>
    <w:rsid w:val="458E6543"/>
    <w:rsid w:val="45995520"/>
    <w:rsid w:val="45BA0156"/>
    <w:rsid w:val="45C211C5"/>
    <w:rsid w:val="45C26DE6"/>
    <w:rsid w:val="45D853E8"/>
    <w:rsid w:val="45DF65B3"/>
    <w:rsid w:val="45FB3744"/>
    <w:rsid w:val="45FD6038"/>
    <w:rsid w:val="460B46EF"/>
    <w:rsid w:val="460E667B"/>
    <w:rsid w:val="4620109F"/>
    <w:rsid w:val="4641585D"/>
    <w:rsid w:val="46416BC5"/>
    <w:rsid w:val="46457A92"/>
    <w:rsid w:val="464D5ED4"/>
    <w:rsid w:val="465109CC"/>
    <w:rsid w:val="46585F60"/>
    <w:rsid w:val="465C3520"/>
    <w:rsid w:val="465E0BDB"/>
    <w:rsid w:val="466266B9"/>
    <w:rsid w:val="466623FF"/>
    <w:rsid w:val="46737FBE"/>
    <w:rsid w:val="4688511E"/>
    <w:rsid w:val="4690471D"/>
    <w:rsid w:val="46955EC8"/>
    <w:rsid w:val="469F0B01"/>
    <w:rsid w:val="46A178B9"/>
    <w:rsid w:val="46A45FB8"/>
    <w:rsid w:val="46B64D94"/>
    <w:rsid w:val="46CE36CB"/>
    <w:rsid w:val="46DA1E4E"/>
    <w:rsid w:val="46DF59FF"/>
    <w:rsid w:val="46E57C2F"/>
    <w:rsid w:val="46EA0D97"/>
    <w:rsid w:val="46F14EB6"/>
    <w:rsid w:val="46F74E39"/>
    <w:rsid w:val="46F872BC"/>
    <w:rsid w:val="46FC7788"/>
    <w:rsid w:val="470875FE"/>
    <w:rsid w:val="470F53D8"/>
    <w:rsid w:val="47130970"/>
    <w:rsid w:val="47246643"/>
    <w:rsid w:val="47301B40"/>
    <w:rsid w:val="4744770A"/>
    <w:rsid w:val="474D3999"/>
    <w:rsid w:val="4752098A"/>
    <w:rsid w:val="4761084D"/>
    <w:rsid w:val="47710722"/>
    <w:rsid w:val="477612F0"/>
    <w:rsid w:val="477B7A11"/>
    <w:rsid w:val="477F687A"/>
    <w:rsid w:val="47806121"/>
    <w:rsid w:val="47887CE3"/>
    <w:rsid w:val="479E0585"/>
    <w:rsid w:val="47AA3746"/>
    <w:rsid w:val="47AD7D36"/>
    <w:rsid w:val="47C506BA"/>
    <w:rsid w:val="47CB064B"/>
    <w:rsid w:val="47D32B70"/>
    <w:rsid w:val="47E35AB7"/>
    <w:rsid w:val="47EA0E36"/>
    <w:rsid w:val="47F36800"/>
    <w:rsid w:val="47FF515D"/>
    <w:rsid w:val="48074DF7"/>
    <w:rsid w:val="48127CB6"/>
    <w:rsid w:val="48156596"/>
    <w:rsid w:val="481A5F03"/>
    <w:rsid w:val="482233F2"/>
    <w:rsid w:val="48232AEC"/>
    <w:rsid w:val="484E7B6C"/>
    <w:rsid w:val="48534394"/>
    <w:rsid w:val="48575BE8"/>
    <w:rsid w:val="485D33C5"/>
    <w:rsid w:val="48601BE0"/>
    <w:rsid w:val="486079F8"/>
    <w:rsid w:val="486162C7"/>
    <w:rsid w:val="48686501"/>
    <w:rsid w:val="487044DB"/>
    <w:rsid w:val="487F3D3C"/>
    <w:rsid w:val="48826C22"/>
    <w:rsid w:val="48895D12"/>
    <w:rsid w:val="488A77DC"/>
    <w:rsid w:val="48A16A3A"/>
    <w:rsid w:val="48A52EB0"/>
    <w:rsid w:val="48B04884"/>
    <w:rsid w:val="48BF290B"/>
    <w:rsid w:val="48C33D32"/>
    <w:rsid w:val="48C36C57"/>
    <w:rsid w:val="48CB3F82"/>
    <w:rsid w:val="48CE4351"/>
    <w:rsid w:val="48D22D6B"/>
    <w:rsid w:val="48DC34D0"/>
    <w:rsid w:val="48DF2B32"/>
    <w:rsid w:val="48E34552"/>
    <w:rsid w:val="48E97C67"/>
    <w:rsid w:val="48EA0540"/>
    <w:rsid w:val="48F22335"/>
    <w:rsid w:val="48F8269F"/>
    <w:rsid w:val="48FC6E47"/>
    <w:rsid w:val="49246241"/>
    <w:rsid w:val="492F5A64"/>
    <w:rsid w:val="49392E53"/>
    <w:rsid w:val="493A4781"/>
    <w:rsid w:val="495B1606"/>
    <w:rsid w:val="49657EF5"/>
    <w:rsid w:val="49664689"/>
    <w:rsid w:val="49687A06"/>
    <w:rsid w:val="496A567D"/>
    <w:rsid w:val="496B7426"/>
    <w:rsid w:val="496C2C1B"/>
    <w:rsid w:val="49702D39"/>
    <w:rsid w:val="49764175"/>
    <w:rsid w:val="497756D0"/>
    <w:rsid w:val="49831006"/>
    <w:rsid w:val="49862464"/>
    <w:rsid w:val="49865443"/>
    <w:rsid w:val="498B6570"/>
    <w:rsid w:val="498D6117"/>
    <w:rsid w:val="498F159B"/>
    <w:rsid w:val="49951BFC"/>
    <w:rsid w:val="49A13F76"/>
    <w:rsid w:val="49B358F0"/>
    <w:rsid w:val="49B43EF4"/>
    <w:rsid w:val="49B52B02"/>
    <w:rsid w:val="49CD53F6"/>
    <w:rsid w:val="49E90C74"/>
    <w:rsid w:val="4A0E681B"/>
    <w:rsid w:val="4A1937B5"/>
    <w:rsid w:val="4A207DAE"/>
    <w:rsid w:val="4A2B5E66"/>
    <w:rsid w:val="4A3B6D11"/>
    <w:rsid w:val="4A4B218F"/>
    <w:rsid w:val="4A4C1990"/>
    <w:rsid w:val="4A4D6D22"/>
    <w:rsid w:val="4A550F17"/>
    <w:rsid w:val="4A582809"/>
    <w:rsid w:val="4A5A2D8D"/>
    <w:rsid w:val="4A5E074B"/>
    <w:rsid w:val="4A62651E"/>
    <w:rsid w:val="4A6A79F1"/>
    <w:rsid w:val="4A801F86"/>
    <w:rsid w:val="4A8616C5"/>
    <w:rsid w:val="4A8D7A56"/>
    <w:rsid w:val="4A910750"/>
    <w:rsid w:val="4AA84A92"/>
    <w:rsid w:val="4AB25A9F"/>
    <w:rsid w:val="4AB656BC"/>
    <w:rsid w:val="4AC43EEC"/>
    <w:rsid w:val="4AC63FD9"/>
    <w:rsid w:val="4ADB0529"/>
    <w:rsid w:val="4AEC3A06"/>
    <w:rsid w:val="4AF311D6"/>
    <w:rsid w:val="4B085CC0"/>
    <w:rsid w:val="4B11204E"/>
    <w:rsid w:val="4B156EE6"/>
    <w:rsid w:val="4B1A5820"/>
    <w:rsid w:val="4B1C0509"/>
    <w:rsid w:val="4B321DB4"/>
    <w:rsid w:val="4B3417BC"/>
    <w:rsid w:val="4B347A96"/>
    <w:rsid w:val="4B373EC7"/>
    <w:rsid w:val="4B3A3681"/>
    <w:rsid w:val="4B3E104B"/>
    <w:rsid w:val="4B42208F"/>
    <w:rsid w:val="4B465C9A"/>
    <w:rsid w:val="4B5808FF"/>
    <w:rsid w:val="4B6465CF"/>
    <w:rsid w:val="4B752DF7"/>
    <w:rsid w:val="4B7A3DB0"/>
    <w:rsid w:val="4B8A49FE"/>
    <w:rsid w:val="4B8D32DD"/>
    <w:rsid w:val="4B9161B4"/>
    <w:rsid w:val="4B9606BC"/>
    <w:rsid w:val="4B9C1B32"/>
    <w:rsid w:val="4B9E480A"/>
    <w:rsid w:val="4BAC2FC9"/>
    <w:rsid w:val="4BAF4900"/>
    <w:rsid w:val="4BC4010F"/>
    <w:rsid w:val="4BC57FEE"/>
    <w:rsid w:val="4BC73A09"/>
    <w:rsid w:val="4BCC0253"/>
    <w:rsid w:val="4BCE3FD2"/>
    <w:rsid w:val="4BD537E5"/>
    <w:rsid w:val="4BD57CCE"/>
    <w:rsid w:val="4BD92395"/>
    <w:rsid w:val="4BE17576"/>
    <w:rsid w:val="4BEC30E1"/>
    <w:rsid w:val="4BFB69CF"/>
    <w:rsid w:val="4BFE7DFD"/>
    <w:rsid w:val="4C0000E3"/>
    <w:rsid w:val="4C11230F"/>
    <w:rsid w:val="4C1A4792"/>
    <w:rsid w:val="4C284047"/>
    <w:rsid w:val="4C3817F2"/>
    <w:rsid w:val="4C3F0A73"/>
    <w:rsid w:val="4C47574E"/>
    <w:rsid w:val="4C4F6C28"/>
    <w:rsid w:val="4C653794"/>
    <w:rsid w:val="4C6C058A"/>
    <w:rsid w:val="4C711F11"/>
    <w:rsid w:val="4C85543A"/>
    <w:rsid w:val="4C9F56BD"/>
    <w:rsid w:val="4CA706E5"/>
    <w:rsid w:val="4CB01FE9"/>
    <w:rsid w:val="4CB10ADD"/>
    <w:rsid w:val="4CBE12C5"/>
    <w:rsid w:val="4CC50D22"/>
    <w:rsid w:val="4CC910F8"/>
    <w:rsid w:val="4CE14052"/>
    <w:rsid w:val="4CE440F3"/>
    <w:rsid w:val="4CEA4F80"/>
    <w:rsid w:val="4CED464F"/>
    <w:rsid w:val="4CEE661E"/>
    <w:rsid w:val="4CF41EE2"/>
    <w:rsid w:val="4D023C01"/>
    <w:rsid w:val="4D02515E"/>
    <w:rsid w:val="4D084332"/>
    <w:rsid w:val="4D0F6FEB"/>
    <w:rsid w:val="4D183A26"/>
    <w:rsid w:val="4D1D49E4"/>
    <w:rsid w:val="4D1D723B"/>
    <w:rsid w:val="4D2E125F"/>
    <w:rsid w:val="4D52673A"/>
    <w:rsid w:val="4D59254C"/>
    <w:rsid w:val="4D5E4471"/>
    <w:rsid w:val="4D6D277C"/>
    <w:rsid w:val="4D88447D"/>
    <w:rsid w:val="4D9A54B3"/>
    <w:rsid w:val="4D9F4B12"/>
    <w:rsid w:val="4DA7032F"/>
    <w:rsid w:val="4DCE2B91"/>
    <w:rsid w:val="4DD36994"/>
    <w:rsid w:val="4DE74F7D"/>
    <w:rsid w:val="4DF50C6F"/>
    <w:rsid w:val="4DF93E71"/>
    <w:rsid w:val="4DFA0CD5"/>
    <w:rsid w:val="4DFA73A9"/>
    <w:rsid w:val="4E002661"/>
    <w:rsid w:val="4E002F61"/>
    <w:rsid w:val="4E031B20"/>
    <w:rsid w:val="4E0D06A0"/>
    <w:rsid w:val="4E243B11"/>
    <w:rsid w:val="4E293971"/>
    <w:rsid w:val="4E3C47E8"/>
    <w:rsid w:val="4E3D2783"/>
    <w:rsid w:val="4E486F9E"/>
    <w:rsid w:val="4E556BAA"/>
    <w:rsid w:val="4E5F23E3"/>
    <w:rsid w:val="4E611CE8"/>
    <w:rsid w:val="4E630054"/>
    <w:rsid w:val="4E6840F5"/>
    <w:rsid w:val="4E6D3810"/>
    <w:rsid w:val="4E795871"/>
    <w:rsid w:val="4E7962DC"/>
    <w:rsid w:val="4E8A2915"/>
    <w:rsid w:val="4E8D0B2E"/>
    <w:rsid w:val="4E904537"/>
    <w:rsid w:val="4E904ABC"/>
    <w:rsid w:val="4EA919D7"/>
    <w:rsid w:val="4EA95310"/>
    <w:rsid w:val="4EB57EBB"/>
    <w:rsid w:val="4EC218BA"/>
    <w:rsid w:val="4EC70079"/>
    <w:rsid w:val="4EE63A35"/>
    <w:rsid w:val="4EEB0570"/>
    <w:rsid w:val="4EF615FC"/>
    <w:rsid w:val="4EF9197C"/>
    <w:rsid w:val="4F0E1595"/>
    <w:rsid w:val="4F0F1D5C"/>
    <w:rsid w:val="4F135BFA"/>
    <w:rsid w:val="4F1E18E6"/>
    <w:rsid w:val="4F250184"/>
    <w:rsid w:val="4F2A6799"/>
    <w:rsid w:val="4F457ED8"/>
    <w:rsid w:val="4F747906"/>
    <w:rsid w:val="4F8359E2"/>
    <w:rsid w:val="4F8B0C56"/>
    <w:rsid w:val="4FA63C6F"/>
    <w:rsid w:val="4FAF1803"/>
    <w:rsid w:val="4FAF4810"/>
    <w:rsid w:val="4FB012E3"/>
    <w:rsid w:val="4FBD4701"/>
    <w:rsid w:val="4FC47039"/>
    <w:rsid w:val="4FC86822"/>
    <w:rsid w:val="4FCA7EA1"/>
    <w:rsid w:val="4FD50556"/>
    <w:rsid w:val="4FD8501E"/>
    <w:rsid w:val="4FDB714B"/>
    <w:rsid w:val="4FE1231A"/>
    <w:rsid w:val="4FEE54D9"/>
    <w:rsid w:val="4FF842D1"/>
    <w:rsid w:val="50051645"/>
    <w:rsid w:val="50105533"/>
    <w:rsid w:val="50136AC1"/>
    <w:rsid w:val="50197F9F"/>
    <w:rsid w:val="501D7B42"/>
    <w:rsid w:val="50286728"/>
    <w:rsid w:val="504363ED"/>
    <w:rsid w:val="505B61CF"/>
    <w:rsid w:val="5062348D"/>
    <w:rsid w:val="50634E6F"/>
    <w:rsid w:val="5068173C"/>
    <w:rsid w:val="50736435"/>
    <w:rsid w:val="50755A00"/>
    <w:rsid w:val="507A6136"/>
    <w:rsid w:val="507C69AC"/>
    <w:rsid w:val="5081117E"/>
    <w:rsid w:val="50882BE2"/>
    <w:rsid w:val="508918E7"/>
    <w:rsid w:val="509A74CE"/>
    <w:rsid w:val="509B7442"/>
    <w:rsid w:val="50A6454E"/>
    <w:rsid w:val="50B22B6E"/>
    <w:rsid w:val="50CA1A08"/>
    <w:rsid w:val="50DB7744"/>
    <w:rsid w:val="50DD4A29"/>
    <w:rsid w:val="50DE0790"/>
    <w:rsid w:val="50EE29DF"/>
    <w:rsid w:val="50FA11CB"/>
    <w:rsid w:val="50FD4DFB"/>
    <w:rsid w:val="51027B4E"/>
    <w:rsid w:val="510B2C30"/>
    <w:rsid w:val="511967E8"/>
    <w:rsid w:val="51444B68"/>
    <w:rsid w:val="514C6105"/>
    <w:rsid w:val="516C5FB4"/>
    <w:rsid w:val="516C7F94"/>
    <w:rsid w:val="51731A8F"/>
    <w:rsid w:val="51817FBD"/>
    <w:rsid w:val="518B6ECD"/>
    <w:rsid w:val="519B6518"/>
    <w:rsid w:val="51CA0746"/>
    <w:rsid w:val="51D03E3E"/>
    <w:rsid w:val="51DB54AD"/>
    <w:rsid w:val="51DB6BCD"/>
    <w:rsid w:val="51E17ABD"/>
    <w:rsid w:val="51E70D64"/>
    <w:rsid w:val="51EB0C14"/>
    <w:rsid w:val="51ED25E0"/>
    <w:rsid w:val="51F84D9C"/>
    <w:rsid w:val="51FC50FB"/>
    <w:rsid w:val="51FE69B9"/>
    <w:rsid w:val="520F29EA"/>
    <w:rsid w:val="52117727"/>
    <w:rsid w:val="521C14AC"/>
    <w:rsid w:val="521E1806"/>
    <w:rsid w:val="522174AA"/>
    <w:rsid w:val="523C0326"/>
    <w:rsid w:val="523D5E4D"/>
    <w:rsid w:val="523D64FE"/>
    <w:rsid w:val="52420CF2"/>
    <w:rsid w:val="524437AE"/>
    <w:rsid w:val="52634131"/>
    <w:rsid w:val="526C25C4"/>
    <w:rsid w:val="526C3DDB"/>
    <w:rsid w:val="52720B59"/>
    <w:rsid w:val="5283051E"/>
    <w:rsid w:val="52A50AFF"/>
    <w:rsid w:val="52AC78C8"/>
    <w:rsid w:val="52B03F9A"/>
    <w:rsid w:val="52EB5D12"/>
    <w:rsid w:val="52EC4DBE"/>
    <w:rsid w:val="52F10BB6"/>
    <w:rsid w:val="52F4768A"/>
    <w:rsid w:val="5301759C"/>
    <w:rsid w:val="530D603A"/>
    <w:rsid w:val="531059C4"/>
    <w:rsid w:val="531271FC"/>
    <w:rsid w:val="5318130F"/>
    <w:rsid w:val="531D106C"/>
    <w:rsid w:val="532128AA"/>
    <w:rsid w:val="53456F3A"/>
    <w:rsid w:val="534612B9"/>
    <w:rsid w:val="534B2F79"/>
    <w:rsid w:val="53691FEA"/>
    <w:rsid w:val="5369343B"/>
    <w:rsid w:val="53817B09"/>
    <w:rsid w:val="5382159E"/>
    <w:rsid w:val="539C5F97"/>
    <w:rsid w:val="53A66B5A"/>
    <w:rsid w:val="53A74632"/>
    <w:rsid w:val="53A81032"/>
    <w:rsid w:val="53A967F9"/>
    <w:rsid w:val="53BB5DB6"/>
    <w:rsid w:val="53BC2975"/>
    <w:rsid w:val="53CA39F4"/>
    <w:rsid w:val="53D57920"/>
    <w:rsid w:val="53E41A24"/>
    <w:rsid w:val="53E64209"/>
    <w:rsid w:val="53EC07ED"/>
    <w:rsid w:val="53F0227B"/>
    <w:rsid w:val="53FB3032"/>
    <w:rsid w:val="53FD5BA3"/>
    <w:rsid w:val="54006BAB"/>
    <w:rsid w:val="5402665F"/>
    <w:rsid w:val="54187372"/>
    <w:rsid w:val="54196196"/>
    <w:rsid w:val="541F3D4D"/>
    <w:rsid w:val="542233E3"/>
    <w:rsid w:val="5424333B"/>
    <w:rsid w:val="54380949"/>
    <w:rsid w:val="543C0D85"/>
    <w:rsid w:val="54477ADB"/>
    <w:rsid w:val="54493893"/>
    <w:rsid w:val="54697CFB"/>
    <w:rsid w:val="547D1662"/>
    <w:rsid w:val="547F7FC7"/>
    <w:rsid w:val="548F0A11"/>
    <w:rsid w:val="54A0158D"/>
    <w:rsid w:val="54AD444D"/>
    <w:rsid w:val="54AD56AE"/>
    <w:rsid w:val="54B26AC9"/>
    <w:rsid w:val="54B47E66"/>
    <w:rsid w:val="54BA65C9"/>
    <w:rsid w:val="54C152B4"/>
    <w:rsid w:val="54CF101A"/>
    <w:rsid w:val="54D46497"/>
    <w:rsid w:val="54D56F86"/>
    <w:rsid w:val="54DE323B"/>
    <w:rsid w:val="54F036CD"/>
    <w:rsid w:val="54F43566"/>
    <w:rsid w:val="54F67132"/>
    <w:rsid w:val="54F75573"/>
    <w:rsid w:val="550208A1"/>
    <w:rsid w:val="550C2C10"/>
    <w:rsid w:val="550D65C2"/>
    <w:rsid w:val="55106090"/>
    <w:rsid w:val="5517645C"/>
    <w:rsid w:val="551F4B1F"/>
    <w:rsid w:val="55236396"/>
    <w:rsid w:val="55245FD7"/>
    <w:rsid w:val="552F0439"/>
    <w:rsid w:val="553A0EDB"/>
    <w:rsid w:val="55415112"/>
    <w:rsid w:val="55524196"/>
    <w:rsid w:val="55640B60"/>
    <w:rsid w:val="556D4EE4"/>
    <w:rsid w:val="557273E3"/>
    <w:rsid w:val="557E616D"/>
    <w:rsid w:val="558805F5"/>
    <w:rsid w:val="558F476E"/>
    <w:rsid w:val="559D37D5"/>
    <w:rsid w:val="55BD7010"/>
    <w:rsid w:val="55C43E74"/>
    <w:rsid w:val="55CA3504"/>
    <w:rsid w:val="55D25EE1"/>
    <w:rsid w:val="55D46845"/>
    <w:rsid w:val="55DB75D5"/>
    <w:rsid w:val="55E350BF"/>
    <w:rsid w:val="55E84C29"/>
    <w:rsid w:val="55EF466D"/>
    <w:rsid w:val="55FE1AFE"/>
    <w:rsid w:val="560B4445"/>
    <w:rsid w:val="56174779"/>
    <w:rsid w:val="561B7953"/>
    <w:rsid w:val="562E0A7D"/>
    <w:rsid w:val="56527E6A"/>
    <w:rsid w:val="56555E22"/>
    <w:rsid w:val="565B4099"/>
    <w:rsid w:val="566318AE"/>
    <w:rsid w:val="566514D4"/>
    <w:rsid w:val="56724D19"/>
    <w:rsid w:val="5673546D"/>
    <w:rsid w:val="56782234"/>
    <w:rsid w:val="567F1CFB"/>
    <w:rsid w:val="5686270C"/>
    <w:rsid w:val="568A7674"/>
    <w:rsid w:val="568D71D9"/>
    <w:rsid w:val="569100B3"/>
    <w:rsid w:val="56925EE4"/>
    <w:rsid w:val="569516F3"/>
    <w:rsid w:val="56970E80"/>
    <w:rsid w:val="56987882"/>
    <w:rsid w:val="5699438A"/>
    <w:rsid w:val="56AA2453"/>
    <w:rsid w:val="56B47C1D"/>
    <w:rsid w:val="56B52AAA"/>
    <w:rsid w:val="56B551D4"/>
    <w:rsid w:val="56BC63CB"/>
    <w:rsid w:val="56C07BCA"/>
    <w:rsid w:val="56C21D80"/>
    <w:rsid w:val="56C40E2B"/>
    <w:rsid w:val="56C47615"/>
    <w:rsid w:val="56D8336B"/>
    <w:rsid w:val="56EB513B"/>
    <w:rsid w:val="56F62B1C"/>
    <w:rsid w:val="56F633F1"/>
    <w:rsid w:val="56FC20D0"/>
    <w:rsid w:val="570F6877"/>
    <w:rsid w:val="571875B2"/>
    <w:rsid w:val="57253516"/>
    <w:rsid w:val="57260160"/>
    <w:rsid w:val="57263D3B"/>
    <w:rsid w:val="572B5E67"/>
    <w:rsid w:val="573F48E8"/>
    <w:rsid w:val="5742651F"/>
    <w:rsid w:val="57490758"/>
    <w:rsid w:val="57537388"/>
    <w:rsid w:val="576448C6"/>
    <w:rsid w:val="57656922"/>
    <w:rsid w:val="576E0BAD"/>
    <w:rsid w:val="57753AE2"/>
    <w:rsid w:val="57782F6D"/>
    <w:rsid w:val="577C6CD5"/>
    <w:rsid w:val="57817363"/>
    <w:rsid w:val="578E7D69"/>
    <w:rsid w:val="579A2CCE"/>
    <w:rsid w:val="57A229AF"/>
    <w:rsid w:val="57B602D8"/>
    <w:rsid w:val="57B85FB8"/>
    <w:rsid w:val="57BE0C24"/>
    <w:rsid w:val="57BF3100"/>
    <w:rsid w:val="57C6060C"/>
    <w:rsid w:val="57CD254D"/>
    <w:rsid w:val="57D549C1"/>
    <w:rsid w:val="57DE35B9"/>
    <w:rsid w:val="57E52524"/>
    <w:rsid w:val="57E95D18"/>
    <w:rsid w:val="57F47C7B"/>
    <w:rsid w:val="580C66E4"/>
    <w:rsid w:val="58142318"/>
    <w:rsid w:val="581A2A81"/>
    <w:rsid w:val="582532C7"/>
    <w:rsid w:val="582F2AEA"/>
    <w:rsid w:val="58347407"/>
    <w:rsid w:val="58381592"/>
    <w:rsid w:val="58432FFF"/>
    <w:rsid w:val="5847360E"/>
    <w:rsid w:val="585B6AA2"/>
    <w:rsid w:val="585C00B9"/>
    <w:rsid w:val="585E6B46"/>
    <w:rsid w:val="586364DC"/>
    <w:rsid w:val="586C51C4"/>
    <w:rsid w:val="5870415E"/>
    <w:rsid w:val="58752AC6"/>
    <w:rsid w:val="58757A49"/>
    <w:rsid w:val="587B119B"/>
    <w:rsid w:val="5890393E"/>
    <w:rsid w:val="589C2611"/>
    <w:rsid w:val="58A25CFE"/>
    <w:rsid w:val="58A35250"/>
    <w:rsid w:val="58BE21AA"/>
    <w:rsid w:val="58BF56D8"/>
    <w:rsid w:val="58D65C55"/>
    <w:rsid w:val="58D82E7E"/>
    <w:rsid w:val="58E26DD7"/>
    <w:rsid w:val="58E530D7"/>
    <w:rsid w:val="58EC6AA9"/>
    <w:rsid w:val="58F670CA"/>
    <w:rsid w:val="58F940A4"/>
    <w:rsid w:val="58FB6F6A"/>
    <w:rsid w:val="59023190"/>
    <w:rsid w:val="59050778"/>
    <w:rsid w:val="590D025D"/>
    <w:rsid w:val="590D3218"/>
    <w:rsid w:val="59104906"/>
    <w:rsid w:val="59131EB1"/>
    <w:rsid w:val="5913770D"/>
    <w:rsid w:val="59224C0A"/>
    <w:rsid w:val="59246730"/>
    <w:rsid w:val="59311176"/>
    <w:rsid w:val="593A07F1"/>
    <w:rsid w:val="593A4F2E"/>
    <w:rsid w:val="59482D95"/>
    <w:rsid w:val="59487275"/>
    <w:rsid w:val="595D417D"/>
    <w:rsid w:val="595F6151"/>
    <w:rsid w:val="59637DED"/>
    <w:rsid w:val="59660CAE"/>
    <w:rsid w:val="59665468"/>
    <w:rsid w:val="596D1D4D"/>
    <w:rsid w:val="596E1554"/>
    <w:rsid w:val="596F2008"/>
    <w:rsid w:val="597342E1"/>
    <w:rsid w:val="597D221A"/>
    <w:rsid w:val="59817CE6"/>
    <w:rsid w:val="598C5E6C"/>
    <w:rsid w:val="59910D63"/>
    <w:rsid w:val="599134F3"/>
    <w:rsid w:val="59922521"/>
    <w:rsid w:val="599364FE"/>
    <w:rsid w:val="59953E09"/>
    <w:rsid w:val="59987AF5"/>
    <w:rsid w:val="599E0307"/>
    <w:rsid w:val="59B35CAC"/>
    <w:rsid w:val="59B4530B"/>
    <w:rsid w:val="59B83B16"/>
    <w:rsid w:val="59C378CF"/>
    <w:rsid w:val="59D351AC"/>
    <w:rsid w:val="59D961A8"/>
    <w:rsid w:val="59E47F0E"/>
    <w:rsid w:val="5A08255F"/>
    <w:rsid w:val="5A163BED"/>
    <w:rsid w:val="5A17563F"/>
    <w:rsid w:val="5A1D14D0"/>
    <w:rsid w:val="5A2D6AE4"/>
    <w:rsid w:val="5A305A69"/>
    <w:rsid w:val="5A4C6AAA"/>
    <w:rsid w:val="5A564B18"/>
    <w:rsid w:val="5A6214D1"/>
    <w:rsid w:val="5A726FC5"/>
    <w:rsid w:val="5A72748A"/>
    <w:rsid w:val="5A7A2A36"/>
    <w:rsid w:val="5A844B06"/>
    <w:rsid w:val="5A885828"/>
    <w:rsid w:val="5A8956E7"/>
    <w:rsid w:val="5A9065CF"/>
    <w:rsid w:val="5AA662C4"/>
    <w:rsid w:val="5AB87DD9"/>
    <w:rsid w:val="5AD31530"/>
    <w:rsid w:val="5AD84520"/>
    <w:rsid w:val="5AEB0037"/>
    <w:rsid w:val="5AED1985"/>
    <w:rsid w:val="5AF95547"/>
    <w:rsid w:val="5B036468"/>
    <w:rsid w:val="5B0B4003"/>
    <w:rsid w:val="5B1E5F17"/>
    <w:rsid w:val="5B251124"/>
    <w:rsid w:val="5B255B8C"/>
    <w:rsid w:val="5B267BD9"/>
    <w:rsid w:val="5B435406"/>
    <w:rsid w:val="5B43797F"/>
    <w:rsid w:val="5B475DF9"/>
    <w:rsid w:val="5B5C5AAA"/>
    <w:rsid w:val="5B6125AC"/>
    <w:rsid w:val="5B6F0D93"/>
    <w:rsid w:val="5B7133EB"/>
    <w:rsid w:val="5B7466B7"/>
    <w:rsid w:val="5B750431"/>
    <w:rsid w:val="5B764E6C"/>
    <w:rsid w:val="5B8831CD"/>
    <w:rsid w:val="5B995ACA"/>
    <w:rsid w:val="5BB917A4"/>
    <w:rsid w:val="5BBE7982"/>
    <w:rsid w:val="5BD1447E"/>
    <w:rsid w:val="5BD35B05"/>
    <w:rsid w:val="5BDB4D3D"/>
    <w:rsid w:val="5BDD1690"/>
    <w:rsid w:val="5BE63EFE"/>
    <w:rsid w:val="5BED1BC4"/>
    <w:rsid w:val="5BF54435"/>
    <w:rsid w:val="5BFD3372"/>
    <w:rsid w:val="5C02025C"/>
    <w:rsid w:val="5C0614B0"/>
    <w:rsid w:val="5C076E29"/>
    <w:rsid w:val="5C12777D"/>
    <w:rsid w:val="5C1C2DCF"/>
    <w:rsid w:val="5C2514E3"/>
    <w:rsid w:val="5C2C320C"/>
    <w:rsid w:val="5C2F3780"/>
    <w:rsid w:val="5C39052A"/>
    <w:rsid w:val="5C396796"/>
    <w:rsid w:val="5C3B19A0"/>
    <w:rsid w:val="5C4074D2"/>
    <w:rsid w:val="5C4570D2"/>
    <w:rsid w:val="5C546FB7"/>
    <w:rsid w:val="5C640134"/>
    <w:rsid w:val="5C6961A2"/>
    <w:rsid w:val="5C6E1775"/>
    <w:rsid w:val="5C730181"/>
    <w:rsid w:val="5C7E7F33"/>
    <w:rsid w:val="5C8419D1"/>
    <w:rsid w:val="5C865E12"/>
    <w:rsid w:val="5C8C4F2B"/>
    <w:rsid w:val="5C98657B"/>
    <w:rsid w:val="5C9B0BA1"/>
    <w:rsid w:val="5CA91993"/>
    <w:rsid w:val="5CA975B1"/>
    <w:rsid w:val="5CAD06CD"/>
    <w:rsid w:val="5CB7291E"/>
    <w:rsid w:val="5CD8669A"/>
    <w:rsid w:val="5CED70EB"/>
    <w:rsid w:val="5CEE53CE"/>
    <w:rsid w:val="5CF11A00"/>
    <w:rsid w:val="5D022637"/>
    <w:rsid w:val="5D0D741A"/>
    <w:rsid w:val="5D1164AD"/>
    <w:rsid w:val="5D153CE7"/>
    <w:rsid w:val="5D171A67"/>
    <w:rsid w:val="5D172D05"/>
    <w:rsid w:val="5D1C4266"/>
    <w:rsid w:val="5D1D0EF2"/>
    <w:rsid w:val="5D1F6E21"/>
    <w:rsid w:val="5D2447C1"/>
    <w:rsid w:val="5D2978A8"/>
    <w:rsid w:val="5D316AAE"/>
    <w:rsid w:val="5D3307F6"/>
    <w:rsid w:val="5D3B30E3"/>
    <w:rsid w:val="5D3F495F"/>
    <w:rsid w:val="5D4370F6"/>
    <w:rsid w:val="5D4D6021"/>
    <w:rsid w:val="5D4E0DC1"/>
    <w:rsid w:val="5D503CFB"/>
    <w:rsid w:val="5D5A3C1F"/>
    <w:rsid w:val="5D6A41CB"/>
    <w:rsid w:val="5D6E57F0"/>
    <w:rsid w:val="5D7141B5"/>
    <w:rsid w:val="5D8C5869"/>
    <w:rsid w:val="5D934488"/>
    <w:rsid w:val="5D945D7B"/>
    <w:rsid w:val="5D975521"/>
    <w:rsid w:val="5D9E69B1"/>
    <w:rsid w:val="5DA26DFA"/>
    <w:rsid w:val="5DAC0CBD"/>
    <w:rsid w:val="5DB91E19"/>
    <w:rsid w:val="5DBA3A9B"/>
    <w:rsid w:val="5DCF3E63"/>
    <w:rsid w:val="5DD41737"/>
    <w:rsid w:val="5DED3BFA"/>
    <w:rsid w:val="5DFD18AA"/>
    <w:rsid w:val="5E014630"/>
    <w:rsid w:val="5E0D5BE1"/>
    <w:rsid w:val="5E21165F"/>
    <w:rsid w:val="5E2856EA"/>
    <w:rsid w:val="5E287375"/>
    <w:rsid w:val="5E312CEC"/>
    <w:rsid w:val="5E420BC2"/>
    <w:rsid w:val="5E4342B2"/>
    <w:rsid w:val="5E4362BD"/>
    <w:rsid w:val="5E470156"/>
    <w:rsid w:val="5E496DB9"/>
    <w:rsid w:val="5E4A0D60"/>
    <w:rsid w:val="5E5D4DE4"/>
    <w:rsid w:val="5E7E7714"/>
    <w:rsid w:val="5E81276A"/>
    <w:rsid w:val="5E821D10"/>
    <w:rsid w:val="5E823FA9"/>
    <w:rsid w:val="5E84168B"/>
    <w:rsid w:val="5E985886"/>
    <w:rsid w:val="5EA44049"/>
    <w:rsid w:val="5EA67F7B"/>
    <w:rsid w:val="5EA8250F"/>
    <w:rsid w:val="5EB5440F"/>
    <w:rsid w:val="5EB611D7"/>
    <w:rsid w:val="5EBA0FED"/>
    <w:rsid w:val="5EC221EB"/>
    <w:rsid w:val="5ECC4C58"/>
    <w:rsid w:val="5ED673F3"/>
    <w:rsid w:val="5EDE5B29"/>
    <w:rsid w:val="5EF977AC"/>
    <w:rsid w:val="5F0D4243"/>
    <w:rsid w:val="5F166810"/>
    <w:rsid w:val="5F1C6814"/>
    <w:rsid w:val="5F1E6B40"/>
    <w:rsid w:val="5F204E73"/>
    <w:rsid w:val="5F2F5E1E"/>
    <w:rsid w:val="5F375DC7"/>
    <w:rsid w:val="5F460A56"/>
    <w:rsid w:val="5F461D1A"/>
    <w:rsid w:val="5F4D1507"/>
    <w:rsid w:val="5F6031E1"/>
    <w:rsid w:val="5F635DFC"/>
    <w:rsid w:val="5F6858BD"/>
    <w:rsid w:val="5F7857A4"/>
    <w:rsid w:val="5F790F94"/>
    <w:rsid w:val="5F793F39"/>
    <w:rsid w:val="5F7C226B"/>
    <w:rsid w:val="5F834358"/>
    <w:rsid w:val="5F870F64"/>
    <w:rsid w:val="5F8E6537"/>
    <w:rsid w:val="5F8F0184"/>
    <w:rsid w:val="5FA53F86"/>
    <w:rsid w:val="5FAD7901"/>
    <w:rsid w:val="5FB2717B"/>
    <w:rsid w:val="5FBA5B6A"/>
    <w:rsid w:val="5FC02655"/>
    <w:rsid w:val="5FC44DA6"/>
    <w:rsid w:val="5FC52C58"/>
    <w:rsid w:val="5FE548CC"/>
    <w:rsid w:val="5FE92616"/>
    <w:rsid w:val="60051548"/>
    <w:rsid w:val="60062065"/>
    <w:rsid w:val="600C254D"/>
    <w:rsid w:val="60237CE4"/>
    <w:rsid w:val="60254F7F"/>
    <w:rsid w:val="60261253"/>
    <w:rsid w:val="602A1F78"/>
    <w:rsid w:val="60486832"/>
    <w:rsid w:val="60495022"/>
    <w:rsid w:val="605E73CF"/>
    <w:rsid w:val="605F287F"/>
    <w:rsid w:val="606956D7"/>
    <w:rsid w:val="60697006"/>
    <w:rsid w:val="606A3EC9"/>
    <w:rsid w:val="606B0B57"/>
    <w:rsid w:val="606B2446"/>
    <w:rsid w:val="607B5ECE"/>
    <w:rsid w:val="60A62DAC"/>
    <w:rsid w:val="60A62EAD"/>
    <w:rsid w:val="60A7551F"/>
    <w:rsid w:val="60A92284"/>
    <w:rsid w:val="60BD156B"/>
    <w:rsid w:val="60C7706A"/>
    <w:rsid w:val="60CB4C9B"/>
    <w:rsid w:val="60E45654"/>
    <w:rsid w:val="60ED5A4C"/>
    <w:rsid w:val="60F203E7"/>
    <w:rsid w:val="6104432A"/>
    <w:rsid w:val="610D51DC"/>
    <w:rsid w:val="610D72C9"/>
    <w:rsid w:val="611134AA"/>
    <w:rsid w:val="61176246"/>
    <w:rsid w:val="611A3AA6"/>
    <w:rsid w:val="61204B9C"/>
    <w:rsid w:val="613141EA"/>
    <w:rsid w:val="61340A21"/>
    <w:rsid w:val="6140703E"/>
    <w:rsid w:val="61407802"/>
    <w:rsid w:val="61461FAC"/>
    <w:rsid w:val="61653089"/>
    <w:rsid w:val="61662EF0"/>
    <w:rsid w:val="61745F82"/>
    <w:rsid w:val="617765F5"/>
    <w:rsid w:val="617B32CA"/>
    <w:rsid w:val="6199224A"/>
    <w:rsid w:val="61A313FB"/>
    <w:rsid w:val="61B0595C"/>
    <w:rsid w:val="61BE4F53"/>
    <w:rsid w:val="61CB3010"/>
    <w:rsid w:val="61D878ED"/>
    <w:rsid w:val="61DE7392"/>
    <w:rsid w:val="61E26C9F"/>
    <w:rsid w:val="61E4018B"/>
    <w:rsid w:val="61FF6C70"/>
    <w:rsid w:val="62056178"/>
    <w:rsid w:val="620B1400"/>
    <w:rsid w:val="624A2126"/>
    <w:rsid w:val="62645E14"/>
    <w:rsid w:val="62732F40"/>
    <w:rsid w:val="628C4763"/>
    <w:rsid w:val="6299109F"/>
    <w:rsid w:val="629A6AA2"/>
    <w:rsid w:val="62A806D4"/>
    <w:rsid w:val="62B051A3"/>
    <w:rsid w:val="62D80A55"/>
    <w:rsid w:val="62DC5C83"/>
    <w:rsid w:val="62DD7673"/>
    <w:rsid w:val="62E919BE"/>
    <w:rsid w:val="62F323E5"/>
    <w:rsid w:val="630377D7"/>
    <w:rsid w:val="63040AAA"/>
    <w:rsid w:val="631039B8"/>
    <w:rsid w:val="63114EED"/>
    <w:rsid w:val="631969D7"/>
    <w:rsid w:val="631C5109"/>
    <w:rsid w:val="632C120F"/>
    <w:rsid w:val="63365690"/>
    <w:rsid w:val="633C2BCA"/>
    <w:rsid w:val="6341629D"/>
    <w:rsid w:val="634D32FB"/>
    <w:rsid w:val="634F7959"/>
    <w:rsid w:val="63557F00"/>
    <w:rsid w:val="6356708E"/>
    <w:rsid w:val="63580ADC"/>
    <w:rsid w:val="635F6BED"/>
    <w:rsid w:val="63715E11"/>
    <w:rsid w:val="637379F8"/>
    <w:rsid w:val="637B2DCE"/>
    <w:rsid w:val="637D5DDE"/>
    <w:rsid w:val="637F23BA"/>
    <w:rsid w:val="63896A71"/>
    <w:rsid w:val="639F2BE5"/>
    <w:rsid w:val="63A92E68"/>
    <w:rsid w:val="63B505B2"/>
    <w:rsid w:val="63B96938"/>
    <w:rsid w:val="63BD213D"/>
    <w:rsid w:val="63CA012F"/>
    <w:rsid w:val="63CE4E06"/>
    <w:rsid w:val="63D31E2C"/>
    <w:rsid w:val="63DB0316"/>
    <w:rsid w:val="63E14ED1"/>
    <w:rsid w:val="63E30EDB"/>
    <w:rsid w:val="63EA6DA0"/>
    <w:rsid w:val="63F61924"/>
    <w:rsid w:val="63FA5B33"/>
    <w:rsid w:val="63FB694C"/>
    <w:rsid w:val="63FD4866"/>
    <w:rsid w:val="640B47D4"/>
    <w:rsid w:val="641523F8"/>
    <w:rsid w:val="641D7345"/>
    <w:rsid w:val="642C69F4"/>
    <w:rsid w:val="64380467"/>
    <w:rsid w:val="64477322"/>
    <w:rsid w:val="644C1AFC"/>
    <w:rsid w:val="64514109"/>
    <w:rsid w:val="647D4DB4"/>
    <w:rsid w:val="647D7058"/>
    <w:rsid w:val="64854E95"/>
    <w:rsid w:val="64A14C26"/>
    <w:rsid w:val="64A47D70"/>
    <w:rsid w:val="64A74525"/>
    <w:rsid w:val="64B926C0"/>
    <w:rsid w:val="64C62B6F"/>
    <w:rsid w:val="64C82E65"/>
    <w:rsid w:val="64DF5255"/>
    <w:rsid w:val="64F6058B"/>
    <w:rsid w:val="64F862F8"/>
    <w:rsid w:val="65066BC7"/>
    <w:rsid w:val="650A3DFA"/>
    <w:rsid w:val="650C5D4B"/>
    <w:rsid w:val="650E22D1"/>
    <w:rsid w:val="65184372"/>
    <w:rsid w:val="6528721D"/>
    <w:rsid w:val="65447A14"/>
    <w:rsid w:val="65462F5C"/>
    <w:rsid w:val="654801DF"/>
    <w:rsid w:val="655E19D7"/>
    <w:rsid w:val="655E78DF"/>
    <w:rsid w:val="656B7C43"/>
    <w:rsid w:val="656E2B2A"/>
    <w:rsid w:val="658608EE"/>
    <w:rsid w:val="658C217E"/>
    <w:rsid w:val="658C30CB"/>
    <w:rsid w:val="65932CEB"/>
    <w:rsid w:val="65AC6749"/>
    <w:rsid w:val="65B955FD"/>
    <w:rsid w:val="65C73DC5"/>
    <w:rsid w:val="65CC6C23"/>
    <w:rsid w:val="65D13018"/>
    <w:rsid w:val="65D210C3"/>
    <w:rsid w:val="65D55E27"/>
    <w:rsid w:val="65E030D6"/>
    <w:rsid w:val="65EC5FCE"/>
    <w:rsid w:val="65EF259C"/>
    <w:rsid w:val="65EF7C45"/>
    <w:rsid w:val="65F72F66"/>
    <w:rsid w:val="65FC61D4"/>
    <w:rsid w:val="65FE00B1"/>
    <w:rsid w:val="65FF12E0"/>
    <w:rsid w:val="660125F8"/>
    <w:rsid w:val="660E2BDF"/>
    <w:rsid w:val="660E7B47"/>
    <w:rsid w:val="66127547"/>
    <w:rsid w:val="66143EB2"/>
    <w:rsid w:val="661926FC"/>
    <w:rsid w:val="661E4FF0"/>
    <w:rsid w:val="66281F5D"/>
    <w:rsid w:val="662A6AA1"/>
    <w:rsid w:val="662C2BD8"/>
    <w:rsid w:val="662E0F93"/>
    <w:rsid w:val="66307F21"/>
    <w:rsid w:val="664837F2"/>
    <w:rsid w:val="66511C4D"/>
    <w:rsid w:val="66610EE7"/>
    <w:rsid w:val="6663647C"/>
    <w:rsid w:val="667E5239"/>
    <w:rsid w:val="667F3D53"/>
    <w:rsid w:val="66825F3C"/>
    <w:rsid w:val="668660BA"/>
    <w:rsid w:val="66945CDF"/>
    <w:rsid w:val="669635DF"/>
    <w:rsid w:val="66976C75"/>
    <w:rsid w:val="6699055B"/>
    <w:rsid w:val="66A675F1"/>
    <w:rsid w:val="66A67662"/>
    <w:rsid w:val="66AF4EE4"/>
    <w:rsid w:val="66BB7580"/>
    <w:rsid w:val="66BC5F2C"/>
    <w:rsid w:val="66C01A4D"/>
    <w:rsid w:val="66C76BDE"/>
    <w:rsid w:val="66D23234"/>
    <w:rsid w:val="66D52491"/>
    <w:rsid w:val="66D837CF"/>
    <w:rsid w:val="66ED500C"/>
    <w:rsid w:val="66F21471"/>
    <w:rsid w:val="66F64394"/>
    <w:rsid w:val="66FB316C"/>
    <w:rsid w:val="66FB3A64"/>
    <w:rsid w:val="6705040E"/>
    <w:rsid w:val="670A5014"/>
    <w:rsid w:val="670D2B3D"/>
    <w:rsid w:val="670F109A"/>
    <w:rsid w:val="67110204"/>
    <w:rsid w:val="672F174A"/>
    <w:rsid w:val="672F2E8F"/>
    <w:rsid w:val="67305844"/>
    <w:rsid w:val="67447480"/>
    <w:rsid w:val="6746073F"/>
    <w:rsid w:val="675C2D21"/>
    <w:rsid w:val="675E196B"/>
    <w:rsid w:val="676551B1"/>
    <w:rsid w:val="67690F7E"/>
    <w:rsid w:val="67704FC3"/>
    <w:rsid w:val="67734606"/>
    <w:rsid w:val="67772A4A"/>
    <w:rsid w:val="677E2D19"/>
    <w:rsid w:val="678452CF"/>
    <w:rsid w:val="67980CCD"/>
    <w:rsid w:val="67B618D5"/>
    <w:rsid w:val="67B67A0C"/>
    <w:rsid w:val="67CE4F30"/>
    <w:rsid w:val="67D73D87"/>
    <w:rsid w:val="67D92592"/>
    <w:rsid w:val="67DD338F"/>
    <w:rsid w:val="67DE1915"/>
    <w:rsid w:val="67EB130F"/>
    <w:rsid w:val="67ED04AF"/>
    <w:rsid w:val="67F2744B"/>
    <w:rsid w:val="67FC2ABB"/>
    <w:rsid w:val="67FF6D88"/>
    <w:rsid w:val="6813438D"/>
    <w:rsid w:val="68217231"/>
    <w:rsid w:val="682219D0"/>
    <w:rsid w:val="6824570A"/>
    <w:rsid w:val="682E2CF4"/>
    <w:rsid w:val="683B6DDA"/>
    <w:rsid w:val="683C5D6F"/>
    <w:rsid w:val="684644BE"/>
    <w:rsid w:val="684B6518"/>
    <w:rsid w:val="685E0927"/>
    <w:rsid w:val="68633EED"/>
    <w:rsid w:val="68654480"/>
    <w:rsid w:val="686D5091"/>
    <w:rsid w:val="68832558"/>
    <w:rsid w:val="688C7CF8"/>
    <w:rsid w:val="688F3C16"/>
    <w:rsid w:val="689D135F"/>
    <w:rsid w:val="68B85F0B"/>
    <w:rsid w:val="68B90E8D"/>
    <w:rsid w:val="68BA6B77"/>
    <w:rsid w:val="68BB5B76"/>
    <w:rsid w:val="68C401A4"/>
    <w:rsid w:val="68D502DC"/>
    <w:rsid w:val="68E81845"/>
    <w:rsid w:val="68EC102D"/>
    <w:rsid w:val="690857B4"/>
    <w:rsid w:val="690F6F8E"/>
    <w:rsid w:val="69184602"/>
    <w:rsid w:val="69252ECB"/>
    <w:rsid w:val="69283D7D"/>
    <w:rsid w:val="692A1698"/>
    <w:rsid w:val="69400293"/>
    <w:rsid w:val="6947443E"/>
    <w:rsid w:val="694B3637"/>
    <w:rsid w:val="69511AF6"/>
    <w:rsid w:val="69530F6A"/>
    <w:rsid w:val="6956751F"/>
    <w:rsid w:val="6957332E"/>
    <w:rsid w:val="696074F8"/>
    <w:rsid w:val="69693B4E"/>
    <w:rsid w:val="697A2E08"/>
    <w:rsid w:val="698204A9"/>
    <w:rsid w:val="699300EB"/>
    <w:rsid w:val="69964535"/>
    <w:rsid w:val="699D6DCA"/>
    <w:rsid w:val="69A54F27"/>
    <w:rsid w:val="69B143CF"/>
    <w:rsid w:val="69B242DA"/>
    <w:rsid w:val="69C17335"/>
    <w:rsid w:val="69CA5BB0"/>
    <w:rsid w:val="69CF42E3"/>
    <w:rsid w:val="69DF386C"/>
    <w:rsid w:val="6A0247AC"/>
    <w:rsid w:val="6A053911"/>
    <w:rsid w:val="6A0C0C87"/>
    <w:rsid w:val="6A116424"/>
    <w:rsid w:val="6A116463"/>
    <w:rsid w:val="6A1747D9"/>
    <w:rsid w:val="6A185F40"/>
    <w:rsid w:val="6A1D0EFE"/>
    <w:rsid w:val="6A223960"/>
    <w:rsid w:val="6A285346"/>
    <w:rsid w:val="6A2A207B"/>
    <w:rsid w:val="6A3009F9"/>
    <w:rsid w:val="6A4678EF"/>
    <w:rsid w:val="6A527A31"/>
    <w:rsid w:val="6A5F2553"/>
    <w:rsid w:val="6A626B86"/>
    <w:rsid w:val="6A6C258C"/>
    <w:rsid w:val="6A7A772B"/>
    <w:rsid w:val="6A821DC1"/>
    <w:rsid w:val="6A90521B"/>
    <w:rsid w:val="6A9F55C9"/>
    <w:rsid w:val="6AC9790E"/>
    <w:rsid w:val="6AD56A9B"/>
    <w:rsid w:val="6AFB4209"/>
    <w:rsid w:val="6B032D1A"/>
    <w:rsid w:val="6B060110"/>
    <w:rsid w:val="6B0A3AEB"/>
    <w:rsid w:val="6B0D0E4C"/>
    <w:rsid w:val="6B11028F"/>
    <w:rsid w:val="6B11777E"/>
    <w:rsid w:val="6B17007D"/>
    <w:rsid w:val="6B1B560D"/>
    <w:rsid w:val="6B233EA1"/>
    <w:rsid w:val="6B2D745E"/>
    <w:rsid w:val="6B351148"/>
    <w:rsid w:val="6B3E6241"/>
    <w:rsid w:val="6B470BE4"/>
    <w:rsid w:val="6B49330E"/>
    <w:rsid w:val="6B5C74FE"/>
    <w:rsid w:val="6B617659"/>
    <w:rsid w:val="6B617730"/>
    <w:rsid w:val="6B6E2896"/>
    <w:rsid w:val="6B75302C"/>
    <w:rsid w:val="6B822F24"/>
    <w:rsid w:val="6B857AF7"/>
    <w:rsid w:val="6B88676B"/>
    <w:rsid w:val="6B8A6AF5"/>
    <w:rsid w:val="6B8E1378"/>
    <w:rsid w:val="6B8E3660"/>
    <w:rsid w:val="6B9B3997"/>
    <w:rsid w:val="6B9E2FC8"/>
    <w:rsid w:val="6BA5684F"/>
    <w:rsid w:val="6BAC54BD"/>
    <w:rsid w:val="6BAD1A01"/>
    <w:rsid w:val="6BB74F92"/>
    <w:rsid w:val="6BB900DB"/>
    <w:rsid w:val="6BBE5566"/>
    <w:rsid w:val="6BCF5369"/>
    <w:rsid w:val="6BD835CF"/>
    <w:rsid w:val="6BDA2736"/>
    <w:rsid w:val="6BDB62FA"/>
    <w:rsid w:val="6BF355D9"/>
    <w:rsid w:val="6C0B6E49"/>
    <w:rsid w:val="6C0E125A"/>
    <w:rsid w:val="6C1160A0"/>
    <w:rsid w:val="6C335A53"/>
    <w:rsid w:val="6C436673"/>
    <w:rsid w:val="6C501D15"/>
    <w:rsid w:val="6C547902"/>
    <w:rsid w:val="6C73649B"/>
    <w:rsid w:val="6C880A2F"/>
    <w:rsid w:val="6C8820F2"/>
    <w:rsid w:val="6C962F8D"/>
    <w:rsid w:val="6CA07185"/>
    <w:rsid w:val="6CD13559"/>
    <w:rsid w:val="6CD722FF"/>
    <w:rsid w:val="6CDF1B27"/>
    <w:rsid w:val="6CF72969"/>
    <w:rsid w:val="6CF82B5C"/>
    <w:rsid w:val="6D043528"/>
    <w:rsid w:val="6D0A4789"/>
    <w:rsid w:val="6D362645"/>
    <w:rsid w:val="6D3D5D0C"/>
    <w:rsid w:val="6D53228F"/>
    <w:rsid w:val="6D592D61"/>
    <w:rsid w:val="6D5A2FD6"/>
    <w:rsid w:val="6D5F587B"/>
    <w:rsid w:val="6D61723D"/>
    <w:rsid w:val="6D657A5B"/>
    <w:rsid w:val="6D7938AE"/>
    <w:rsid w:val="6D7D37E5"/>
    <w:rsid w:val="6D931546"/>
    <w:rsid w:val="6D984409"/>
    <w:rsid w:val="6DA257D1"/>
    <w:rsid w:val="6DA30B10"/>
    <w:rsid w:val="6DAC3DBD"/>
    <w:rsid w:val="6DB14FAF"/>
    <w:rsid w:val="6DBB6525"/>
    <w:rsid w:val="6DC35900"/>
    <w:rsid w:val="6DC412AF"/>
    <w:rsid w:val="6DC90666"/>
    <w:rsid w:val="6DC94F84"/>
    <w:rsid w:val="6DCB5A94"/>
    <w:rsid w:val="6DD931B0"/>
    <w:rsid w:val="6DE104FF"/>
    <w:rsid w:val="6DF078FF"/>
    <w:rsid w:val="6DF549A4"/>
    <w:rsid w:val="6DF579D2"/>
    <w:rsid w:val="6E177763"/>
    <w:rsid w:val="6E2F3F8F"/>
    <w:rsid w:val="6E336287"/>
    <w:rsid w:val="6E34276E"/>
    <w:rsid w:val="6E375173"/>
    <w:rsid w:val="6E3D61ED"/>
    <w:rsid w:val="6E5C7C7D"/>
    <w:rsid w:val="6E6300CA"/>
    <w:rsid w:val="6E6351B4"/>
    <w:rsid w:val="6E6D3731"/>
    <w:rsid w:val="6E6D7F56"/>
    <w:rsid w:val="6E792BBC"/>
    <w:rsid w:val="6E7E0C64"/>
    <w:rsid w:val="6E8002F3"/>
    <w:rsid w:val="6E850410"/>
    <w:rsid w:val="6E8523B4"/>
    <w:rsid w:val="6EA56252"/>
    <w:rsid w:val="6EA7532E"/>
    <w:rsid w:val="6ECF2B6B"/>
    <w:rsid w:val="6ED33523"/>
    <w:rsid w:val="6ED505CB"/>
    <w:rsid w:val="6EE40AAD"/>
    <w:rsid w:val="6EE50AC8"/>
    <w:rsid w:val="6EEB43A9"/>
    <w:rsid w:val="6EEC15ED"/>
    <w:rsid w:val="6EF218EA"/>
    <w:rsid w:val="6EF84023"/>
    <w:rsid w:val="6F0D2DD4"/>
    <w:rsid w:val="6F103D89"/>
    <w:rsid w:val="6F184EA7"/>
    <w:rsid w:val="6F185D92"/>
    <w:rsid w:val="6F290793"/>
    <w:rsid w:val="6F4665B2"/>
    <w:rsid w:val="6F470C7D"/>
    <w:rsid w:val="6F4926FC"/>
    <w:rsid w:val="6F561C9D"/>
    <w:rsid w:val="6F5F1375"/>
    <w:rsid w:val="6F674C32"/>
    <w:rsid w:val="6F7F0016"/>
    <w:rsid w:val="6F8B42BF"/>
    <w:rsid w:val="6F9D6994"/>
    <w:rsid w:val="6FA665EA"/>
    <w:rsid w:val="6FAB4826"/>
    <w:rsid w:val="6FB541AD"/>
    <w:rsid w:val="6FBC5DE0"/>
    <w:rsid w:val="6FBF414F"/>
    <w:rsid w:val="6FC7119B"/>
    <w:rsid w:val="6FC712F4"/>
    <w:rsid w:val="6FE13A7B"/>
    <w:rsid w:val="6FE70477"/>
    <w:rsid w:val="6FFC3640"/>
    <w:rsid w:val="70040D7A"/>
    <w:rsid w:val="7004566A"/>
    <w:rsid w:val="701E0139"/>
    <w:rsid w:val="702477CB"/>
    <w:rsid w:val="70294E1B"/>
    <w:rsid w:val="702E66C7"/>
    <w:rsid w:val="70303CA1"/>
    <w:rsid w:val="703E638A"/>
    <w:rsid w:val="70446892"/>
    <w:rsid w:val="70461A69"/>
    <w:rsid w:val="70577A06"/>
    <w:rsid w:val="705F331F"/>
    <w:rsid w:val="70634039"/>
    <w:rsid w:val="706E3ED5"/>
    <w:rsid w:val="70753A00"/>
    <w:rsid w:val="7080082A"/>
    <w:rsid w:val="708459C4"/>
    <w:rsid w:val="708C077B"/>
    <w:rsid w:val="70956DC5"/>
    <w:rsid w:val="70A879E7"/>
    <w:rsid w:val="70AD7DF3"/>
    <w:rsid w:val="70C776FC"/>
    <w:rsid w:val="70CA11E6"/>
    <w:rsid w:val="70CC18AB"/>
    <w:rsid w:val="70D17286"/>
    <w:rsid w:val="70EF0D73"/>
    <w:rsid w:val="710824BE"/>
    <w:rsid w:val="71280C28"/>
    <w:rsid w:val="712C4A76"/>
    <w:rsid w:val="712F5815"/>
    <w:rsid w:val="7147105A"/>
    <w:rsid w:val="714D3190"/>
    <w:rsid w:val="71555D09"/>
    <w:rsid w:val="715A4E34"/>
    <w:rsid w:val="715D3F59"/>
    <w:rsid w:val="71841EC7"/>
    <w:rsid w:val="718674C3"/>
    <w:rsid w:val="718760BF"/>
    <w:rsid w:val="718C1FD1"/>
    <w:rsid w:val="719611B3"/>
    <w:rsid w:val="71992ABB"/>
    <w:rsid w:val="71BC5E70"/>
    <w:rsid w:val="71C277D3"/>
    <w:rsid w:val="71C27AF8"/>
    <w:rsid w:val="71C93D70"/>
    <w:rsid w:val="71CA10B2"/>
    <w:rsid w:val="71D25C7E"/>
    <w:rsid w:val="71D26102"/>
    <w:rsid w:val="71E06E36"/>
    <w:rsid w:val="71EB2ECF"/>
    <w:rsid w:val="71EE634A"/>
    <w:rsid w:val="71F37933"/>
    <w:rsid w:val="71F44CC7"/>
    <w:rsid w:val="71F646DD"/>
    <w:rsid w:val="71F82F3C"/>
    <w:rsid w:val="71FC16C5"/>
    <w:rsid w:val="720F4A22"/>
    <w:rsid w:val="721A0EA1"/>
    <w:rsid w:val="7220140B"/>
    <w:rsid w:val="722942D1"/>
    <w:rsid w:val="722F50A2"/>
    <w:rsid w:val="72306387"/>
    <w:rsid w:val="7232487C"/>
    <w:rsid w:val="723925AD"/>
    <w:rsid w:val="723C3209"/>
    <w:rsid w:val="723C6AC1"/>
    <w:rsid w:val="72423C42"/>
    <w:rsid w:val="7249777D"/>
    <w:rsid w:val="72653E2E"/>
    <w:rsid w:val="726A64FB"/>
    <w:rsid w:val="727D3395"/>
    <w:rsid w:val="72894C55"/>
    <w:rsid w:val="72AC52CD"/>
    <w:rsid w:val="72AF515A"/>
    <w:rsid w:val="72B3059E"/>
    <w:rsid w:val="72B979BE"/>
    <w:rsid w:val="72C608FE"/>
    <w:rsid w:val="72C64C30"/>
    <w:rsid w:val="72DE1D4F"/>
    <w:rsid w:val="72E455AD"/>
    <w:rsid w:val="72ED1D8D"/>
    <w:rsid w:val="72F61C03"/>
    <w:rsid w:val="73043432"/>
    <w:rsid w:val="73135129"/>
    <w:rsid w:val="73165FE4"/>
    <w:rsid w:val="73206D84"/>
    <w:rsid w:val="73243D29"/>
    <w:rsid w:val="732700F2"/>
    <w:rsid w:val="73313FEC"/>
    <w:rsid w:val="733B0961"/>
    <w:rsid w:val="73410FE9"/>
    <w:rsid w:val="73441D84"/>
    <w:rsid w:val="73474172"/>
    <w:rsid w:val="73476D9B"/>
    <w:rsid w:val="73506528"/>
    <w:rsid w:val="735A1892"/>
    <w:rsid w:val="735B05AE"/>
    <w:rsid w:val="737B700E"/>
    <w:rsid w:val="738246CB"/>
    <w:rsid w:val="738678F7"/>
    <w:rsid w:val="73905008"/>
    <w:rsid w:val="73BD6043"/>
    <w:rsid w:val="73CD5D18"/>
    <w:rsid w:val="73D42A64"/>
    <w:rsid w:val="73DC7AD9"/>
    <w:rsid w:val="73E83DF4"/>
    <w:rsid w:val="73F16DDE"/>
    <w:rsid w:val="73F93A63"/>
    <w:rsid w:val="73FD13AD"/>
    <w:rsid w:val="74037946"/>
    <w:rsid w:val="740D250E"/>
    <w:rsid w:val="740F216F"/>
    <w:rsid w:val="744368A4"/>
    <w:rsid w:val="745B7FBC"/>
    <w:rsid w:val="747019C0"/>
    <w:rsid w:val="747029A8"/>
    <w:rsid w:val="747D6071"/>
    <w:rsid w:val="747F1A1E"/>
    <w:rsid w:val="74856ECB"/>
    <w:rsid w:val="7499076B"/>
    <w:rsid w:val="74BA1F62"/>
    <w:rsid w:val="74BD5406"/>
    <w:rsid w:val="74C52CE7"/>
    <w:rsid w:val="74C86DFB"/>
    <w:rsid w:val="74FF4FCD"/>
    <w:rsid w:val="75021C56"/>
    <w:rsid w:val="7507235F"/>
    <w:rsid w:val="750B502C"/>
    <w:rsid w:val="75184864"/>
    <w:rsid w:val="751951EE"/>
    <w:rsid w:val="75237041"/>
    <w:rsid w:val="7531711D"/>
    <w:rsid w:val="75321C67"/>
    <w:rsid w:val="753B08F0"/>
    <w:rsid w:val="753C3530"/>
    <w:rsid w:val="75476282"/>
    <w:rsid w:val="755929A7"/>
    <w:rsid w:val="75642345"/>
    <w:rsid w:val="75653BBD"/>
    <w:rsid w:val="7569456A"/>
    <w:rsid w:val="75702472"/>
    <w:rsid w:val="75853C35"/>
    <w:rsid w:val="7587230C"/>
    <w:rsid w:val="758D63A6"/>
    <w:rsid w:val="758F6835"/>
    <w:rsid w:val="75A04C2A"/>
    <w:rsid w:val="75AD144C"/>
    <w:rsid w:val="75B227B5"/>
    <w:rsid w:val="75BD7E9C"/>
    <w:rsid w:val="75BF5D33"/>
    <w:rsid w:val="75C35A34"/>
    <w:rsid w:val="75DF4BF7"/>
    <w:rsid w:val="75E2511E"/>
    <w:rsid w:val="75E5792B"/>
    <w:rsid w:val="75F5226C"/>
    <w:rsid w:val="75FA427A"/>
    <w:rsid w:val="75FD36B9"/>
    <w:rsid w:val="760531BB"/>
    <w:rsid w:val="76140FAE"/>
    <w:rsid w:val="761A5DDC"/>
    <w:rsid w:val="762E3C23"/>
    <w:rsid w:val="7630705A"/>
    <w:rsid w:val="76454E00"/>
    <w:rsid w:val="76487684"/>
    <w:rsid w:val="76535C35"/>
    <w:rsid w:val="766F7084"/>
    <w:rsid w:val="767C2F5A"/>
    <w:rsid w:val="76836533"/>
    <w:rsid w:val="76954D91"/>
    <w:rsid w:val="76C60257"/>
    <w:rsid w:val="76E72BE5"/>
    <w:rsid w:val="76F4180F"/>
    <w:rsid w:val="76FD6C99"/>
    <w:rsid w:val="76FE73B9"/>
    <w:rsid w:val="770646DF"/>
    <w:rsid w:val="77091F45"/>
    <w:rsid w:val="770A6B1A"/>
    <w:rsid w:val="770E5F68"/>
    <w:rsid w:val="77153092"/>
    <w:rsid w:val="77307F7A"/>
    <w:rsid w:val="774D41E9"/>
    <w:rsid w:val="775712C2"/>
    <w:rsid w:val="775F2515"/>
    <w:rsid w:val="777A4EB4"/>
    <w:rsid w:val="777C3788"/>
    <w:rsid w:val="777E0215"/>
    <w:rsid w:val="77814464"/>
    <w:rsid w:val="779364D1"/>
    <w:rsid w:val="7797784E"/>
    <w:rsid w:val="779E4544"/>
    <w:rsid w:val="77B579DF"/>
    <w:rsid w:val="77B61E85"/>
    <w:rsid w:val="77BB36EF"/>
    <w:rsid w:val="77BB57F0"/>
    <w:rsid w:val="77BC1A04"/>
    <w:rsid w:val="77C06709"/>
    <w:rsid w:val="77C523FC"/>
    <w:rsid w:val="77D12C90"/>
    <w:rsid w:val="77E168EF"/>
    <w:rsid w:val="77F10480"/>
    <w:rsid w:val="77F27435"/>
    <w:rsid w:val="77FC0191"/>
    <w:rsid w:val="781319C2"/>
    <w:rsid w:val="7814190C"/>
    <w:rsid w:val="781D26CE"/>
    <w:rsid w:val="78254354"/>
    <w:rsid w:val="78284DA1"/>
    <w:rsid w:val="783C154A"/>
    <w:rsid w:val="78470D60"/>
    <w:rsid w:val="78665E94"/>
    <w:rsid w:val="786A2537"/>
    <w:rsid w:val="78740B8B"/>
    <w:rsid w:val="787A3079"/>
    <w:rsid w:val="78805893"/>
    <w:rsid w:val="788F6DA5"/>
    <w:rsid w:val="78916EBE"/>
    <w:rsid w:val="78B06A8F"/>
    <w:rsid w:val="78C1781F"/>
    <w:rsid w:val="78C3166C"/>
    <w:rsid w:val="78C356F3"/>
    <w:rsid w:val="78CB6357"/>
    <w:rsid w:val="78CD6236"/>
    <w:rsid w:val="78D53E52"/>
    <w:rsid w:val="78D56358"/>
    <w:rsid w:val="78D918B1"/>
    <w:rsid w:val="78DF68D0"/>
    <w:rsid w:val="78E42432"/>
    <w:rsid w:val="78E44866"/>
    <w:rsid w:val="79033651"/>
    <w:rsid w:val="79131BCD"/>
    <w:rsid w:val="79155E02"/>
    <w:rsid w:val="79180B71"/>
    <w:rsid w:val="791B64E2"/>
    <w:rsid w:val="791C1FBE"/>
    <w:rsid w:val="791E1034"/>
    <w:rsid w:val="79365471"/>
    <w:rsid w:val="794136CF"/>
    <w:rsid w:val="795706AB"/>
    <w:rsid w:val="795B6F57"/>
    <w:rsid w:val="79645CAC"/>
    <w:rsid w:val="79686E68"/>
    <w:rsid w:val="797F75A9"/>
    <w:rsid w:val="799549B4"/>
    <w:rsid w:val="79965284"/>
    <w:rsid w:val="79A07B38"/>
    <w:rsid w:val="79B05AAE"/>
    <w:rsid w:val="79B4522B"/>
    <w:rsid w:val="79B66A95"/>
    <w:rsid w:val="79BB2152"/>
    <w:rsid w:val="79D01535"/>
    <w:rsid w:val="79D16A82"/>
    <w:rsid w:val="79DC7F19"/>
    <w:rsid w:val="79DE6A60"/>
    <w:rsid w:val="79F21004"/>
    <w:rsid w:val="79F54B8A"/>
    <w:rsid w:val="79FB790D"/>
    <w:rsid w:val="7A0A327E"/>
    <w:rsid w:val="7A134830"/>
    <w:rsid w:val="7A14529F"/>
    <w:rsid w:val="7A1A2978"/>
    <w:rsid w:val="7A202EDA"/>
    <w:rsid w:val="7A2568AB"/>
    <w:rsid w:val="7A341298"/>
    <w:rsid w:val="7A3F6C75"/>
    <w:rsid w:val="7A47377F"/>
    <w:rsid w:val="7A4F54B1"/>
    <w:rsid w:val="7A5808E0"/>
    <w:rsid w:val="7A5D05A7"/>
    <w:rsid w:val="7A6E30EB"/>
    <w:rsid w:val="7A726ADD"/>
    <w:rsid w:val="7A884307"/>
    <w:rsid w:val="7A891744"/>
    <w:rsid w:val="7A90525C"/>
    <w:rsid w:val="7A962C0A"/>
    <w:rsid w:val="7A964A4A"/>
    <w:rsid w:val="7AA87CD9"/>
    <w:rsid w:val="7AAB1E9D"/>
    <w:rsid w:val="7AD12083"/>
    <w:rsid w:val="7AE10D16"/>
    <w:rsid w:val="7AE11D4B"/>
    <w:rsid w:val="7AED387F"/>
    <w:rsid w:val="7AF17D66"/>
    <w:rsid w:val="7AF35BF8"/>
    <w:rsid w:val="7AF95C0C"/>
    <w:rsid w:val="7B04405E"/>
    <w:rsid w:val="7B065B40"/>
    <w:rsid w:val="7B0F1190"/>
    <w:rsid w:val="7B10446A"/>
    <w:rsid w:val="7B1178C3"/>
    <w:rsid w:val="7B117F70"/>
    <w:rsid w:val="7B1C3605"/>
    <w:rsid w:val="7B283790"/>
    <w:rsid w:val="7B296B32"/>
    <w:rsid w:val="7B33016A"/>
    <w:rsid w:val="7B3A7EC9"/>
    <w:rsid w:val="7B3D70C6"/>
    <w:rsid w:val="7B447444"/>
    <w:rsid w:val="7B65443E"/>
    <w:rsid w:val="7B656160"/>
    <w:rsid w:val="7B70437F"/>
    <w:rsid w:val="7B7603BC"/>
    <w:rsid w:val="7B7E465F"/>
    <w:rsid w:val="7B802F00"/>
    <w:rsid w:val="7B864C52"/>
    <w:rsid w:val="7B9619D1"/>
    <w:rsid w:val="7B9F29AC"/>
    <w:rsid w:val="7BA311A0"/>
    <w:rsid w:val="7BBE19FC"/>
    <w:rsid w:val="7BBF55E8"/>
    <w:rsid w:val="7BCB2800"/>
    <w:rsid w:val="7BDB44D5"/>
    <w:rsid w:val="7BE80B43"/>
    <w:rsid w:val="7BEB7468"/>
    <w:rsid w:val="7BF22B11"/>
    <w:rsid w:val="7C0172F0"/>
    <w:rsid w:val="7C060851"/>
    <w:rsid w:val="7C0A7B9F"/>
    <w:rsid w:val="7C323E6C"/>
    <w:rsid w:val="7C372D24"/>
    <w:rsid w:val="7C3C2C92"/>
    <w:rsid w:val="7C441A9C"/>
    <w:rsid w:val="7C5E667D"/>
    <w:rsid w:val="7C654DB1"/>
    <w:rsid w:val="7C677285"/>
    <w:rsid w:val="7C6B1C1F"/>
    <w:rsid w:val="7C801869"/>
    <w:rsid w:val="7C852C13"/>
    <w:rsid w:val="7C956EA5"/>
    <w:rsid w:val="7CB60225"/>
    <w:rsid w:val="7CBA34EA"/>
    <w:rsid w:val="7CC22469"/>
    <w:rsid w:val="7CCA5B92"/>
    <w:rsid w:val="7CCE7625"/>
    <w:rsid w:val="7CD76AD2"/>
    <w:rsid w:val="7CD83CB9"/>
    <w:rsid w:val="7CE47D2E"/>
    <w:rsid w:val="7CEE6DBB"/>
    <w:rsid w:val="7CF23D7D"/>
    <w:rsid w:val="7D050C2B"/>
    <w:rsid w:val="7D070018"/>
    <w:rsid w:val="7D080E2F"/>
    <w:rsid w:val="7D0C11A6"/>
    <w:rsid w:val="7D0E4BF8"/>
    <w:rsid w:val="7D183461"/>
    <w:rsid w:val="7D197453"/>
    <w:rsid w:val="7D290AD4"/>
    <w:rsid w:val="7D380F30"/>
    <w:rsid w:val="7D387D24"/>
    <w:rsid w:val="7D5A650C"/>
    <w:rsid w:val="7D696248"/>
    <w:rsid w:val="7D6A4AB3"/>
    <w:rsid w:val="7D6E5C84"/>
    <w:rsid w:val="7D764A97"/>
    <w:rsid w:val="7D785BC6"/>
    <w:rsid w:val="7D89026D"/>
    <w:rsid w:val="7D8B532C"/>
    <w:rsid w:val="7D8B5435"/>
    <w:rsid w:val="7D9E640B"/>
    <w:rsid w:val="7DC301AE"/>
    <w:rsid w:val="7DC6758F"/>
    <w:rsid w:val="7DCE3CDB"/>
    <w:rsid w:val="7DD63F5F"/>
    <w:rsid w:val="7DD76F89"/>
    <w:rsid w:val="7DE670A0"/>
    <w:rsid w:val="7DEA7815"/>
    <w:rsid w:val="7DF058B9"/>
    <w:rsid w:val="7E0E2921"/>
    <w:rsid w:val="7E33517B"/>
    <w:rsid w:val="7E3417ED"/>
    <w:rsid w:val="7E3B2025"/>
    <w:rsid w:val="7E4169C9"/>
    <w:rsid w:val="7E51140B"/>
    <w:rsid w:val="7E540D45"/>
    <w:rsid w:val="7E727770"/>
    <w:rsid w:val="7E7402AF"/>
    <w:rsid w:val="7E7D5811"/>
    <w:rsid w:val="7E841F95"/>
    <w:rsid w:val="7E9230FD"/>
    <w:rsid w:val="7E9B45BB"/>
    <w:rsid w:val="7E9D21D9"/>
    <w:rsid w:val="7E9F7262"/>
    <w:rsid w:val="7EA26C1F"/>
    <w:rsid w:val="7EB268B9"/>
    <w:rsid w:val="7EBF1A84"/>
    <w:rsid w:val="7ECB2312"/>
    <w:rsid w:val="7ECE1452"/>
    <w:rsid w:val="7EDF7408"/>
    <w:rsid w:val="7EF03A42"/>
    <w:rsid w:val="7F0128F0"/>
    <w:rsid w:val="7F0211A4"/>
    <w:rsid w:val="7F043CB2"/>
    <w:rsid w:val="7F0A3107"/>
    <w:rsid w:val="7F0E4923"/>
    <w:rsid w:val="7F1D7B88"/>
    <w:rsid w:val="7F236ABB"/>
    <w:rsid w:val="7F257627"/>
    <w:rsid w:val="7F322E50"/>
    <w:rsid w:val="7F383578"/>
    <w:rsid w:val="7F422C68"/>
    <w:rsid w:val="7F431B21"/>
    <w:rsid w:val="7F4448A7"/>
    <w:rsid w:val="7F4452F8"/>
    <w:rsid w:val="7F524820"/>
    <w:rsid w:val="7F5610C0"/>
    <w:rsid w:val="7F573DE2"/>
    <w:rsid w:val="7F5F7A4F"/>
    <w:rsid w:val="7F602AA9"/>
    <w:rsid w:val="7F6C461F"/>
    <w:rsid w:val="7F74564C"/>
    <w:rsid w:val="7F8A551F"/>
    <w:rsid w:val="7F8B46A8"/>
    <w:rsid w:val="7F923FCB"/>
    <w:rsid w:val="7FAD1000"/>
    <w:rsid w:val="7FB12489"/>
    <w:rsid w:val="7FD913AE"/>
    <w:rsid w:val="7FDE753D"/>
    <w:rsid w:val="7FEC0659"/>
    <w:rsid w:val="7FFB13E3"/>
    <w:rsid w:val="8F7FF933"/>
    <w:rsid w:val="EC7F3F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60" w:lineRule="exact"/>
      <w:ind w:firstLine="643" w:firstLineChars="200"/>
      <w:jc w:val="both"/>
    </w:pPr>
    <w:rPr>
      <w:rFonts w:ascii="Calibri" w:hAnsi="Calibri" w:eastAsia="宋体" w:cs="Times New Roman"/>
      <w:kern w:val="2"/>
      <w:sz w:val="24"/>
      <w:szCs w:val="24"/>
      <w:lang w:val="en-US" w:eastAsia="zh-CN" w:bidi="ar-SA"/>
    </w:rPr>
  </w:style>
  <w:style w:type="paragraph" w:styleId="3">
    <w:name w:val="heading 1"/>
    <w:basedOn w:val="1"/>
    <w:next w:val="1"/>
    <w:link w:val="9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92"/>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link w:val="95"/>
    <w:qFormat/>
    <w:uiPriority w:val="0"/>
    <w:pPr>
      <w:keepNext/>
      <w:keepLines/>
      <w:spacing w:before="260" w:after="260" w:line="415" w:lineRule="auto"/>
      <w:outlineLvl w:val="2"/>
    </w:pPr>
    <w:rPr>
      <w:b/>
      <w:bCs/>
      <w:sz w:val="32"/>
      <w:szCs w:val="32"/>
    </w:rPr>
  </w:style>
  <w:style w:type="paragraph" w:styleId="6">
    <w:name w:val="heading 4"/>
    <w:basedOn w:val="1"/>
    <w:next w:val="1"/>
    <w:qFormat/>
    <w:uiPriority w:val="0"/>
    <w:pPr>
      <w:keepNext/>
      <w:keepLines/>
      <w:widowControl/>
      <w:tabs>
        <w:tab w:val="left" w:pos="964"/>
        <w:tab w:val="left" w:pos="1200"/>
      </w:tabs>
      <w:spacing w:before="240" w:line="240" w:lineRule="atLeast"/>
      <w:ind w:left="964" w:hanging="737" w:firstLineChars="0"/>
      <w:outlineLvl w:val="3"/>
    </w:pPr>
    <w:rPr>
      <w:rFonts w:ascii="Times New Roman" w:hAnsi="Times New Roman"/>
      <w:b/>
      <w:bCs/>
    </w:rPr>
  </w:style>
  <w:style w:type="character" w:default="1" w:styleId="35">
    <w:name w:val="Default Paragraph Font"/>
    <w:unhideWhenUsed/>
    <w:qFormat/>
    <w:uiPriority w:val="1"/>
  </w:style>
  <w:style w:type="table" w:default="1" w:styleId="33">
    <w:name w:val="Normal Table"/>
    <w:unhideWhenUsed/>
    <w:qFormat/>
    <w:uiPriority w:val="99"/>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kern w:val="0"/>
      <w:sz w:val="18"/>
      <w:szCs w:val="18"/>
    </w:r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index 8"/>
    <w:basedOn w:val="1"/>
    <w:next w:val="1"/>
    <w:qFormat/>
    <w:uiPriority w:val="0"/>
    <w:pPr>
      <w:spacing w:line="276" w:lineRule="auto"/>
      <w:jc w:val="left"/>
    </w:pPr>
    <w:rPr>
      <w:rFonts w:ascii="宋体" w:hAnsi="宋体"/>
      <w:color w:val="FF0000"/>
      <w:szCs w:val="21"/>
    </w:rPr>
  </w:style>
  <w:style w:type="paragraph" w:styleId="9">
    <w:name w:val="Normal Indent"/>
    <w:basedOn w:val="1"/>
    <w:qFormat/>
    <w:uiPriority w:val="0"/>
    <w:pPr>
      <w:ind w:firstLine="200"/>
    </w:pPr>
  </w:style>
  <w:style w:type="paragraph" w:styleId="10">
    <w:name w:val="Document Map"/>
    <w:basedOn w:val="1"/>
    <w:link w:val="54"/>
    <w:qFormat/>
    <w:uiPriority w:val="0"/>
    <w:rPr>
      <w:rFonts w:ascii="宋体"/>
      <w:sz w:val="18"/>
      <w:szCs w:val="18"/>
    </w:rPr>
  </w:style>
  <w:style w:type="paragraph" w:styleId="11">
    <w:name w:val="annotation text"/>
    <w:basedOn w:val="1"/>
    <w:link w:val="61"/>
    <w:qFormat/>
    <w:uiPriority w:val="0"/>
    <w:pPr>
      <w:ind w:firstLine="640"/>
      <w:jc w:val="left"/>
    </w:pPr>
    <w:rPr>
      <w:rFonts w:hint="eastAsia" w:ascii="宋体" w:hAnsi="宋体"/>
      <w:kern w:val="0"/>
    </w:rPr>
  </w:style>
  <w:style w:type="paragraph" w:styleId="12">
    <w:name w:val="Body Text"/>
    <w:basedOn w:val="1"/>
    <w:next w:val="1"/>
    <w:qFormat/>
    <w:uiPriority w:val="0"/>
    <w:pPr>
      <w:spacing w:after="120"/>
    </w:pPr>
    <w:rPr>
      <w:rFonts w:ascii="Times New Roman" w:hAnsi="Times New Roman"/>
    </w:rPr>
  </w:style>
  <w:style w:type="paragraph" w:styleId="13">
    <w:name w:val="Body Text Indent"/>
    <w:basedOn w:val="1"/>
    <w:qFormat/>
    <w:uiPriority w:val="0"/>
    <w:pPr>
      <w:ind w:firstLine="630"/>
    </w:pPr>
    <w:rPr>
      <w:sz w:val="32"/>
      <w:szCs w:val="20"/>
    </w:rPr>
  </w:style>
  <w:style w:type="paragraph" w:styleId="14">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5">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6">
    <w:name w:val="Plain Text"/>
    <w:basedOn w:val="1"/>
    <w:qFormat/>
    <w:uiPriority w:val="0"/>
    <w:rPr>
      <w:rFonts w:hAnsi="Courier New" w:cs="Courier New"/>
      <w:szCs w:val="21"/>
    </w:rPr>
  </w:style>
  <w:style w:type="paragraph" w:styleId="17">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8">
    <w:name w:val="Date"/>
    <w:basedOn w:val="1"/>
    <w:next w:val="1"/>
    <w:qFormat/>
    <w:uiPriority w:val="0"/>
    <w:pPr>
      <w:ind w:firstLine="0" w:firstLineChars="0"/>
    </w:pPr>
    <w:rPr>
      <w:rFonts w:ascii="Times New Roman" w:hAnsi="Times New Roman"/>
      <w:sz w:val="21"/>
      <w:szCs w:val="21"/>
    </w:rPr>
  </w:style>
  <w:style w:type="paragraph" w:styleId="19">
    <w:name w:val="Body Text Indent 2"/>
    <w:basedOn w:val="1"/>
    <w:link w:val="58"/>
    <w:qFormat/>
    <w:uiPriority w:val="0"/>
    <w:pPr>
      <w:spacing w:after="120" w:line="480" w:lineRule="auto"/>
      <w:ind w:left="420" w:leftChars="200"/>
    </w:pPr>
  </w:style>
  <w:style w:type="paragraph" w:styleId="20">
    <w:name w:val="Balloon Text"/>
    <w:basedOn w:val="1"/>
    <w:link w:val="55"/>
    <w:qFormat/>
    <w:uiPriority w:val="0"/>
    <w:rPr>
      <w:sz w:val="18"/>
      <w:szCs w:val="18"/>
    </w:rPr>
  </w:style>
  <w:style w:type="paragraph" w:styleId="21">
    <w:name w:val="footer"/>
    <w:basedOn w:val="1"/>
    <w:qFormat/>
    <w:uiPriority w:val="0"/>
    <w:pPr>
      <w:tabs>
        <w:tab w:val="center" w:pos="4153"/>
        <w:tab w:val="right" w:pos="8306"/>
      </w:tabs>
      <w:snapToGrid w:val="0"/>
      <w:jc w:val="left"/>
    </w:pPr>
    <w:rPr>
      <w:sz w:val="18"/>
      <w:szCs w:val="20"/>
    </w:rPr>
  </w:style>
  <w:style w:type="paragraph" w:styleId="22">
    <w:name w:val="header"/>
    <w:basedOn w:val="1"/>
    <w:link w:val="50"/>
    <w:qFormat/>
    <w:uiPriority w:val="0"/>
    <w:pPr>
      <w:pBdr>
        <w:bottom w:val="single" w:color="auto" w:sz="6" w:space="1"/>
      </w:pBdr>
      <w:tabs>
        <w:tab w:val="center" w:pos="4153"/>
        <w:tab w:val="right" w:pos="8306"/>
      </w:tabs>
      <w:snapToGrid w:val="0"/>
      <w:jc w:val="center"/>
    </w:pPr>
    <w:rPr>
      <w:sz w:val="18"/>
      <w:szCs w:val="20"/>
    </w:rPr>
  </w:style>
  <w:style w:type="paragraph" w:styleId="23">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24">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5">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6">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7">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28">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rPr>
  </w:style>
  <w:style w:type="paragraph" w:styleId="30">
    <w:name w:val="Title"/>
    <w:basedOn w:val="1"/>
    <w:next w:val="1"/>
    <w:qFormat/>
    <w:uiPriority w:val="0"/>
    <w:pPr>
      <w:spacing w:before="240" w:after="60"/>
      <w:jc w:val="center"/>
      <w:outlineLvl w:val="0"/>
    </w:pPr>
    <w:rPr>
      <w:rFonts w:ascii="Cambria" w:hAnsi="Cambria"/>
      <w:b/>
      <w:bCs/>
      <w:sz w:val="32"/>
      <w:szCs w:val="32"/>
    </w:rPr>
  </w:style>
  <w:style w:type="paragraph" w:styleId="31">
    <w:name w:val="annotation subject"/>
    <w:basedOn w:val="11"/>
    <w:next w:val="11"/>
    <w:link w:val="62"/>
    <w:qFormat/>
    <w:uiPriority w:val="0"/>
    <w:rPr>
      <w:b/>
      <w:bCs/>
    </w:rPr>
  </w:style>
  <w:style w:type="paragraph" w:styleId="32">
    <w:name w:val="Body Text First Indent"/>
    <w:basedOn w:val="12"/>
    <w:next w:val="1"/>
    <w:qFormat/>
    <w:uiPriority w:val="0"/>
    <w:pPr>
      <w:spacing w:line="240" w:lineRule="auto"/>
      <w:ind w:firstLine="420" w:firstLineChars="100"/>
    </w:pPr>
    <w:rPr>
      <w:sz w:val="21"/>
    </w:rPr>
  </w:style>
  <w:style w:type="table" w:styleId="34">
    <w:name w:val="Table Grid"/>
    <w:basedOn w:val="33"/>
    <w:qFormat/>
    <w:uiPriority w:val="0"/>
    <w:pPr>
      <w:widowControl w:val="0"/>
      <w:autoSpaceDE w:val="0"/>
      <w:autoSpaceDN w:val="0"/>
      <w:adjustRightInd w:val="0"/>
      <w:spacing w:after="1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0"/>
    <w:rPr>
      <w:b/>
    </w:rPr>
  </w:style>
  <w:style w:type="character" w:styleId="37">
    <w:name w:val="page number"/>
    <w:qFormat/>
    <w:uiPriority w:val="0"/>
  </w:style>
  <w:style w:type="character" w:styleId="38">
    <w:name w:val="FollowedHyperlink"/>
    <w:basedOn w:val="35"/>
    <w:qFormat/>
    <w:uiPriority w:val="0"/>
    <w:rPr>
      <w:color w:val="333333"/>
      <w:u w:val="none"/>
    </w:rPr>
  </w:style>
  <w:style w:type="character" w:styleId="39">
    <w:name w:val="Emphasis"/>
    <w:basedOn w:val="35"/>
    <w:qFormat/>
    <w:uiPriority w:val="0"/>
    <w:rPr>
      <w:color w:val="CC0000"/>
    </w:rPr>
  </w:style>
  <w:style w:type="character" w:styleId="40">
    <w:name w:val="HTML Definition"/>
    <w:basedOn w:val="35"/>
    <w:qFormat/>
    <w:uiPriority w:val="0"/>
  </w:style>
  <w:style w:type="character" w:styleId="41">
    <w:name w:val="HTML Variable"/>
    <w:basedOn w:val="35"/>
    <w:qFormat/>
    <w:uiPriority w:val="0"/>
  </w:style>
  <w:style w:type="character" w:styleId="42">
    <w:name w:val="Hyperlink"/>
    <w:basedOn w:val="35"/>
    <w:unhideWhenUsed/>
    <w:qFormat/>
    <w:uiPriority w:val="99"/>
    <w:rPr>
      <w:color w:val="0000FF" w:themeColor="hyperlink"/>
      <w:u w:val="single"/>
      <w14:textFill>
        <w14:solidFill>
          <w14:schemeClr w14:val="hlink"/>
        </w14:solidFill>
      </w14:textFill>
    </w:rPr>
  </w:style>
  <w:style w:type="character" w:styleId="43">
    <w:name w:val="HTML Code"/>
    <w:basedOn w:val="35"/>
    <w:qFormat/>
    <w:uiPriority w:val="0"/>
    <w:rPr>
      <w:rFonts w:ascii="Courier New" w:hAnsi="Courier New"/>
      <w:sz w:val="20"/>
    </w:rPr>
  </w:style>
  <w:style w:type="character" w:styleId="44">
    <w:name w:val="annotation reference"/>
    <w:basedOn w:val="35"/>
    <w:qFormat/>
    <w:uiPriority w:val="0"/>
    <w:rPr>
      <w:sz w:val="21"/>
      <w:szCs w:val="21"/>
    </w:rPr>
  </w:style>
  <w:style w:type="character" w:styleId="45">
    <w:name w:val="HTML Cite"/>
    <w:basedOn w:val="35"/>
    <w:qFormat/>
    <w:uiPriority w:val="0"/>
    <w:rPr>
      <w:color w:val="008000"/>
    </w:rPr>
  </w:style>
  <w:style w:type="paragraph" w:customStyle="1" w:styleId="46">
    <w:name w:val="标题 5（有编号）（绿盟科技）"/>
    <w:basedOn w:val="1"/>
    <w:next w:val="47"/>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47">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48">
    <w:name w:val="样式"/>
    <w:next w:val="49"/>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9">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character" w:customStyle="1" w:styleId="50">
    <w:name w:val="页眉 Char"/>
    <w:basedOn w:val="35"/>
    <w:link w:val="22"/>
    <w:qFormat/>
    <w:uiPriority w:val="0"/>
    <w:rPr>
      <w:kern w:val="2"/>
      <w:sz w:val="18"/>
    </w:rPr>
  </w:style>
  <w:style w:type="paragraph" w:customStyle="1" w:styleId="51">
    <w:name w:val="正文首行缩进两字符"/>
    <w:basedOn w:val="1"/>
    <w:qFormat/>
    <w:uiPriority w:val="0"/>
    <w:pPr>
      <w:spacing w:line="360" w:lineRule="auto"/>
      <w:ind w:firstLine="200"/>
    </w:pPr>
  </w:style>
  <w:style w:type="paragraph" w:customStyle="1" w:styleId="52">
    <w:name w:val="样式 首行缩进:  2 字符"/>
    <w:basedOn w:val="1"/>
    <w:qFormat/>
    <w:uiPriority w:val="0"/>
    <w:pPr>
      <w:spacing w:line="400" w:lineRule="exact"/>
      <w:ind w:firstLine="200"/>
    </w:pPr>
    <w:rPr>
      <w:rFonts w:cs="宋体"/>
    </w:rPr>
  </w:style>
  <w:style w:type="paragraph" w:customStyle="1" w:styleId="53">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character" w:customStyle="1" w:styleId="54">
    <w:name w:val="文档结构图 Char"/>
    <w:basedOn w:val="35"/>
    <w:link w:val="10"/>
    <w:qFormat/>
    <w:uiPriority w:val="0"/>
    <w:rPr>
      <w:rFonts w:ascii="宋体"/>
      <w:kern w:val="2"/>
      <w:sz w:val="18"/>
      <w:szCs w:val="18"/>
    </w:rPr>
  </w:style>
  <w:style w:type="character" w:customStyle="1" w:styleId="55">
    <w:name w:val="批注框文本 Char"/>
    <w:basedOn w:val="35"/>
    <w:link w:val="20"/>
    <w:qFormat/>
    <w:uiPriority w:val="0"/>
    <w:rPr>
      <w:kern w:val="2"/>
      <w:sz w:val="18"/>
      <w:szCs w:val="18"/>
    </w:rPr>
  </w:style>
  <w:style w:type="character" w:customStyle="1" w:styleId="56">
    <w:name w:val="ca-102"/>
    <w:qFormat/>
    <w:uiPriority w:val="0"/>
    <w:rPr>
      <w:rFonts w:cs="Times New Roman"/>
    </w:rPr>
  </w:style>
  <w:style w:type="paragraph" w:customStyle="1" w:styleId="57">
    <w:name w:val="A正文小四"/>
    <w:basedOn w:val="1"/>
    <w:qFormat/>
    <w:uiPriority w:val="0"/>
    <w:pPr>
      <w:spacing w:line="360" w:lineRule="auto"/>
      <w:ind w:firstLine="200"/>
    </w:pPr>
    <w:rPr>
      <w:rFonts w:ascii="Times New Roman" w:hAnsi="宋体"/>
      <w:kern w:val="0"/>
    </w:rPr>
  </w:style>
  <w:style w:type="character" w:customStyle="1" w:styleId="58">
    <w:name w:val="正文文本缩进 2 Char"/>
    <w:basedOn w:val="35"/>
    <w:link w:val="19"/>
    <w:qFormat/>
    <w:uiPriority w:val="0"/>
    <w:rPr>
      <w:kern w:val="2"/>
      <w:sz w:val="21"/>
      <w:szCs w:val="24"/>
    </w:rPr>
  </w:style>
  <w:style w:type="paragraph" w:customStyle="1" w:styleId="59">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60">
    <w:name w:val="列出段落1"/>
    <w:basedOn w:val="1"/>
    <w:qFormat/>
    <w:uiPriority w:val="99"/>
    <w:pPr>
      <w:ind w:firstLine="420"/>
    </w:pPr>
  </w:style>
  <w:style w:type="character" w:customStyle="1" w:styleId="61">
    <w:name w:val="批注文字 Char"/>
    <w:basedOn w:val="35"/>
    <w:link w:val="11"/>
    <w:qFormat/>
    <w:uiPriority w:val="0"/>
    <w:rPr>
      <w:kern w:val="2"/>
      <w:sz w:val="21"/>
      <w:szCs w:val="24"/>
    </w:rPr>
  </w:style>
  <w:style w:type="character" w:customStyle="1" w:styleId="62">
    <w:name w:val="批注主题 Char"/>
    <w:basedOn w:val="61"/>
    <w:link w:val="31"/>
    <w:qFormat/>
    <w:uiPriority w:val="0"/>
    <w:rPr>
      <w:kern w:val="2"/>
      <w:sz w:val="21"/>
      <w:szCs w:val="24"/>
    </w:rPr>
  </w:style>
  <w:style w:type="paragraph" w:customStyle="1" w:styleId="63">
    <w:name w:val="列出段落2"/>
    <w:basedOn w:val="1"/>
    <w:unhideWhenUsed/>
    <w:qFormat/>
    <w:uiPriority w:val="99"/>
    <w:pPr>
      <w:ind w:firstLine="420"/>
    </w:pPr>
  </w:style>
  <w:style w:type="paragraph" w:customStyle="1" w:styleId="64">
    <w:name w:val="_Style 2"/>
    <w:basedOn w:val="1"/>
    <w:qFormat/>
    <w:uiPriority w:val="0"/>
    <w:pPr>
      <w:spacing w:before="156" w:beforeLines="50"/>
      <w:ind w:firstLine="420"/>
    </w:pPr>
    <w:rPr>
      <w:sz w:val="21"/>
      <w:szCs w:val="22"/>
    </w:rPr>
  </w:style>
  <w:style w:type="character" w:customStyle="1" w:styleId="65">
    <w:name w:val="15"/>
    <w:basedOn w:val="35"/>
    <w:qFormat/>
    <w:uiPriority w:val="0"/>
    <w:rPr>
      <w:rFonts w:hint="default" w:ascii="Arial" w:hAnsi="Arial" w:cs="Arial"/>
      <w:color w:val="000000"/>
      <w:sz w:val="18"/>
      <w:szCs w:val="18"/>
    </w:rPr>
  </w:style>
  <w:style w:type="character" w:customStyle="1" w:styleId="66">
    <w:name w:val="10"/>
    <w:basedOn w:val="35"/>
    <w:qFormat/>
    <w:uiPriority w:val="0"/>
    <w:rPr>
      <w:rFonts w:hint="default" w:ascii="Times New Roman" w:hAnsi="Times New Roman" w:cs="Times New Roman"/>
    </w:rPr>
  </w:style>
  <w:style w:type="paragraph" w:customStyle="1" w:styleId="67">
    <w:name w:val="_Style 3"/>
    <w:basedOn w:val="1"/>
    <w:qFormat/>
    <w:uiPriority w:val="0"/>
    <w:pPr>
      <w:spacing w:line="300" w:lineRule="auto"/>
      <w:jc w:val="left"/>
    </w:pPr>
    <w:rPr>
      <w:rFonts w:ascii="Times New Roman" w:hAnsi="Times New Roman" w:eastAsia="华文仿宋"/>
    </w:rPr>
  </w:style>
  <w:style w:type="paragraph" w:customStyle="1" w:styleId="68">
    <w:name w:val="表格"/>
    <w:basedOn w:val="1"/>
    <w:qFormat/>
    <w:uiPriority w:val="0"/>
    <w:pPr>
      <w:spacing w:line="400" w:lineRule="exact"/>
      <w:ind w:firstLine="640"/>
    </w:pPr>
    <w:rPr>
      <w:rFonts w:hint="eastAsia" w:ascii="宋体" w:hAnsi="宋体"/>
      <w:kern w:val="0"/>
    </w:rPr>
  </w:style>
  <w:style w:type="paragraph" w:customStyle="1" w:styleId="69">
    <w:name w:val="附件正文"/>
    <w:basedOn w:val="1"/>
    <w:qFormat/>
    <w:uiPriority w:val="0"/>
    <w:pPr>
      <w:snapToGrid w:val="0"/>
      <w:spacing w:line="500" w:lineRule="exact"/>
      <w:ind w:firstLine="540" w:firstLineChars="225"/>
    </w:pPr>
    <w:rPr>
      <w:rFonts w:hint="eastAsia" w:ascii="宋体" w:hAnsi="宋体"/>
      <w:kern w:val="0"/>
    </w:rPr>
  </w:style>
  <w:style w:type="paragraph" w:customStyle="1" w:styleId="70">
    <w:name w:val="样式 首行缩进: 2 字符"/>
    <w:basedOn w:val="1"/>
    <w:qFormat/>
    <w:uiPriority w:val="0"/>
    <w:pPr>
      <w:spacing w:line="400" w:lineRule="exact"/>
      <w:ind w:firstLine="200"/>
    </w:pPr>
    <w:rPr>
      <w:rFonts w:hint="eastAsia" w:ascii="宋体" w:hAnsi="宋体"/>
      <w:kern w:val="0"/>
    </w:rPr>
  </w:style>
  <w:style w:type="character" w:customStyle="1" w:styleId="71">
    <w:name w:val="font61"/>
    <w:basedOn w:val="35"/>
    <w:qFormat/>
    <w:uiPriority w:val="0"/>
    <w:rPr>
      <w:rFonts w:hint="eastAsia" w:ascii="宋体" w:hAnsi="宋体" w:eastAsia="宋体" w:cs="宋体"/>
      <w:b/>
      <w:color w:val="FF0000"/>
      <w:sz w:val="20"/>
      <w:szCs w:val="20"/>
      <w:u w:val="none"/>
    </w:rPr>
  </w:style>
  <w:style w:type="paragraph" w:customStyle="1" w:styleId="72">
    <w:name w:val="Default"/>
    <w:next w:val="1"/>
    <w:qFormat/>
    <w:uiPriority w:val="0"/>
    <w:pPr>
      <w:widowControl w:val="0"/>
      <w:autoSpaceDE w:val="0"/>
      <w:autoSpaceDN w:val="0"/>
      <w:adjustRightInd w:val="0"/>
    </w:pPr>
    <w:rPr>
      <w:rFonts w:ascii="宋体" w:hAnsi="Times New Roman" w:eastAsia="宋体" w:cs="Times New Roman"/>
      <w:color w:val="000000"/>
      <w:sz w:val="24"/>
      <w:szCs w:val="24"/>
      <w:lang w:val="en-US" w:eastAsia="en-US" w:bidi="ar-SA"/>
    </w:rPr>
  </w:style>
  <w:style w:type="paragraph" w:customStyle="1" w:styleId="73">
    <w:name w:val="正文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TableContent"/>
    <w:qFormat/>
    <w:uiPriority w:val="1"/>
    <w:pPr>
      <w:spacing w:before="40" w:after="40"/>
      <w:jc w:val="both"/>
    </w:pPr>
    <w:rPr>
      <w:rFonts w:ascii="Arial" w:hAnsi="Arial" w:eastAsia="宋体" w:cs="Times New Roman"/>
      <w:kern w:val="44"/>
      <w:sz w:val="18"/>
      <w:szCs w:val="44"/>
      <w:lang w:val="en-US" w:eastAsia="zh-CN" w:bidi="ar-SA"/>
    </w:rPr>
  </w:style>
  <w:style w:type="paragraph" w:customStyle="1" w:styleId="75">
    <w:name w:val="op_mapdots_left"/>
    <w:basedOn w:val="1"/>
    <w:qFormat/>
    <w:uiPriority w:val="0"/>
    <w:pPr>
      <w:jc w:val="left"/>
    </w:pPr>
    <w:rPr>
      <w:kern w:val="0"/>
    </w:rPr>
  </w:style>
  <w:style w:type="paragraph" w:customStyle="1" w:styleId="76">
    <w:name w:val="列出段落3"/>
    <w:basedOn w:val="1"/>
    <w:qFormat/>
    <w:uiPriority w:val="0"/>
    <w:pPr>
      <w:ind w:firstLine="420"/>
    </w:pPr>
    <w:rPr>
      <w:szCs w:val="22"/>
    </w:rPr>
  </w:style>
  <w:style w:type="paragraph" w:customStyle="1" w:styleId="77">
    <w:name w:val="正文文本 21"/>
    <w:basedOn w:val="1"/>
    <w:qFormat/>
    <w:uiPriority w:val="0"/>
    <w:pPr>
      <w:adjustRightInd w:val="0"/>
      <w:spacing w:line="300" w:lineRule="auto"/>
      <w:ind w:firstLine="640"/>
      <w:jc w:val="center"/>
      <w:textAlignment w:val="baseline"/>
    </w:pPr>
    <w:rPr>
      <w:rFonts w:hint="eastAsia" w:ascii="宋体" w:hAnsi="宋体"/>
      <w:kern w:val="0"/>
    </w:rPr>
  </w:style>
  <w:style w:type="character" w:customStyle="1" w:styleId="78">
    <w:name w:val="label"/>
    <w:basedOn w:val="35"/>
    <w:qFormat/>
    <w:uiPriority w:val="0"/>
    <w:rPr>
      <w:color w:val="555555"/>
    </w:rPr>
  </w:style>
  <w:style w:type="character" w:customStyle="1" w:styleId="79">
    <w:name w:val="modifier"/>
    <w:basedOn w:val="35"/>
    <w:qFormat/>
    <w:uiPriority w:val="0"/>
    <w:rPr>
      <w:color w:val="FF0000"/>
    </w:rPr>
  </w:style>
  <w:style w:type="character" w:customStyle="1" w:styleId="80">
    <w:name w:val="16"/>
    <w:basedOn w:val="35"/>
    <w:qFormat/>
    <w:uiPriority w:val="0"/>
    <w:rPr>
      <w:rFonts w:hint="default" w:ascii="Times New Roman" w:hAnsi="Times New Roman" w:cs="Times New Roman"/>
    </w:rPr>
  </w:style>
  <w:style w:type="paragraph" w:customStyle="1" w:styleId="81">
    <w:name w:val="列出段落4"/>
    <w:basedOn w:val="1"/>
    <w:qFormat/>
    <w:uiPriority w:val="0"/>
    <w:pPr>
      <w:ind w:firstLine="420"/>
    </w:pPr>
    <w:rPr>
      <w:rFonts w:ascii="Times New Roman" w:hAnsi="Times New Roman"/>
      <w:sz w:val="18"/>
      <w:szCs w:val="18"/>
    </w:rPr>
  </w:style>
  <w:style w:type="character" w:customStyle="1" w:styleId="82">
    <w:name w:val="17"/>
    <w:basedOn w:val="35"/>
    <w:qFormat/>
    <w:uiPriority w:val="0"/>
    <w:rPr>
      <w:rFonts w:hint="default" w:ascii="Times New Roman" w:hAnsi="Times New Roman" w:cs="Times New Roman"/>
    </w:rPr>
  </w:style>
  <w:style w:type="paragraph" w:customStyle="1" w:styleId="83">
    <w:name w:val="p0"/>
    <w:basedOn w:val="1"/>
    <w:qFormat/>
    <w:uiPriority w:val="0"/>
    <w:pPr>
      <w:widowControl/>
      <w:ind w:firstLine="720"/>
      <w:jc w:val="left"/>
    </w:pPr>
    <w:rPr>
      <w:rFonts w:hint="eastAsia" w:ascii="宋体" w:hAnsi="宋体"/>
      <w:kern w:val="0"/>
    </w:rPr>
  </w:style>
  <w:style w:type="paragraph" w:customStyle="1" w:styleId="84">
    <w:name w:val="List Paragraph_9715cebc-96ca-4068-9b55-8138051e5fd8"/>
    <w:basedOn w:val="1"/>
    <w:qFormat/>
    <w:uiPriority w:val="0"/>
    <w:pPr>
      <w:ind w:left="720" w:firstLine="720"/>
      <w:contextualSpacing/>
    </w:pPr>
    <w:rPr>
      <w:rFonts w:hint="eastAsia" w:ascii="宋体" w:hAnsi="宋体"/>
      <w:kern w:val="0"/>
    </w:rPr>
  </w:style>
  <w:style w:type="paragraph" w:customStyle="1" w:styleId="85">
    <w:name w:val="样式1"/>
    <w:basedOn w:val="1"/>
    <w:qFormat/>
    <w:uiPriority w:val="0"/>
    <w:pPr>
      <w:spacing w:line="240" w:lineRule="auto"/>
      <w:ind w:left="602" w:hanging="602" w:hangingChars="150"/>
      <w:jc w:val="center"/>
    </w:pPr>
    <w:rPr>
      <w:b/>
      <w:sz w:val="40"/>
      <w:szCs w:val="44"/>
    </w:rPr>
  </w:style>
  <w:style w:type="paragraph" w:customStyle="1" w:styleId="86">
    <w:name w:val="段"/>
    <w:basedOn w:val="1"/>
    <w:qFormat/>
    <w:uiPriority w:val="0"/>
    <w:pPr>
      <w:widowControl/>
      <w:autoSpaceDE w:val="0"/>
      <w:autoSpaceDN w:val="0"/>
      <w:ind w:firstLine="200"/>
    </w:pPr>
    <w:rPr>
      <w:rFonts w:hint="eastAsia" w:ascii="宋体" w:hAnsi="Times New Roman"/>
      <w:kern w:val="0"/>
      <w:sz w:val="21"/>
      <w:szCs w:val="21"/>
    </w:rPr>
  </w:style>
  <w:style w:type="character" w:customStyle="1" w:styleId="87">
    <w:name w:val="18"/>
    <w:basedOn w:val="35"/>
    <w:qFormat/>
    <w:uiPriority w:val="0"/>
    <w:rPr>
      <w:rFonts w:hint="default" w:ascii="Calibri" w:hAnsi="Calibri" w:cs="Calibri"/>
      <w:b/>
    </w:rPr>
  </w:style>
  <w:style w:type="paragraph" w:customStyle="1" w:styleId="88">
    <w:name w:val="ql-align-center"/>
    <w:basedOn w:val="1"/>
    <w:qFormat/>
    <w:uiPriority w:val="0"/>
    <w:pPr>
      <w:widowControl/>
      <w:spacing w:beforeAutospacing="1" w:afterAutospacing="1"/>
      <w:jc w:val="left"/>
    </w:pPr>
    <w:rPr>
      <w:rFonts w:hint="eastAsia" w:ascii="宋体" w:hAnsi="宋体"/>
      <w:kern w:val="0"/>
    </w:rPr>
  </w:style>
  <w:style w:type="paragraph" w:customStyle="1" w:styleId="89">
    <w:name w:val="字母编号列项（一级）"/>
    <w:basedOn w:val="1"/>
    <w:qFormat/>
    <w:uiPriority w:val="0"/>
    <w:pPr>
      <w:widowControl/>
      <w:ind w:firstLine="0" w:firstLineChars="0"/>
    </w:pPr>
    <w:rPr>
      <w:rFonts w:hint="eastAsia" w:ascii="宋体" w:hAnsi="Times New Roman"/>
      <w:kern w:val="0"/>
      <w:sz w:val="21"/>
      <w:szCs w:val="21"/>
    </w:rPr>
  </w:style>
  <w:style w:type="character" w:customStyle="1" w:styleId="90">
    <w:name w:val="font21"/>
    <w:basedOn w:val="35"/>
    <w:qFormat/>
    <w:uiPriority w:val="0"/>
    <w:rPr>
      <w:rFonts w:hint="eastAsia" w:ascii="宋体" w:hAnsi="宋体" w:eastAsia="宋体" w:cs="宋体"/>
      <w:color w:val="000000"/>
      <w:sz w:val="24"/>
      <w:szCs w:val="24"/>
      <w:u w:val="none"/>
    </w:rPr>
  </w:style>
  <w:style w:type="character" w:customStyle="1" w:styleId="91">
    <w:name w:val="font01"/>
    <w:basedOn w:val="35"/>
    <w:qFormat/>
    <w:uiPriority w:val="0"/>
    <w:rPr>
      <w:rFonts w:hint="eastAsia" w:ascii="宋体" w:hAnsi="宋体" w:eastAsia="宋体" w:cs="宋体"/>
      <w:color w:val="000000"/>
      <w:sz w:val="24"/>
      <w:szCs w:val="24"/>
      <w:u w:val="none"/>
      <w:vertAlign w:val="superscript"/>
    </w:rPr>
  </w:style>
  <w:style w:type="character" w:customStyle="1" w:styleId="92">
    <w:name w:val="标题 2 Char"/>
    <w:link w:val="4"/>
    <w:qFormat/>
    <w:uiPriority w:val="0"/>
    <w:rPr>
      <w:rFonts w:ascii="Arial" w:hAnsi="Arial" w:eastAsia="黑体"/>
      <w:b/>
      <w:bCs/>
      <w:sz w:val="32"/>
      <w:szCs w:val="32"/>
    </w:rPr>
  </w:style>
  <w:style w:type="character" w:customStyle="1" w:styleId="93">
    <w:name w:val="标题 1 Char"/>
    <w:link w:val="3"/>
    <w:qFormat/>
    <w:uiPriority w:val="0"/>
    <w:rPr>
      <w:b/>
      <w:bCs/>
      <w:kern w:val="44"/>
      <w:sz w:val="44"/>
      <w:szCs w:val="44"/>
    </w:rPr>
  </w:style>
  <w:style w:type="paragraph" w:customStyle="1" w:styleId="94">
    <w:name w:val="List Paragraph"/>
    <w:basedOn w:val="1"/>
    <w:qFormat/>
    <w:uiPriority w:val="0"/>
    <w:pPr>
      <w:ind w:firstLine="420" w:firstLineChars="200"/>
    </w:pPr>
    <w:rPr>
      <w:rFonts w:cs="Calibri" w:eastAsiaTheme="minorEastAsia"/>
    </w:rPr>
  </w:style>
  <w:style w:type="character" w:customStyle="1" w:styleId="95">
    <w:name w:val="标题 3 Char"/>
    <w:link w:val="5"/>
    <w:qFormat/>
    <w:uiPriority w:val="0"/>
    <w:rPr>
      <w:b/>
      <w:bCs/>
      <w:sz w:val="32"/>
      <w:szCs w:val="32"/>
    </w:rPr>
  </w:style>
  <w:style w:type="paragraph" w:customStyle="1" w:styleId="96">
    <w:name w:val="p15"/>
    <w:basedOn w:val="1"/>
    <w:qFormat/>
    <w:uiPriority w:val="0"/>
    <w:rPr>
      <w:rFonts w:ascii="Arial Unicode MS" w:hAnsi="Arial Unicode MS" w:eastAsia="宋体" w:cs="宋体"/>
      <w:color w:val="000000"/>
      <w:sz w:val="24"/>
    </w:rPr>
  </w:style>
  <w:style w:type="paragraph" w:customStyle="1" w:styleId="97">
    <w:name w:val="彩色列表 - 强调文字颜色 11"/>
    <w:basedOn w:val="1"/>
    <w:qFormat/>
    <w:uiPriority w:val="34"/>
    <w:pPr>
      <w:ind w:firstLine="420" w:firstLineChars="200"/>
    </w:pPr>
  </w:style>
  <w:style w:type="paragraph" w:customStyle="1" w:styleId="98">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9">
    <w:name w:val="要点 New"/>
    <w:qFormat/>
    <w:uiPriority w:val="0"/>
    <w:rPr>
      <w:b/>
      <w:bCs/>
    </w:rPr>
  </w:style>
  <w:style w:type="character" w:customStyle="1" w:styleId="100">
    <w:name w:val="font51"/>
    <w:basedOn w:val="35"/>
    <w:qFormat/>
    <w:uiPriority w:val="0"/>
    <w:rPr>
      <w:rFonts w:ascii="宋体" w:eastAsia="宋体" w:cs="宋体"/>
      <w:color w:val="000000"/>
      <w:sz w:val="21"/>
      <w:szCs w:val="21"/>
      <w:u w:val="none"/>
    </w:rPr>
  </w:style>
  <w:style w:type="paragraph" w:customStyle="1" w:styleId="101">
    <w:name w:val="01、普通正文"/>
    <w:basedOn w:val="1"/>
    <w:qFormat/>
    <w:uiPriority w:val="0"/>
    <w:pPr>
      <w:tabs>
        <w:tab w:val="left" w:pos="0"/>
      </w:tabs>
      <w:wordWrap w:val="0"/>
      <w:topLinePunct/>
    </w:pPr>
    <w:rPr>
      <w:rFonts w:ascii="宋体"/>
      <w:snapToGrid w:val="0"/>
    </w:rPr>
  </w:style>
  <w:style w:type="paragraph" w:customStyle="1" w:styleId="102">
    <w:name w:val="13、表格内居中正文"/>
    <w:basedOn w:val="1"/>
    <w:qFormat/>
    <w:uiPriority w:val="0"/>
    <w:pPr>
      <w:tabs>
        <w:tab w:val="left" w:pos="0"/>
      </w:tabs>
      <w:wordWrap w:val="0"/>
      <w:topLinePunct/>
      <w:spacing w:line="360" w:lineRule="exact"/>
      <w:jc w:val="center"/>
    </w:pPr>
    <w:rPr>
      <w:rFonts w:ascii="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219</Pages>
  <Words>104626</Words>
  <Characters>115520</Characters>
  <Lines>346</Lines>
  <Paragraphs>97</Paragraphs>
  <TotalTime>19</TotalTime>
  <ScaleCrop>false</ScaleCrop>
  <LinksUpToDate>false</LinksUpToDate>
  <CharactersWithSpaces>119925</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2017-01-17T14:02:00Z</dcterms:created>
  <dc:creator>s</dc:creator>
  <cp:lastModifiedBy>蔡</cp:lastModifiedBy>
  <cp:lastPrinted>2021-11-30T08:51:00Z</cp:lastPrinted>
  <dcterms:modified xsi:type="dcterms:W3CDTF">2022-01-07T04:15:51Z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425367605_btnclosed</vt:lpwstr>
  </property>
  <property fmtid="{D5CDD505-2E9C-101B-9397-08002B2CF9AE}" pid="4" name="ICV">
    <vt:lpwstr>E62443940F7C43EF80877BBB4C2CD5EB</vt:lpwstr>
  </property>
</Properties>
</file>