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9"/>
        <w:spacing w:line="360" w:lineRule="auto"/>
        <w:rPr>
          <w:rFonts w:hint="eastAsia" w:cs="宋体" w:asciiTheme="minorEastAsia" w:hAnsiTheme="minorEastAsia" w:eastAsiaTheme="minorEastAsia"/>
          <w:b/>
          <w:bCs/>
          <w:color w:val="auto"/>
          <w:sz w:val="40"/>
          <w:szCs w:val="40"/>
          <w:highlight w:val="none"/>
        </w:rPr>
      </w:pPr>
      <w:bookmarkStart w:id="0" w:name="_Toc578"/>
      <w:bookmarkStart w:id="1" w:name="_Toc5725"/>
      <w:bookmarkStart w:id="2" w:name="_Toc6478"/>
      <w:r>
        <w:rPr>
          <w:rFonts w:hint="eastAsia" w:cs="宋体" w:asciiTheme="minorEastAsia" w:hAnsiTheme="minorEastAsia" w:eastAsiaTheme="minorEastAsia"/>
          <w:b/>
          <w:bCs/>
          <w:color w:val="auto"/>
          <w:sz w:val="40"/>
          <w:szCs w:val="40"/>
          <w:highlight w:val="none"/>
        </w:rPr>
        <w:t>项目编号：510101202100249</w:t>
      </w:r>
    </w:p>
    <w:p>
      <w:pPr>
        <w:pStyle w:val="39"/>
        <w:spacing w:line="360" w:lineRule="auto"/>
        <w:rPr>
          <w:rFonts w:cs="宋体" w:asciiTheme="minorEastAsia" w:hAnsiTheme="minorEastAsia" w:eastAsiaTheme="minorEastAsia"/>
          <w:b/>
          <w:bCs/>
          <w:color w:val="auto"/>
          <w:sz w:val="40"/>
          <w:szCs w:val="40"/>
          <w:highlight w:val="none"/>
        </w:rPr>
      </w:pPr>
      <w:r>
        <w:rPr>
          <w:rFonts w:hint="eastAsia" w:cs="宋体" w:asciiTheme="minorEastAsia" w:hAnsiTheme="minorEastAsia" w:eastAsiaTheme="minorEastAsia"/>
          <w:b/>
          <w:bCs/>
          <w:color w:val="auto"/>
          <w:sz w:val="40"/>
          <w:szCs w:val="40"/>
          <w:highlight w:val="none"/>
        </w:rPr>
        <w:t>内部编号：ZCQXZB-2021-0231S</w:t>
      </w:r>
    </w:p>
    <w:p>
      <w:pPr>
        <w:pStyle w:val="39"/>
        <w:spacing w:line="360" w:lineRule="auto"/>
        <w:rPr>
          <w:rFonts w:cs="宋体" w:asciiTheme="minorEastAsia" w:hAnsiTheme="minorEastAsia" w:eastAsiaTheme="minorEastAsia"/>
          <w:b/>
          <w:bCs/>
          <w:color w:val="auto"/>
          <w:sz w:val="40"/>
          <w:szCs w:val="40"/>
          <w:highlight w:val="none"/>
        </w:rPr>
      </w:pPr>
      <w:r>
        <w:rPr>
          <w:rFonts w:hint="eastAsia" w:cs="宋体" w:asciiTheme="minorEastAsia" w:hAnsiTheme="minorEastAsia" w:eastAsiaTheme="minorEastAsia"/>
          <w:b/>
          <w:bCs/>
          <w:color w:val="auto"/>
          <w:sz w:val="40"/>
          <w:szCs w:val="40"/>
          <w:highlight w:val="none"/>
        </w:rPr>
        <w:t xml:space="preserve">项目名称：成都市规划和自然资源局新型地理实体和电子地图数据生产更新及检验入库采购项目 </w:t>
      </w:r>
    </w:p>
    <w:p>
      <w:pPr>
        <w:pStyle w:val="39"/>
        <w:wordWrap w:val="0"/>
        <w:topLinePunct/>
        <w:spacing w:before="3360" w:beforeLines="1400" w:after="3360" w:afterLines="1400" w:line="240" w:lineRule="auto"/>
        <w:jc w:val="center"/>
        <w:rPr>
          <w:rFonts w:cs="宋体" w:asciiTheme="minorEastAsia" w:hAnsiTheme="minorEastAsia" w:eastAsiaTheme="minorEastAsia"/>
          <w:b/>
          <w:bCs/>
          <w:color w:val="auto"/>
          <w:sz w:val="96"/>
          <w:szCs w:val="96"/>
          <w:highlight w:val="none"/>
        </w:rPr>
      </w:pPr>
      <w:r>
        <w:rPr>
          <w:rFonts w:hint="eastAsia" w:cs="宋体" w:asciiTheme="minorEastAsia" w:hAnsiTheme="minorEastAsia" w:eastAsiaTheme="minorEastAsia"/>
          <w:b/>
          <w:bCs/>
          <w:color w:val="auto"/>
          <w:sz w:val="96"/>
          <w:szCs w:val="96"/>
          <w:highlight w:val="none"/>
        </w:rPr>
        <w:t>招标文件</w:t>
      </w:r>
    </w:p>
    <w:p>
      <w:pPr>
        <w:pStyle w:val="39"/>
        <w:spacing w:line="360" w:lineRule="auto"/>
        <w:jc w:val="center"/>
        <w:rPr>
          <w:rFonts w:cs="宋体" w:asciiTheme="minorEastAsia" w:hAnsiTheme="minorEastAsia" w:eastAsiaTheme="minorEastAsia"/>
          <w:b/>
          <w:bCs/>
          <w:color w:val="auto"/>
          <w:sz w:val="28"/>
          <w:szCs w:val="28"/>
          <w:highlight w:val="none"/>
        </w:rPr>
      </w:pPr>
      <w:r>
        <w:rPr>
          <w:rFonts w:hint="eastAsia" w:cs="宋体" w:asciiTheme="minorEastAsia" w:hAnsiTheme="minorEastAsia" w:eastAsiaTheme="minorEastAsia"/>
          <w:b/>
          <w:bCs/>
          <w:color w:val="auto"/>
          <w:sz w:val="28"/>
          <w:szCs w:val="28"/>
          <w:highlight w:val="none"/>
        </w:rPr>
        <w:t>中国·四川</w:t>
      </w:r>
    </w:p>
    <w:p>
      <w:pPr>
        <w:pStyle w:val="39"/>
        <w:spacing w:line="360" w:lineRule="auto"/>
        <w:ind w:left="2400" w:leftChars="1000"/>
        <w:rPr>
          <w:rFonts w:cs="宋体" w:asciiTheme="minorEastAsia" w:hAnsiTheme="minorEastAsia" w:eastAsiaTheme="minorEastAsia"/>
          <w:b/>
          <w:bCs/>
          <w:color w:val="auto"/>
          <w:sz w:val="28"/>
          <w:szCs w:val="28"/>
          <w:highlight w:val="none"/>
        </w:rPr>
      </w:pPr>
      <w:r>
        <w:rPr>
          <w:rFonts w:hint="eastAsia" w:cs="宋体" w:asciiTheme="minorEastAsia" w:hAnsiTheme="minorEastAsia" w:eastAsiaTheme="minorEastAsia"/>
          <w:b/>
          <w:bCs/>
          <w:color w:val="auto"/>
          <w:sz w:val="28"/>
          <w:szCs w:val="28"/>
          <w:highlight w:val="none"/>
        </w:rPr>
        <w:t xml:space="preserve">采   购   人：成都市规划和自然资源局         </w:t>
      </w:r>
    </w:p>
    <w:p>
      <w:pPr>
        <w:pStyle w:val="39"/>
        <w:spacing w:line="360" w:lineRule="auto"/>
        <w:ind w:left="2400" w:leftChars="1000"/>
        <w:rPr>
          <w:rFonts w:cs="宋体" w:asciiTheme="minorEastAsia" w:hAnsiTheme="minorEastAsia" w:eastAsiaTheme="minorEastAsia"/>
          <w:b/>
          <w:bCs/>
          <w:color w:val="auto"/>
          <w:sz w:val="28"/>
          <w:szCs w:val="28"/>
          <w:highlight w:val="none"/>
        </w:rPr>
      </w:pPr>
      <w:r>
        <w:rPr>
          <w:rFonts w:hint="eastAsia" w:cs="宋体" w:asciiTheme="minorEastAsia" w:hAnsiTheme="minorEastAsia" w:eastAsiaTheme="minorEastAsia"/>
          <w:b/>
          <w:bCs/>
          <w:color w:val="auto"/>
          <w:sz w:val="28"/>
          <w:szCs w:val="28"/>
          <w:highlight w:val="none"/>
        </w:rPr>
        <w:t>采购代理机构：四川乾新招投标代理有限公司</w:t>
      </w:r>
    </w:p>
    <w:p>
      <w:pPr>
        <w:pStyle w:val="39"/>
        <w:spacing w:line="360" w:lineRule="auto"/>
        <w:ind w:left="2400" w:leftChars="1000"/>
        <w:rPr>
          <w:rFonts w:cs="宋体" w:asciiTheme="minorEastAsia" w:hAnsiTheme="minorEastAsia" w:eastAsiaTheme="minorEastAsia"/>
          <w:b/>
          <w:bCs/>
          <w:color w:val="auto"/>
          <w:sz w:val="28"/>
          <w:szCs w:val="28"/>
          <w:highlight w:val="none"/>
        </w:rPr>
      </w:pPr>
      <w:r>
        <w:rPr>
          <w:rFonts w:hint="eastAsia" w:cs="宋体" w:asciiTheme="minorEastAsia" w:hAnsiTheme="minorEastAsia" w:eastAsiaTheme="minorEastAsia"/>
          <w:b/>
          <w:bCs/>
          <w:color w:val="auto"/>
          <w:sz w:val="28"/>
          <w:szCs w:val="28"/>
          <w:highlight w:val="none"/>
        </w:rPr>
        <w:t>文  件 编 制：由采购人和采购代理机构共同编制</w:t>
      </w:r>
    </w:p>
    <w:p>
      <w:pPr>
        <w:pStyle w:val="39"/>
        <w:spacing w:line="360" w:lineRule="auto"/>
        <w:jc w:val="center"/>
        <w:rPr>
          <w:rFonts w:cs="宋体" w:asciiTheme="minorEastAsia" w:hAnsiTheme="minorEastAsia" w:eastAsiaTheme="minorEastAsia"/>
          <w:b/>
          <w:bCs/>
          <w:color w:val="auto"/>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720" w:num="1"/>
          <w:titlePg/>
          <w:docGrid w:linePitch="312" w:charSpace="0"/>
        </w:sectPr>
      </w:pPr>
      <w:r>
        <w:rPr>
          <w:rFonts w:hint="eastAsia" w:cs="宋体" w:asciiTheme="minorEastAsia" w:hAnsiTheme="minorEastAsia" w:eastAsiaTheme="minorEastAsia"/>
          <w:b/>
          <w:bCs/>
          <w:color w:val="auto"/>
          <w:sz w:val="28"/>
          <w:szCs w:val="28"/>
          <w:highlight w:val="none"/>
        </w:rPr>
        <w:t>二○二一年五月</w:t>
      </w:r>
    </w:p>
    <w:p>
      <w:pPr>
        <w:pStyle w:val="39"/>
        <w:spacing w:line="240" w:lineRule="auto"/>
        <w:jc w:val="center"/>
        <w:rPr>
          <w:rFonts w:cs="宋体" w:asciiTheme="minorEastAsia" w:hAnsiTheme="minorEastAsia" w:eastAsiaTheme="minorEastAsia"/>
          <w:b/>
          <w:bCs/>
          <w:color w:val="auto"/>
          <w:sz w:val="40"/>
          <w:szCs w:val="40"/>
          <w:highlight w:val="none"/>
        </w:rPr>
      </w:pPr>
      <w:bookmarkStart w:id="3" w:name="_Toc452473646"/>
      <w:bookmarkStart w:id="4" w:name="_Toc502651262"/>
      <w:bookmarkStart w:id="5" w:name="_Toc371958974"/>
      <w:bookmarkStart w:id="6" w:name="_Toc336690878"/>
      <w:bookmarkStart w:id="7" w:name="_Toc373139265"/>
      <w:bookmarkStart w:id="8" w:name="_Toc372620750"/>
      <w:r>
        <w:rPr>
          <w:rFonts w:hint="eastAsia" w:cs="宋体" w:asciiTheme="minorEastAsia" w:hAnsiTheme="minorEastAsia" w:eastAsiaTheme="minorEastAsia"/>
          <w:b/>
          <w:bCs/>
          <w:color w:val="auto"/>
          <w:sz w:val="40"/>
          <w:szCs w:val="40"/>
          <w:highlight w:val="none"/>
        </w:rPr>
        <w:t>政府采购阳光宣言</w:t>
      </w:r>
      <w:bookmarkEnd w:id="3"/>
      <w:bookmarkEnd w:id="4"/>
    </w:p>
    <w:p>
      <w:pPr>
        <w:pStyle w:val="39"/>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四川乾新践行公平竞争、诚信的核心价值观，诚信于股东、诚信于服务对象、诚信于员工、诚信于社会。</w:t>
      </w:r>
    </w:p>
    <w:p>
      <w:pPr>
        <w:pStyle w:val="39"/>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四川乾新全体员工严格遵守《乾新十戒》和《员工廉洁从业规定》，遵纪守法，强化自律，廉洁从业，规范经营。</w:t>
      </w:r>
    </w:p>
    <w:p>
      <w:pPr>
        <w:pStyle w:val="39"/>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39"/>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四川乾新不以向采购人及其亲属提供任何个人利益的方式谋求合作关系；</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四川乾新不迷信任何实际存在的或虚构的所谓关系； </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四川乾新不采取恶性竞争等不正当手段竞争业务；</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四川乾新不向采购人提供好处费、回扣、现金及有价证券、支付凭证、贵重礼物；</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供应商在参与项目时公平竞争，充分发挥市场主体作用，降低采购成本，节约采购资金；</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四川乾新不与采购人、供应商串通投标；</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四川乾新、采购人不与供应商就标底、其他单位的投标书等商业秘密及合同中的质量、价格、验收等条款进行私下商谈或者达成默契；</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四川乾新坚决杜绝以下行为：①乾新员工有行贿倾向、建议等行为；②乾新员工有索贿、受贿等行为。</w:t>
      </w:r>
    </w:p>
    <w:p>
      <w:pPr>
        <w:pStyle w:val="39"/>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如出现违反宣言的行为，请及时向四川乾新监察部投诉或举报，经核查属实的，严格按照公司规定处理，涉及违法违纪的将追究相关法律责任。请各采购人及供应商积极宣传本宣言，了解并自觉践行宣言，共同营造公开透明、公正、公平、诚信、讲求绩效的政采营商环境，共同推动政府采购健康发展。 </w:t>
      </w:r>
    </w:p>
    <w:p>
      <w:pPr>
        <w:pStyle w:val="39"/>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监察部投诉及举报邮箱：scqxzb_shl@163.com</w:t>
      </w:r>
    </w:p>
    <w:p>
      <w:pPr>
        <w:pStyle w:val="39"/>
        <w:ind w:firstLine="480" w:firstLineChars="200"/>
        <w:rPr>
          <w:rFonts w:cs="宋体" w:asciiTheme="minorEastAsia" w:hAnsiTheme="minorEastAsia" w:eastAsiaTheme="minorEastAsia"/>
          <w:color w:val="auto"/>
          <w:highlight w:val="none"/>
        </w:rPr>
        <w:sectPr>
          <w:headerReference r:id="rId11" w:type="first"/>
          <w:footerReference r:id="rId13" w:type="first"/>
          <w:headerReference r:id="rId10" w:type="default"/>
          <w:footerReference r:id="rId12" w:type="default"/>
          <w:pgSz w:w="11906" w:h="16838"/>
          <w:pgMar w:top="1440" w:right="1083" w:bottom="1440" w:left="1083" w:header="851" w:footer="992" w:gutter="0"/>
          <w:cols w:space="720" w:num="1"/>
          <w:titlePg/>
          <w:docGrid w:linePitch="312" w:charSpace="0"/>
        </w:sectPr>
      </w:pPr>
      <w:r>
        <w:rPr>
          <w:rFonts w:hint="eastAsia" w:cs="宋体" w:asciiTheme="minorEastAsia" w:hAnsiTheme="minorEastAsia" w:eastAsiaTheme="minorEastAsia"/>
          <w:color w:val="auto"/>
          <w:highlight w:val="none"/>
        </w:rPr>
        <w:t>监察部投诉及举报电话：028-62630990</w:t>
      </w:r>
      <w:bookmarkEnd w:id="5"/>
      <w:bookmarkEnd w:id="6"/>
      <w:bookmarkEnd w:id="7"/>
      <w:bookmarkEnd w:id="8"/>
    </w:p>
    <w:p>
      <w:pPr>
        <w:pStyle w:val="39"/>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目  录</w:t>
      </w:r>
      <w:bookmarkEnd w:id="0"/>
      <w:bookmarkEnd w:id="1"/>
    </w:p>
    <w:p>
      <w:pPr>
        <w:pStyle w:val="22"/>
        <w:tabs>
          <w:tab w:val="clear" w:pos="0"/>
        </w:tabs>
        <w:rPr>
          <w:color w:val="auto"/>
          <w:highlight w:val="none"/>
        </w:rPr>
      </w:pPr>
      <w:bookmarkStart w:id="9" w:name="_Toc26242"/>
      <w:bookmarkStart w:id="10" w:name="_Toc15794"/>
      <w:bookmarkStart w:id="11" w:name="_Toc28748"/>
      <w:r>
        <w:rPr>
          <w:rFonts w:hint="eastAsia" w:cs="宋体" w:asciiTheme="minorEastAsia" w:hAnsiTheme="minorEastAsia" w:eastAsiaTheme="minorEastAsia"/>
          <w:color w:val="auto"/>
          <w:highlight w:val="none"/>
        </w:rPr>
        <w:fldChar w:fldCharType="begin"/>
      </w:r>
      <w:r>
        <w:rPr>
          <w:rFonts w:hint="eastAsia" w:cs="宋体" w:asciiTheme="minorEastAsia" w:hAnsiTheme="minorEastAsia" w:eastAsiaTheme="minorEastAsia"/>
          <w:color w:val="auto"/>
          <w:highlight w:val="none"/>
        </w:rPr>
        <w:instrText xml:space="preserve">TOC \o "1-3" \h \u </w:instrText>
      </w:r>
      <w:r>
        <w:rPr>
          <w:rFonts w:hint="eastAsia" w:cs="宋体" w:asciiTheme="minorEastAsia" w:hAnsiTheme="minorEastAsia" w:eastAsiaTheme="minorEastAsia"/>
          <w:color w:val="auto"/>
          <w:highlight w:val="none"/>
        </w:rPr>
        <w:fldChar w:fldCharType="separate"/>
      </w:r>
      <w:r>
        <w:rPr>
          <w:color w:val="auto"/>
          <w:highlight w:val="none"/>
        </w:rPr>
        <w:fldChar w:fldCharType="begin"/>
      </w:r>
      <w:r>
        <w:rPr>
          <w:color w:val="auto"/>
          <w:highlight w:val="none"/>
        </w:rPr>
        <w:instrText xml:space="preserve"> HYPERLINK \l "_Toc22021" </w:instrText>
      </w:r>
      <w:r>
        <w:rPr>
          <w:color w:val="auto"/>
          <w:highlight w:val="none"/>
        </w:rPr>
        <w:fldChar w:fldCharType="separate"/>
      </w:r>
      <w:r>
        <w:rPr>
          <w:rFonts w:hint="eastAsia" w:cs="宋体"/>
          <w:color w:val="auto"/>
          <w:highlight w:val="none"/>
        </w:rPr>
        <w:t xml:space="preserve">第一章 </w:t>
      </w:r>
      <w:r>
        <w:rPr>
          <w:rFonts w:hint="eastAsia" w:cs="宋体" w:asciiTheme="minorEastAsia" w:hAnsiTheme="minorEastAsia" w:eastAsiaTheme="minorEastAsia"/>
          <w:color w:val="auto"/>
          <w:highlight w:val="none"/>
        </w:rPr>
        <w:t>投标邀请</w:t>
      </w:r>
      <w:r>
        <w:rPr>
          <w:color w:val="auto"/>
          <w:highlight w:val="none"/>
        </w:rPr>
        <w:tab/>
      </w:r>
      <w:r>
        <w:rPr>
          <w:color w:val="auto"/>
          <w:highlight w:val="none"/>
        </w:rPr>
        <w:fldChar w:fldCharType="begin"/>
      </w:r>
      <w:r>
        <w:rPr>
          <w:color w:val="auto"/>
          <w:highlight w:val="none"/>
        </w:rPr>
        <w:instrText xml:space="preserve"> PAGEREF _Toc22021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"_Toc383" </w:instrText>
      </w:r>
      <w:r>
        <w:rPr>
          <w:color w:val="auto"/>
          <w:highlight w:val="none"/>
        </w:rPr>
        <w:fldChar w:fldCharType="separate"/>
      </w:r>
      <w:r>
        <w:rPr>
          <w:rFonts w:hint="eastAsia" w:cs="宋体"/>
          <w:color w:val="auto"/>
          <w:highlight w:val="none"/>
        </w:rPr>
        <w:t xml:space="preserve">第二章 </w:t>
      </w:r>
      <w:r>
        <w:rPr>
          <w:rFonts w:hint="eastAsia" w:cs="宋体" w:asciiTheme="minorEastAsia" w:hAnsiTheme="minorEastAsia" w:eastAsiaTheme="minor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_Toc383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"_Toc6258" </w:instrText>
      </w:r>
      <w:r>
        <w:rPr>
          <w:color w:val="auto"/>
          <w:highlight w:val="none"/>
        </w:rPr>
        <w:fldChar w:fldCharType="separate"/>
      </w:r>
      <w:r>
        <w:rPr>
          <w:rFonts w:hint="eastAsia" w:cs="宋体" w:asciiTheme="minorEastAsia" w:hAnsiTheme="minorEastAsia" w:eastAsiaTheme="minorEastAsia"/>
          <w:color w:val="auto"/>
          <w:highlight w:val="none"/>
        </w:rPr>
        <w:t>一、 投标人须知前附表</w:t>
      </w:r>
      <w:r>
        <w:rPr>
          <w:color w:val="auto"/>
          <w:highlight w:val="none"/>
        </w:rPr>
        <w:tab/>
      </w:r>
      <w:r>
        <w:rPr>
          <w:color w:val="auto"/>
          <w:highlight w:val="none"/>
        </w:rPr>
        <w:fldChar w:fldCharType="begin"/>
      </w:r>
      <w:r>
        <w:rPr>
          <w:color w:val="auto"/>
          <w:highlight w:val="none"/>
        </w:rPr>
        <w:instrText xml:space="preserve"> PAGEREF _Toc6258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"_Toc3941" </w:instrText>
      </w:r>
      <w:r>
        <w:rPr>
          <w:color w:val="auto"/>
          <w:highlight w:val="none"/>
        </w:rPr>
        <w:fldChar w:fldCharType="separate"/>
      </w:r>
      <w:r>
        <w:rPr>
          <w:rFonts w:hint="eastAsia" w:cs="宋体" w:asciiTheme="minorEastAsia" w:hAnsiTheme="minorEastAsia" w:eastAsiaTheme="minorEastAsia"/>
          <w:color w:val="auto"/>
          <w:highlight w:val="none"/>
        </w:rPr>
        <w:t>二、 总 则</w:t>
      </w:r>
      <w:r>
        <w:rPr>
          <w:color w:val="auto"/>
          <w:highlight w:val="none"/>
        </w:rPr>
        <w:tab/>
      </w:r>
      <w:r>
        <w:rPr>
          <w:color w:val="auto"/>
          <w:highlight w:val="none"/>
        </w:rPr>
        <w:fldChar w:fldCharType="begin"/>
      </w:r>
      <w:r>
        <w:rPr>
          <w:color w:val="auto"/>
          <w:highlight w:val="none"/>
        </w:rPr>
        <w:instrText xml:space="preserve"> PAGEREF _Toc3941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"_Toc8023" </w:instrText>
      </w:r>
      <w:r>
        <w:rPr>
          <w:color w:val="auto"/>
          <w:highlight w:val="none"/>
        </w:rPr>
        <w:fldChar w:fldCharType="separate"/>
      </w:r>
      <w:r>
        <w:rPr>
          <w:rFonts w:hint="eastAsia" w:cs="宋体" w:asciiTheme="minorEastAsia" w:hAnsiTheme="minorEastAsia" w:eastAsiaTheme="minorEastAsia"/>
          <w:color w:val="auto"/>
          <w:highlight w:val="none"/>
        </w:rPr>
        <w:t>(一) 适用范围</w:t>
      </w:r>
      <w:r>
        <w:rPr>
          <w:color w:val="auto"/>
          <w:highlight w:val="none"/>
        </w:rPr>
        <w:tab/>
      </w:r>
      <w:r>
        <w:rPr>
          <w:color w:val="auto"/>
          <w:highlight w:val="none"/>
        </w:rPr>
        <w:fldChar w:fldCharType="begin"/>
      </w:r>
      <w:r>
        <w:rPr>
          <w:color w:val="auto"/>
          <w:highlight w:val="none"/>
        </w:rPr>
        <w:instrText xml:space="preserve"> PAGEREF _Toc8023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"_Toc22672" </w:instrText>
      </w:r>
      <w:r>
        <w:rPr>
          <w:color w:val="auto"/>
          <w:highlight w:val="none"/>
        </w:rPr>
        <w:fldChar w:fldCharType="separate"/>
      </w:r>
      <w:r>
        <w:rPr>
          <w:rFonts w:hint="eastAsia" w:cs="宋体" w:asciiTheme="minorEastAsia" w:hAnsiTheme="minorEastAsia" w:eastAsiaTheme="minorEastAsia"/>
          <w:color w:val="auto"/>
          <w:highlight w:val="none"/>
        </w:rPr>
        <w:t>(二) 有关定义</w:t>
      </w:r>
      <w:r>
        <w:rPr>
          <w:color w:val="auto"/>
          <w:highlight w:val="none"/>
        </w:rPr>
        <w:tab/>
      </w:r>
      <w:r>
        <w:rPr>
          <w:color w:val="auto"/>
          <w:highlight w:val="none"/>
        </w:rPr>
        <w:fldChar w:fldCharType="begin"/>
      </w:r>
      <w:r>
        <w:rPr>
          <w:color w:val="auto"/>
          <w:highlight w:val="none"/>
        </w:rPr>
        <w:instrText xml:space="preserve"> PAGEREF _Toc22672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"_Toc23400" </w:instrText>
      </w:r>
      <w:r>
        <w:rPr>
          <w:color w:val="auto"/>
          <w:highlight w:val="none"/>
        </w:rPr>
        <w:fldChar w:fldCharType="separate"/>
      </w:r>
      <w:r>
        <w:rPr>
          <w:rFonts w:hint="eastAsia" w:cs="宋体" w:asciiTheme="minorEastAsia" w:hAnsiTheme="minorEastAsia" w:eastAsiaTheme="minorEastAsia"/>
          <w:color w:val="auto"/>
          <w:highlight w:val="none"/>
        </w:rPr>
        <w:t>(三) 合格的投标人(实质性要求)</w:t>
      </w:r>
      <w:r>
        <w:rPr>
          <w:color w:val="auto"/>
          <w:highlight w:val="none"/>
        </w:rPr>
        <w:tab/>
      </w:r>
      <w:r>
        <w:rPr>
          <w:color w:val="auto"/>
          <w:highlight w:val="none"/>
        </w:rPr>
        <w:fldChar w:fldCharType="begin"/>
      </w:r>
      <w:r>
        <w:rPr>
          <w:color w:val="auto"/>
          <w:highlight w:val="none"/>
        </w:rPr>
        <w:instrText xml:space="preserve"> PAGEREF _Toc23400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"_Toc19013" </w:instrText>
      </w:r>
      <w:r>
        <w:rPr>
          <w:color w:val="auto"/>
          <w:highlight w:val="none"/>
        </w:rPr>
        <w:fldChar w:fldCharType="separate"/>
      </w:r>
      <w:r>
        <w:rPr>
          <w:rFonts w:hint="eastAsia" w:cs="宋体" w:asciiTheme="minorEastAsia" w:hAnsiTheme="minorEastAsia" w:eastAsiaTheme="minorEastAsia"/>
          <w:color w:val="auto"/>
          <w:highlight w:val="none"/>
        </w:rPr>
        <w:t>(四) 投标费用(实质性要求)</w:t>
      </w:r>
      <w:r>
        <w:rPr>
          <w:color w:val="auto"/>
          <w:highlight w:val="none"/>
        </w:rPr>
        <w:tab/>
      </w:r>
      <w:r>
        <w:rPr>
          <w:color w:val="auto"/>
          <w:highlight w:val="none"/>
        </w:rPr>
        <w:fldChar w:fldCharType="begin"/>
      </w:r>
      <w:r>
        <w:rPr>
          <w:color w:val="auto"/>
          <w:highlight w:val="none"/>
        </w:rPr>
        <w:instrText xml:space="preserve"> PAGEREF _Toc19013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"_Toc20145" </w:instrText>
      </w:r>
      <w:r>
        <w:rPr>
          <w:color w:val="auto"/>
          <w:highlight w:val="none"/>
        </w:rPr>
        <w:fldChar w:fldCharType="separate"/>
      </w:r>
      <w:r>
        <w:rPr>
          <w:rFonts w:hint="eastAsia" w:cs="宋体" w:asciiTheme="minorEastAsia" w:hAnsiTheme="minorEastAsia" w:eastAsiaTheme="minorEastAsia"/>
          <w:color w:val="auto"/>
          <w:highlight w:val="none"/>
        </w:rPr>
        <w:t>(五) 充分、公平竞争保障措施(实质性要求)</w:t>
      </w:r>
      <w:r>
        <w:rPr>
          <w:color w:val="auto"/>
          <w:highlight w:val="none"/>
        </w:rPr>
        <w:tab/>
      </w:r>
      <w:r>
        <w:rPr>
          <w:color w:val="auto"/>
          <w:highlight w:val="none"/>
        </w:rPr>
        <w:fldChar w:fldCharType="begin"/>
      </w:r>
      <w:r>
        <w:rPr>
          <w:color w:val="auto"/>
          <w:highlight w:val="none"/>
        </w:rPr>
        <w:instrText xml:space="preserve"> PAGEREF _Toc20145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"_Toc26834" </w:instrText>
      </w:r>
      <w:r>
        <w:rPr>
          <w:color w:val="auto"/>
          <w:highlight w:val="none"/>
        </w:rPr>
        <w:fldChar w:fldCharType="separate"/>
      </w:r>
      <w:r>
        <w:rPr>
          <w:rFonts w:hint="eastAsia" w:cs="宋体" w:asciiTheme="minorEastAsia" w:hAnsiTheme="minorEastAsia" w:eastAsiaTheme="minorEastAsia"/>
          <w:color w:val="auto"/>
          <w:highlight w:val="none"/>
        </w:rPr>
        <w:t>三、 招标文件</w:t>
      </w:r>
      <w:r>
        <w:rPr>
          <w:color w:val="auto"/>
          <w:highlight w:val="none"/>
        </w:rPr>
        <w:tab/>
      </w:r>
      <w:r>
        <w:rPr>
          <w:color w:val="auto"/>
          <w:highlight w:val="none"/>
        </w:rPr>
        <w:fldChar w:fldCharType="begin"/>
      </w:r>
      <w:r>
        <w:rPr>
          <w:color w:val="auto"/>
          <w:highlight w:val="none"/>
        </w:rPr>
        <w:instrText xml:space="preserve"> PAGEREF _Toc26834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"_Toc5362" </w:instrText>
      </w:r>
      <w:r>
        <w:rPr>
          <w:color w:val="auto"/>
          <w:highlight w:val="none"/>
        </w:rPr>
        <w:fldChar w:fldCharType="separate"/>
      </w:r>
      <w:r>
        <w:rPr>
          <w:rFonts w:hint="eastAsia" w:cs="宋体"/>
          <w:color w:val="auto"/>
          <w:highlight w:val="none"/>
        </w:rPr>
        <w:t xml:space="preserve">(一) </w:t>
      </w:r>
      <w:r>
        <w:rPr>
          <w:rFonts w:hint="eastAsia" w:cs="宋体" w:asciiTheme="minorEastAsia" w:hAnsiTheme="minorEastAsia" w:eastAsiaTheme="minorEastAsia"/>
          <w:color w:val="auto"/>
          <w:highlight w:val="none"/>
        </w:rPr>
        <w:t>招标文件的构成</w:t>
      </w:r>
      <w:r>
        <w:rPr>
          <w:color w:val="auto"/>
          <w:highlight w:val="none"/>
        </w:rPr>
        <w:tab/>
      </w:r>
      <w:r>
        <w:rPr>
          <w:color w:val="auto"/>
          <w:highlight w:val="none"/>
        </w:rPr>
        <w:fldChar w:fldCharType="begin"/>
      </w:r>
      <w:r>
        <w:rPr>
          <w:color w:val="auto"/>
          <w:highlight w:val="none"/>
        </w:rPr>
        <w:instrText xml:space="preserve"> PAGEREF _Toc5362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"_Toc3834" </w:instrText>
      </w:r>
      <w:r>
        <w:rPr>
          <w:color w:val="auto"/>
          <w:highlight w:val="none"/>
        </w:rPr>
        <w:fldChar w:fldCharType="separate"/>
      </w:r>
      <w:r>
        <w:rPr>
          <w:rFonts w:hint="eastAsia" w:cs="宋体"/>
          <w:color w:val="auto"/>
          <w:highlight w:val="none"/>
        </w:rPr>
        <w:t xml:space="preserve">(二) </w:t>
      </w:r>
      <w:r>
        <w:rPr>
          <w:rFonts w:hint="eastAsia" w:cs="宋体" w:asciiTheme="minorEastAsia" w:hAnsiTheme="minorEastAsia" w:eastAsiaTheme="minorEastAsia"/>
          <w:color w:val="auto"/>
          <w:highlight w:val="none"/>
        </w:rPr>
        <w:t>招标文件的澄清和修改</w:t>
      </w:r>
      <w:r>
        <w:rPr>
          <w:color w:val="auto"/>
          <w:highlight w:val="none"/>
        </w:rPr>
        <w:tab/>
      </w:r>
      <w:r>
        <w:rPr>
          <w:color w:val="auto"/>
          <w:highlight w:val="none"/>
        </w:rPr>
        <w:fldChar w:fldCharType="begin"/>
      </w:r>
      <w:r>
        <w:rPr>
          <w:color w:val="auto"/>
          <w:highlight w:val="none"/>
        </w:rPr>
        <w:instrText xml:space="preserve"> PAGEREF _Toc3834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"_Toc7131" </w:instrText>
      </w:r>
      <w:r>
        <w:rPr>
          <w:color w:val="auto"/>
          <w:highlight w:val="none"/>
        </w:rPr>
        <w:fldChar w:fldCharType="separate"/>
      </w:r>
      <w:r>
        <w:rPr>
          <w:rFonts w:hint="eastAsia" w:cs="宋体"/>
          <w:color w:val="auto"/>
          <w:highlight w:val="none"/>
        </w:rPr>
        <w:t xml:space="preserve">(三) </w:t>
      </w:r>
      <w:r>
        <w:rPr>
          <w:rFonts w:hint="eastAsia" w:cs="宋体" w:asciiTheme="minorEastAsia" w:hAnsiTheme="minorEastAsia" w:eastAsiaTheme="minorEastAsia"/>
          <w:color w:val="auto"/>
          <w:highlight w:val="none"/>
        </w:rPr>
        <w:t>答疑会和现场考察</w:t>
      </w:r>
      <w:r>
        <w:rPr>
          <w:color w:val="auto"/>
          <w:highlight w:val="none"/>
        </w:rPr>
        <w:tab/>
      </w:r>
      <w:r>
        <w:rPr>
          <w:color w:val="auto"/>
          <w:highlight w:val="none"/>
        </w:rPr>
        <w:fldChar w:fldCharType="begin"/>
      </w:r>
      <w:r>
        <w:rPr>
          <w:color w:val="auto"/>
          <w:highlight w:val="none"/>
        </w:rPr>
        <w:instrText xml:space="preserve"> PAGEREF _Toc7131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"_Toc25022" </w:instrText>
      </w:r>
      <w:r>
        <w:rPr>
          <w:color w:val="auto"/>
          <w:highlight w:val="none"/>
        </w:rPr>
        <w:fldChar w:fldCharType="separate"/>
      </w:r>
      <w:r>
        <w:rPr>
          <w:rFonts w:hint="eastAsia" w:cs="宋体" w:asciiTheme="minorEastAsia" w:hAnsiTheme="minorEastAsia" w:eastAsiaTheme="minorEastAsia"/>
          <w:color w:val="auto"/>
          <w:highlight w:val="none"/>
        </w:rPr>
        <w:t>四、 投标文件</w:t>
      </w:r>
      <w:r>
        <w:rPr>
          <w:color w:val="auto"/>
          <w:highlight w:val="none"/>
        </w:rPr>
        <w:tab/>
      </w:r>
      <w:r>
        <w:rPr>
          <w:color w:val="auto"/>
          <w:highlight w:val="none"/>
        </w:rPr>
        <w:fldChar w:fldCharType="begin"/>
      </w:r>
      <w:r>
        <w:rPr>
          <w:color w:val="auto"/>
          <w:highlight w:val="none"/>
        </w:rPr>
        <w:instrText xml:space="preserve"> PAGEREF _Toc25022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"_Toc29235" </w:instrText>
      </w:r>
      <w:r>
        <w:rPr>
          <w:color w:val="auto"/>
          <w:highlight w:val="none"/>
        </w:rPr>
        <w:fldChar w:fldCharType="separate"/>
      </w:r>
      <w:r>
        <w:rPr>
          <w:rFonts w:hint="eastAsia" w:cs="宋体"/>
          <w:color w:val="auto"/>
          <w:highlight w:val="none"/>
        </w:rPr>
        <w:t xml:space="preserve">(一) </w:t>
      </w:r>
      <w:r>
        <w:rPr>
          <w:rFonts w:hint="eastAsia" w:cs="宋体" w:asciiTheme="minorEastAsia" w:hAnsiTheme="minorEastAsia" w:eastAsiaTheme="minorEastAsia"/>
          <w:color w:val="auto"/>
          <w:highlight w:val="none"/>
        </w:rPr>
        <w:t>投标文件的语言(实质性要求)</w:t>
      </w:r>
      <w:r>
        <w:rPr>
          <w:color w:val="auto"/>
          <w:highlight w:val="none"/>
        </w:rPr>
        <w:tab/>
      </w:r>
      <w:r>
        <w:rPr>
          <w:color w:val="auto"/>
          <w:highlight w:val="none"/>
        </w:rPr>
        <w:fldChar w:fldCharType="begin"/>
      </w:r>
      <w:r>
        <w:rPr>
          <w:color w:val="auto"/>
          <w:highlight w:val="none"/>
        </w:rPr>
        <w:instrText xml:space="preserve"> PAGEREF _Toc29235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"_Toc25450" </w:instrText>
      </w:r>
      <w:r>
        <w:rPr>
          <w:color w:val="auto"/>
          <w:highlight w:val="none"/>
        </w:rPr>
        <w:fldChar w:fldCharType="separate"/>
      </w:r>
      <w:r>
        <w:rPr>
          <w:rFonts w:hint="eastAsia" w:cs="宋体"/>
          <w:color w:val="auto"/>
          <w:highlight w:val="none"/>
        </w:rPr>
        <w:t xml:space="preserve">(二) </w:t>
      </w:r>
      <w:r>
        <w:rPr>
          <w:rFonts w:hint="eastAsia" w:cs="宋体" w:asciiTheme="minorEastAsia" w:hAnsiTheme="minorEastAsia" w:eastAsiaTheme="minorEastAsia"/>
          <w:color w:val="auto"/>
          <w:highlight w:val="none"/>
        </w:rPr>
        <w:t>计量单位(实质性要求)</w:t>
      </w:r>
      <w:r>
        <w:rPr>
          <w:color w:val="auto"/>
          <w:highlight w:val="none"/>
        </w:rPr>
        <w:tab/>
      </w:r>
      <w:r>
        <w:rPr>
          <w:color w:val="auto"/>
          <w:highlight w:val="none"/>
        </w:rPr>
        <w:fldChar w:fldCharType="begin"/>
      </w:r>
      <w:r>
        <w:rPr>
          <w:color w:val="auto"/>
          <w:highlight w:val="none"/>
        </w:rPr>
        <w:instrText xml:space="preserve"> PAGEREF _Toc25450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"_Toc3376" </w:instrText>
      </w:r>
      <w:r>
        <w:rPr>
          <w:color w:val="auto"/>
          <w:highlight w:val="none"/>
        </w:rPr>
        <w:fldChar w:fldCharType="separate"/>
      </w:r>
      <w:r>
        <w:rPr>
          <w:rFonts w:hint="eastAsia" w:cs="宋体"/>
          <w:color w:val="auto"/>
          <w:highlight w:val="none"/>
        </w:rPr>
        <w:t xml:space="preserve">(三) </w:t>
      </w:r>
      <w:r>
        <w:rPr>
          <w:rFonts w:hint="eastAsia" w:cs="宋体" w:asciiTheme="minorEastAsia" w:hAnsiTheme="minorEastAsia" w:eastAsiaTheme="minorEastAsia"/>
          <w:color w:val="auto"/>
          <w:highlight w:val="none"/>
        </w:rPr>
        <w:t>投标货币(实质性要求)</w:t>
      </w:r>
      <w:r>
        <w:rPr>
          <w:color w:val="auto"/>
          <w:highlight w:val="none"/>
        </w:rPr>
        <w:tab/>
      </w:r>
      <w:r>
        <w:rPr>
          <w:color w:val="auto"/>
          <w:highlight w:val="none"/>
        </w:rPr>
        <w:fldChar w:fldCharType="begin"/>
      </w:r>
      <w:r>
        <w:rPr>
          <w:color w:val="auto"/>
          <w:highlight w:val="none"/>
        </w:rPr>
        <w:instrText xml:space="preserve"> PAGEREF _Toc3376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"_Toc10256" </w:instrText>
      </w:r>
      <w:r>
        <w:rPr>
          <w:color w:val="auto"/>
          <w:highlight w:val="none"/>
        </w:rPr>
        <w:fldChar w:fldCharType="separate"/>
      </w:r>
      <w:r>
        <w:rPr>
          <w:rFonts w:hint="eastAsia" w:cs="宋体"/>
          <w:color w:val="auto"/>
          <w:highlight w:val="none"/>
        </w:rPr>
        <w:t xml:space="preserve">(四) </w:t>
      </w:r>
      <w:r>
        <w:rPr>
          <w:rFonts w:hint="eastAsia" w:cs="宋体" w:asciiTheme="minorEastAsia" w:hAnsiTheme="minorEastAsia" w:eastAsiaTheme="minorEastAsia"/>
          <w:color w:val="auto"/>
          <w:highlight w:val="none"/>
        </w:rPr>
        <w:t>联合体投标(实质性要求)</w:t>
      </w:r>
      <w:r>
        <w:rPr>
          <w:color w:val="auto"/>
          <w:highlight w:val="none"/>
        </w:rPr>
        <w:tab/>
      </w:r>
      <w:r>
        <w:rPr>
          <w:color w:val="auto"/>
          <w:highlight w:val="none"/>
        </w:rPr>
        <w:fldChar w:fldCharType="begin"/>
      </w:r>
      <w:r>
        <w:rPr>
          <w:color w:val="auto"/>
          <w:highlight w:val="none"/>
        </w:rPr>
        <w:instrText xml:space="preserve"> PAGEREF _Toc10256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"_Toc7557" </w:instrText>
      </w:r>
      <w:r>
        <w:rPr>
          <w:color w:val="auto"/>
          <w:highlight w:val="none"/>
        </w:rPr>
        <w:fldChar w:fldCharType="separate"/>
      </w:r>
      <w:r>
        <w:rPr>
          <w:rFonts w:hint="eastAsia" w:cs="宋体"/>
          <w:color w:val="auto"/>
          <w:highlight w:val="none"/>
        </w:rPr>
        <w:t xml:space="preserve">(五) </w:t>
      </w:r>
      <w:r>
        <w:rPr>
          <w:rFonts w:hint="eastAsia" w:cs="宋体" w:asciiTheme="minorEastAsia" w:hAnsiTheme="minorEastAsia" w:eastAsiaTheme="minorEastAsia"/>
          <w:color w:val="auto"/>
          <w:highlight w:val="none"/>
        </w:rPr>
        <w:t>知识产权(实质性要求)</w:t>
      </w:r>
      <w:r>
        <w:rPr>
          <w:color w:val="auto"/>
          <w:highlight w:val="none"/>
        </w:rPr>
        <w:tab/>
      </w:r>
      <w:r>
        <w:rPr>
          <w:color w:val="auto"/>
          <w:highlight w:val="none"/>
        </w:rPr>
        <w:fldChar w:fldCharType="begin"/>
      </w:r>
      <w:r>
        <w:rPr>
          <w:color w:val="auto"/>
          <w:highlight w:val="none"/>
        </w:rPr>
        <w:instrText xml:space="preserve"> PAGEREF _Toc7557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"_Toc32472" </w:instrText>
      </w:r>
      <w:r>
        <w:rPr>
          <w:color w:val="auto"/>
          <w:highlight w:val="none"/>
        </w:rPr>
        <w:fldChar w:fldCharType="separate"/>
      </w:r>
      <w:r>
        <w:rPr>
          <w:rFonts w:hint="eastAsia" w:cs="宋体"/>
          <w:color w:val="auto"/>
          <w:highlight w:val="none"/>
        </w:rPr>
        <w:t xml:space="preserve">(六) </w:t>
      </w:r>
      <w:r>
        <w:rPr>
          <w:rFonts w:hint="eastAsia" w:cs="宋体" w:asciiTheme="minorEastAsia" w:hAnsiTheme="minorEastAsia" w:eastAsiaTheme="minorEastAsia"/>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_Toc32472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"_Toc6645" </w:instrText>
      </w:r>
      <w:r>
        <w:rPr>
          <w:color w:val="auto"/>
          <w:highlight w:val="none"/>
        </w:rPr>
        <w:fldChar w:fldCharType="separate"/>
      </w:r>
      <w:r>
        <w:rPr>
          <w:rFonts w:hint="eastAsia" w:cs="宋体"/>
          <w:color w:val="auto"/>
          <w:highlight w:val="none"/>
        </w:rPr>
        <w:t xml:space="preserve">(七) </w:t>
      </w:r>
      <w:r>
        <w:rPr>
          <w:rFonts w:hint="eastAsia" w:cs="宋体" w:asciiTheme="minorEastAsia" w:hAnsiTheme="minorEastAsia" w:eastAsiaTheme="minor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_Toc6645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"_Toc16077" </w:instrText>
      </w:r>
      <w:r>
        <w:rPr>
          <w:color w:val="auto"/>
          <w:highlight w:val="none"/>
        </w:rPr>
        <w:fldChar w:fldCharType="separate"/>
      </w:r>
      <w:r>
        <w:rPr>
          <w:rFonts w:hint="eastAsia" w:cs="宋体"/>
          <w:color w:val="auto"/>
          <w:highlight w:val="none"/>
        </w:rPr>
        <w:t xml:space="preserve">(八) </w:t>
      </w:r>
      <w:r>
        <w:rPr>
          <w:rFonts w:hint="eastAsia" w:cs="宋体" w:asciiTheme="minorEastAsia" w:hAnsiTheme="minorEastAsia" w:eastAsiaTheme="minor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_Toc16077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"_Toc4971" </w:instrText>
      </w:r>
      <w:r>
        <w:rPr>
          <w:color w:val="auto"/>
          <w:highlight w:val="none"/>
        </w:rPr>
        <w:fldChar w:fldCharType="separate"/>
      </w:r>
      <w:r>
        <w:rPr>
          <w:rFonts w:hint="eastAsia" w:cs="宋体"/>
          <w:color w:val="auto"/>
          <w:highlight w:val="none"/>
        </w:rPr>
        <w:t xml:space="preserve">(九) </w:t>
      </w:r>
      <w:r>
        <w:rPr>
          <w:rFonts w:hint="eastAsia" w:cs="宋体" w:asciiTheme="minorEastAsia" w:hAnsiTheme="minorEastAsia" w:eastAsiaTheme="minorEastAsia"/>
          <w:color w:val="auto"/>
          <w:highlight w:val="none"/>
        </w:rPr>
        <w:t>投标有效期(实质性要求)</w:t>
      </w:r>
      <w:r>
        <w:rPr>
          <w:color w:val="auto"/>
          <w:highlight w:val="none"/>
        </w:rPr>
        <w:tab/>
      </w:r>
      <w:r>
        <w:rPr>
          <w:color w:val="auto"/>
          <w:highlight w:val="none"/>
        </w:rPr>
        <w:fldChar w:fldCharType="begin"/>
      </w:r>
      <w:r>
        <w:rPr>
          <w:color w:val="auto"/>
          <w:highlight w:val="none"/>
        </w:rPr>
        <w:instrText xml:space="preserve"> PAGEREF _Toc4971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"_Toc6924" </w:instrText>
      </w:r>
      <w:r>
        <w:rPr>
          <w:color w:val="auto"/>
          <w:highlight w:val="none"/>
        </w:rPr>
        <w:fldChar w:fldCharType="separate"/>
      </w:r>
      <w:r>
        <w:rPr>
          <w:rFonts w:hint="eastAsia" w:cs="宋体"/>
          <w:color w:val="auto"/>
          <w:highlight w:val="none"/>
        </w:rPr>
        <w:t xml:space="preserve">(十) </w:t>
      </w:r>
      <w:r>
        <w:rPr>
          <w:rFonts w:hint="eastAsia" w:cs="宋体" w:asciiTheme="minorEastAsia" w:hAnsiTheme="minorEastAsia" w:eastAsiaTheme="minorEastAsia"/>
          <w:color w:val="auto"/>
          <w:highlight w:val="none"/>
        </w:rPr>
        <w:t>投标文件的印制和签署</w:t>
      </w:r>
      <w:r>
        <w:rPr>
          <w:color w:val="auto"/>
          <w:highlight w:val="none"/>
        </w:rPr>
        <w:tab/>
      </w:r>
      <w:r>
        <w:rPr>
          <w:color w:val="auto"/>
          <w:highlight w:val="none"/>
        </w:rPr>
        <w:fldChar w:fldCharType="begin"/>
      </w:r>
      <w:r>
        <w:rPr>
          <w:color w:val="auto"/>
          <w:highlight w:val="none"/>
        </w:rPr>
        <w:instrText xml:space="preserve"> PAGEREF _Toc6924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"_Toc18153" </w:instrText>
      </w:r>
      <w:r>
        <w:rPr>
          <w:color w:val="auto"/>
          <w:highlight w:val="none"/>
        </w:rPr>
        <w:fldChar w:fldCharType="separate"/>
      </w:r>
      <w:r>
        <w:rPr>
          <w:rFonts w:hint="eastAsia" w:cs="宋体"/>
          <w:color w:val="auto"/>
          <w:highlight w:val="none"/>
        </w:rPr>
        <w:t xml:space="preserve">(十一) </w:t>
      </w:r>
      <w:r>
        <w:rPr>
          <w:rFonts w:hint="eastAsia" w:cs="宋体" w:asciiTheme="minorEastAsia" w:hAnsiTheme="minorEastAsia" w:eastAsiaTheme="minorEastAsia"/>
          <w:color w:val="auto"/>
          <w:highlight w:val="none"/>
        </w:rPr>
        <w:t>投标文件的密封和标注</w:t>
      </w:r>
      <w:r>
        <w:rPr>
          <w:color w:val="auto"/>
          <w:highlight w:val="none"/>
        </w:rPr>
        <w:tab/>
      </w:r>
      <w:r>
        <w:rPr>
          <w:color w:val="auto"/>
          <w:highlight w:val="none"/>
        </w:rPr>
        <w:fldChar w:fldCharType="begin"/>
      </w:r>
      <w:r>
        <w:rPr>
          <w:color w:val="auto"/>
          <w:highlight w:val="none"/>
        </w:rPr>
        <w:instrText xml:space="preserve"> PAGEREF _Toc18153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"_Toc16773" </w:instrText>
      </w:r>
      <w:r>
        <w:rPr>
          <w:color w:val="auto"/>
          <w:highlight w:val="none"/>
        </w:rPr>
        <w:fldChar w:fldCharType="separate"/>
      </w:r>
      <w:r>
        <w:rPr>
          <w:rFonts w:hint="eastAsia" w:cs="宋体"/>
          <w:color w:val="auto"/>
          <w:highlight w:val="none"/>
        </w:rPr>
        <w:t xml:space="preserve">(十二) </w:t>
      </w:r>
      <w:r>
        <w:rPr>
          <w:rFonts w:hint="eastAsia" w:cs="宋体" w:asciiTheme="minorEastAsia" w:hAnsiTheme="minorEastAsia" w:eastAsiaTheme="minorEastAsia"/>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_Toc16773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"_Toc17352" </w:instrText>
      </w:r>
      <w:r>
        <w:rPr>
          <w:color w:val="auto"/>
          <w:highlight w:val="none"/>
        </w:rPr>
        <w:fldChar w:fldCharType="separate"/>
      </w:r>
      <w:r>
        <w:rPr>
          <w:rFonts w:hint="eastAsia" w:cs="宋体"/>
          <w:color w:val="auto"/>
          <w:highlight w:val="none"/>
        </w:rPr>
        <w:t xml:space="preserve">(十三) </w:t>
      </w:r>
      <w:r>
        <w:rPr>
          <w:rFonts w:hint="eastAsia" w:cs="宋体" w:asciiTheme="minorEastAsia" w:hAnsiTheme="minorEastAsia" w:eastAsiaTheme="minorEastAsia"/>
          <w:color w:val="auto"/>
          <w:highlight w:val="none"/>
        </w:rPr>
        <w:t>投标文件的修改和撤回</w:t>
      </w:r>
      <w:r>
        <w:rPr>
          <w:color w:val="auto"/>
          <w:highlight w:val="none"/>
        </w:rPr>
        <w:tab/>
      </w:r>
      <w:r>
        <w:rPr>
          <w:color w:val="auto"/>
          <w:highlight w:val="none"/>
        </w:rPr>
        <w:fldChar w:fldCharType="begin"/>
      </w:r>
      <w:r>
        <w:rPr>
          <w:color w:val="auto"/>
          <w:highlight w:val="none"/>
        </w:rPr>
        <w:instrText xml:space="preserve"> PAGEREF _Toc17352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"_Toc24750" </w:instrText>
      </w:r>
      <w:r>
        <w:rPr>
          <w:color w:val="auto"/>
          <w:highlight w:val="none"/>
        </w:rPr>
        <w:fldChar w:fldCharType="separate"/>
      </w:r>
      <w:r>
        <w:rPr>
          <w:rFonts w:hint="eastAsia" w:cs="宋体" w:asciiTheme="minorEastAsia" w:hAnsiTheme="minorEastAsia" w:eastAsiaTheme="minorEastAsia"/>
          <w:color w:val="auto"/>
          <w:highlight w:val="none"/>
        </w:rPr>
        <w:t>五、 开标和中标</w:t>
      </w:r>
      <w:r>
        <w:rPr>
          <w:color w:val="auto"/>
          <w:highlight w:val="none"/>
        </w:rPr>
        <w:tab/>
      </w:r>
      <w:r>
        <w:rPr>
          <w:color w:val="auto"/>
          <w:highlight w:val="none"/>
        </w:rPr>
        <w:fldChar w:fldCharType="begin"/>
      </w:r>
      <w:r>
        <w:rPr>
          <w:color w:val="auto"/>
          <w:highlight w:val="none"/>
        </w:rPr>
        <w:instrText xml:space="preserve"> PAGEREF _Toc24750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"_Toc28957" </w:instrText>
      </w:r>
      <w:r>
        <w:rPr>
          <w:color w:val="auto"/>
          <w:highlight w:val="none"/>
        </w:rPr>
        <w:fldChar w:fldCharType="separate"/>
      </w:r>
      <w:r>
        <w:rPr>
          <w:rFonts w:hint="eastAsia" w:cs="宋体"/>
          <w:color w:val="auto"/>
          <w:highlight w:val="none"/>
        </w:rPr>
        <w:t xml:space="preserve">(一) </w:t>
      </w:r>
      <w:r>
        <w:rPr>
          <w:rFonts w:hint="eastAsia" w:cs="宋体" w:asciiTheme="minorEastAsia" w:hAnsiTheme="minorEastAsia" w:eastAsiaTheme="minor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_Toc28957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"_Toc21461" </w:instrText>
      </w:r>
      <w:r>
        <w:rPr>
          <w:color w:val="auto"/>
          <w:highlight w:val="none"/>
        </w:rPr>
        <w:fldChar w:fldCharType="separate"/>
      </w:r>
      <w:r>
        <w:rPr>
          <w:rFonts w:hint="eastAsia" w:cs="宋体"/>
          <w:color w:val="auto"/>
          <w:highlight w:val="none"/>
        </w:rPr>
        <w:t xml:space="preserve">(二) </w:t>
      </w:r>
      <w:r>
        <w:rPr>
          <w:rFonts w:hint="eastAsia" w:cs="宋体" w:asciiTheme="minorEastAsia" w:hAnsiTheme="minorEastAsia" w:eastAsiaTheme="minorEastAsia"/>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_Toc21461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"_Toc21326" </w:instrText>
      </w:r>
      <w:r>
        <w:rPr>
          <w:color w:val="auto"/>
          <w:highlight w:val="none"/>
        </w:rPr>
        <w:fldChar w:fldCharType="separate"/>
      </w:r>
      <w:r>
        <w:rPr>
          <w:rFonts w:hint="eastAsia" w:cs="宋体"/>
          <w:color w:val="auto"/>
          <w:highlight w:val="none"/>
        </w:rPr>
        <w:t xml:space="preserve">(三) </w:t>
      </w:r>
      <w:r>
        <w:rPr>
          <w:rFonts w:hint="eastAsia" w:cs="宋体" w:asciiTheme="minorEastAsia" w:hAnsiTheme="minorEastAsia" w:eastAsiaTheme="minorEastAsia"/>
          <w:color w:val="auto"/>
          <w:highlight w:val="none"/>
        </w:rPr>
        <w:t>开评标过程存档</w:t>
      </w:r>
      <w:r>
        <w:rPr>
          <w:color w:val="auto"/>
          <w:highlight w:val="none"/>
        </w:rPr>
        <w:tab/>
      </w:r>
      <w:r>
        <w:rPr>
          <w:color w:val="auto"/>
          <w:highlight w:val="none"/>
        </w:rPr>
        <w:fldChar w:fldCharType="begin"/>
      </w:r>
      <w:r>
        <w:rPr>
          <w:color w:val="auto"/>
          <w:highlight w:val="none"/>
        </w:rPr>
        <w:instrText xml:space="preserve"> PAGEREF _Toc21326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"_Toc29428" </w:instrText>
      </w:r>
      <w:r>
        <w:rPr>
          <w:color w:val="auto"/>
          <w:highlight w:val="none"/>
        </w:rPr>
        <w:fldChar w:fldCharType="separate"/>
      </w:r>
      <w:r>
        <w:rPr>
          <w:rFonts w:hint="eastAsia" w:cs="宋体"/>
          <w:color w:val="auto"/>
          <w:highlight w:val="none"/>
        </w:rPr>
        <w:t xml:space="preserve">(四) </w:t>
      </w:r>
      <w:r>
        <w:rPr>
          <w:rFonts w:hint="eastAsia" w:cs="宋体" w:asciiTheme="minorEastAsia" w:hAnsiTheme="minorEastAsia" w:eastAsiaTheme="minorEastAsia"/>
          <w:color w:val="auto"/>
          <w:highlight w:val="none"/>
        </w:rPr>
        <w:t>中标结果</w:t>
      </w:r>
      <w:r>
        <w:rPr>
          <w:color w:val="auto"/>
          <w:highlight w:val="none"/>
        </w:rPr>
        <w:tab/>
      </w:r>
      <w:r>
        <w:rPr>
          <w:color w:val="auto"/>
          <w:highlight w:val="none"/>
        </w:rPr>
        <w:fldChar w:fldCharType="begin"/>
      </w:r>
      <w:r>
        <w:rPr>
          <w:color w:val="auto"/>
          <w:highlight w:val="none"/>
        </w:rPr>
        <w:instrText xml:space="preserve"> PAGEREF _Toc29428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"_Toc15110" </w:instrText>
      </w:r>
      <w:r>
        <w:rPr>
          <w:color w:val="auto"/>
          <w:highlight w:val="none"/>
        </w:rPr>
        <w:fldChar w:fldCharType="separate"/>
      </w:r>
      <w:r>
        <w:rPr>
          <w:rFonts w:hint="eastAsia" w:cs="宋体"/>
          <w:color w:val="auto"/>
          <w:highlight w:val="none"/>
        </w:rPr>
        <w:t xml:space="preserve">(五) </w:t>
      </w:r>
      <w:r>
        <w:rPr>
          <w:rFonts w:hint="eastAsia" w:cs="宋体" w:asciiTheme="minorEastAsia" w:hAnsiTheme="minorEastAsia" w:eastAsiaTheme="minorEastAsia"/>
          <w:color w:val="auto"/>
          <w:highlight w:val="none"/>
        </w:rPr>
        <w:t>中标通知书</w:t>
      </w:r>
      <w:r>
        <w:rPr>
          <w:color w:val="auto"/>
          <w:highlight w:val="none"/>
        </w:rPr>
        <w:tab/>
      </w:r>
      <w:r>
        <w:rPr>
          <w:color w:val="auto"/>
          <w:highlight w:val="none"/>
        </w:rPr>
        <w:fldChar w:fldCharType="begin"/>
      </w:r>
      <w:r>
        <w:rPr>
          <w:color w:val="auto"/>
          <w:highlight w:val="none"/>
        </w:rPr>
        <w:instrText xml:space="preserve"> PAGEREF _Toc15110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"_Toc10801" </w:instrText>
      </w:r>
      <w:r>
        <w:rPr>
          <w:color w:val="auto"/>
          <w:highlight w:val="none"/>
        </w:rPr>
        <w:fldChar w:fldCharType="separate"/>
      </w:r>
      <w:r>
        <w:rPr>
          <w:rFonts w:hint="eastAsia" w:cs="宋体" w:asciiTheme="minorEastAsia" w:hAnsiTheme="minorEastAsia" w:eastAsiaTheme="minorEastAsia"/>
          <w:color w:val="auto"/>
          <w:highlight w:val="none"/>
        </w:rPr>
        <w:t>六、 签订及履行合同和验收</w:t>
      </w:r>
      <w:r>
        <w:rPr>
          <w:color w:val="auto"/>
          <w:highlight w:val="none"/>
        </w:rPr>
        <w:tab/>
      </w:r>
      <w:r>
        <w:rPr>
          <w:color w:val="auto"/>
          <w:highlight w:val="none"/>
        </w:rPr>
        <w:fldChar w:fldCharType="begin"/>
      </w:r>
      <w:r>
        <w:rPr>
          <w:color w:val="auto"/>
          <w:highlight w:val="none"/>
        </w:rPr>
        <w:instrText xml:space="preserve"> PAGEREF _Toc10801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"_Toc4408" </w:instrText>
      </w:r>
      <w:r>
        <w:rPr>
          <w:color w:val="auto"/>
          <w:highlight w:val="none"/>
        </w:rPr>
        <w:fldChar w:fldCharType="separate"/>
      </w:r>
      <w:r>
        <w:rPr>
          <w:rFonts w:hint="eastAsia" w:cs="宋体"/>
          <w:color w:val="auto"/>
          <w:highlight w:val="none"/>
        </w:rPr>
        <w:t xml:space="preserve">(一) </w:t>
      </w:r>
      <w:r>
        <w:rPr>
          <w:rFonts w:hint="eastAsia" w:cs="宋体" w:asciiTheme="minorEastAsia" w:hAnsiTheme="minorEastAsia" w:eastAsiaTheme="minor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_Toc4408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"_Toc24189" </w:instrText>
      </w:r>
      <w:r>
        <w:rPr>
          <w:color w:val="auto"/>
          <w:highlight w:val="none"/>
        </w:rPr>
        <w:fldChar w:fldCharType="separate"/>
      </w:r>
      <w:r>
        <w:rPr>
          <w:rFonts w:hint="eastAsia" w:cs="宋体"/>
          <w:color w:val="auto"/>
          <w:highlight w:val="none"/>
        </w:rPr>
        <w:t xml:space="preserve">(二) </w:t>
      </w:r>
      <w:r>
        <w:rPr>
          <w:rFonts w:hint="eastAsia" w:cs="宋体" w:asciiTheme="minorEastAsia" w:hAnsiTheme="minorEastAsia" w:eastAsiaTheme="minorEastAsia"/>
          <w:color w:val="auto"/>
          <w:highlight w:val="none"/>
        </w:rPr>
        <w:t>合同分包(实质性要求)</w:t>
      </w:r>
      <w:r>
        <w:rPr>
          <w:color w:val="auto"/>
          <w:highlight w:val="none"/>
        </w:rPr>
        <w:tab/>
      </w:r>
      <w:r>
        <w:rPr>
          <w:color w:val="auto"/>
          <w:highlight w:val="none"/>
        </w:rPr>
        <w:fldChar w:fldCharType="begin"/>
      </w:r>
      <w:r>
        <w:rPr>
          <w:color w:val="auto"/>
          <w:highlight w:val="none"/>
        </w:rPr>
        <w:instrText xml:space="preserve"> PAGEREF _Toc24189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"_Toc20433" </w:instrText>
      </w:r>
      <w:r>
        <w:rPr>
          <w:color w:val="auto"/>
          <w:highlight w:val="none"/>
        </w:rPr>
        <w:fldChar w:fldCharType="separate"/>
      </w:r>
      <w:r>
        <w:rPr>
          <w:rFonts w:hint="eastAsia" w:cs="宋体"/>
          <w:color w:val="auto"/>
          <w:highlight w:val="none"/>
        </w:rPr>
        <w:t xml:space="preserve">(三) </w:t>
      </w:r>
      <w:r>
        <w:rPr>
          <w:rFonts w:hint="eastAsia" w:cs="宋体" w:asciiTheme="minorEastAsia" w:hAnsiTheme="minorEastAsia" w:eastAsiaTheme="minorEastAsia"/>
          <w:color w:val="auto"/>
          <w:highlight w:val="none"/>
        </w:rPr>
        <w:t>合同转包(实质性要求)</w:t>
      </w:r>
      <w:r>
        <w:rPr>
          <w:color w:val="auto"/>
          <w:highlight w:val="none"/>
        </w:rPr>
        <w:tab/>
      </w:r>
      <w:r>
        <w:rPr>
          <w:color w:val="auto"/>
          <w:highlight w:val="none"/>
        </w:rPr>
        <w:fldChar w:fldCharType="begin"/>
      </w:r>
      <w:r>
        <w:rPr>
          <w:color w:val="auto"/>
          <w:highlight w:val="none"/>
        </w:rPr>
        <w:instrText xml:space="preserve"> PAGEREF _Toc20433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"_Toc4064" </w:instrText>
      </w:r>
      <w:r>
        <w:rPr>
          <w:color w:val="auto"/>
          <w:highlight w:val="none"/>
        </w:rPr>
        <w:fldChar w:fldCharType="separate"/>
      </w:r>
      <w:r>
        <w:rPr>
          <w:rFonts w:hint="eastAsia" w:cs="宋体"/>
          <w:color w:val="auto"/>
          <w:highlight w:val="none"/>
        </w:rPr>
        <w:t xml:space="preserve">(四) </w:t>
      </w:r>
      <w:r>
        <w:rPr>
          <w:rFonts w:hint="eastAsia" w:cs="宋体" w:asciiTheme="minorEastAsia" w:hAnsiTheme="minorEastAsia" w:eastAsiaTheme="minorEastAsia"/>
          <w:color w:val="auto"/>
          <w:highlight w:val="none"/>
        </w:rPr>
        <w:t>补充合同</w:t>
      </w:r>
      <w:r>
        <w:rPr>
          <w:color w:val="auto"/>
          <w:highlight w:val="none"/>
        </w:rPr>
        <w:tab/>
      </w:r>
      <w:r>
        <w:rPr>
          <w:color w:val="auto"/>
          <w:highlight w:val="none"/>
        </w:rPr>
        <w:fldChar w:fldCharType="begin"/>
      </w:r>
      <w:r>
        <w:rPr>
          <w:color w:val="auto"/>
          <w:highlight w:val="none"/>
        </w:rPr>
        <w:instrText xml:space="preserve"> PAGEREF _Toc4064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"_Toc30012" </w:instrText>
      </w:r>
      <w:r>
        <w:rPr>
          <w:color w:val="auto"/>
          <w:highlight w:val="none"/>
        </w:rPr>
        <w:fldChar w:fldCharType="separate"/>
      </w:r>
      <w:r>
        <w:rPr>
          <w:rFonts w:hint="eastAsia" w:cs="宋体"/>
          <w:color w:val="auto"/>
          <w:highlight w:val="none"/>
        </w:rPr>
        <w:t xml:space="preserve">(五) </w:t>
      </w:r>
      <w:r>
        <w:rPr>
          <w:rFonts w:hint="eastAsia" w:cs="宋体" w:asciiTheme="minorEastAsia" w:hAnsiTheme="minorEastAsia" w:eastAsiaTheme="minorEastAsia"/>
          <w:color w:val="auto"/>
          <w:highlight w:val="none"/>
        </w:rPr>
        <w:t>合同公告备案</w:t>
      </w:r>
      <w:r>
        <w:rPr>
          <w:color w:val="auto"/>
          <w:highlight w:val="none"/>
        </w:rPr>
        <w:tab/>
      </w:r>
      <w:r>
        <w:rPr>
          <w:color w:val="auto"/>
          <w:highlight w:val="none"/>
        </w:rPr>
        <w:fldChar w:fldCharType="begin"/>
      </w:r>
      <w:r>
        <w:rPr>
          <w:color w:val="auto"/>
          <w:highlight w:val="none"/>
        </w:rPr>
        <w:instrText xml:space="preserve"> PAGEREF _Toc30012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"_Toc28540" </w:instrText>
      </w:r>
      <w:r>
        <w:rPr>
          <w:color w:val="auto"/>
          <w:highlight w:val="none"/>
        </w:rPr>
        <w:fldChar w:fldCharType="separate"/>
      </w:r>
      <w:r>
        <w:rPr>
          <w:rFonts w:hint="eastAsia" w:cs="宋体"/>
          <w:color w:val="auto"/>
          <w:highlight w:val="none"/>
        </w:rPr>
        <w:t xml:space="preserve">(六) </w:t>
      </w:r>
      <w:r>
        <w:rPr>
          <w:rFonts w:hint="eastAsia" w:cs="宋体" w:asciiTheme="minorEastAsia" w:hAnsiTheme="minorEastAsia" w:eastAsiaTheme="minorEastAsia"/>
          <w:color w:val="auto"/>
          <w:highlight w:val="none"/>
        </w:rPr>
        <w:t>履约保证金(实质性要求)</w:t>
      </w:r>
      <w:r>
        <w:rPr>
          <w:color w:val="auto"/>
          <w:highlight w:val="none"/>
        </w:rPr>
        <w:tab/>
      </w:r>
      <w:r>
        <w:rPr>
          <w:color w:val="auto"/>
          <w:highlight w:val="none"/>
        </w:rPr>
        <w:fldChar w:fldCharType="begin"/>
      </w:r>
      <w:r>
        <w:rPr>
          <w:color w:val="auto"/>
          <w:highlight w:val="none"/>
        </w:rPr>
        <w:instrText xml:space="preserve"> PAGEREF _Toc28540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"_Toc28918" </w:instrText>
      </w:r>
      <w:r>
        <w:rPr>
          <w:color w:val="auto"/>
          <w:highlight w:val="none"/>
        </w:rPr>
        <w:fldChar w:fldCharType="separate"/>
      </w:r>
      <w:r>
        <w:rPr>
          <w:rFonts w:hint="eastAsia" w:cs="宋体"/>
          <w:color w:val="auto"/>
          <w:highlight w:val="none"/>
        </w:rPr>
        <w:t xml:space="preserve">(七) </w:t>
      </w:r>
      <w:r>
        <w:rPr>
          <w:rFonts w:hint="eastAsia" w:cs="宋体" w:asciiTheme="minorEastAsia" w:hAnsiTheme="minorEastAsia" w:eastAsiaTheme="minorEastAsia"/>
          <w:color w:val="auto"/>
          <w:highlight w:val="none"/>
        </w:rPr>
        <w:t>履行合同</w:t>
      </w:r>
      <w:r>
        <w:rPr>
          <w:color w:val="auto"/>
          <w:highlight w:val="none"/>
        </w:rPr>
        <w:tab/>
      </w:r>
      <w:r>
        <w:rPr>
          <w:color w:val="auto"/>
          <w:highlight w:val="none"/>
        </w:rPr>
        <w:fldChar w:fldCharType="begin"/>
      </w:r>
      <w:r>
        <w:rPr>
          <w:color w:val="auto"/>
          <w:highlight w:val="none"/>
        </w:rPr>
        <w:instrText xml:space="preserve"> PAGEREF _Toc28918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"_Toc3656" </w:instrText>
      </w:r>
      <w:r>
        <w:rPr>
          <w:color w:val="auto"/>
          <w:highlight w:val="none"/>
        </w:rPr>
        <w:fldChar w:fldCharType="separate"/>
      </w:r>
      <w:r>
        <w:rPr>
          <w:rFonts w:hint="eastAsia" w:cs="宋体"/>
          <w:color w:val="auto"/>
          <w:highlight w:val="none"/>
        </w:rPr>
        <w:t xml:space="preserve">(八) </w:t>
      </w:r>
      <w:r>
        <w:rPr>
          <w:rFonts w:hint="eastAsia" w:cs="宋体" w:asciiTheme="minorEastAsia" w:hAnsiTheme="minorEastAsia" w:eastAsiaTheme="minorEastAsia"/>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_Toc3656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"_Toc14779" </w:instrText>
      </w:r>
      <w:r>
        <w:rPr>
          <w:color w:val="auto"/>
          <w:highlight w:val="none"/>
        </w:rPr>
        <w:fldChar w:fldCharType="separate"/>
      </w:r>
      <w:r>
        <w:rPr>
          <w:rFonts w:hint="eastAsia" w:cs="宋体"/>
          <w:color w:val="auto"/>
          <w:highlight w:val="none"/>
        </w:rPr>
        <w:t xml:space="preserve">(九) </w:t>
      </w:r>
      <w:r>
        <w:rPr>
          <w:rFonts w:hint="eastAsia" w:cs="宋体" w:asciiTheme="minorEastAsia" w:hAnsiTheme="minorEastAsia" w:eastAsiaTheme="minorEastAsia"/>
          <w:color w:val="auto"/>
          <w:highlight w:val="none"/>
        </w:rPr>
        <w:t>资金支付方式、时间、条件</w:t>
      </w:r>
      <w:r>
        <w:rPr>
          <w:color w:val="auto"/>
          <w:highlight w:val="none"/>
        </w:rPr>
        <w:tab/>
      </w:r>
      <w:r>
        <w:rPr>
          <w:color w:val="auto"/>
          <w:highlight w:val="none"/>
        </w:rPr>
        <w:fldChar w:fldCharType="begin"/>
      </w:r>
      <w:r>
        <w:rPr>
          <w:color w:val="auto"/>
          <w:highlight w:val="none"/>
        </w:rPr>
        <w:instrText xml:space="preserve"> PAGEREF _Toc14779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"_Toc13080" </w:instrText>
      </w:r>
      <w:r>
        <w:rPr>
          <w:color w:val="auto"/>
          <w:highlight w:val="none"/>
        </w:rPr>
        <w:fldChar w:fldCharType="separate"/>
      </w:r>
      <w:r>
        <w:rPr>
          <w:rFonts w:hint="eastAsia" w:cs="宋体" w:asciiTheme="minorEastAsia" w:hAnsiTheme="minorEastAsia" w:eastAsiaTheme="minorEastAsia"/>
          <w:color w:val="auto"/>
          <w:highlight w:val="none"/>
        </w:rPr>
        <w:t>七、 投标纪律要求</w:t>
      </w:r>
      <w:r>
        <w:rPr>
          <w:color w:val="auto"/>
          <w:highlight w:val="none"/>
        </w:rPr>
        <w:tab/>
      </w:r>
      <w:r>
        <w:rPr>
          <w:color w:val="auto"/>
          <w:highlight w:val="none"/>
        </w:rPr>
        <w:fldChar w:fldCharType="begin"/>
      </w:r>
      <w:r>
        <w:rPr>
          <w:color w:val="auto"/>
          <w:highlight w:val="none"/>
        </w:rPr>
        <w:instrText xml:space="preserve"> PAGEREF _Toc13080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"_Toc528" </w:instrText>
      </w:r>
      <w:r>
        <w:rPr>
          <w:color w:val="auto"/>
          <w:highlight w:val="none"/>
        </w:rPr>
        <w:fldChar w:fldCharType="separate"/>
      </w:r>
      <w:r>
        <w:rPr>
          <w:rFonts w:hint="eastAsia" w:cs="宋体" w:asciiTheme="minorEastAsia" w:hAnsiTheme="minorEastAsia" w:eastAsiaTheme="minorEastAsia"/>
          <w:color w:val="auto"/>
          <w:highlight w:val="none"/>
        </w:rPr>
        <w:t>八、 其他</w:t>
      </w:r>
      <w:r>
        <w:rPr>
          <w:color w:val="auto"/>
          <w:highlight w:val="none"/>
        </w:rPr>
        <w:tab/>
      </w:r>
      <w:r>
        <w:rPr>
          <w:color w:val="auto"/>
          <w:highlight w:val="none"/>
        </w:rPr>
        <w:fldChar w:fldCharType="begin"/>
      </w:r>
      <w:r>
        <w:rPr>
          <w:color w:val="auto"/>
          <w:highlight w:val="none"/>
        </w:rPr>
        <w:instrText xml:space="preserve"> PAGEREF _Toc528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"_Toc6508" </w:instrText>
      </w:r>
      <w:r>
        <w:rPr>
          <w:color w:val="auto"/>
          <w:highlight w:val="none"/>
        </w:rPr>
        <w:fldChar w:fldCharType="separate"/>
      </w:r>
      <w:r>
        <w:rPr>
          <w:rFonts w:hint="eastAsia" w:cs="宋体"/>
          <w:color w:val="auto"/>
          <w:highlight w:val="none"/>
        </w:rPr>
        <w:t xml:space="preserve">(一) </w:t>
      </w:r>
      <w:r>
        <w:rPr>
          <w:rFonts w:hint="eastAsia" w:cs="宋体" w:asciiTheme="minorEastAsia" w:hAnsiTheme="minorEastAsia" w:eastAsiaTheme="minorEastAsia"/>
          <w:color w:val="auto"/>
          <w:highlight w:val="none"/>
        </w:rPr>
        <w:t>询问、质疑和投诉</w:t>
      </w:r>
      <w:r>
        <w:rPr>
          <w:color w:val="auto"/>
          <w:highlight w:val="none"/>
        </w:rPr>
        <w:tab/>
      </w:r>
      <w:r>
        <w:rPr>
          <w:color w:val="auto"/>
          <w:highlight w:val="none"/>
        </w:rPr>
        <w:fldChar w:fldCharType="begin"/>
      </w:r>
      <w:r>
        <w:rPr>
          <w:color w:val="auto"/>
          <w:highlight w:val="none"/>
        </w:rPr>
        <w:instrText xml:space="preserve"> PAGEREF _Toc6508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"_Toc26172" </w:instrText>
      </w:r>
      <w:r>
        <w:rPr>
          <w:color w:val="auto"/>
          <w:highlight w:val="none"/>
        </w:rPr>
        <w:fldChar w:fldCharType="separate"/>
      </w:r>
      <w:r>
        <w:rPr>
          <w:rFonts w:hint="eastAsia" w:cs="宋体"/>
          <w:color w:val="auto"/>
          <w:highlight w:val="none"/>
        </w:rPr>
        <w:t xml:space="preserve">(二) </w:t>
      </w:r>
      <w:r>
        <w:rPr>
          <w:rFonts w:hint="eastAsia" w:cs="宋体" w:asciiTheme="minorEastAsia" w:hAnsiTheme="minorEastAsia" w:eastAsiaTheme="minorEastAsia"/>
          <w:color w:val="auto"/>
          <w:highlight w:val="none"/>
        </w:rPr>
        <w:t>关于行贿犯罪档案查询工作的规定</w:t>
      </w:r>
      <w:r>
        <w:rPr>
          <w:color w:val="auto"/>
          <w:highlight w:val="none"/>
        </w:rPr>
        <w:tab/>
      </w:r>
      <w:r>
        <w:rPr>
          <w:color w:val="auto"/>
          <w:highlight w:val="none"/>
        </w:rPr>
        <w:fldChar w:fldCharType="begin"/>
      </w:r>
      <w:r>
        <w:rPr>
          <w:color w:val="auto"/>
          <w:highlight w:val="none"/>
        </w:rPr>
        <w:instrText xml:space="preserve"> PAGEREF _Toc26172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"_Toc10259" </w:instrText>
      </w:r>
      <w:r>
        <w:rPr>
          <w:color w:val="auto"/>
          <w:highlight w:val="none"/>
        </w:rPr>
        <w:fldChar w:fldCharType="separate"/>
      </w:r>
      <w:r>
        <w:rPr>
          <w:rFonts w:hint="eastAsia" w:cs="宋体"/>
          <w:color w:val="auto"/>
          <w:highlight w:val="none"/>
        </w:rPr>
        <w:t xml:space="preserve">(三) </w:t>
      </w:r>
      <w:r>
        <w:rPr>
          <w:rFonts w:hint="eastAsia" w:cs="宋体" w:asciiTheme="minorEastAsia" w:hAnsiTheme="minorEastAsia" w:eastAsiaTheme="minorEastAsia"/>
          <w:color w:val="auto"/>
          <w:highlight w:val="none"/>
        </w:rPr>
        <w:t>串通投标的情形</w:t>
      </w:r>
      <w:r>
        <w:rPr>
          <w:color w:val="auto"/>
          <w:highlight w:val="none"/>
        </w:rPr>
        <w:tab/>
      </w:r>
      <w:r>
        <w:rPr>
          <w:color w:val="auto"/>
          <w:highlight w:val="none"/>
        </w:rPr>
        <w:fldChar w:fldCharType="begin"/>
      </w:r>
      <w:r>
        <w:rPr>
          <w:color w:val="auto"/>
          <w:highlight w:val="none"/>
        </w:rPr>
        <w:instrText xml:space="preserve"> PAGEREF _Toc10259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"_Toc1772" </w:instrText>
      </w:r>
      <w:r>
        <w:rPr>
          <w:color w:val="auto"/>
          <w:highlight w:val="none"/>
        </w:rPr>
        <w:fldChar w:fldCharType="separate"/>
      </w:r>
      <w:r>
        <w:rPr>
          <w:rFonts w:hint="eastAsia" w:cs="宋体"/>
          <w:color w:val="auto"/>
          <w:highlight w:val="none"/>
        </w:rPr>
        <w:t xml:space="preserve">(四) </w:t>
      </w:r>
      <w:r>
        <w:rPr>
          <w:rFonts w:hint="eastAsia" w:cs="宋体" w:asciiTheme="minorEastAsia" w:hAnsiTheme="minorEastAsia" w:eastAsiaTheme="minorEastAsia"/>
          <w:color w:val="auto"/>
          <w:highlight w:val="none"/>
        </w:rPr>
        <w:t>投标人信用信息查询</w:t>
      </w:r>
      <w:r>
        <w:rPr>
          <w:color w:val="auto"/>
          <w:highlight w:val="none"/>
        </w:rPr>
        <w:tab/>
      </w:r>
      <w:r>
        <w:rPr>
          <w:color w:val="auto"/>
          <w:highlight w:val="none"/>
        </w:rPr>
        <w:fldChar w:fldCharType="begin"/>
      </w:r>
      <w:r>
        <w:rPr>
          <w:color w:val="auto"/>
          <w:highlight w:val="none"/>
        </w:rPr>
        <w:instrText xml:space="preserve"> PAGEREF _Toc1772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"_Toc26035" </w:instrText>
      </w:r>
      <w:r>
        <w:rPr>
          <w:color w:val="auto"/>
          <w:highlight w:val="none"/>
        </w:rPr>
        <w:fldChar w:fldCharType="separate"/>
      </w:r>
      <w:r>
        <w:rPr>
          <w:rFonts w:hint="eastAsia" w:cs="宋体"/>
          <w:color w:val="auto"/>
          <w:highlight w:val="none"/>
        </w:rPr>
        <w:t xml:space="preserve">(五) </w:t>
      </w:r>
      <w:r>
        <w:rPr>
          <w:rFonts w:hint="eastAsia" w:cs="宋体" w:asciiTheme="minorEastAsia" w:hAnsiTheme="minorEastAsia" w:eastAsiaTheme="minorEastAsia"/>
          <w:color w:val="auto"/>
          <w:highlight w:val="none"/>
        </w:rPr>
        <w:t>解释说明</w:t>
      </w:r>
      <w:r>
        <w:rPr>
          <w:color w:val="auto"/>
          <w:highlight w:val="none"/>
        </w:rPr>
        <w:tab/>
      </w:r>
      <w:r>
        <w:rPr>
          <w:color w:val="auto"/>
          <w:highlight w:val="none"/>
        </w:rPr>
        <w:fldChar w:fldCharType="begin"/>
      </w:r>
      <w:r>
        <w:rPr>
          <w:color w:val="auto"/>
          <w:highlight w:val="none"/>
        </w:rPr>
        <w:instrText xml:space="preserve"> PAGEREF _Toc26035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"_Toc24088" </w:instrText>
      </w:r>
      <w:r>
        <w:rPr>
          <w:color w:val="auto"/>
          <w:highlight w:val="none"/>
        </w:rPr>
        <w:fldChar w:fldCharType="separate"/>
      </w:r>
      <w:r>
        <w:rPr>
          <w:rFonts w:hint="eastAsia" w:cs="宋体"/>
          <w:color w:val="auto"/>
          <w:highlight w:val="none"/>
        </w:rPr>
        <w:t xml:space="preserve">第三章 </w:t>
      </w:r>
      <w:r>
        <w:rPr>
          <w:rFonts w:hint="eastAsia" w:cs="宋体" w:asciiTheme="minorEastAsia" w:hAnsiTheme="minorEastAsia" w:eastAsiaTheme="minor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_Toc24088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"_Toc25258" </w:instrText>
      </w:r>
      <w:r>
        <w:rPr>
          <w:color w:val="auto"/>
          <w:highlight w:val="none"/>
        </w:rPr>
        <w:fldChar w:fldCharType="separate"/>
      </w:r>
      <w:r>
        <w:rPr>
          <w:rFonts w:hint="eastAsia" w:cs="宋体" w:asciiTheme="minorEastAsia" w:hAnsiTheme="minorEastAsia" w:eastAsiaTheme="minorEastAsia"/>
          <w:color w:val="auto"/>
          <w:szCs w:val="32"/>
          <w:highlight w:val="none"/>
        </w:rPr>
        <w:t>第一部分 资格、资质性及其他类似效力投标文件(格式)</w:t>
      </w:r>
      <w:r>
        <w:rPr>
          <w:color w:val="auto"/>
          <w:highlight w:val="none"/>
        </w:rPr>
        <w:tab/>
      </w:r>
      <w:r>
        <w:rPr>
          <w:color w:val="auto"/>
          <w:highlight w:val="none"/>
        </w:rPr>
        <w:fldChar w:fldCharType="begin"/>
      </w:r>
      <w:r>
        <w:rPr>
          <w:color w:val="auto"/>
          <w:highlight w:val="none"/>
        </w:rPr>
        <w:instrText xml:space="preserve"> PAGEREF _Toc25258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"_Toc18400" </w:instrText>
      </w:r>
      <w:r>
        <w:rPr>
          <w:color w:val="auto"/>
          <w:highlight w:val="none"/>
        </w:rPr>
        <w:fldChar w:fldCharType="separate"/>
      </w:r>
      <w:r>
        <w:rPr>
          <w:rFonts w:hint="eastAsia" w:cs="宋体" w:asciiTheme="minorEastAsia" w:hAnsiTheme="minorEastAsia" w:eastAsiaTheme="minorEastAsia"/>
          <w:color w:val="auto"/>
          <w:highlight w:val="none"/>
        </w:rPr>
        <w:t>一、 法定代表人/单位负责人授权书</w:t>
      </w:r>
      <w:r>
        <w:rPr>
          <w:color w:val="auto"/>
          <w:highlight w:val="none"/>
        </w:rPr>
        <w:tab/>
      </w:r>
      <w:r>
        <w:rPr>
          <w:color w:val="auto"/>
          <w:highlight w:val="none"/>
        </w:rPr>
        <w:fldChar w:fldCharType="begin"/>
      </w:r>
      <w:r>
        <w:rPr>
          <w:color w:val="auto"/>
          <w:highlight w:val="none"/>
        </w:rPr>
        <w:instrText xml:space="preserve"> PAGEREF _Toc18400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"_Toc19179" </w:instrText>
      </w:r>
      <w:r>
        <w:rPr>
          <w:color w:val="auto"/>
          <w:highlight w:val="none"/>
        </w:rPr>
        <w:fldChar w:fldCharType="separate"/>
      </w:r>
      <w:r>
        <w:rPr>
          <w:rFonts w:hint="eastAsia" w:cs="宋体" w:asciiTheme="minorEastAsia" w:hAnsiTheme="minorEastAsia" w:eastAsiaTheme="minorEastAsia"/>
          <w:color w:val="auto"/>
          <w:highlight w:val="none"/>
        </w:rPr>
        <w:t>一、 法定代表人/单位负责人证明书</w:t>
      </w:r>
      <w:r>
        <w:rPr>
          <w:color w:val="auto"/>
          <w:highlight w:val="none"/>
        </w:rPr>
        <w:tab/>
      </w:r>
      <w:r>
        <w:rPr>
          <w:color w:val="auto"/>
          <w:highlight w:val="none"/>
        </w:rPr>
        <w:fldChar w:fldCharType="begin"/>
      </w:r>
      <w:r>
        <w:rPr>
          <w:color w:val="auto"/>
          <w:highlight w:val="none"/>
        </w:rPr>
        <w:instrText xml:space="preserve"> PAGEREF _Toc19179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"_Toc18294" </w:instrText>
      </w:r>
      <w:r>
        <w:rPr>
          <w:color w:val="auto"/>
          <w:highlight w:val="none"/>
        </w:rPr>
        <w:fldChar w:fldCharType="separate"/>
      </w:r>
      <w:r>
        <w:rPr>
          <w:rFonts w:hint="eastAsia" w:cs="宋体" w:asciiTheme="minorEastAsia" w:hAnsiTheme="minorEastAsia" w:eastAsiaTheme="minorEastAsia"/>
          <w:color w:val="auto"/>
          <w:highlight w:val="none"/>
        </w:rPr>
        <w:t>二、 具有独立承担民事责任的能力的证明材料</w:t>
      </w:r>
      <w:r>
        <w:rPr>
          <w:color w:val="auto"/>
          <w:highlight w:val="none"/>
        </w:rPr>
        <w:tab/>
      </w:r>
      <w:r>
        <w:rPr>
          <w:color w:val="auto"/>
          <w:highlight w:val="none"/>
        </w:rPr>
        <w:fldChar w:fldCharType="begin"/>
      </w:r>
      <w:r>
        <w:rPr>
          <w:color w:val="auto"/>
          <w:highlight w:val="none"/>
        </w:rPr>
        <w:instrText xml:space="preserve"> PAGEREF _Toc18294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"_Toc10173" </w:instrText>
      </w:r>
      <w:r>
        <w:rPr>
          <w:color w:val="auto"/>
          <w:highlight w:val="none"/>
        </w:rPr>
        <w:fldChar w:fldCharType="separate"/>
      </w:r>
      <w:r>
        <w:rPr>
          <w:rFonts w:hint="eastAsia" w:cs="宋体" w:asciiTheme="minorEastAsia" w:hAnsiTheme="minorEastAsia" w:eastAsiaTheme="minorEastAsia"/>
          <w:color w:val="auto"/>
          <w:highlight w:val="none"/>
        </w:rPr>
        <w:t>三、 投标人具有良好的商业信誉和健全的财务会计制度的证明材料</w:t>
      </w:r>
      <w:r>
        <w:rPr>
          <w:color w:val="auto"/>
          <w:highlight w:val="none"/>
        </w:rPr>
        <w:tab/>
      </w:r>
      <w:r>
        <w:rPr>
          <w:color w:val="auto"/>
          <w:highlight w:val="none"/>
        </w:rPr>
        <w:fldChar w:fldCharType="begin"/>
      </w:r>
      <w:r>
        <w:rPr>
          <w:color w:val="auto"/>
          <w:highlight w:val="none"/>
        </w:rPr>
        <w:instrText xml:space="preserve"> PAGEREF _Toc10173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"_Toc4190" </w:instrText>
      </w:r>
      <w:r>
        <w:rPr>
          <w:color w:val="auto"/>
          <w:highlight w:val="none"/>
        </w:rPr>
        <w:fldChar w:fldCharType="separate"/>
      </w:r>
      <w:r>
        <w:rPr>
          <w:rFonts w:hint="eastAsia" w:cs="宋体" w:asciiTheme="minorEastAsia" w:hAnsiTheme="minorEastAsia" w:eastAsiaTheme="minorEastAsia"/>
          <w:color w:val="auto"/>
          <w:highlight w:val="none"/>
        </w:rPr>
        <w:t>四、 投标人具有依法缴纳税收和社会保障资金的良好记录的证明材料</w:t>
      </w:r>
      <w:r>
        <w:rPr>
          <w:color w:val="auto"/>
          <w:highlight w:val="none"/>
        </w:rPr>
        <w:tab/>
      </w:r>
      <w:r>
        <w:rPr>
          <w:color w:val="auto"/>
          <w:highlight w:val="none"/>
        </w:rPr>
        <w:fldChar w:fldCharType="begin"/>
      </w:r>
      <w:r>
        <w:rPr>
          <w:color w:val="auto"/>
          <w:highlight w:val="none"/>
        </w:rPr>
        <w:instrText xml:space="preserve"> PAGEREF _Toc4190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"_Toc22669" </w:instrText>
      </w:r>
      <w:r>
        <w:rPr>
          <w:color w:val="auto"/>
          <w:highlight w:val="none"/>
        </w:rPr>
        <w:fldChar w:fldCharType="separate"/>
      </w:r>
      <w:r>
        <w:rPr>
          <w:rFonts w:hint="eastAsia" w:cs="宋体" w:asciiTheme="minorEastAsia" w:hAnsiTheme="minorEastAsia" w:eastAsiaTheme="minorEastAsia"/>
          <w:color w:val="auto"/>
          <w:highlight w:val="none"/>
        </w:rPr>
        <w:t>五、 投标人具有履行合同所必需的设备和专业技术能力证明材料</w:t>
      </w:r>
      <w:r>
        <w:rPr>
          <w:color w:val="auto"/>
          <w:highlight w:val="none"/>
        </w:rPr>
        <w:tab/>
      </w:r>
      <w:r>
        <w:rPr>
          <w:color w:val="auto"/>
          <w:highlight w:val="none"/>
        </w:rPr>
        <w:fldChar w:fldCharType="begin"/>
      </w:r>
      <w:r>
        <w:rPr>
          <w:color w:val="auto"/>
          <w:highlight w:val="none"/>
        </w:rPr>
        <w:instrText xml:space="preserve"> PAGEREF _Toc22669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"_Toc24186" </w:instrText>
      </w:r>
      <w:r>
        <w:rPr>
          <w:color w:val="auto"/>
          <w:highlight w:val="none"/>
        </w:rPr>
        <w:fldChar w:fldCharType="separate"/>
      </w:r>
      <w:r>
        <w:rPr>
          <w:rFonts w:hint="eastAsia" w:cs="宋体" w:asciiTheme="minorEastAsia" w:hAnsiTheme="minorEastAsia" w:eastAsiaTheme="minorEastAsia"/>
          <w:color w:val="auto"/>
          <w:highlight w:val="none"/>
        </w:rPr>
        <w:t>六、 投标人参加政府采购活动前三年内，在经营活动中没有重大违法记录的证明材料</w:t>
      </w:r>
      <w:r>
        <w:rPr>
          <w:color w:val="auto"/>
          <w:highlight w:val="none"/>
        </w:rPr>
        <w:tab/>
      </w:r>
      <w:r>
        <w:rPr>
          <w:color w:val="auto"/>
          <w:highlight w:val="none"/>
        </w:rPr>
        <w:fldChar w:fldCharType="begin"/>
      </w:r>
      <w:r>
        <w:rPr>
          <w:color w:val="auto"/>
          <w:highlight w:val="none"/>
        </w:rPr>
        <w:instrText xml:space="preserve"> PAGEREF _Toc24186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"_Toc17200" </w:instrText>
      </w:r>
      <w:r>
        <w:rPr>
          <w:color w:val="auto"/>
          <w:highlight w:val="none"/>
        </w:rPr>
        <w:fldChar w:fldCharType="separate"/>
      </w:r>
      <w:r>
        <w:rPr>
          <w:rFonts w:hint="eastAsia" w:cs="宋体" w:asciiTheme="minorEastAsia" w:hAnsiTheme="minorEastAsia" w:eastAsiaTheme="minorEastAsia"/>
          <w:color w:val="auto"/>
          <w:highlight w:val="none"/>
          <w:lang w:val="zh-CN"/>
        </w:rPr>
        <w:t xml:space="preserve">七、 </w:t>
      </w:r>
      <w:r>
        <w:rPr>
          <w:rFonts w:hint="eastAsia" w:cs="宋体" w:asciiTheme="minorEastAsia" w:hAnsiTheme="minorEastAsia" w:eastAsiaTheme="minorEastAsia"/>
          <w:color w:val="auto"/>
          <w:highlight w:val="none"/>
        </w:rPr>
        <w:t>投标人</w:t>
      </w:r>
      <w:r>
        <w:rPr>
          <w:rFonts w:hint="eastAsia" w:cs="宋体" w:asciiTheme="minorEastAsia" w:hAnsiTheme="minorEastAsia" w:eastAsiaTheme="minorEastAsia"/>
          <w:color w:val="auto"/>
          <w:highlight w:val="none"/>
          <w:lang w:val="zh-CN"/>
        </w:rPr>
        <w:t>及其现任法定代表人、主要负责人不得具有行贿犯罪记录</w:t>
      </w:r>
      <w:r>
        <w:rPr>
          <w:rFonts w:hint="eastAsia" w:cs="宋体" w:asciiTheme="minorEastAsia" w:hAnsiTheme="minorEastAsia" w:eastAsiaTheme="minorEastAsia"/>
          <w:color w:val="auto"/>
          <w:highlight w:val="none"/>
        </w:rPr>
        <w:t>的承诺函</w:t>
      </w:r>
      <w:r>
        <w:rPr>
          <w:color w:val="auto"/>
          <w:highlight w:val="none"/>
        </w:rPr>
        <w:tab/>
      </w:r>
      <w:r>
        <w:rPr>
          <w:color w:val="auto"/>
          <w:highlight w:val="none"/>
        </w:rPr>
        <w:fldChar w:fldCharType="begin"/>
      </w:r>
      <w:r>
        <w:rPr>
          <w:color w:val="auto"/>
          <w:highlight w:val="none"/>
        </w:rPr>
        <w:instrText xml:space="preserve"> PAGEREF _Toc17200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"_Toc15304" </w:instrText>
      </w:r>
      <w:r>
        <w:rPr>
          <w:color w:val="auto"/>
          <w:highlight w:val="none"/>
        </w:rPr>
        <w:fldChar w:fldCharType="separate"/>
      </w:r>
      <w:r>
        <w:rPr>
          <w:rFonts w:hint="eastAsia" w:cs="宋体" w:asciiTheme="minorEastAsia" w:hAnsiTheme="minorEastAsia" w:eastAsiaTheme="minorEastAsia"/>
          <w:color w:val="auto"/>
          <w:highlight w:val="none"/>
        </w:rPr>
        <w:t>八、 根据采购项目的特殊要求，供应商提供具有特定条件的证明材料</w:t>
      </w:r>
      <w:r>
        <w:rPr>
          <w:color w:val="auto"/>
          <w:highlight w:val="none"/>
        </w:rPr>
        <w:tab/>
      </w:r>
      <w:r>
        <w:rPr>
          <w:color w:val="auto"/>
          <w:highlight w:val="none"/>
        </w:rPr>
        <w:fldChar w:fldCharType="begin"/>
      </w:r>
      <w:r>
        <w:rPr>
          <w:color w:val="auto"/>
          <w:highlight w:val="none"/>
        </w:rPr>
        <w:instrText xml:space="preserve"> PAGEREF _Toc15304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"_Toc32579" </w:instrText>
      </w:r>
      <w:r>
        <w:rPr>
          <w:color w:val="auto"/>
          <w:highlight w:val="none"/>
        </w:rPr>
        <w:fldChar w:fldCharType="separate"/>
      </w:r>
      <w:r>
        <w:rPr>
          <w:rFonts w:hint="eastAsia" w:cs="宋体" w:asciiTheme="minorEastAsia" w:hAnsiTheme="minorEastAsia" w:eastAsiaTheme="minorEastAsia"/>
          <w:color w:val="auto"/>
          <w:highlight w:val="none"/>
        </w:rPr>
        <w:t>九、 符合《中华人民共和国政府采购法》第二十二条规定的条件的承诺及声明函</w:t>
      </w:r>
      <w:r>
        <w:rPr>
          <w:color w:val="auto"/>
          <w:highlight w:val="none"/>
        </w:rPr>
        <w:tab/>
      </w:r>
      <w:r>
        <w:rPr>
          <w:color w:val="auto"/>
          <w:highlight w:val="none"/>
        </w:rPr>
        <w:fldChar w:fldCharType="begin"/>
      </w:r>
      <w:r>
        <w:rPr>
          <w:color w:val="auto"/>
          <w:highlight w:val="none"/>
        </w:rPr>
        <w:instrText xml:space="preserve"> PAGEREF _Toc32579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"_Toc2234" </w:instrText>
      </w:r>
      <w:r>
        <w:rPr>
          <w:color w:val="auto"/>
          <w:highlight w:val="none"/>
        </w:rPr>
        <w:fldChar w:fldCharType="separate"/>
      </w:r>
      <w:r>
        <w:rPr>
          <w:rFonts w:hint="eastAsia" w:cs="宋体" w:asciiTheme="minorEastAsia" w:hAnsiTheme="minorEastAsia" w:eastAsiaTheme="minorEastAsia"/>
          <w:color w:val="auto"/>
          <w:highlight w:val="none"/>
        </w:rPr>
        <w:t>十、 中小企业声明函(作为资格条件使用仅限于第一包，且投标人应为中小企业)</w:t>
      </w:r>
      <w:r>
        <w:rPr>
          <w:color w:val="auto"/>
          <w:highlight w:val="none"/>
        </w:rPr>
        <w:tab/>
      </w:r>
      <w:r>
        <w:rPr>
          <w:color w:val="auto"/>
          <w:highlight w:val="none"/>
        </w:rPr>
        <w:fldChar w:fldCharType="begin"/>
      </w:r>
      <w:r>
        <w:rPr>
          <w:color w:val="auto"/>
          <w:highlight w:val="none"/>
        </w:rPr>
        <w:instrText xml:space="preserve"> PAGEREF _Toc2234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"_Toc7569" </w:instrText>
      </w:r>
      <w:r>
        <w:rPr>
          <w:color w:val="auto"/>
          <w:highlight w:val="none"/>
        </w:rPr>
        <w:fldChar w:fldCharType="separate"/>
      </w:r>
      <w:r>
        <w:rPr>
          <w:rFonts w:hint="eastAsia" w:cs="宋体" w:asciiTheme="minorEastAsia" w:hAnsiTheme="minorEastAsia" w:eastAsiaTheme="minorEastAsia"/>
          <w:color w:val="auto"/>
          <w:highlight w:val="none"/>
        </w:rPr>
        <w:t>十一、 监狱企业相关证明材料(作为资格条件使用仅限于第一包，且投标人应为监狱企业)</w:t>
      </w:r>
      <w:r>
        <w:rPr>
          <w:color w:val="auto"/>
          <w:highlight w:val="none"/>
        </w:rPr>
        <w:tab/>
      </w:r>
      <w:r>
        <w:rPr>
          <w:color w:val="auto"/>
          <w:highlight w:val="none"/>
        </w:rPr>
        <w:fldChar w:fldCharType="begin"/>
      </w:r>
      <w:r>
        <w:rPr>
          <w:color w:val="auto"/>
          <w:highlight w:val="none"/>
        </w:rPr>
        <w:instrText xml:space="preserve"> PAGEREF _Toc7569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"_Toc1158" </w:instrText>
      </w:r>
      <w:r>
        <w:rPr>
          <w:color w:val="auto"/>
          <w:highlight w:val="none"/>
        </w:rPr>
        <w:fldChar w:fldCharType="separate"/>
      </w:r>
      <w:r>
        <w:rPr>
          <w:rFonts w:hint="eastAsia" w:cs="宋体" w:asciiTheme="minorEastAsia" w:hAnsiTheme="minorEastAsia" w:eastAsiaTheme="minorEastAsia"/>
          <w:color w:val="auto"/>
          <w:highlight w:val="none"/>
        </w:rPr>
        <w:t>十二、 残疾人福利性单位声明函(作为资格条件使用仅限于第一包，且投标人应为残疾人福利性单位)</w:t>
      </w:r>
      <w:r>
        <w:rPr>
          <w:color w:val="auto"/>
          <w:highlight w:val="none"/>
        </w:rPr>
        <w:tab/>
      </w:r>
      <w:r>
        <w:rPr>
          <w:color w:val="auto"/>
          <w:highlight w:val="none"/>
        </w:rPr>
        <w:fldChar w:fldCharType="begin"/>
      </w:r>
      <w:r>
        <w:rPr>
          <w:color w:val="auto"/>
          <w:highlight w:val="none"/>
        </w:rPr>
        <w:instrText xml:space="preserve"> PAGEREF _Toc1158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"_Toc29607" </w:instrText>
      </w:r>
      <w:r>
        <w:rPr>
          <w:color w:val="auto"/>
          <w:highlight w:val="none"/>
        </w:rPr>
        <w:fldChar w:fldCharType="separate"/>
      </w:r>
      <w:r>
        <w:rPr>
          <w:rFonts w:hint="eastAsia" w:cs="宋体" w:asciiTheme="minorEastAsia" w:hAnsiTheme="minorEastAsia" w:eastAsiaTheme="minorEastAsia"/>
          <w:color w:val="auto"/>
          <w:highlight w:val="none"/>
        </w:rPr>
        <w:t>十三、 分包意向协议(适用第一包)</w:t>
      </w:r>
      <w:r>
        <w:rPr>
          <w:color w:val="auto"/>
          <w:highlight w:val="none"/>
        </w:rPr>
        <w:tab/>
      </w:r>
      <w:r>
        <w:rPr>
          <w:color w:val="auto"/>
          <w:highlight w:val="none"/>
        </w:rPr>
        <w:fldChar w:fldCharType="begin"/>
      </w:r>
      <w:r>
        <w:rPr>
          <w:color w:val="auto"/>
          <w:highlight w:val="none"/>
        </w:rPr>
        <w:instrText xml:space="preserve"> PAGEREF _Toc29607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"_Toc15602" </w:instrText>
      </w:r>
      <w:r>
        <w:rPr>
          <w:color w:val="auto"/>
          <w:highlight w:val="none"/>
        </w:rPr>
        <w:fldChar w:fldCharType="separate"/>
      </w:r>
      <w:r>
        <w:rPr>
          <w:rFonts w:hint="eastAsia" w:cs="宋体" w:asciiTheme="minorEastAsia" w:hAnsiTheme="minorEastAsia" w:eastAsiaTheme="minorEastAsia"/>
          <w:color w:val="auto"/>
          <w:szCs w:val="32"/>
          <w:highlight w:val="none"/>
        </w:rPr>
        <w:t>第二部分 其他投标文件(格式)</w:t>
      </w:r>
      <w:r>
        <w:rPr>
          <w:color w:val="auto"/>
          <w:highlight w:val="none"/>
        </w:rPr>
        <w:tab/>
      </w:r>
      <w:r>
        <w:rPr>
          <w:color w:val="auto"/>
          <w:highlight w:val="none"/>
        </w:rPr>
        <w:fldChar w:fldCharType="begin"/>
      </w:r>
      <w:r>
        <w:rPr>
          <w:color w:val="auto"/>
          <w:highlight w:val="none"/>
        </w:rPr>
        <w:instrText xml:space="preserve"> PAGEREF _Toc15602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"_Toc21755" </w:instrText>
      </w:r>
      <w:r>
        <w:rPr>
          <w:color w:val="auto"/>
          <w:highlight w:val="none"/>
        </w:rPr>
        <w:fldChar w:fldCharType="separate"/>
      </w:r>
      <w:r>
        <w:rPr>
          <w:rFonts w:hint="eastAsia" w:cs="宋体" w:asciiTheme="minorEastAsia" w:hAnsiTheme="minorEastAsia" w:eastAsiaTheme="minorEastAsia"/>
          <w:color w:val="auto"/>
          <w:highlight w:val="none"/>
        </w:rPr>
        <w:t>一、 投标函</w:t>
      </w:r>
      <w:r>
        <w:rPr>
          <w:color w:val="auto"/>
          <w:highlight w:val="none"/>
        </w:rPr>
        <w:tab/>
      </w:r>
      <w:r>
        <w:rPr>
          <w:color w:val="auto"/>
          <w:highlight w:val="none"/>
        </w:rPr>
        <w:fldChar w:fldCharType="begin"/>
      </w:r>
      <w:r>
        <w:rPr>
          <w:color w:val="auto"/>
          <w:highlight w:val="none"/>
        </w:rPr>
        <w:instrText xml:space="preserve"> PAGEREF _Toc21755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"_Toc18775" </w:instrText>
      </w:r>
      <w:r>
        <w:rPr>
          <w:color w:val="auto"/>
          <w:highlight w:val="none"/>
        </w:rPr>
        <w:fldChar w:fldCharType="separate"/>
      </w:r>
      <w:r>
        <w:rPr>
          <w:rFonts w:hint="eastAsia" w:cs="宋体" w:asciiTheme="minorEastAsia" w:hAnsiTheme="minorEastAsia" w:eastAsiaTheme="minorEastAsia"/>
          <w:color w:val="auto"/>
          <w:highlight w:val="none"/>
        </w:rPr>
        <w:t>二、 实质性要求承诺</w:t>
      </w:r>
      <w:r>
        <w:rPr>
          <w:color w:val="auto"/>
          <w:highlight w:val="none"/>
        </w:rPr>
        <w:tab/>
      </w:r>
      <w:r>
        <w:rPr>
          <w:color w:val="auto"/>
          <w:highlight w:val="none"/>
        </w:rPr>
        <w:fldChar w:fldCharType="begin"/>
      </w:r>
      <w:r>
        <w:rPr>
          <w:color w:val="auto"/>
          <w:highlight w:val="none"/>
        </w:rPr>
        <w:instrText xml:space="preserve"> PAGEREF _Toc18775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"_Toc11854" </w:instrText>
      </w:r>
      <w:r>
        <w:rPr>
          <w:color w:val="auto"/>
          <w:highlight w:val="none"/>
        </w:rPr>
        <w:fldChar w:fldCharType="separate"/>
      </w:r>
      <w:r>
        <w:rPr>
          <w:rFonts w:hint="eastAsia" w:cs="宋体" w:asciiTheme="minorEastAsia" w:hAnsiTheme="minorEastAsia" w:eastAsiaTheme="minorEastAsia"/>
          <w:color w:val="auto"/>
          <w:highlight w:val="none"/>
        </w:rPr>
        <w:t>三、 投标人基本情况表</w:t>
      </w:r>
      <w:r>
        <w:rPr>
          <w:color w:val="auto"/>
          <w:highlight w:val="none"/>
        </w:rPr>
        <w:tab/>
      </w:r>
      <w:r>
        <w:rPr>
          <w:color w:val="auto"/>
          <w:highlight w:val="none"/>
        </w:rPr>
        <w:fldChar w:fldCharType="begin"/>
      </w:r>
      <w:r>
        <w:rPr>
          <w:color w:val="auto"/>
          <w:highlight w:val="none"/>
        </w:rPr>
        <w:instrText xml:space="preserve"> PAGEREF _Toc11854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"_Toc4856" </w:instrText>
      </w:r>
      <w:r>
        <w:rPr>
          <w:color w:val="auto"/>
          <w:highlight w:val="none"/>
        </w:rPr>
        <w:fldChar w:fldCharType="separate"/>
      </w:r>
      <w:r>
        <w:rPr>
          <w:rFonts w:hint="eastAsia" w:cs="宋体" w:asciiTheme="minorEastAsia" w:hAnsiTheme="minorEastAsia" w:eastAsiaTheme="minorEastAsia"/>
          <w:color w:val="auto"/>
          <w:highlight w:val="none"/>
        </w:rPr>
        <w:t>四、 开标一览表</w:t>
      </w:r>
      <w:r>
        <w:rPr>
          <w:color w:val="auto"/>
          <w:highlight w:val="none"/>
        </w:rPr>
        <w:tab/>
      </w:r>
      <w:r>
        <w:rPr>
          <w:color w:val="auto"/>
          <w:highlight w:val="none"/>
        </w:rPr>
        <w:fldChar w:fldCharType="begin"/>
      </w:r>
      <w:r>
        <w:rPr>
          <w:color w:val="auto"/>
          <w:highlight w:val="none"/>
        </w:rPr>
        <w:instrText xml:space="preserve"> PAGEREF _Toc4856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"_Toc23866" </w:instrText>
      </w:r>
      <w:r>
        <w:rPr>
          <w:color w:val="auto"/>
          <w:highlight w:val="none"/>
        </w:rPr>
        <w:fldChar w:fldCharType="separate"/>
      </w:r>
      <w:r>
        <w:rPr>
          <w:rFonts w:hint="eastAsia" w:cs="宋体" w:asciiTheme="minorEastAsia" w:hAnsiTheme="minorEastAsia" w:eastAsiaTheme="minorEastAsia"/>
          <w:color w:val="auto"/>
          <w:highlight w:val="none"/>
        </w:rPr>
        <w:t>四、开标一览表</w:t>
      </w:r>
      <w:r>
        <w:rPr>
          <w:color w:val="auto"/>
          <w:highlight w:val="none"/>
        </w:rPr>
        <w:tab/>
      </w:r>
      <w:r>
        <w:rPr>
          <w:color w:val="auto"/>
          <w:highlight w:val="none"/>
        </w:rPr>
        <w:fldChar w:fldCharType="begin"/>
      </w:r>
      <w:r>
        <w:rPr>
          <w:color w:val="auto"/>
          <w:highlight w:val="none"/>
        </w:rPr>
        <w:instrText xml:space="preserve"> PAGEREF _Toc23866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"_Toc15588" </w:instrText>
      </w:r>
      <w:r>
        <w:rPr>
          <w:color w:val="auto"/>
          <w:highlight w:val="none"/>
        </w:rPr>
        <w:fldChar w:fldCharType="separate"/>
      </w:r>
      <w:r>
        <w:rPr>
          <w:rFonts w:hint="eastAsia" w:cs="宋体" w:asciiTheme="minorEastAsia" w:hAnsiTheme="minorEastAsia" w:eastAsiaTheme="minorEastAsia"/>
          <w:color w:val="auto"/>
          <w:highlight w:val="none"/>
        </w:rPr>
        <w:t>五、分项报价明细表</w:t>
      </w:r>
      <w:r>
        <w:rPr>
          <w:color w:val="auto"/>
          <w:highlight w:val="none"/>
        </w:rPr>
        <w:tab/>
      </w:r>
      <w:r>
        <w:rPr>
          <w:color w:val="auto"/>
          <w:highlight w:val="none"/>
        </w:rPr>
        <w:fldChar w:fldCharType="begin"/>
      </w:r>
      <w:r>
        <w:rPr>
          <w:color w:val="auto"/>
          <w:highlight w:val="none"/>
        </w:rPr>
        <w:instrText xml:space="preserve"> PAGEREF _Toc15588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"_Toc11525" </w:instrText>
      </w:r>
      <w:r>
        <w:rPr>
          <w:color w:val="auto"/>
          <w:highlight w:val="none"/>
        </w:rPr>
        <w:fldChar w:fldCharType="separate"/>
      </w:r>
      <w:r>
        <w:rPr>
          <w:rFonts w:hint="eastAsia" w:cs="宋体" w:asciiTheme="minorEastAsia" w:hAnsiTheme="minorEastAsia" w:eastAsiaTheme="minorEastAsia"/>
          <w:color w:val="auto"/>
          <w:highlight w:val="none"/>
        </w:rPr>
        <w:t>五、 商务应答表</w:t>
      </w:r>
      <w:r>
        <w:rPr>
          <w:color w:val="auto"/>
          <w:highlight w:val="none"/>
        </w:rPr>
        <w:tab/>
      </w:r>
      <w:r>
        <w:rPr>
          <w:color w:val="auto"/>
          <w:highlight w:val="none"/>
        </w:rPr>
        <w:fldChar w:fldCharType="begin"/>
      </w:r>
      <w:r>
        <w:rPr>
          <w:color w:val="auto"/>
          <w:highlight w:val="none"/>
        </w:rPr>
        <w:instrText xml:space="preserve"> PAGEREF _Toc11525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"_Toc4082" </w:instrText>
      </w:r>
      <w:r>
        <w:rPr>
          <w:color w:val="auto"/>
          <w:highlight w:val="none"/>
        </w:rPr>
        <w:fldChar w:fldCharType="separate"/>
      </w:r>
      <w:r>
        <w:rPr>
          <w:rFonts w:hint="eastAsia" w:cs="宋体" w:asciiTheme="minorEastAsia" w:hAnsiTheme="minorEastAsia" w:eastAsiaTheme="minorEastAsia"/>
          <w:color w:val="auto"/>
          <w:highlight w:val="none"/>
        </w:rPr>
        <w:t>六、 服务应答表</w:t>
      </w:r>
      <w:r>
        <w:rPr>
          <w:color w:val="auto"/>
          <w:highlight w:val="none"/>
        </w:rPr>
        <w:tab/>
      </w:r>
      <w:r>
        <w:rPr>
          <w:color w:val="auto"/>
          <w:highlight w:val="none"/>
        </w:rPr>
        <w:fldChar w:fldCharType="begin"/>
      </w:r>
      <w:r>
        <w:rPr>
          <w:color w:val="auto"/>
          <w:highlight w:val="none"/>
        </w:rPr>
        <w:instrText xml:space="preserve"> PAGEREF _Toc4082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"_Toc27439" </w:instrText>
      </w:r>
      <w:r>
        <w:rPr>
          <w:color w:val="auto"/>
          <w:highlight w:val="none"/>
        </w:rPr>
        <w:fldChar w:fldCharType="separate"/>
      </w:r>
      <w:r>
        <w:rPr>
          <w:rFonts w:hint="eastAsia" w:cs="宋体" w:asciiTheme="minorEastAsia" w:hAnsiTheme="minorEastAsia" w:eastAsiaTheme="minorEastAsia"/>
          <w:color w:val="auto"/>
          <w:highlight w:val="none"/>
        </w:rPr>
        <w:t>七、 履约能力及相关证明</w:t>
      </w:r>
      <w:r>
        <w:rPr>
          <w:color w:val="auto"/>
          <w:highlight w:val="none"/>
        </w:rPr>
        <w:tab/>
      </w:r>
      <w:r>
        <w:rPr>
          <w:color w:val="auto"/>
          <w:highlight w:val="none"/>
        </w:rPr>
        <w:fldChar w:fldCharType="begin"/>
      </w:r>
      <w:r>
        <w:rPr>
          <w:color w:val="auto"/>
          <w:highlight w:val="none"/>
        </w:rPr>
        <w:instrText xml:space="preserve"> PAGEREF _Toc27439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"_Toc13211" </w:instrText>
      </w:r>
      <w:r>
        <w:rPr>
          <w:color w:val="auto"/>
          <w:highlight w:val="none"/>
        </w:rPr>
        <w:fldChar w:fldCharType="separate"/>
      </w:r>
      <w:r>
        <w:rPr>
          <w:rFonts w:hint="eastAsia" w:cs="宋体" w:asciiTheme="minorEastAsia" w:hAnsiTheme="minorEastAsia" w:eastAsiaTheme="minorEastAsia"/>
          <w:color w:val="auto"/>
          <w:highlight w:val="none"/>
        </w:rPr>
        <w:t>八、 投标人针对本项目人员配置情况表</w:t>
      </w:r>
      <w:r>
        <w:rPr>
          <w:color w:val="auto"/>
          <w:highlight w:val="none"/>
        </w:rPr>
        <w:tab/>
      </w:r>
      <w:r>
        <w:rPr>
          <w:color w:val="auto"/>
          <w:highlight w:val="none"/>
        </w:rPr>
        <w:fldChar w:fldCharType="begin"/>
      </w:r>
      <w:r>
        <w:rPr>
          <w:color w:val="auto"/>
          <w:highlight w:val="none"/>
        </w:rPr>
        <w:instrText xml:space="preserve"> PAGEREF _Toc13211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"_Toc22874" </w:instrText>
      </w:r>
      <w:r>
        <w:rPr>
          <w:color w:val="auto"/>
          <w:highlight w:val="none"/>
        </w:rPr>
        <w:fldChar w:fldCharType="separate"/>
      </w:r>
      <w:r>
        <w:rPr>
          <w:rFonts w:hint="eastAsia" w:cs="宋体" w:asciiTheme="minorEastAsia" w:hAnsiTheme="minorEastAsia" w:eastAsiaTheme="minorEastAsia"/>
          <w:color w:val="auto"/>
          <w:highlight w:val="none"/>
        </w:rPr>
        <w:t>九、 中小企业声明函(如涉及)</w:t>
      </w:r>
      <w:r>
        <w:rPr>
          <w:color w:val="auto"/>
          <w:highlight w:val="none"/>
        </w:rPr>
        <w:tab/>
      </w:r>
      <w:r>
        <w:rPr>
          <w:color w:val="auto"/>
          <w:highlight w:val="none"/>
        </w:rPr>
        <w:fldChar w:fldCharType="begin"/>
      </w:r>
      <w:r>
        <w:rPr>
          <w:color w:val="auto"/>
          <w:highlight w:val="none"/>
        </w:rPr>
        <w:instrText xml:space="preserve"> PAGEREF _Toc22874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"_Toc710" </w:instrText>
      </w:r>
      <w:r>
        <w:rPr>
          <w:color w:val="auto"/>
          <w:highlight w:val="none"/>
        </w:rPr>
        <w:fldChar w:fldCharType="separate"/>
      </w:r>
      <w:r>
        <w:rPr>
          <w:rFonts w:hint="eastAsia" w:cs="宋体" w:asciiTheme="minorEastAsia" w:hAnsiTheme="minorEastAsia" w:eastAsiaTheme="minorEastAsia"/>
          <w:color w:val="auto"/>
          <w:highlight w:val="none"/>
        </w:rPr>
        <w:t>十、 监狱企业相关证明材料(如涉及)</w:t>
      </w:r>
      <w:r>
        <w:rPr>
          <w:color w:val="auto"/>
          <w:highlight w:val="none"/>
        </w:rPr>
        <w:tab/>
      </w:r>
      <w:r>
        <w:rPr>
          <w:color w:val="auto"/>
          <w:highlight w:val="none"/>
        </w:rPr>
        <w:fldChar w:fldCharType="begin"/>
      </w:r>
      <w:r>
        <w:rPr>
          <w:color w:val="auto"/>
          <w:highlight w:val="none"/>
        </w:rPr>
        <w:instrText xml:space="preserve"> PAGEREF _Toc710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"_Toc12150" </w:instrText>
      </w:r>
      <w:r>
        <w:rPr>
          <w:color w:val="auto"/>
          <w:highlight w:val="none"/>
        </w:rPr>
        <w:fldChar w:fldCharType="separate"/>
      </w:r>
      <w:r>
        <w:rPr>
          <w:rFonts w:hint="eastAsia" w:cs="宋体" w:asciiTheme="minorEastAsia" w:hAnsiTheme="minorEastAsia" w:eastAsiaTheme="minorEastAsia"/>
          <w:color w:val="auto"/>
          <w:highlight w:val="none"/>
        </w:rPr>
        <w:t>十一、 残疾人福利性单位声明函(如涉及)</w:t>
      </w:r>
      <w:r>
        <w:rPr>
          <w:color w:val="auto"/>
          <w:highlight w:val="none"/>
        </w:rPr>
        <w:tab/>
      </w:r>
      <w:r>
        <w:rPr>
          <w:color w:val="auto"/>
          <w:highlight w:val="none"/>
        </w:rPr>
        <w:fldChar w:fldCharType="begin"/>
      </w:r>
      <w:r>
        <w:rPr>
          <w:color w:val="auto"/>
          <w:highlight w:val="none"/>
        </w:rPr>
        <w:instrText xml:space="preserve"> PAGEREF _Toc12150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"_Toc954" </w:instrText>
      </w:r>
      <w:r>
        <w:rPr>
          <w:color w:val="auto"/>
          <w:highlight w:val="none"/>
        </w:rPr>
        <w:fldChar w:fldCharType="separate"/>
      </w:r>
      <w:r>
        <w:rPr>
          <w:rFonts w:hint="eastAsia" w:cs="宋体" w:asciiTheme="minorEastAsia" w:hAnsiTheme="minorEastAsia" w:eastAsiaTheme="minorEastAsia"/>
          <w:color w:val="auto"/>
          <w:highlight w:val="none"/>
        </w:rPr>
        <w:t>十二、 技术方案、实施方案</w:t>
      </w:r>
      <w:r>
        <w:rPr>
          <w:color w:val="auto"/>
          <w:highlight w:val="none"/>
        </w:rPr>
        <w:tab/>
      </w:r>
      <w:r>
        <w:rPr>
          <w:color w:val="auto"/>
          <w:highlight w:val="none"/>
        </w:rPr>
        <w:fldChar w:fldCharType="begin"/>
      </w:r>
      <w:r>
        <w:rPr>
          <w:color w:val="auto"/>
          <w:highlight w:val="none"/>
        </w:rPr>
        <w:instrText xml:space="preserve"> PAGEREF _Toc954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"_Toc14431" </w:instrText>
      </w:r>
      <w:r>
        <w:rPr>
          <w:color w:val="auto"/>
          <w:highlight w:val="none"/>
        </w:rPr>
        <w:fldChar w:fldCharType="separate"/>
      </w:r>
      <w:r>
        <w:rPr>
          <w:rFonts w:hint="eastAsia" w:cs="宋体" w:asciiTheme="minorEastAsia" w:hAnsiTheme="minorEastAsia" w:eastAsiaTheme="minorEastAsia"/>
          <w:color w:val="auto"/>
          <w:highlight w:val="none"/>
        </w:rPr>
        <w:t>十三、 招标代理服务费承诺函</w:t>
      </w:r>
      <w:r>
        <w:rPr>
          <w:color w:val="auto"/>
          <w:highlight w:val="none"/>
        </w:rPr>
        <w:tab/>
      </w:r>
      <w:r>
        <w:rPr>
          <w:color w:val="auto"/>
          <w:highlight w:val="none"/>
        </w:rPr>
        <w:fldChar w:fldCharType="begin"/>
      </w:r>
      <w:r>
        <w:rPr>
          <w:color w:val="auto"/>
          <w:highlight w:val="none"/>
        </w:rPr>
        <w:instrText xml:space="preserve"> PAGEREF _Toc14431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"_Toc1234" </w:instrText>
      </w:r>
      <w:r>
        <w:rPr>
          <w:color w:val="auto"/>
          <w:highlight w:val="none"/>
        </w:rPr>
        <w:fldChar w:fldCharType="separate"/>
      </w:r>
      <w:r>
        <w:rPr>
          <w:rFonts w:hint="eastAsia" w:cs="宋体"/>
          <w:color w:val="auto"/>
          <w:w w:val="95"/>
          <w:highlight w:val="none"/>
        </w:rPr>
        <w:t xml:space="preserve">第四章 </w:t>
      </w:r>
      <w:r>
        <w:rPr>
          <w:rFonts w:hint="eastAsia" w:cs="宋体" w:asciiTheme="minorEastAsia" w:hAnsiTheme="minorEastAsia" w:eastAsiaTheme="minorEastAsia"/>
          <w:color w:val="auto"/>
          <w:w w:val="95"/>
          <w:highlight w:val="none"/>
        </w:rPr>
        <w:t>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_Toc1234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"_Toc9287" </w:instrText>
      </w:r>
      <w:r>
        <w:rPr>
          <w:color w:val="auto"/>
          <w:highlight w:val="none"/>
        </w:rPr>
        <w:fldChar w:fldCharType="separate"/>
      </w:r>
      <w:r>
        <w:rPr>
          <w:rFonts w:hint="eastAsia" w:cs="宋体"/>
          <w:color w:val="auto"/>
          <w:highlight w:val="none"/>
          <w:lang w:val="zh-CN"/>
        </w:rPr>
        <w:t xml:space="preserve">一、 </w:t>
      </w:r>
      <w:r>
        <w:rPr>
          <w:rFonts w:hint="eastAsia" w:cs="宋体" w:asciiTheme="minorEastAsia" w:hAnsiTheme="minorEastAsia" w:eastAsiaTheme="minorEastAsia"/>
          <w:color w:val="auto"/>
          <w:highlight w:val="none"/>
        </w:rPr>
        <w:t>投标人资格、资质性及其他类似效力要求</w:t>
      </w:r>
      <w:r>
        <w:rPr>
          <w:color w:val="auto"/>
          <w:highlight w:val="none"/>
        </w:rPr>
        <w:tab/>
      </w:r>
      <w:r>
        <w:rPr>
          <w:color w:val="auto"/>
          <w:highlight w:val="none"/>
        </w:rPr>
        <w:fldChar w:fldCharType="begin"/>
      </w:r>
      <w:r>
        <w:rPr>
          <w:color w:val="auto"/>
          <w:highlight w:val="none"/>
        </w:rPr>
        <w:instrText xml:space="preserve"> PAGEREF _Toc9287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"_Toc11178" </w:instrText>
      </w:r>
      <w:r>
        <w:rPr>
          <w:color w:val="auto"/>
          <w:highlight w:val="none"/>
        </w:rPr>
        <w:fldChar w:fldCharType="separate"/>
      </w:r>
      <w:r>
        <w:rPr>
          <w:rFonts w:hint="eastAsia" w:cs="宋体"/>
          <w:color w:val="auto"/>
          <w:highlight w:val="none"/>
        </w:rPr>
        <w:t xml:space="preserve">二、 </w:t>
      </w:r>
      <w:r>
        <w:rPr>
          <w:rFonts w:hint="eastAsia" w:cs="宋体" w:asciiTheme="minorEastAsia" w:hAnsiTheme="minorEastAsia" w:eastAsiaTheme="minorEastAsia"/>
          <w:color w:val="auto"/>
          <w:highlight w:val="none"/>
        </w:rPr>
        <w:t>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_Toc11178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"_Toc18346" </w:instrText>
      </w:r>
      <w:r>
        <w:rPr>
          <w:color w:val="auto"/>
          <w:highlight w:val="none"/>
        </w:rPr>
        <w:fldChar w:fldCharType="separate"/>
      </w:r>
      <w:r>
        <w:rPr>
          <w:rFonts w:hint="eastAsia" w:cs="宋体"/>
          <w:color w:val="auto"/>
          <w:highlight w:val="none"/>
        </w:rPr>
        <w:t xml:space="preserve">三、 </w:t>
      </w:r>
      <w:r>
        <w:rPr>
          <w:rFonts w:hint="eastAsia" w:cs="宋体" w:asciiTheme="minorEastAsia" w:hAnsiTheme="minorEastAsia" w:eastAsiaTheme="minorEastAsia"/>
          <w:color w:val="auto"/>
          <w:highlight w:val="none"/>
        </w:rPr>
        <w:t>其他类似效力要求</w:t>
      </w:r>
      <w:r>
        <w:rPr>
          <w:color w:val="auto"/>
          <w:highlight w:val="none"/>
        </w:rPr>
        <w:tab/>
      </w:r>
      <w:r>
        <w:rPr>
          <w:color w:val="auto"/>
          <w:highlight w:val="none"/>
        </w:rPr>
        <w:fldChar w:fldCharType="begin"/>
      </w:r>
      <w:r>
        <w:rPr>
          <w:color w:val="auto"/>
          <w:highlight w:val="none"/>
        </w:rPr>
        <w:instrText xml:space="preserve"> PAGEREF _Toc18346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"_Toc29406" </w:instrText>
      </w:r>
      <w:r>
        <w:rPr>
          <w:color w:val="auto"/>
          <w:highlight w:val="none"/>
        </w:rPr>
        <w:fldChar w:fldCharType="separate"/>
      </w:r>
      <w:r>
        <w:rPr>
          <w:rFonts w:hint="eastAsia" w:cs="宋体"/>
          <w:color w:val="auto"/>
          <w:highlight w:val="none"/>
        </w:rPr>
        <w:t xml:space="preserve">第五章 </w:t>
      </w:r>
      <w:r>
        <w:rPr>
          <w:rFonts w:hint="eastAsia" w:cs="宋体" w:asciiTheme="minorEastAsia" w:hAnsiTheme="minorEastAsia" w:eastAsiaTheme="minorEastAsia"/>
          <w:color w:val="auto"/>
          <w:highlight w:val="none"/>
        </w:rPr>
        <w:t>资格性审查内容</w:t>
      </w:r>
      <w:r>
        <w:rPr>
          <w:color w:val="auto"/>
          <w:highlight w:val="none"/>
        </w:rPr>
        <w:tab/>
      </w:r>
      <w:r>
        <w:rPr>
          <w:color w:val="auto"/>
          <w:highlight w:val="none"/>
        </w:rPr>
        <w:fldChar w:fldCharType="begin"/>
      </w:r>
      <w:r>
        <w:rPr>
          <w:color w:val="auto"/>
          <w:highlight w:val="none"/>
        </w:rPr>
        <w:instrText xml:space="preserve"> PAGEREF _Toc29406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"_Toc29338" </w:instrText>
      </w:r>
      <w:r>
        <w:rPr>
          <w:color w:val="auto"/>
          <w:highlight w:val="none"/>
        </w:rPr>
        <w:fldChar w:fldCharType="separate"/>
      </w:r>
      <w:r>
        <w:rPr>
          <w:rFonts w:hint="eastAsia" w:cs="宋体"/>
          <w:color w:val="auto"/>
          <w:highlight w:val="none"/>
        </w:rPr>
        <w:t xml:space="preserve">一、 </w:t>
      </w:r>
      <w:r>
        <w:rPr>
          <w:rFonts w:hint="eastAsia" w:cs="宋体" w:asciiTheme="minorEastAsia" w:hAnsiTheme="minorEastAsia" w:eastAsiaTheme="minorEastAsia"/>
          <w:color w:val="auto"/>
          <w:highlight w:val="none"/>
        </w:rPr>
        <w:t>应当提供的投标人及投标产品资格、资质性及其他类似效力要求的相关证明材料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_Toc29338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"_Toc12943" </w:instrText>
      </w:r>
      <w:r>
        <w:rPr>
          <w:color w:val="auto"/>
          <w:highlight w:val="none"/>
        </w:rPr>
        <w:fldChar w:fldCharType="separate"/>
      </w:r>
      <w:r>
        <w:rPr>
          <w:rFonts w:hint="eastAsia" w:cs="宋体"/>
          <w:color w:val="auto"/>
          <w:highlight w:val="none"/>
        </w:rPr>
        <w:t xml:space="preserve">二、 </w:t>
      </w:r>
      <w:r>
        <w:rPr>
          <w:rFonts w:hint="eastAsia" w:cs="宋体" w:asciiTheme="minorEastAsia" w:hAnsiTheme="minorEastAsia" w:eastAsiaTheme="minorEastAsia"/>
          <w:color w:val="auto"/>
          <w:highlight w:val="none"/>
        </w:rPr>
        <w:t>审查程序</w:t>
      </w:r>
      <w:r>
        <w:rPr>
          <w:color w:val="auto"/>
          <w:highlight w:val="none"/>
        </w:rPr>
        <w:tab/>
      </w:r>
      <w:r>
        <w:rPr>
          <w:color w:val="auto"/>
          <w:highlight w:val="none"/>
        </w:rPr>
        <w:fldChar w:fldCharType="begin"/>
      </w:r>
      <w:r>
        <w:rPr>
          <w:color w:val="auto"/>
          <w:highlight w:val="none"/>
        </w:rPr>
        <w:instrText xml:space="preserve"> PAGEREF _Toc12943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"_Toc11168" </w:instrText>
      </w:r>
      <w:r>
        <w:rPr>
          <w:color w:val="auto"/>
          <w:highlight w:val="none"/>
        </w:rPr>
        <w:fldChar w:fldCharType="separate"/>
      </w:r>
      <w:r>
        <w:rPr>
          <w:rFonts w:hint="eastAsia" w:cs="宋体"/>
          <w:color w:val="auto"/>
          <w:highlight w:val="none"/>
        </w:rPr>
        <w:t xml:space="preserve">第六章 </w:t>
      </w:r>
      <w:r>
        <w:rPr>
          <w:rFonts w:hint="eastAsia" w:cs="宋体" w:asciiTheme="minorEastAsia" w:hAnsiTheme="minorEastAsia" w:eastAsiaTheme="minorEastAsia"/>
          <w:color w:val="auto"/>
          <w:highlight w:val="none"/>
        </w:rPr>
        <w:t>招标项目技术、服务、政府采购合同内容条款及其他商务要求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_Toc11168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"_Toc29262" </w:instrText>
      </w:r>
      <w:r>
        <w:rPr>
          <w:color w:val="auto"/>
          <w:highlight w:val="none"/>
        </w:rPr>
        <w:fldChar w:fldCharType="separate"/>
      </w:r>
      <w:r>
        <w:rPr>
          <w:rFonts w:hint="eastAsia" w:cs="宋体" w:asciiTheme="minorEastAsia" w:hAnsiTheme="minorEastAsia" w:eastAsiaTheme="minorEastAsia"/>
          <w:color w:val="auto"/>
          <w:szCs w:val="30"/>
          <w:highlight w:val="none"/>
        </w:rPr>
        <w:t>一、项目概述</w:t>
      </w:r>
      <w:r>
        <w:rPr>
          <w:color w:val="auto"/>
          <w:highlight w:val="none"/>
        </w:rPr>
        <w:tab/>
      </w:r>
      <w:r>
        <w:rPr>
          <w:color w:val="auto"/>
          <w:highlight w:val="none"/>
        </w:rPr>
        <w:fldChar w:fldCharType="begin"/>
      </w:r>
      <w:r>
        <w:rPr>
          <w:color w:val="auto"/>
          <w:highlight w:val="none"/>
        </w:rPr>
        <w:instrText xml:space="preserve"> PAGEREF _Toc29262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"_Toc30493" </w:instrText>
      </w:r>
      <w:r>
        <w:rPr>
          <w:color w:val="auto"/>
          <w:highlight w:val="none"/>
        </w:rPr>
        <w:fldChar w:fldCharType="separate"/>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szCs w:val="30"/>
          <w:highlight w:val="none"/>
        </w:rPr>
        <w:t>二、技术、服务要求</w:t>
      </w:r>
      <w:r>
        <w:rPr>
          <w:color w:val="auto"/>
          <w:highlight w:val="none"/>
        </w:rPr>
        <w:tab/>
      </w:r>
      <w:r>
        <w:rPr>
          <w:color w:val="auto"/>
          <w:highlight w:val="none"/>
        </w:rPr>
        <w:fldChar w:fldCharType="begin"/>
      </w:r>
      <w:r>
        <w:rPr>
          <w:color w:val="auto"/>
          <w:highlight w:val="none"/>
        </w:rPr>
        <w:instrText xml:space="preserve"> PAGEREF _Toc30493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"_Toc4852" </w:instrText>
      </w:r>
      <w:r>
        <w:rPr>
          <w:color w:val="auto"/>
          <w:highlight w:val="none"/>
        </w:rPr>
        <w:fldChar w:fldCharType="separate"/>
      </w:r>
      <w:r>
        <w:rPr>
          <w:rFonts w:hint="eastAsia" w:cs="宋体" w:asciiTheme="minorEastAsia" w:hAnsiTheme="minorEastAsia" w:eastAsiaTheme="minorEastAsia"/>
          <w:color w:val="auto"/>
          <w:highlight w:val="none"/>
        </w:rPr>
        <w:t>第一包：地理实体数据生产与更新</w:t>
      </w:r>
      <w:r>
        <w:rPr>
          <w:color w:val="auto"/>
          <w:highlight w:val="none"/>
        </w:rPr>
        <w:tab/>
      </w:r>
      <w:r>
        <w:rPr>
          <w:color w:val="auto"/>
          <w:highlight w:val="none"/>
        </w:rPr>
        <w:fldChar w:fldCharType="begin"/>
      </w:r>
      <w:r>
        <w:rPr>
          <w:color w:val="auto"/>
          <w:highlight w:val="none"/>
        </w:rPr>
        <w:instrText xml:space="preserve"> PAGEREF _Toc4852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"_Toc22172" </w:instrText>
      </w:r>
      <w:r>
        <w:rPr>
          <w:color w:val="auto"/>
          <w:highlight w:val="none"/>
        </w:rPr>
        <w:fldChar w:fldCharType="separate"/>
      </w:r>
      <w:r>
        <w:rPr>
          <w:rFonts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、工作依据</w:t>
      </w:r>
      <w:r>
        <w:rPr>
          <w:color w:val="auto"/>
          <w:highlight w:val="none"/>
        </w:rPr>
        <w:tab/>
      </w:r>
      <w:r>
        <w:rPr>
          <w:color w:val="auto"/>
          <w:highlight w:val="none"/>
        </w:rPr>
        <w:fldChar w:fldCharType="begin"/>
      </w:r>
      <w:r>
        <w:rPr>
          <w:color w:val="auto"/>
          <w:highlight w:val="none"/>
        </w:rPr>
        <w:instrText xml:space="preserve"> PAGEREF _Toc22172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"_Toc2828" </w:instrText>
      </w:r>
      <w:r>
        <w:rPr>
          <w:color w:val="auto"/>
          <w:highlight w:val="none"/>
        </w:rPr>
        <w:fldChar w:fldCharType="separate"/>
      </w:r>
      <w:r>
        <w:rPr>
          <w:rFonts w:hint="eastAsia" w:cs="宋体" w:asciiTheme="minorEastAsia" w:hAnsiTheme="minorEastAsia" w:eastAsiaTheme="minorEastAsia"/>
          <w:color w:val="auto"/>
          <w:highlight w:val="none"/>
        </w:rPr>
        <w:t>2、主要任务</w:t>
      </w:r>
      <w:r>
        <w:rPr>
          <w:color w:val="auto"/>
          <w:highlight w:val="none"/>
        </w:rPr>
        <w:tab/>
      </w:r>
      <w:r>
        <w:rPr>
          <w:color w:val="auto"/>
          <w:highlight w:val="none"/>
        </w:rPr>
        <w:fldChar w:fldCharType="begin"/>
      </w:r>
      <w:r>
        <w:rPr>
          <w:color w:val="auto"/>
          <w:highlight w:val="none"/>
        </w:rPr>
        <w:instrText xml:space="preserve"> PAGEREF _Toc2828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"_Toc24749" </w:instrText>
      </w:r>
      <w:r>
        <w:rPr>
          <w:color w:val="auto"/>
          <w:highlight w:val="none"/>
        </w:rPr>
        <w:fldChar w:fldCharType="separate"/>
      </w:r>
      <w:r>
        <w:rPr>
          <w:rFonts w:hint="eastAsia" w:cs="宋体" w:asciiTheme="minorEastAsia" w:hAnsiTheme="minorEastAsia" w:eastAsiaTheme="minorEastAsia"/>
          <w:color w:val="auto"/>
          <w:highlight w:val="none"/>
        </w:rPr>
        <w:t>3、作业区概况和已有资料情况</w:t>
      </w:r>
      <w:r>
        <w:rPr>
          <w:color w:val="auto"/>
          <w:highlight w:val="none"/>
        </w:rPr>
        <w:tab/>
      </w:r>
      <w:r>
        <w:rPr>
          <w:color w:val="auto"/>
          <w:highlight w:val="none"/>
        </w:rPr>
        <w:fldChar w:fldCharType="begin"/>
      </w:r>
      <w:r>
        <w:rPr>
          <w:color w:val="auto"/>
          <w:highlight w:val="none"/>
        </w:rPr>
        <w:instrText xml:space="preserve"> PAGEREF _Toc24749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"_Toc29546" </w:instrText>
      </w:r>
      <w:r>
        <w:rPr>
          <w:color w:val="auto"/>
          <w:highlight w:val="none"/>
        </w:rPr>
        <w:fldChar w:fldCharType="separate"/>
      </w:r>
      <w:r>
        <w:rPr>
          <w:rFonts w:cs="宋体" w:asciiTheme="minorEastAsia" w:hAnsiTheme="minorEastAsia" w:eastAsiaTheme="minorEastAsia"/>
          <w:color w:val="auto"/>
          <w:highlight w:val="none"/>
        </w:rPr>
        <w:t>4</w:t>
      </w:r>
      <w:r>
        <w:rPr>
          <w:rFonts w:hint="eastAsia" w:cs="宋体" w:asciiTheme="minorEastAsia" w:hAnsiTheme="minorEastAsia" w:eastAsiaTheme="minorEastAsia"/>
          <w:color w:val="auto"/>
          <w:highlight w:val="none"/>
        </w:rPr>
        <w:t>、技术与质量要求</w:t>
      </w:r>
      <w:r>
        <w:rPr>
          <w:color w:val="auto"/>
          <w:highlight w:val="none"/>
        </w:rPr>
        <w:tab/>
      </w:r>
      <w:r>
        <w:rPr>
          <w:color w:val="auto"/>
          <w:highlight w:val="none"/>
        </w:rPr>
        <w:fldChar w:fldCharType="begin"/>
      </w:r>
      <w:r>
        <w:rPr>
          <w:color w:val="auto"/>
          <w:highlight w:val="none"/>
        </w:rPr>
        <w:instrText xml:space="preserve"> PAGEREF _Toc29546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"_Toc31494" </w:instrText>
      </w:r>
      <w:r>
        <w:rPr>
          <w:color w:val="auto"/>
          <w:highlight w:val="none"/>
        </w:rPr>
        <w:fldChar w:fldCharType="separate"/>
      </w:r>
      <w:r>
        <w:rPr>
          <w:rFonts w:cs="宋体" w:asciiTheme="minorEastAsia" w:hAnsiTheme="minorEastAsia" w:eastAsiaTheme="minorEastAsia"/>
          <w:color w:val="auto"/>
          <w:highlight w:val="none"/>
        </w:rPr>
        <w:t>5</w:t>
      </w:r>
      <w:r>
        <w:rPr>
          <w:rFonts w:hint="eastAsia" w:cs="宋体" w:asciiTheme="minorEastAsia" w:hAnsiTheme="minorEastAsia" w:eastAsiaTheme="minorEastAsia"/>
          <w:color w:val="auto"/>
          <w:highlight w:val="none"/>
        </w:rPr>
        <w:t>、成果提交要求</w:t>
      </w:r>
      <w:r>
        <w:rPr>
          <w:color w:val="auto"/>
          <w:highlight w:val="none"/>
        </w:rPr>
        <w:tab/>
      </w:r>
      <w:r>
        <w:rPr>
          <w:color w:val="auto"/>
          <w:highlight w:val="none"/>
        </w:rPr>
        <w:fldChar w:fldCharType="begin"/>
      </w:r>
      <w:r>
        <w:rPr>
          <w:color w:val="auto"/>
          <w:highlight w:val="none"/>
        </w:rPr>
        <w:instrText xml:space="preserve"> PAGEREF _Toc31494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"_Toc9872" </w:instrText>
      </w:r>
      <w:r>
        <w:rPr>
          <w:color w:val="auto"/>
          <w:highlight w:val="none"/>
        </w:rPr>
        <w:fldChar w:fldCharType="separate"/>
      </w:r>
      <w:r>
        <w:rPr>
          <w:rFonts w:cs="宋体" w:asciiTheme="minorEastAsia" w:hAnsiTheme="minorEastAsia" w:eastAsiaTheme="minorEastAsia"/>
          <w:color w:val="auto"/>
          <w:highlight w:val="none"/>
        </w:rPr>
        <w:t>6</w:t>
      </w:r>
      <w:r>
        <w:rPr>
          <w:rFonts w:hint="eastAsia" w:cs="宋体" w:asciiTheme="minorEastAsia" w:hAnsiTheme="minorEastAsia" w:eastAsiaTheme="minorEastAsia"/>
          <w:color w:val="auto"/>
          <w:highlight w:val="none"/>
        </w:rPr>
        <w:t>、相关保障措施</w:t>
      </w:r>
      <w:r>
        <w:rPr>
          <w:color w:val="auto"/>
          <w:highlight w:val="none"/>
        </w:rPr>
        <w:tab/>
      </w:r>
      <w:r>
        <w:rPr>
          <w:color w:val="auto"/>
          <w:highlight w:val="none"/>
        </w:rPr>
        <w:fldChar w:fldCharType="begin"/>
      </w:r>
      <w:r>
        <w:rPr>
          <w:color w:val="auto"/>
          <w:highlight w:val="none"/>
        </w:rPr>
        <w:instrText xml:space="preserve"> PAGEREF _Toc9872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"_Toc993" </w:instrText>
      </w:r>
      <w:r>
        <w:rPr>
          <w:color w:val="auto"/>
          <w:highlight w:val="none"/>
        </w:rPr>
        <w:fldChar w:fldCharType="separate"/>
      </w:r>
      <w:r>
        <w:rPr>
          <w:rFonts w:hint="eastAsia" w:cs="宋体" w:asciiTheme="minorEastAsia" w:hAnsiTheme="minorEastAsia" w:eastAsiaTheme="minorEastAsia"/>
          <w:color w:val="auto"/>
          <w:highlight w:val="none"/>
        </w:rPr>
        <w:t>第二包：地理实体成果检验入库及天地图融合</w:t>
      </w:r>
      <w:r>
        <w:rPr>
          <w:color w:val="auto"/>
          <w:highlight w:val="none"/>
        </w:rPr>
        <w:tab/>
      </w:r>
      <w:r>
        <w:rPr>
          <w:color w:val="auto"/>
          <w:highlight w:val="none"/>
        </w:rPr>
        <w:fldChar w:fldCharType="begin"/>
      </w:r>
      <w:r>
        <w:rPr>
          <w:color w:val="auto"/>
          <w:highlight w:val="none"/>
        </w:rPr>
        <w:instrText xml:space="preserve"> PAGEREF _Toc993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"_Toc25732" </w:instrText>
      </w:r>
      <w:r>
        <w:rPr>
          <w:color w:val="auto"/>
          <w:highlight w:val="none"/>
        </w:rPr>
        <w:fldChar w:fldCharType="separate"/>
      </w:r>
      <w:r>
        <w:rPr>
          <w:rFonts w:hint="eastAsia" w:cs="宋体" w:asciiTheme="minorEastAsia" w:hAnsiTheme="minorEastAsia" w:eastAsiaTheme="minorEastAsia"/>
          <w:color w:val="auto"/>
          <w:highlight w:val="none"/>
        </w:rPr>
        <w:t>1、工作依据</w:t>
      </w:r>
      <w:r>
        <w:rPr>
          <w:color w:val="auto"/>
          <w:highlight w:val="none"/>
        </w:rPr>
        <w:tab/>
      </w:r>
      <w:r>
        <w:rPr>
          <w:color w:val="auto"/>
          <w:highlight w:val="none"/>
        </w:rPr>
        <w:fldChar w:fldCharType="begin"/>
      </w:r>
      <w:r>
        <w:rPr>
          <w:color w:val="auto"/>
          <w:highlight w:val="none"/>
        </w:rPr>
        <w:instrText xml:space="preserve"> PAGEREF _Toc25732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"_Toc9160" </w:instrText>
      </w:r>
      <w:r>
        <w:rPr>
          <w:color w:val="auto"/>
          <w:highlight w:val="none"/>
        </w:rPr>
        <w:fldChar w:fldCharType="separate"/>
      </w:r>
      <w:r>
        <w:rPr>
          <w:rFonts w:hint="eastAsia" w:cs="宋体" w:asciiTheme="minorEastAsia" w:hAnsiTheme="minorEastAsia" w:eastAsiaTheme="minorEastAsia"/>
          <w:color w:val="auto"/>
          <w:highlight w:val="none"/>
        </w:rPr>
        <w:t>2、主要任务</w:t>
      </w:r>
      <w:r>
        <w:rPr>
          <w:color w:val="auto"/>
          <w:highlight w:val="none"/>
        </w:rPr>
        <w:tab/>
      </w:r>
      <w:r>
        <w:rPr>
          <w:color w:val="auto"/>
          <w:highlight w:val="none"/>
        </w:rPr>
        <w:fldChar w:fldCharType="begin"/>
      </w:r>
      <w:r>
        <w:rPr>
          <w:color w:val="auto"/>
          <w:highlight w:val="none"/>
        </w:rPr>
        <w:instrText xml:space="preserve"> PAGEREF _Toc9160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"_Toc8611" </w:instrText>
      </w:r>
      <w:r>
        <w:rPr>
          <w:color w:val="auto"/>
          <w:highlight w:val="none"/>
        </w:rPr>
        <w:fldChar w:fldCharType="separate"/>
      </w:r>
      <w:r>
        <w:rPr>
          <w:rFonts w:hint="eastAsia" w:cs="宋体" w:asciiTheme="minorEastAsia" w:hAnsiTheme="minorEastAsia" w:eastAsiaTheme="minorEastAsia"/>
          <w:color w:val="auto"/>
          <w:highlight w:val="none"/>
        </w:rPr>
        <w:t>3、技术与质量要求</w:t>
      </w:r>
      <w:r>
        <w:rPr>
          <w:color w:val="auto"/>
          <w:highlight w:val="none"/>
        </w:rPr>
        <w:tab/>
      </w:r>
      <w:r>
        <w:rPr>
          <w:color w:val="auto"/>
          <w:highlight w:val="none"/>
        </w:rPr>
        <w:fldChar w:fldCharType="begin"/>
      </w:r>
      <w:r>
        <w:rPr>
          <w:color w:val="auto"/>
          <w:highlight w:val="none"/>
        </w:rPr>
        <w:instrText xml:space="preserve"> PAGEREF _Toc8611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"_Toc6032" </w:instrText>
      </w:r>
      <w:r>
        <w:rPr>
          <w:color w:val="auto"/>
          <w:highlight w:val="none"/>
        </w:rPr>
        <w:fldChar w:fldCharType="separate"/>
      </w:r>
      <w:r>
        <w:rPr>
          <w:rFonts w:hint="eastAsia" w:cs="宋体" w:asciiTheme="minorEastAsia" w:hAnsiTheme="minorEastAsia" w:eastAsiaTheme="minorEastAsia"/>
          <w:color w:val="auto"/>
          <w:highlight w:val="none"/>
        </w:rPr>
        <w:t>4、成果提交要求</w:t>
      </w:r>
      <w:r>
        <w:rPr>
          <w:color w:val="auto"/>
          <w:highlight w:val="none"/>
        </w:rPr>
        <w:tab/>
      </w:r>
      <w:r>
        <w:rPr>
          <w:color w:val="auto"/>
          <w:highlight w:val="none"/>
        </w:rPr>
        <w:fldChar w:fldCharType="begin"/>
      </w:r>
      <w:r>
        <w:rPr>
          <w:color w:val="auto"/>
          <w:highlight w:val="none"/>
        </w:rPr>
        <w:instrText xml:space="preserve"> PAGEREF _Toc6032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"_Toc16381" </w:instrText>
      </w:r>
      <w:r>
        <w:rPr>
          <w:color w:val="auto"/>
          <w:highlight w:val="none"/>
        </w:rPr>
        <w:fldChar w:fldCharType="separate"/>
      </w:r>
      <w:r>
        <w:rPr>
          <w:rFonts w:hint="eastAsia" w:cs="宋体" w:asciiTheme="minorEastAsia" w:hAnsiTheme="minorEastAsia" w:eastAsiaTheme="minorEastAsia"/>
          <w:color w:val="auto"/>
          <w:highlight w:val="none"/>
        </w:rPr>
        <w:t>5、相关保障措施</w:t>
      </w:r>
      <w:r>
        <w:rPr>
          <w:color w:val="auto"/>
          <w:highlight w:val="none"/>
        </w:rPr>
        <w:tab/>
      </w:r>
      <w:r>
        <w:rPr>
          <w:color w:val="auto"/>
          <w:highlight w:val="none"/>
        </w:rPr>
        <w:fldChar w:fldCharType="begin"/>
      </w:r>
      <w:r>
        <w:rPr>
          <w:color w:val="auto"/>
          <w:highlight w:val="none"/>
        </w:rPr>
        <w:instrText xml:space="preserve"> PAGEREF _Toc16381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"_Toc24071" </w:instrText>
      </w:r>
      <w:r>
        <w:rPr>
          <w:color w:val="auto"/>
          <w:highlight w:val="none"/>
        </w:rPr>
        <w:fldChar w:fldCharType="separate"/>
      </w:r>
      <w:r>
        <w:rPr>
          <w:rFonts w:hint="eastAsia" w:cs="宋体" w:asciiTheme="minorEastAsia" w:hAnsiTheme="minorEastAsia" w:eastAsiaTheme="minorEastAsia"/>
          <w:color w:val="auto"/>
          <w:szCs w:val="30"/>
          <w:highlight w:val="none"/>
        </w:rPr>
        <w:t>三、商务要求</w:t>
      </w:r>
      <w:r>
        <w:rPr>
          <w:color w:val="auto"/>
          <w:highlight w:val="none"/>
        </w:rPr>
        <w:tab/>
      </w:r>
      <w:r>
        <w:rPr>
          <w:color w:val="auto"/>
          <w:highlight w:val="none"/>
        </w:rPr>
        <w:fldChar w:fldCharType="begin"/>
      </w:r>
      <w:r>
        <w:rPr>
          <w:color w:val="auto"/>
          <w:highlight w:val="none"/>
        </w:rPr>
        <w:instrText xml:space="preserve"> PAGEREF _Toc24071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"_Toc23587" </w:instrText>
      </w:r>
      <w:r>
        <w:rPr>
          <w:color w:val="auto"/>
          <w:highlight w:val="none"/>
        </w:rPr>
        <w:fldChar w:fldCharType="separate"/>
      </w:r>
      <w:r>
        <w:rPr>
          <w:rFonts w:hint="eastAsia" w:cs="宋体" w:asciiTheme="minorEastAsia" w:hAnsiTheme="minorEastAsia" w:eastAsiaTheme="minorEastAsia"/>
          <w:color w:val="auto"/>
          <w:highlight w:val="none"/>
        </w:rPr>
        <w:t>第一包：</w:t>
      </w:r>
      <w:r>
        <w:rPr>
          <w:color w:val="auto"/>
          <w:highlight w:val="none"/>
        </w:rPr>
        <w:tab/>
      </w:r>
      <w:r>
        <w:rPr>
          <w:color w:val="auto"/>
          <w:highlight w:val="none"/>
        </w:rPr>
        <w:fldChar w:fldCharType="begin"/>
      </w:r>
      <w:r>
        <w:rPr>
          <w:color w:val="auto"/>
          <w:highlight w:val="none"/>
        </w:rPr>
        <w:instrText xml:space="preserve"> PAGEREF _Toc23587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16"/>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"_Toc4282" </w:instrText>
      </w:r>
      <w:r>
        <w:rPr>
          <w:color w:val="auto"/>
          <w:highlight w:val="none"/>
        </w:rPr>
        <w:fldChar w:fldCharType="separate"/>
      </w:r>
      <w:r>
        <w:rPr>
          <w:rFonts w:hint="eastAsia" w:cs="宋体" w:asciiTheme="minorEastAsia" w:hAnsiTheme="minorEastAsia" w:eastAsiaTheme="minorEastAsia"/>
          <w:color w:val="auto"/>
          <w:highlight w:val="none"/>
        </w:rPr>
        <w:t>第二包：</w:t>
      </w:r>
      <w:r>
        <w:rPr>
          <w:color w:val="auto"/>
          <w:highlight w:val="none"/>
        </w:rPr>
        <w:tab/>
      </w:r>
      <w:r>
        <w:rPr>
          <w:color w:val="auto"/>
          <w:highlight w:val="none"/>
        </w:rPr>
        <w:fldChar w:fldCharType="begin"/>
      </w:r>
      <w:r>
        <w:rPr>
          <w:color w:val="auto"/>
          <w:highlight w:val="none"/>
        </w:rPr>
        <w:instrText xml:space="preserve"> PAGEREF _Toc4282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"_Toc21443" </w:instrText>
      </w:r>
      <w:r>
        <w:rPr>
          <w:color w:val="auto"/>
          <w:highlight w:val="none"/>
        </w:rPr>
        <w:fldChar w:fldCharType="separate"/>
      </w:r>
      <w:r>
        <w:rPr>
          <w:rFonts w:hint="eastAsia" w:cs="宋体"/>
          <w:color w:val="auto"/>
          <w:highlight w:val="none"/>
        </w:rPr>
        <w:t xml:space="preserve">第七章 </w:t>
      </w:r>
      <w:r>
        <w:rPr>
          <w:rFonts w:hint="eastAsia" w:cs="宋体" w:asciiTheme="minorEastAsia" w:hAnsiTheme="minorEastAsia" w:eastAsiaTheme="minorEastAsia"/>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_Toc21443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"_Toc20378" </w:instrText>
      </w:r>
      <w:r>
        <w:rPr>
          <w:color w:val="auto"/>
          <w:highlight w:val="none"/>
        </w:rPr>
        <w:fldChar w:fldCharType="separate"/>
      </w:r>
      <w:r>
        <w:rPr>
          <w:rFonts w:hint="eastAsia" w:cs="宋体"/>
          <w:color w:val="auto"/>
          <w:highlight w:val="none"/>
        </w:rPr>
        <w:t xml:space="preserve">一、 </w:t>
      </w:r>
      <w:r>
        <w:rPr>
          <w:rFonts w:hint="eastAsia" w:cs="宋体" w:asciiTheme="minorEastAsia" w:hAnsiTheme="minorEastAsia" w:eastAsiaTheme="minor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_Toc20378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"_Toc8987" </w:instrText>
      </w:r>
      <w:r>
        <w:rPr>
          <w:color w:val="auto"/>
          <w:highlight w:val="none"/>
        </w:rPr>
        <w:fldChar w:fldCharType="separate"/>
      </w:r>
      <w:r>
        <w:rPr>
          <w:rFonts w:hint="eastAsia" w:cs="宋体"/>
          <w:color w:val="auto"/>
          <w:highlight w:val="none"/>
        </w:rPr>
        <w:t xml:space="preserve">二、 </w:t>
      </w:r>
      <w:r>
        <w:rPr>
          <w:rFonts w:hint="eastAsia" w:cs="宋体" w:asciiTheme="minorEastAsia" w:hAnsiTheme="minorEastAsia" w:eastAsiaTheme="minor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_Toc8987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"_Toc12151" </w:instrText>
      </w:r>
      <w:r>
        <w:rPr>
          <w:color w:val="auto"/>
          <w:highlight w:val="none"/>
        </w:rPr>
        <w:fldChar w:fldCharType="separate"/>
      </w:r>
      <w:r>
        <w:rPr>
          <w:rFonts w:hint="eastAsia" w:cs="宋体"/>
          <w:color w:val="auto"/>
          <w:highlight w:val="none"/>
        </w:rPr>
        <w:t xml:space="preserve">三、 </w:t>
      </w:r>
      <w:r>
        <w:rPr>
          <w:rFonts w:hint="eastAsia" w:cs="宋体" w:asciiTheme="minorEastAsia" w:hAnsiTheme="minorEastAsia" w:eastAsiaTheme="minor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_Toc12151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"_Toc8700" </w:instrText>
      </w:r>
      <w:r>
        <w:rPr>
          <w:color w:val="auto"/>
          <w:highlight w:val="none"/>
        </w:rPr>
        <w:fldChar w:fldCharType="separate"/>
      </w:r>
      <w:r>
        <w:rPr>
          <w:rFonts w:hint="eastAsia" w:cs="宋体"/>
          <w:color w:val="auto"/>
          <w:highlight w:val="none"/>
        </w:rPr>
        <w:t xml:space="preserve">四、 </w:t>
      </w:r>
      <w:r>
        <w:rPr>
          <w:rFonts w:hint="eastAsia" w:cs="宋体" w:asciiTheme="minorEastAsia" w:hAnsiTheme="minorEastAsia" w:eastAsiaTheme="minorEastAsia"/>
          <w:color w:val="auto"/>
          <w:highlight w:val="none"/>
        </w:rPr>
        <w:t>评标细则及标准</w:t>
      </w:r>
      <w:r>
        <w:rPr>
          <w:color w:val="auto"/>
          <w:highlight w:val="none"/>
        </w:rPr>
        <w:tab/>
      </w:r>
      <w:r>
        <w:rPr>
          <w:color w:val="auto"/>
          <w:highlight w:val="none"/>
        </w:rPr>
        <w:fldChar w:fldCharType="begin"/>
      </w:r>
      <w:r>
        <w:rPr>
          <w:color w:val="auto"/>
          <w:highlight w:val="none"/>
        </w:rPr>
        <w:instrText xml:space="preserve"> PAGEREF _Toc8700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"_Toc16147" </w:instrText>
      </w:r>
      <w:r>
        <w:rPr>
          <w:color w:val="auto"/>
          <w:highlight w:val="none"/>
        </w:rPr>
        <w:fldChar w:fldCharType="separate"/>
      </w:r>
      <w:r>
        <w:rPr>
          <w:rFonts w:hint="eastAsia" w:cs="宋体"/>
          <w:color w:val="auto"/>
          <w:highlight w:val="none"/>
        </w:rPr>
        <w:t xml:space="preserve">五、 </w:t>
      </w:r>
      <w:r>
        <w:rPr>
          <w:rFonts w:hint="eastAsia" w:cs="宋体" w:asciiTheme="minorEastAsia" w:hAnsiTheme="minorEastAsia" w:eastAsiaTheme="minorEastAsia"/>
          <w:color w:val="auto"/>
          <w:highlight w:val="none"/>
        </w:rPr>
        <w:t>复核</w:t>
      </w:r>
      <w:r>
        <w:rPr>
          <w:color w:val="auto"/>
          <w:highlight w:val="none"/>
        </w:rPr>
        <w:tab/>
      </w:r>
      <w:r>
        <w:rPr>
          <w:color w:val="auto"/>
          <w:highlight w:val="none"/>
        </w:rPr>
        <w:fldChar w:fldCharType="begin"/>
      </w:r>
      <w:r>
        <w:rPr>
          <w:color w:val="auto"/>
          <w:highlight w:val="none"/>
        </w:rPr>
        <w:instrText xml:space="preserve"> PAGEREF _Toc16147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"_Toc6025" </w:instrText>
      </w:r>
      <w:r>
        <w:rPr>
          <w:color w:val="auto"/>
          <w:highlight w:val="none"/>
        </w:rPr>
        <w:fldChar w:fldCharType="separate"/>
      </w:r>
      <w:r>
        <w:rPr>
          <w:rFonts w:hint="eastAsia" w:cs="宋体"/>
          <w:color w:val="auto"/>
          <w:highlight w:val="none"/>
        </w:rPr>
        <w:t xml:space="preserve">六、 </w:t>
      </w:r>
      <w:r>
        <w:rPr>
          <w:rFonts w:hint="eastAsia" w:cs="宋体" w:asciiTheme="minorEastAsia" w:hAnsiTheme="minorEastAsia" w:eastAsiaTheme="minorEastAsia"/>
          <w:color w:val="auto"/>
          <w:highlight w:val="none"/>
        </w:rPr>
        <w:t>推荐中标候选供应商</w:t>
      </w:r>
      <w:r>
        <w:rPr>
          <w:color w:val="auto"/>
          <w:highlight w:val="none"/>
        </w:rPr>
        <w:tab/>
      </w:r>
      <w:r>
        <w:rPr>
          <w:color w:val="auto"/>
          <w:highlight w:val="none"/>
        </w:rPr>
        <w:fldChar w:fldCharType="begin"/>
      </w:r>
      <w:r>
        <w:rPr>
          <w:color w:val="auto"/>
          <w:highlight w:val="none"/>
        </w:rPr>
        <w:instrText xml:space="preserve"> PAGEREF _Toc6025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"_Toc5611" </w:instrText>
      </w:r>
      <w:r>
        <w:rPr>
          <w:color w:val="auto"/>
          <w:highlight w:val="none"/>
        </w:rPr>
        <w:fldChar w:fldCharType="separate"/>
      </w:r>
      <w:r>
        <w:rPr>
          <w:rFonts w:hint="eastAsia" w:cs="宋体"/>
          <w:color w:val="auto"/>
          <w:highlight w:val="none"/>
        </w:rPr>
        <w:t xml:space="preserve">七、 </w:t>
      </w:r>
      <w:r>
        <w:rPr>
          <w:rFonts w:hint="eastAsia" w:cs="宋体" w:asciiTheme="minorEastAsia" w:hAnsiTheme="minorEastAsia" w:eastAsiaTheme="minorEastAsia"/>
          <w:color w:val="auto"/>
          <w:highlight w:val="none"/>
        </w:rPr>
        <w:t>出具评标报告</w:t>
      </w:r>
      <w:r>
        <w:rPr>
          <w:color w:val="auto"/>
          <w:highlight w:val="none"/>
        </w:rPr>
        <w:tab/>
      </w:r>
      <w:r>
        <w:rPr>
          <w:color w:val="auto"/>
          <w:highlight w:val="none"/>
        </w:rPr>
        <w:fldChar w:fldCharType="begin"/>
      </w:r>
      <w:r>
        <w:rPr>
          <w:color w:val="auto"/>
          <w:highlight w:val="none"/>
        </w:rPr>
        <w:instrText xml:space="preserve"> PAGEREF _Toc5611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"_Toc32421" </w:instrText>
      </w:r>
      <w:r>
        <w:rPr>
          <w:color w:val="auto"/>
          <w:highlight w:val="none"/>
        </w:rPr>
        <w:fldChar w:fldCharType="separate"/>
      </w:r>
      <w:r>
        <w:rPr>
          <w:rFonts w:hint="eastAsia" w:cs="宋体"/>
          <w:color w:val="auto"/>
          <w:highlight w:val="none"/>
        </w:rPr>
        <w:t xml:space="preserve">八、 </w:t>
      </w:r>
      <w:r>
        <w:rPr>
          <w:rFonts w:hint="eastAsia" w:cs="宋体" w:asciiTheme="minorEastAsia" w:hAnsiTheme="minorEastAsia" w:eastAsiaTheme="minorEastAsia"/>
          <w:color w:val="auto"/>
          <w:highlight w:val="none"/>
        </w:rPr>
        <w:t>废标</w:t>
      </w:r>
      <w:r>
        <w:rPr>
          <w:color w:val="auto"/>
          <w:highlight w:val="none"/>
        </w:rPr>
        <w:tab/>
      </w:r>
      <w:r>
        <w:rPr>
          <w:color w:val="auto"/>
          <w:highlight w:val="none"/>
        </w:rPr>
        <w:fldChar w:fldCharType="begin"/>
      </w:r>
      <w:r>
        <w:rPr>
          <w:color w:val="auto"/>
          <w:highlight w:val="none"/>
        </w:rPr>
        <w:instrText xml:space="preserve"> PAGEREF _Toc32421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"_Toc26437" </w:instrText>
      </w:r>
      <w:r>
        <w:rPr>
          <w:color w:val="auto"/>
          <w:highlight w:val="none"/>
        </w:rPr>
        <w:fldChar w:fldCharType="separate"/>
      </w:r>
      <w:r>
        <w:rPr>
          <w:rFonts w:hint="eastAsia" w:cs="宋体"/>
          <w:color w:val="auto"/>
          <w:highlight w:val="none"/>
        </w:rPr>
        <w:t xml:space="preserve">九、 </w:t>
      </w:r>
      <w:r>
        <w:rPr>
          <w:rFonts w:hint="eastAsia" w:cs="宋体" w:asciiTheme="minorEastAsia" w:hAnsiTheme="minorEastAsia" w:eastAsiaTheme="minorEastAsia"/>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_Toc26437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"_Toc6571" </w:instrText>
      </w:r>
      <w:r>
        <w:rPr>
          <w:color w:val="auto"/>
          <w:highlight w:val="none"/>
        </w:rPr>
        <w:fldChar w:fldCharType="separate"/>
      </w:r>
      <w:r>
        <w:rPr>
          <w:rFonts w:hint="eastAsia" w:cs="宋体"/>
          <w:color w:val="auto"/>
          <w:highlight w:val="none"/>
        </w:rPr>
        <w:t xml:space="preserve">十、 </w:t>
      </w:r>
      <w:r>
        <w:rPr>
          <w:rFonts w:hint="eastAsia" w:cs="宋体" w:asciiTheme="minorEastAsia" w:hAnsiTheme="minorEastAsia" w:eastAsiaTheme="minorEastAsia"/>
          <w:color w:val="auto"/>
          <w:highlight w:val="none"/>
        </w:rPr>
        <w:t>评标专家在政府采购活动中承担以下义务</w:t>
      </w:r>
      <w:r>
        <w:rPr>
          <w:color w:val="auto"/>
          <w:highlight w:val="none"/>
        </w:rPr>
        <w:tab/>
      </w:r>
      <w:r>
        <w:rPr>
          <w:color w:val="auto"/>
          <w:highlight w:val="none"/>
        </w:rPr>
        <w:fldChar w:fldCharType="begin"/>
      </w:r>
      <w:r>
        <w:rPr>
          <w:color w:val="auto"/>
          <w:highlight w:val="none"/>
        </w:rPr>
        <w:instrText xml:space="preserve"> PAGEREF _Toc6571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"_Toc32658" </w:instrText>
      </w:r>
      <w:r>
        <w:rPr>
          <w:color w:val="auto"/>
          <w:highlight w:val="none"/>
        </w:rPr>
        <w:fldChar w:fldCharType="separate"/>
      </w:r>
      <w:r>
        <w:rPr>
          <w:rFonts w:hint="eastAsia" w:cs="宋体"/>
          <w:color w:val="auto"/>
          <w:highlight w:val="none"/>
        </w:rPr>
        <w:t xml:space="preserve">十一、 </w:t>
      </w:r>
      <w:r>
        <w:rPr>
          <w:rFonts w:hint="eastAsia" w:cs="宋体" w:asciiTheme="minorEastAsia" w:hAnsiTheme="minorEastAsia" w:eastAsiaTheme="minorEastAsia"/>
          <w:color w:val="auto"/>
          <w:highlight w:val="none"/>
        </w:rPr>
        <w:t>评标专家在政府采购活动中应当遵守以下工作纪律</w:t>
      </w:r>
      <w:r>
        <w:rPr>
          <w:color w:val="auto"/>
          <w:highlight w:val="none"/>
        </w:rPr>
        <w:tab/>
      </w:r>
      <w:r>
        <w:rPr>
          <w:color w:val="auto"/>
          <w:highlight w:val="none"/>
        </w:rPr>
        <w:fldChar w:fldCharType="begin"/>
      </w:r>
      <w:r>
        <w:rPr>
          <w:color w:val="auto"/>
          <w:highlight w:val="none"/>
        </w:rPr>
        <w:instrText xml:space="preserve"> PAGEREF _Toc32658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"_Toc20675" </w:instrText>
      </w:r>
      <w:r>
        <w:rPr>
          <w:color w:val="auto"/>
          <w:highlight w:val="none"/>
        </w:rPr>
        <w:fldChar w:fldCharType="separate"/>
      </w:r>
      <w:r>
        <w:rPr>
          <w:rFonts w:hint="eastAsia" w:cs="宋体"/>
          <w:color w:val="auto"/>
          <w:highlight w:val="none"/>
        </w:rPr>
        <w:t xml:space="preserve">十二、 </w:t>
      </w:r>
      <w:r>
        <w:rPr>
          <w:rFonts w:hint="eastAsia" w:cs="宋体" w:asciiTheme="minorEastAsia" w:hAnsiTheme="minorEastAsia" w:eastAsiaTheme="minorEastAsia"/>
          <w:color w:val="auto"/>
          <w:highlight w:val="none"/>
        </w:rPr>
        <w:t>评标委员会及其成员不得有下列行为</w:t>
      </w:r>
      <w:r>
        <w:rPr>
          <w:color w:val="auto"/>
          <w:highlight w:val="none"/>
        </w:rPr>
        <w:tab/>
      </w:r>
      <w:r>
        <w:rPr>
          <w:color w:val="auto"/>
          <w:highlight w:val="none"/>
        </w:rPr>
        <w:fldChar w:fldCharType="begin"/>
      </w:r>
      <w:r>
        <w:rPr>
          <w:color w:val="auto"/>
          <w:highlight w:val="none"/>
        </w:rPr>
        <w:instrText xml:space="preserve"> PAGEREF _Toc20675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pPr>
        <w:pStyle w:val="23"/>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"_Toc9712" </w:instrText>
      </w:r>
      <w:r>
        <w:rPr>
          <w:color w:val="auto"/>
          <w:highlight w:val="none"/>
        </w:rPr>
        <w:fldChar w:fldCharType="separate"/>
      </w:r>
      <w:r>
        <w:rPr>
          <w:rFonts w:hint="eastAsia" w:cs="宋体"/>
          <w:color w:val="auto"/>
          <w:highlight w:val="none"/>
        </w:rPr>
        <w:t xml:space="preserve">十三、 </w:t>
      </w:r>
      <w:r>
        <w:rPr>
          <w:rFonts w:hint="eastAsia" w:cs="宋体" w:asciiTheme="minorEastAsia" w:hAnsiTheme="minorEastAsia" w:eastAsiaTheme="minorEastAsia"/>
          <w:color w:val="auto"/>
          <w:highlight w:val="none"/>
        </w:rPr>
        <w:t>评标委员会及其成员不得有下列违约情形</w:t>
      </w:r>
      <w:r>
        <w:rPr>
          <w:color w:val="auto"/>
          <w:highlight w:val="none"/>
        </w:rPr>
        <w:tab/>
      </w:r>
      <w:r>
        <w:rPr>
          <w:color w:val="auto"/>
          <w:highlight w:val="none"/>
        </w:rPr>
        <w:fldChar w:fldCharType="begin"/>
      </w:r>
      <w:r>
        <w:rPr>
          <w:color w:val="auto"/>
          <w:highlight w:val="none"/>
        </w:rPr>
        <w:instrText xml:space="preserve"> PAGEREF _Toc9712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"_Toc6109" </w:instrText>
      </w:r>
      <w:r>
        <w:rPr>
          <w:color w:val="auto"/>
          <w:highlight w:val="none"/>
        </w:rPr>
        <w:fldChar w:fldCharType="separate"/>
      </w:r>
      <w:r>
        <w:rPr>
          <w:rFonts w:hint="eastAsia" w:cs="宋体"/>
          <w:color w:val="auto"/>
          <w:highlight w:val="none"/>
        </w:rPr>
        <w:t xml:space="preserve">第八章 </w:t>
      </w:r>
      <w:r>
        <w:rPr>
          <w:rFonts w:hint="eastAsia" w:cs="宋体" w:asciiTheme="minorEastAsia" w:hAnsiTheme="minorEastAsia" w:eastAsiaTheme="minorEastAsia"/>
          <w:color w:val="auto"/>
          <w:highlight w:val="none"/>
        </w:rPr>
        <w:t>政府采购合同(参考文本)</w:t>
      </w:r>
      <w:r>
        <w:rPr>
          <w:color w:val="auto"/>
          <w:highlight w:val="none"/>
        </w:rPr>
        <w:tab/>
      </w:r>
      <w:r>
        <w:rPr>
          <w:color w:val="auto"/>
          <w:highlight w:val="none"/>
        </w:rPr>
        <w:fldChar w:fldCharType="begin"/>
      </w:r>
      <w:r>
        <w:rPr>
          <w:color w:val="auto"/>
          <w:highlight w:val="none"/>
        </w:rPr>
        <w:instrText xml:space="preserve"> PAGEREF _Toc6109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"_Toc19117" </w:instrText>
      </w:r>
      <w:r>
        <w:rPr>
          <w:color w:val="auto"/>
          <w:highlight w:val="none"/>
        </w:rPr>
        <w:fldChar w:fldCharType="separate"/>
      </w:r>
      <w:r>
        <w:rPr>
          <w:rFonts w:hint="eastAsia" w:cs="宋体" w:asciiTheme="minorEastAsia" w:hAnsiTheme="minorEastAsia" w:eastAsiaTheme="minorEastAsia"/>
          <w:color w:val="auto"/>
          <w:highlight w:val="none"/>
        </w:rPr>
        <w:t>新型地理实体和电子地图数据生产更新及检验入库采购(第1包：地理实体数据生产与更新)</w:t>
      </w:r>
      <w:r>
        <w:rPr>
          <w:color w:val="auto"/>
          <w:highlight w:val="none"/>
        </w:rPr>
        <w:tab/>
      </w:r>
      <w:r>
        <w:rPr>
          <w:color w:val="auto"/>
          <w:highlight w:val="none"/>
        </w:rPr>
        <w:fldChar w:fldCharType="begin"/>
      </w:r>
      <w:r>
        <w:rPr>
          <w:color w:val="auto"/>
          <w:highlight w:val="none"/>
        </w:rPr>
        <w:instrText xml:space="preserve"> PAGEREF _Toc19117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"_Toc16802" </w:instrText>
      </w:r>
      <w:r>
        <w:rPr>
          <w:color w:val="auto"/>
          <w:highlight w:val="none"/>
        </w:rPr>
        <w:fldChar w:fldCharType="separate"/>
      </w:r>
      <w:r>
        <w:rPr>
          <w:rFonts w:hint="eastAsia" w:cs="宋体" w:asciiTheme="minorEastAsia" w:hAnsiTheme="minorEastAsia" w:eastAsiaTheme="minorEastAsia"/>
          <w:color w:val="auto"/>
          <w:highlight w:val="none"/>
        </w:rPr>
        <w:t>新型地理实体和电子地图数据生产更新及检验入库采购(第</w:t>
      </w:r>
      <w:r>
        <w:rPr>
          <w:rFonts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包：地理实体成果检验入库及天地图融合)</w:t>
      </w:r>
      <w:r>
        <w:rPr>
          <w:color w:val="auto"/>
          <w:highlight w:val="none"/>
        </w:rPr>
        <w:tab/>
      </w:r>
      <w:r>
        <w:rPr>
          <w:color w:val="auto"/>
          <w:highlight w:val="none"/>
        </w:rPr>
        <w:fldChar w:fldCharType="begin"/>
      </w:r>
      <w:r>
        <w:rPr>
          <w:color w:val="auto"/>
          <w:highlight w:val="none"/>
        </w:rPr>
        <w:instrText xml:space="preserve"> PAGEREF _Toc16802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pPr>
        <w:pStyle w:val="22"/>
        <w:tabs>
          <w:tab w:val="clear" w:pos="0"/>
        </w:tabs>
        <w:rPr>
          <w:color w:val="auto"/>
          <w:highlight w:val="none"/>
        </w:rPr>
      </w:pPr>
      <w:r>
        <w:rPr>
          <w:color w:val="auto"/>
          <w:highlight w:val="none"/>
        </w:rPr>
        <w:fldChar w:fldCharType="begin"/>
      </w:r>
      <w:r>
        <w:rPr>
          <w:color w:val="auto"/>
          <w:highlight w:val="none"/>
        </w:rPr>
        <w:instrText xml:space="preserve"> HYPERLINK \l "_Toc29441" </w:instrText>
      </w:r>
      <w:r>
        <w:rPr>
          <w:color w:val="auto"/>
          <w:highlight w:val="none"/>
        </w:rPr>
        <w:fldChar w:fldCharType="separate"/>
      </w:r>
      <w:r>
        <w:rPr>
          <w:rFonts w:hint="eastAsia" w:cs="宋体"/>
          <w:color w:val="auto"/>
          <w:highlight w:val="none"/>
        </w:rPr>
        <w:t xml:space="preserve">第九章 </w:t>
      </w:r>
      <w:r>
        <w:rPr>
          <w:rFonts w:hint="eastAsia" w:cs="宋体" w:asciiTheme="minorEastAsia" w:hAnsiTheme="minorEastAsia" w:eastAsiaTheme="minorEastAsia"/>
          <w:color w:val="auto"/>
          <w:highlight w:val="none"/>
        </w:rPr>
        <w:t>附件</w:t>
      </w:r>
      <w:r>
        <w:rPr>
          <w:color w:val="auto"/>
          <w:highlight w:val="none"/>
        </w:rPr>
        <w:tab/>
      </w:r>
      <w:r>
        <w:rPr>
          <w:color w:val="auto"/>
          <w:highlight w:val="none"/>
        </w:rPr>
        <w:fldChar w:fldCharType="begin"/>
      </w:r>
      <w:r>
        <w:rPr>
          <w:color w:val="auto"/>
          <w:highlight w:val="none"/>
        </w:rPr>
        <w:instrText xml:space="preserve"> PAGEREF _Toc29441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fldChar w:fldCharType="end"/>
      </w:r>
    </w:p>
    <w:p>
      <w:pPr>
        <w:pStyle w:val="54"/>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End w:id="2"/>
      <w:bookmarkEnd w:id="9"/>
      <w:bookmarkEnd w:id="10"/>
      <w:bookmarkStart w:id="12" w:name="_Toc9731"/>
      <w:bookmarkStart w:id="13" w:name="_Toc22021"/>
      <w:bookmarkStart w:id="14" w:name="_Toc213396759"/>
      <w:bookmarkStart w:id="15" w:name="_Toc213496267"/>
      <w:bookmarkStart w:id="16" w:name="_Toc217446031"/>
      <w:bookmarkStart w:id="17" w:name="_Toc213396945"/>
      <w:bookmarkStart w:id="18" w:name="_Toc213397009"/>
      <w:r>
        <w:rPr>
          <w:rFonts w:hint="eastAsia" w:cs="宋体" w:asciiTheme="minorEastAsia" w:hAnsiTheme="minorEastAsia" w:eastAsiaTheme="minorEastAsia"/>
          <w:color w:val="auto"/>
          <w:highlight w:val="none"/>
        </w:rPr>
        <w:t>投标邀请</w:t>
      </w:r>
      <w:bookmarkEnd w:id="11"/>
      <w:bookmarkEnd w:id="12"/>
      <w:bookmarkEnd w:id="13"/>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四川乾新招投标代理有限公司</w:t>
      </w:r>
      <w:r>
        <w:rPr>
          <w:rFonts w:hint="eastAsia" w:cs="宋体" w:asciiTheme="minorEastAsia" w:hAnsiTheme="minorEastAsia" w:eastAsiaTheme="minorEastAsia"/>
          <w:color w:val="auto"/>
          <w:highlight w:val="none"/>
        </w:rPr>
        <w:t>受成都市规划和自然资源局的委托，拟对成都市规划和自然资源局新型地理实体和电子地图数据生产更新及检验入库采购项目进行国内公开招标，兹邀请符合本次招标要求的供应商参加投标。</w:t>
      </w:r>
    </w:p>
    <w:p>
      <w:pPr>
        <w:pStyle w:val="48"/>
        <w:numPr>
          <w:ilvl w:val="0"/>
          <w:numId w:val="8"/>
        </w:numPr>
        <w:spacing w:line="420" w:lineRule="exact"/>
        <w:ind w:firstLine="482" w:firstLineChars="200"/>
        <w:rPr>
          <w:rFonts w:cs="宋体" w:asciiTheme="minorEastAsia" w:hAnsiTheme="minorEastAsia" w:eastAsiaTheme="minorEastAsia"/>
          <w:snapToGrid/>
          <w:color w:val="auto"/>
          <w:highlight w:val="none"/>
        </w:rPr>
      </w:pPr>
      <w:r>
        <w:rPr>
          <w:rFonts w:hint="eastAsia" w:cs="宋体" w:asciiTheme="minorEastAsia" w:hAnsiTheme="minorEastAsia" w:eastAsiaTheme="minorEastAsia"/>
          <w:b/>
          <w:bCs/>
          <w:color w:val="auto"/>
          <w:highlight w:val="none"/>
        </w:rPr>
        <w:t>项目编号：510101202100249</w:t>
      </w:r>
      <w:r>
        <w:rPr>
          <w:rFonts w:hint="eastAsia" w:cs="宋体" w:asciiTheme="minorEastAsia" w:hAnsiTheme="minorEastAsia" w:eastAsiaTheme="minorEastAsia"/>
          <w:snapToGrid/>
          <w:color w:val="auto"/>
          <w:highlight w:val="none"/>
        </w:rPr>
        <w:t xml:space="preserve">          </w:t>
      </w:r>
    </w:p>
    <w:p>
      <w:pPr>
        <w:pStyle w:val="48"/>
        <w:numPr>
          <w:ilvl w:val="0"/>
          <w:numId w:val="8"/>
        </w:numPr>
        <w:spacing w:line="420" w:lineRule="exact"/>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snapToGrid/>
          <w:color w:val="auto"/>
          <w:highlight w:val="none"/>
        </w:rPr>
        <w:t>项目名称：</w:t>
      </w:r>
      <w:r>
        <w:rPr>
          <w:rFonts w:hint="eastAsia" w:cs="宋体" w:asciiTheme="minorEastAsia" w:hAnsiTheme="minorEastAsia" w:eastAsiaTheme="minorEastAsia"/>
          <w:snapToGrid/>
          <w:color w:val="auto"/>
          <w:highlight w:val="none"/>
        </w:rPr>
        <w:t>成都市规划和自然资源局</w:t>
      </w:r>
      <w:r>
        <w:rPr>
          <w:rFonts w:hint="eastAsia" w:cs="宋体" w:asciiTheme="minorEastAsia" w:hAnsiTheme="minorEastAsia" w:eastAsiaTheme="minorEastAsia"/>
          <w:color w:val="auto"/>
          <w:highlight w:val="none"/>
        </w:rPr>
        <w:t>新型地理实体和电子地图数据生产更新及检验入库采购项目</w:t>
      </w:r>
    </w:p>
    <w:p>
      <w:pPr>
        <w:pStyle w:val="48"/>
        <w:numPr>
          <w:ilvl w:val="0"/>
          <w:numId w:val="8"/>
        </w:numPr>
        <w:spacing w:line="420" w:lineRule="exact"/>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资金来源：根据成都市财政局下达的《 成都市市级政府采购实施计划备案表》(</w:t>
      </w:r>
      <w:r>
        <w:rPr>
          <w:rFonts w:hint="eastAsia" w:cs="宋体" w:asciiTheme="minorEastAsia" w:hAnsiTheme="minorEastAsia" w:eastAsiaTheme="minorEastAsia"/>
          <w:color w:val="auto"/>
          <w:highlight w:val="none"/>
        </w:rPr>
        <w:t>计划号/</w:t>
      </w:r>
      <w:r>
        <w:rPr>
          <w:rFonts w:hint="eastAsia" w:cs="宋体" w:asciiTheme="minorEastAsia" w:hAnsiTheme="minorEastAsia" w:eastAsiaTheme="minorEastAsia"/>
          <w:b/>
          <w:bCs/>
          <w:color w:val="auto"/>
          <w:highlight w:val="none"/>
        </w:rPr>
        <w:t>备案号：〔2021〕</w:t>
      </w:r>
      <w:r>
        <w:rPr>
          <w:rFonts w:cs="宋体" w:asciiTheme="minorEastAsia" w:hAnsiTheme="minorEastAsia" w:eastAsiaTheme="minorEastAsia"/>
          <w:b/>
          <w:bCs/>
          <w:color w:val="auto"/>
          <w:highlight w:val="none"/>
        </w:rPr>
        <w:t>1402</w:t>
      </w:r>
      <w:r>
        <w:rPr>
          <w:rFonts w:hint="eastAsia" w:cs="宋体" w:asciiTheme="minorEastAsia" w:hAnsiTheme="minorEastAsia" w:eastAsiaTheme="minorEastAsia"/>
          <w:b/>
          <w:bCs/>
          <w:color w:val="auto"/>
          <w:highlight w:val="none"/>
        </w:rPr>
        <w:t>号)，该项目预算资金为人民币1280.</w:t>
      </w:r>
      <w:r>
        <w:rPr>
          <w:rFonts w:cs="宋体" w:asciiTheme="minorEastAsia" w:hAnsiTheme="minorEastAsia" w:eastAsiaTheme="minorEastAsia"/>
          <w:b/>
          <w:bCs/>
          <w:color w:val="auto"/>
          <w:highlight w:val="none"/>
        </w:rPr>
        <w:t>4</w:t>
      </w:r>
      <w:r>
        <w:rPr>
          <w:rFonts w:hint="eastAsia" w:cs="宋体" w:asciiTheme="minorEastAsia" w:hAnsiTheme="minorEastAsia" w:eastAsiaTheme="minorEastAsia"/>
          <w:b/>
          <w:bCs/>
          <w:color w:val="auto"/>
          <w:highlight w:val="none"/>
        </w:rPr>
        <w:t>万元</w:t>
      </w:r>
      <w:r>
        <w:rPr>
          <w:rFonts w:hint="eastAsia" w:cs="宋体" w:asciiTheme="minorEastAsia" w:hAnsiTheme="minorEastAsia" w:eastAsiaTheme="minorEastAsia"/>
          <w:color w:val="auto"/>
          <w:highlight w:val="none"/>
        </w:rPr>
        <w:t>。</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招标项目简介：</w:t>
      </w:r>
    </w:p>
    <w:p>
      <w:pPr>
        <w:pStyle w:val="48"/>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(一)采购内容：</w:t>
      </w:r>
      <w:r>
        <w:rPr>
          <w:rFonts w:hint="eastAsia" w:cs="宋体" w:asciiTheme="minorEastAsia" w:hAnsiTheme="minorEastAsia" w:eastAsiaTheme="minorEastAsia"/>
          <w:b/>
          <w:color w:val="auto"/>
          <w:highlight w:val="none"/>
        </w:rPr>
        <w:t>地理实体数据生产与更新、地理实体成果检验入库及天地图融合</w:t>
      </w:r>
      <w:r>
        <w:rPr>
          <w:rFonts w:hint="eastAsia" w:cs="宋体" w:asciiTheme="minorEastAsia" w:hAnsiTheme="minorEastAsia" w:eastAsiaTheme="minorEastAsia"/>
          <w:color w:val="auto"/>
          <w:highlight w:val="none"/>
        </w:rPr>
        <w:t>，共计2个包，每包各设置1名中标人，具体详见招标文件第六章。</w:t>
      </w:r>
    </w:p>
    <w:p>
      <w:pPr>
        <w:pStyle w:val="48"/>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(二)采购用途：实现地理实体数据持续生产更新需求，从而为成都市域自然资源管理与应用、城市规划、建设及管理等各类应用提供基础数据支持</w:t>
      </w:r>
      <w:r>
        <w:rPr>
          <w:rFonts w:hint="eastAsia" w:cs="宋体" w:asciiTheme="minorEastAsia" w:hAnsiTheme="minorEastAsia" w:eastAsiaTheme="minorEastAsia"/>
          <w:color w:val="auto"/>
          <w:highlight w:val="none"/>
        </w:rPr>
        <w:t>。</w:t>
      </w:r>
    </w:p>
    <w:p>
      <w:pPr>
        <w:pStyle w:val="48"/>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(三)项目性质：</w:t>
      </w:r>
      <w:r>
        <w:rPr>
          <w:rFonts w:hint="eastAsia" w:cs="宋体" w:asciiTheme="minorEastAsia" w:hAnsiTheme="minorEastAsia" w:eastAsiaTheme="minorEastAsia"/>
          <w:color w:val="auto"/>
          <w:highlight w:val="none"/>
        </w:rPr>
        <w:t>政府采购。</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供应商参加本次政府采购活动应具备下列条件：</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(一)</w:t>
      </w:r>
      <w:r>
        <w:rPr>
          <w:rFonts w:hint="eastAsia" w:cs="宋体" w:asciiTheme="minorEastAsia" w:hAnsiTheme="minorEastAsia" w:eastAsiaTheme="minorEastAsia"/>
          <w:color w:val="auto"/>
          <w:highlight w:val="none"/>
          <w:lang w:val="zh-CN"/>
        </w:rPr>
        <w:t>符合《中华人民共和国政府采购法》第二十二条规定的条件：</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s="宋体" w:asciiTheme="minorEastAsia" w:hAnsiTheme="minorEastAsia" w:eastAsiaTheme="minorEastAsia"/>
          <w:color w:val="auto"/>
          <w:highlight w:val="none"/>
        </w:rPr>
        <w:t>民事责任</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的能力；</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2.具有良好的商业信誉和健全的财务会计制度；</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3.具有履行合同所必需的设备和专业技术能力；</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s="宋体" w:asciiTheme="minorEastAsia" w:hAnsiTheme="minorEastAsia" w:eastAsiaTheme="minorEastAsia"/>
          <w:color w:val="auto"/>
          <w:highlight w:val="none"/>
        </w:rPr>
        <w:t>社会保障</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资金的良好记录；</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5.参加政府采购活动前三年内，在经营活动中没有重大违法记录；</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s="宋体" w:asciiTheme="minorEastAsia" w:hAnsiTheme="minorEastAsia" w:eastAsiaTheme="minorEastAsia"/>
          <w:color w:val="auto"/>
          <w:highlight w:val="none"/>
        </w:rPr>
        <w:t>行政法</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规规定的其他条件；</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w:t>
      </w:r>
      <w:r>
        <w:rPr>
          <w:rFonts w:hint="eastAsia" w:cs="宋体" w:asciiTheme="minorEastAsia" w:hAnsiTheme="minorEastAsia" w:eastAsiaTheme="minorEastAsia"/>
          <w:color w:val="auto"/>
          <w:highlight w:val="none"/>
          <w:lang w:val="zh-CN"/>
        </w:rPr>
        <w:t>落实政府采购政策需满足的资格要求：</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第一包：本项目投标人应以合同分包形式进行投标，且接受分包合同的中小企业承接的服务份额不低于采购项目预算总额的30%(且小微企业承接的服务份额比例不低于60%)。(中小企业投标除外)</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(三)</w:t>
      </w:r>
      <w:r>
        <w:rPr>
          <w:rFonts w:hint="eastAsia" w:cs="宋体" w:asciiTheme="minorEastAsia" w:hAnsiTheme="minorEastAsia" w:eastAsiaTheme="minorEastAsia"/>
          <w:color w:val="auto"/>
          <w:highlight w:val="none"/>
          <w:lang w:val="zh-CN"/>
        </w:rPr>
        <w:t>本项目的特定资格要求：</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lang w:val="zh-CN"/>
        </w:rPr>
        <w:t>第一包：投标人应具有国家测绘地理信息主管部门颁发的且在有效期内的甲级资质(专业范围需包含:①地理信息系统工程②摄影测量与遥感③地图编制。以上专业范围子项不限定)；</w:t>
      </w: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第二包：</w:t>
      </w:r>
      <w:r>
        <w:rPr>
          <w:rFonts w:hint="eastAsia"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lang w:val="zh-CN"/>
        </w:rPr>
        <w:t>投标人应具有国家测绘地理信息主管部门颁发的且在有效期内的乙级</w:t>
      </w:r>
      <w:r>
        <w:rPr>
          <w:rFonts w:hint="eastAsia" w:cs="宋体" w:asciiTheme="minorEastAsia" w:hAnsiTheme="minorEastAsia" w:eastAsiaTheme="minorEastAsia"/>
          <w:color w:val="auto"/>
          <w:highlight w:val="none"/>
        </w:rPr>
        <w:t>及</w:t>
      </w:r>
      <w:r>
        <w:rPr>
          <w:rFonts w:hint="eastAsia" w:cs="宋体" w:asciiTheme="minorEastAsia" w:hAnsiTheme="minorEastAsia" w:eastAsiaTheme="minorEastAsia"/>
          <w:color w:val="auto"/>
          <w:highlight w:val="none"/>
          <w:lang w:val="zh-CN"/>
        </w:rPr>
        <w:t>以上资质(专业范围需包含:①地理信息系统工程②互联网地图服务③地图编制。以上专业范围子项不限定)；</w:t>
      </w: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供应商应具有省级及以上质量主管部门颁发的检验检测机构资质认定证书</w:t>
      </w:r>
      <w:r>
        <w:rPr>
          <w:rFonts w:hint="eastAsia" w:cs="仿宋" w:asciiTheme="minorEastAsia" w:hAnsiTheme="minorEastAsia" w:eastAsiaTheme="minorEastAsia"/>
          <w:bCs/>
          <w:color w:val="000000"/>
          <w:kern w:val="0"/>
          <w:highlight w:val="none"/>
        </w:rPr>
        <w:t>(</w:t>
      </w:r>
      <w:r>
        <w:rPr>
          <w:rFonts w:hint="eastAsia" w:cs="仿宋" w:asciiTheme="minorEastAsia" w:hAnsiTheme="minorEastAsia" w:eastAsiaTheme="minorEastAsia"/>
          <w:color w:val="000000"/>
          <w:kern w:val="0"/>
          <w:highlight w:val="none"/>
        </w:rPr>
        <w:t>证书附表</w:t>
      </w:r>
      <w:r>
        <w:rPr>
          <w:rFonts w:hint="eastAsia" w:cs="仿宋" w:asciiTheme="minorEastAsia" w:hAnsiTheme="minorEastAsia" w:eastAsiaTheme="minorEastAsia"/>
          <w:bCs/>
          <w:color w:val="000000"/>
          <w:kern w:val="0"/>
          <w:highlight w:val="none"/>
        </w:rPr>
        <w:t>需包含测绘类)</w:t>
      </w:r>
      <w:r>
        <w:rPr>
          <w:rFonts w:hint="eastAsia" w:cs="宋体" w:asciiTheme="minorEastAsia" w:hAnsiTheme="minorEastAsia" w:eastAsiaTheme="minorEastAsia"/>
          <w:color w:val="auto"/>
          <w:highlight w:val="none"/>
          <w:lang w:val="zh-CN"/>
        </w:rPr>
        <w:t>。</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本项目不接受联合体投标。</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禁止参加本次采购活动的供应商</w:t>
      </w:r>
    </w:p>
    <w:p>
      <w:pPr>
        <w:pStyle w:val="39"/>
        <w:spacing w:line="420" w:lineRule="exact"/>
        <w:ind w:firstLine="480" w:firstLineChars="200"/>
        <w:rPr>
          <w:rFonts w:cs="宋体" w:asciiTheme="minorEastAsia" w:hAnsiTheme="minorEastAsia" w:eastAsiaTheme="minorEastAsia"/>
          <w:color w:val="auto"/>
          <w:highlight w:val="none"/>
        </w:rPr>
      </w:pPr>
      <w:bookmarkStart w:id="19" w:name="PO_默认文件内容_4"/>
      <w:r>
        <w:rPr>
          <w:rFonts w:hint="eastAsia" w:cs="宋体" w:asciiTheme="minorEastAsia" w:hAnsiTheme="minorEastAsia" w:eastAsiaTheme="minorEastAsia"/>
          <w:color w:val="auto"/>
          <w:highlight w:val="none"/>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报名参加本项目的采购活动。</w:t>
      </w:r>
    </w:p>
    <w:bookmarkEnd w:id="19"/>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获取招标文件的时间期限、地点、方式及招标文件售价</w:t>
      </w:r>
    </w:p>
    <w:p>
      <w:pPr>
        <w:pStyle w:val="48"/>
        <w:ind w:firstLine="482"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b/>
          <w:bCs/>
          <w:color w:val="auto"/>
          <w:highlight w:val="none"/>
        </w:rPr>
        <w:t>(一)获取招标文件的时间期限(即报名时间)</w:t>
      </w:r>
      <w:r>
        <w:rPr>
          <w:rFonts w:hint="eastAsia" w:cs="宋体" w:asciiTheme="minorEastAsia" w:hAnsiTheme="minorEastAsia" w:eastAsiaTheme="minorEastAsia"/>
          <w:color w:val="auto"/>
          <w:highlight w:val="none"/>
        </w:rPr>
        <w:t>：2021年5月19日至2021年5月25日，每天上午9时00分至12时00分，下午14时00分至17时00分(北京时间，法定节假日除外)。</w:t>
      </w:r>
    </w:p>
    <w:p>
      <w:pPr>
        <w:pStyle w:val="48"/>
        <w:ind w:firstLine="482"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b/>
          <w:bCs/>
          <w:color w:val="auto"/>
          <w:highlight w:val="none"/>
        </w:rPr>
        <w:t>(二)获取招标文件的地点：</w:t>
      </w:r>
      <w:r>
        <w:rPr>
          <w:rFonts w:hint="eastAsia" w:cs="宋体" w:asciiTheme="minorEastAsia" w:hAnsiTheme="minorEastAsia" w:eastAsiaTheme="minorEastAsia"/>
          <w:color w:val="auto"/>
          <w:highlight w:val="none"/>
        </w:rPr>
        <w:t>四川乾新招投标代理有限公司(</w:t>
      </w:r>
      <w:r>
        <w:rPr>
          <w:rFonts w:hint="eastAsia" w:cs="宋体" w:asciiTheme="minorEastAsia" w:hAnsiTheme="minorEastAsia" w:eastAsiaTheme="minorEastAsia"/>
          <w:b/>
          <w:bCs/>
          <w:color w:val="auto"/>
          <w:highlight w:val="none"/>
        </w:rPr>
        <w:t>http：//www.qxztb.cn</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lang w:val="zh-CN"/>
        </w:rPr>
        <w:t>。</w:t>
      </w:r>
    </w:p>
    <w:p>
      <w:pPr>
        <w:pStyle w:val="48"/>
        <w:spacing w:line="46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(三)获取招标文件的方式：</w:t>
      </w:r>
    </w:p>
    <w:p>
      <w:pPr>
        <w:pStyle w:val="48"/>
        <w:spacing w:line="460" w:lineRule="exact"/>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1.</w:t>
      </w:r>
      <w:r>
        <w:rPr>
          <w:rFonts w:hint="eastAsia" w:cs="宋体" w:asciiTheme="minorEastAsia" w:hAnsiTheme="minorEastAsia" w:eastAsiaTheme="minorEastAsia"/>
          <w:b/>
          <w:bCs/>
          <w:color w:val="auto"/>
          <w:highlight w:val="none"/>
        </w:rPr>
        <w:tab/>
      </w:r>
      <w:r>
        <w:rPr>
          <w:rFonts w:hint="eastAsia" w:cs="宋体" w:asciiTheme="minorEastAsia" w:hAnsiTheme="minorEastAsia" w:eastAsiaTheme="minorEastAsia"/>
          <w:b/>
          <w:bCs/>
          <w:color w:val="auto"/>
          <w:highlight w:val="none"/>
        </w:rPr>
        <w:t>在本项目招标文件获取时间期内，在采购代理机构指定网站(http：//www.qxztb.cn)购买，具体购买流程详见该网站的“标书在线购买流程”。</w:t>
      </w:r>
    </w:p>
    <w:p>
      <w:pPr>
        <w:pStyle w:val="48"/>
        <w:spacing w:line="460" w:lineRule="exact"/>
        <w:ind w:firstLine="482" w:firstLineChars="200"/>
        <w:rPr>
          <w:rFonts w:cs="宋体" w:asciiTheme="minorEastAsia" w:hAnsiTheme="minorEastAsia" w:eastAsiaTheme="minorEastAsia"/>
          <w:b/>
          <w:bCs/>
          <w:color w:val="auto"/>
          <w:highlight w:val="none"/>
          <w:lang w:val="zh-CN"/>
        </w:rPr>
      </w:pPr>
      <w:r>
        <w:rPr>
          <w:rFonts w:hint="eastAsia" w:cs="宋体" w:asciiTheme="minorEastAsia" w:hAnsiTheme="minorEastAsia" w:eastAsiaTheme="minorEastAsia"/>
          <w:b/>
          <w:bCs/>
          <w:color w:val="auto"/>
          <w:highlight w:val="none"/>
        </w:rPr>
        <w:t>2.报名咨询电话：</w:t>
      </w:r>
      <w:r>
        <w:rPr>
          <w:rFonts w:hint="eastAsia" w:cs="宋体" w:asciiTheme="minorEastAsia" w:hAnsiTheme="minorEastAsia" w:eastAsiaTheme="minorEastAsia"/>
          <w:b/>
          <w:bCs/>
          <w:color w:val="auto"/>
          <w:highlight w:val="none"/>
          <w:lang w:val="zh-CN"/>
        </w:rPr>
        <w:t>028-61375575、62600820、62630990转601或602。</w:t>
      </w:r>
    </w:p>
    <w:p>
      <w:pPr>
        <w:pStyle w:val="48"/>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(四)</w:t>
      </w:r>
      <w:r>
        <w:rPr>
          <w:rFonts w:hint="eastAsia" w:cs="宋体" w:asciiTheme="minorEastAsia" w:hAnsiTheme="minorEastAsia" w:eastAsiaTheme="minorEastAsia"/>
          <w:color w:val="auto"/>
          <w:highlight w:val="none"/>
          <w:lang w:val="zh-CN"/>
        </w:rPr>
        <w:t>招标文件</w:t>
      </w:r>
      <w:r>
        <w:rPr>
          <w:rFonts w:hint="eastAsia" w:cs="宋体" w:asciiTheme="minorEastAsia" w:hAnsiTheme="minorEastAsia" w:eastAsiaTheme="minorEastAsia"/>
          <w:color w:val="auto"/>
          <w:highlight w:val="none"/>
        </w:rPr>
        <w:t>免费提供</w:t>
      </w:r>
      <w:r>
        <w:rPr>
          <w:rFonts w:hint="eastAsia" w:cs="宋体" w:asciiTheme="minorEastAsia" w:hAnsiTheme="minorEastAsia" w:eastAsiaTheme="minorEastAsia"/>
          <w:color w:val="auto"/>
          <w:highlight w:val="none"/>
          <w:lang w:val="zh-CN"/>
        </w:rPr>
        <w:t xml:space="preserve">, </w:t>
      </w:r>
      <w:r>
        <w:rPr>
          <w:rFonts w:hint="eastAsia" w:cs="宋体" w:asciiTheme="minorEastAsia" w:hAnsiTheme="minorEastAsia" w:eastAsiaTheme="minorEastAsia"/>
          <w:color w:val="auto"/>
          <w:highlight w:val="none"/>
        </w:rPr>
        <w:t>投标资格不得转让。</w:t>
      </w:r>
    </w:p>
    <w:p>
      <w:pPr>
        <w:pStyle w:val="48"/>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(五)</w:t>
      </w:r>
      <w:r>
        <w:rPr>
          <w:rFonts w:hint="eastAsia" w:cs="宋体" w:asciiTheme="minorEastAsia" w:hAnsiTheme="minorEastAsia" w:eastAsiaTheme="minorEastAsia"/>
          <w:color w:val="auto"/>
          <w:highlight w:val="none"/>
        </w:rPr>
        <w:t>供应商应在规定的时间内按上述要求获取本招标文件并登记，否则均无资格参加该项目的投标。</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投标文件的递交</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(一)投标文件递交起止时间：2021年6月8日09时30分至10时00分。</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(二)投标文件递交地点：</w:t>
      </w:r>
      <w:r>
        <w:rPr>
          <w:rFonts w:hint="eastAsia" w:cs="宋体" w:asciiTheme="minorEastAsia" w:hAnsiTheme="minorEastAsia" w:eastAsiaTheme="minorEastAsia"/>
          <w:color w:val="auto"/>
          <w:highlight w:val="none"/>
          <w:lang w:val="zh-CN"/>
        </w:rPr>
        <w:t>成都市高新区吉庆三路333号蜀都中心二期一号楼一单元401号</w:t>
      </w:r>
      <w:r>
        <w:rPr>
          <w:rFonts w:hint="eastAsia" w:cs="宋体" w:asciiTheme="minorEastAsia" w:hAnsiTheme="minorEastAsia" w:eastAsiaTheme="minorEastAsia"/>
          <w:color w:val="auto"/>
          <w:highlight w:val="none"/>
        </w:rPr>
        <w:t>本项目开标室。</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(三)投标文件必须在投标截止时间前送达开标地点，逾期送达的投标文件恕不接收，本次招标不接受邮寄的投标文件。</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投标截止时间及开标时间：</w:t>
      </w:r>
      <w:r>
        <w:rPr>
          <w:rFonts w:hint="eastAsia" w:cs="宋体" w:asciiTheme="minorEastAsia" w:hAnsiTheme="minorEastAsia" w:eastAsiaTheme="minorEastAsia"/>
          <w:color w:val="auto"/>
          <w:highlight w:val="none"/>
        </w:rPr>
        <w:t>2021年6月8日10时00分。</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开标地点：</w:t>
      </w:r>
      <w:r>
        <w:rPr>
          <w:rFonts w:hint="eastAsia" w:cs="宋体" w:asciiTheme="minorEastAsia" w:hAnsiTheme="minorEastAsia" w:eastAsiaTheme="minorEastAsia"/>
          <w:color w:val="auto"/>
          <w:highlight w:val="none"/>
          <w:lang w:val="zh-CN"/>
        </w:rPr>
        <w:t>成都市高新区吉庆三路333号蜀都中心二期一号楼一单元401号</w:t>
      </w:r>
      <w:r>
        <w:rPr>
          <w:rFonts w:hint="eastAsia" w:cs="宋体" w:asciiTheme="minorEastAsia" w:hAnsiTheme="minorEastAsia" w:eastAsiaTheme="minorEastAsia"/>
          <w:color w:val="auto"/>
          <w:highlight w:val="none"/>
        </w:rPr>
        <w:t>本项目开标室。</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采购信息发布媒体：</w:t>
      </w:r>
      <w:r>
        <w:rPr>
          <w:rFonts w:hint="eastAsia" w:cs="宋体" w:asciiTheme="minorEastAsia" w:hAnsiTheme="minorEastAsia" w:eastAsiaTheme="minorEastAsia"/>
          <w:color w:val="auto"/>
          <w:highlight w:val="none"/>
        </w:rPr>
        <w:t>“四川政府采购网”。</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供应商信用融资：</w:t>
      </w:r>
    </w:p>
    <w:p>
      <w:pPr>
        <w:pStyle w:val="52"/>
        <w:spacing w:line="420" w:lineRule="exact"/>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48"/>
        <w:numPr>
          <w:ilvl w:val="0"/>
          <w:numId w:val="8"/>
        </w:numPr>
        <w:spacing w:line="420" w:lineRule="exact"/>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对本次招标提出询问，请按以下方式联系：</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(一)采购人信息</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名    称：成都市规划和自然资源局</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    址：</w:t>
      </w:r>
      <w:r>
        <w:rPr>
          <w:rFonts w:hint="eastAsia" w:cs="宋体" w:asciiTheme="minorEastAsia" w:hAnsiTheme="minorEastAsia" w:eastAsiaTheme="minorEastAsia"/>
          <w:color w:val="auto"/>
          <w:highlight w:val="none"/>
          <w:lang w:val="zh-CN"/>
        </w:rPr>
        <w:t>成都市蜀绣西路69号</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 系 人：李老师</w:t>
      </w:r>
    </w:p>
    <w:p>
      <w:pPr>
        <w:pStyle w:val="48"/>
        <w:spacing w:line="460" w:lineRule="exact"/>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联系方式：028-61884045</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(二)采购代理机构信息</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名    称：四川乾新招投标代理有限公司</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    址：</w:t>
      </w:r>
      <w:r>
        <w:rPr>
          <w:rFonts w:hint="eastAsia" w:cs="宋体" w:asciiTheme="minorEastAsia" w:hAnsiTheme="minorEastAsia" w:eastAsiaTheme="minorEastAsia"/>
          <w:color w:val="auto"/>
          <w:highlight w:val="none"/>
          <w:lang w:val="zh-CN"/>
        </w:rPr>
        <w:t>成都市高新区吉庆三路333号蜀都中心二期一号楼一单元401号</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联 系 人：郭巧樾 </w:t>
      </w:r>
    </w:p>
    <w:p>
      <w:pPr>
        <w:pStyle w:val="48"/>
        <w:spacing w:line="460" w:lineRule="exact"/>
        <w:ind w:firstLine="480" w:firstLineChars="200"/>
        <w:rPr>
          <w:rFonts w:hint="eastAsia" w:cs="宋体" w:asciiTheme="minorEastAsia" w:hAnsiTheme="minorEastAsia" w:eastAsiaTheme="minorEastAsia"/>
          <w:color w:val="auto"/>
          <w:highlight w:val="none"/>
          <w:lang w:val="en-US" w:eastAsia="zh-CN"/>
        </w:rPr>
      </w:pPr>
      <w:r>
        <w:rPr>
          <w:rFonts w:hint="eastAsia" w:cs="宋体" w:asciiTheme="minorEastAsia" w:hAnsiTheme="minorEastAsia" w:eastAsiaTheme="minorEastAsia"/>
          <w:color w:val="auto"/>
          <w:highlight w:val="none"/>
          <w:lang w:val="zh-CN"/>
        </w:rPr>
        <w:t>联系电话：028-61375575、62600820、62630990转</w:t>
      </w:r>
      <w:r>
        <w:rPr>
          <w:rFonts w:hint="eastAsia" w:cs="宋体" w:asciiTheme="minorEastAsia" w:hAnsiTheme="minorEastAsia" w:eastAsiaTheme="minorEastAsia"/>
          <w:color w:val="auto"/>
          <w:highlight w:val="none"/>
          <w:lang w:val="en-US" w:eastAsia="zh-CN"/>
        </w:rPr>
        <w:t>632</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传    真：</w:t>
      </w:r>
      <w:r>
        <w:rPr>
          <w:rFonts w:hint="eastAsia" w:cs="宋体" w:asciiTheme="minorEastAsia" w:hAnsiTheme="minorEastAsia" w:eastAsiaTheme="minorEastAsia"/>
          <w:color w:val="auto"/>
          <w:highlight w:val="none"/>
        </w:rPr>
        <w:t>028-</w:t>
      </w:r>
      <w:r>
        <w:rPr>
          <w:rFonts w:hint="eastAsia" w:cs="宋体" w:asciiTheme="minorEastAsia" w:hAnsiTheme="minorEastAsia" w:eastAsiaTheme="minorEastAsia"/>
          <w:color w:val="auto"/>
          <w:highlight w:val="none"/>
          <w:lang w:val="zh-CN"/>
        </w:rPr>
        <w:t>83381</w:t>
      </w:r>
      <w:r>
        <w:rPr>
          <w:rFonts w:hint="eastAsia" w:cs="宋体" w:asciiTheme="minorEastAsia" w:hAnsiTheme="minorEastAsia" w:eastAsiaTheme="minorEastAsia"/>
          <w:color w:val="auto"/>
          <w:highlight w:val="none"/>
        </w:rPr>
        <w:t>268</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电子邮件：</w:t>
      </w:r>
      <w:r>
        <w:rPr>
          <w:color w:val="auto"/>
          <w:highlight w:val="none"/>
        </w:rPr>
        <w:fldChar w:fldCharType="begin"/>
      </w:r>
      <w:r>
        <w:rPr>
          <w:color w:val="auto"/>
          <w:highlight w:val="none"/>
        </w:rPr>
        <w:instrText xml:space="preserve"> HYPERLINK "mailto:scqxzb@163.com" </w:instrText>
      </w:r>
      <w:r>
        <w:rPr>
          <w:color w:val="auto"/>
          <w:highlight w:val="none"/>
        </w:rPr>
        <w:fldChar w:fldCharType="separate"/>
      </w:r>
      <w:r>
        <w:rPr>
          <w:rFonts w:hint="eastAsia" w:cs="宋体" w:asciiTheme="minorEastAsia" w:hAnsiTheme="minorEastAsia" w:eastAsiaTheme="minorEastAsia"/>
          <w:color w:val="auto"/>
          <w:highlight w:val="none"/>
          <w:lang w:val="zh-CN"/>
        </w:rPr>
        <w:t>scqxzb@163.com</w:t>
      </w:r>
      <w:r>
        <w:rPr>
          <w:rFonts w:hint="eastAsia" w:cs="宋体" w:asciiTheme="minorEastAsia" w:hAnsiTheme="minorEastAsia" w:eastAsiaTheme="minorEastAsia"/>
          <w:color w:val="auto"/>
          <w:highlight w:val="none"/>
          <w:lang w:val="zh-CN"/>
        </w:rPr>
        <w:fldChar w:fldCharType="end"/>
      </w:r>
    </w:p>
    <w:p>
      <w:pPr>
        <w:pStyle w:val="54"/>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End w:id="14"/>
      <w:bookmarkEnd w:id="15"/>
      <w:bookmarkEnd w:id="16"/>
      <w:bookmarkEnd w:id="17"/>
      <w:bookmarkEnd w:id="18"/>
      <w:bookmarkStart w:id="20" w:name="_Toc2482"/>
      <w:bookmarkStart w:id="21" w:name="_Toc25668"/>
      <w:bookmarkStart w:id="22" w:name="_Toc7416"/>
      <w:bookmarkStart w:id="23" w:name="_Toc30888"/>
      <w:bookmarkStart w:id="24" w:name="_Toc383"/>
      <w:r>
        <w:rPr>
          <w:rFonts w:hint="eastAsia" w:cs="宋体" w:asciiTheme="minorEastAsia" w:hAnsiTheme="minorEastAsia" w:eastAsiaTheme="minorEastAsia"/>
          <w:color w:val="auto"/>
          <w:highlight w:val="none"/>
        </w:rPr>
        <w:t>投标人须知</w:t>
      </w:r>
      <w:bookmarkEnd w:id="20"/>
      <w:bookmarkEnd w:id="21"/>
      <w:bookmarkEnd w:id="22"/>
      <w:bookmarkEnd w:id="23"/>
      <w:bookmarkEnd w:id="24"/>
    </w:p>
    <w:p>
      <w:pPr>
        <w:pStyle w:val="49"/>
        <w:spacing w:before="120" w:after="120"/>
        <w:rPr>
          <w:rFonts w:cs="宋体" w:asciiTheme="minorEastAsia" w:hAnsiTheme="minorEastAsia" w:eastAsiaTheme="minorEastAsia"/>
          <w:color w:val="auto"/>
          <w:highlight w:val="none"/>
        </w:rPr>
      </w:pPr>
      <w:bookmarkStart w:id="25" w:name="_Toc213396946"/>
      <w:bookmarkStart w:id="26" w:name="_Toc6734"/>
      <w:bookmarkStart w:id="27" w:name="_Toc189727030"/>
      <w:bookmarkStart w:id="28" w:name="_Toc213397010"/>
      <w:bookmarkStart w:id="29" w:name="_Toc14035"/>
      <w:bookmarkStart w:id="30" w:name="_Toc28824"/>
      <w:bookmarkStart w:id="31" w:name="_Toc213396760"/>
      <w:bookmarkStart w:id="32" w:name="_Toc31215"/>
      <w:bookmarkStart w:id="33" w:name="_Toc213496268"/>
      <w:bookmarkStart w:id="34" w:name="_Toc327196261"/>
      <w:bookmarkStart w:id="35" w:name="_Toc217446032"/>
      <w:bookmarkStart w:id="36" w:name="_Toc6258"/>
      <w:r>
        <w:rPr>
          <w:rFonts w:hint="eastAsia" w:cs="宋体" w:asciiTheme="minorEastAsia" w:hAnsiTheme="minorEastAsia" w:eastAsiaTheme="minorEastAsia"/>
          <w:color w:val="auto"/>
          <w:highlight w:val="none"/>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6"/>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3670"/>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blHeader/>
          <w:jc w:val="center"/>
        </w:trPr>
        <w:tc>
          <w:tcPr>
            <w:tcW w:w="570" w:type="dxa"/>
            <w:vAlign w:val="center"/>
          </w:tcPr>
          <w:p>
            <w:pPr>
              <w:pStyle w:val="51"/>
              <w:rPr>
                <w:rFonts w:cs="宋体" w:asciiTheme="minorEastAsia" w:hAnsiTheme="minorEastAsia" w:eastAsiaTheme="minorEastAsia"/>
                <w:b/>
                <w:bCs/>
                <w:color w:val="auto"/>
                <w:highlight w:val="none"/>
                <w:lang w:val="zh-CN"/>
              </w:rPr>
            </w:pPr>
            <w:bookmarkStart w:id="37" w:name="_Toc327196262"/>
            <w:r>
              <w:rPr>
                <w:rFonts w:hint="eastAsia" w:cs="宋体" w:asciiTheme="minorEastAsia" w:hAnsiTheme="minorEastAsia" w:eastAsiaTheme="minorEastAsia"/>
                <w:b/>
                <w:bCs/>
                <w:color w:val="auto"/>
                <w:highlight w:val="none"/>
                <w:lang w:val="zh-CN"/>
              </w:rPr>
              <w:t>序号</w:t>
            </w:r>
          </w:p>
        </w:tc>
        <w:tc>
          <w:tcPr>
            <w:tcW w:w="1936" w:type="dxa"/>
            <w:vAlign w:val="center"/>
          </w:tcPr>
          <w:p>
            <w:pPr>
              <w:pStyle w:val="51"/>
              <w:rPr>
                <w:rFonts w:cs="宋体" w:asciiTheme="minorEastAsia" w:hAnsiTheme="minorEastAsia" w:eastAsiaTheme="minorEastAsia"/>
                <w:b/>
                <w:bCs/>
                <w:color w:val="auto"/>
                <w:highlight w:val="none"/>
                <w:lang w:val="zh-CN"/>
              </w:rPr>
            </w:pPr>
            <w:r>
              <w:rPr>
                <w:rFonts w:hint="eastAsia" w:cs="宋体" w:asciiTheme="minorEastAsia" w:hAnsiTheme="minorEastAsia" w:eastAsiaTheme="minorEastAsia"/>
                <w:b/>
                <w:bCs/>
                <w:color w:val="auto"/>
                <w:highlight w:val="none"/>
              </w:rPr>
              <w:t>条款名称</w:t>
            </w:r>
            <w:r>
              <w:rPr>
                <w:rFonts w:hint="eastAsia" w:cs="宋体" w:asciiTheme="minorEastAsia" w:hAnsiTheme="minorEastAsia" w:eastAsiaTheme="minorEastAsia"/>
                <w:b/>
                <w:bCs/>
                <w:color w:val="auto"/>
                <w:highlight w:val="none"/>
                <w:lang w:val="zh-CN"/>
              </w:rPr>
              <w:t xml:space="preserve"> </w:t>
            </w:r>
          </w:p>
        </w:tc>
        <w:tc>
          <w:tcPr>
            <w:tcW w:w="7244" w:type="dxa"/>
            <w:gridSpan w:val="2"/>
            <w:vAlign w:val="center"/>
          </w:tcPr>
          <w:p>
            <w:pPr>
              <w:pStyle w:val="51"/>
              <w:ind w:left="60" w:leftChars="25" w:right="60" w:rightChars="25"/>
              <w:rPr>
                <w:rFonts w:cs="宋体" w:asciiTheme="minorEastAsia" w:hAnsiTheme="minorEastAsia" w:eastAsiaTheme="minorEastAsia"/>
                <w:b/>
                <w:bCs/>
                <w:color w:val="auto"/>
                <w:highlight w:val="none"/>
                <w:lang w:val="zh-CN"/>
              </w:rPr>
            </w:pPr>
            <w:r>
              <w:rPr>
                <w:rFonts w:hint="eastAsia" w:cs="宋体" w:asciiTheme="minorEastAsia" w:hAnsiTheme="minorEastAsia" w:eastAsiaTheme="minorEastAsia"/>
                <w:b/>
                <w:bCs/>
                <w:color w:val="auto"/>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采购预算、报价要求</w:t>
            </w:r>
          </w:p>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lang w:val="zh-CN"/>
              </w:rPr>
              <w:t>本项目</w:t>
            </w:r>
            <w:r>
              <w:rPr>
                <w:rFonts w:hint="eastAsia" w:cs="宋体" w:asciiTheme="minorEastAsia" w:hAnsiTheme="minorEastAsia" w:eastAsiaTheme="minorEastAsia"/>
                <w:color w:val="auto"/>
                <w:highlight w:val="none"/>
              </w:rPr>
              <w:t>采购</w:t>
            </w:r>
            <w:r>
              <w:rPr>
                <w:rFonts w:hint="eastAsia" w:cs="宋体" w:asciiTheme="minorEastAsia" w:hAnsiTheme="minorEastAsia" w:eastAsiaTheme="minorEastAsia"/>
                <w:color w:val="auto"/>
                <w:highlight w:val="none"/>
                <w:lang w:val="zh-CN"/>
              </w:rPr>
              <w:t>预算为人民币1</w:t>
            </w:r>
            <w:r>
              <w:rPr>
                <w:rFonts w:cs="宋体" w:asciiTheme="minorEastAsia" w:hAnsiTheme="minorEastAsia" w:eastAsiaTheme="minorEastAsia"/>
                <w:color w:val="auto"/>
                <w:highlight w:val="none"/>
                <w:lang w:val="zh-CN"/>
              </w:rPr>
              <w:t>2804000</w:t>
            </w:r>
            <w:r>
              <w:rPr>
                <w:rFonts w:hint="eastAsia"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lang w:val="zh-CN"/>
              </w:rPr>
              <w:t>元，</w:t>
            </w:r>
            <w:r>
              <w:rPr>
                <w:rFonts w:hint="eastAsia" w:cs="宋体" w:asciiTheme="minorEastAsia" w:hAnsiTheme="minorEastAsia" w:eastAsiaTheme="minorEastAsia"/>
                <w:color w:val="auto"/>
                <w:highlight w:val="none"/>
              </w:rPr>
              <w:t>其中第一包为</w:t>
            </w:r>
            <w:r>
              <w:rPr>
                <w:rFonts w:cs="宋体" w:asciiTheme="minorEastAsia" w:hAnsiTheme="minorEastAsia" w:eastAsiaTheme="minorEastAsia"/>
                <w:color w:val="auto"/>
                <w:highlight w:val="none"/>
              </w:rPr>
              <w:t>10880000</w:t>
            </w:r>
            <w:r>
              <w:rPr>
                <w:rFonts w:hint="eastAsia" w:cs="宋体" w:asciiTheme="minorEastAsia" w:hAnsiTheme="minorEastAsia" w:eastAsiaTheme="minorEastAsia"/>
                <w:color w:val="auto"/>
                <w:highlight w:val="none"/>
              </w:rPr>
              <w:t xml:space="preserve"> 元</w:t>
            </w:r>
            <w:r>
              <w:rPr>
                <w:rFonts w:hint="eastAsia" w:cs="宋体" w:asciiTheme="minorEastAsia" w:hAnsiTheme="minorEastAsia" w:eastAsiaTheme="minorEastAsia"/>
                <w:color w:val="auto"/>
                <w:highlight w:val="none"/>
                <w:lang w:val="zh-CN"/>
              </w:rPr>
              <w:t>，</w:t>
            </w:r>
            <w:r>
              <w:rPr>
                <w:rFonts w:hint="eastAsia" w:cs="宋体" w:asciiTheme="minorEastAsia" w:hAnsiTheme="minorEastAsia" w:eastAsiaTheme="minorEastAsia"/>
                <w:color w:val="auto"/>
                <w:highlight w:val="none"/>
              </w:rPr>
              <w:t>第二包为</w:t>
            </w:r>
            <w:r>
              <w:rPr>
                <w:rFonts w:cs="宋体" w:asciiTheme="minorEastAsia" w:hAnsiTheme="minorEastAsia" w:eastAsiaTheme="minorEastAsia"/>
                <w:color w:val="auto"/>
                <w:highlight w:val="none"/>
              </w:rPr>
              <w:t>1924000</w:t>
            </w:r>
            <w:r>
              <w:rPr>
                <w:rFonts w:hint="eastAsia" w:cs="宋体" w:asciiTheme="minorEastAsia" w:hAnsiTheme="minorEastAsia" w:eastAsiaTheme="minorEastAsia"/>
                <w:color w:val="auto"/>
                <w:highlight w:val="none"/>
              </w:rPr>
              <w:t>元。</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本项目</w:t>
            </w:r>
            <w:r>
              <w:rPr>
                <w:rFonts w:hint="eastAsia" w:cs="宋体" w:asciiTheme="minorEastAsia" w:hAnsiTheme="minorEastAsia" w:eastAsiaTheme="minorEastAsia"/>
                <w:color w:val="auto"/>
                <w:highlight w:val="none"/>
              </w:rPr>
              <w:t>投标报价</w:t>
            </w:r>
            <w:r>
              <w:rPr>
                <w:rFonts w:hint="eastAsia" w:cs="宋体" w:asciiTheme="minorEastAsia" w:hAnsiTheme="minorEastAsia" w:eastAsiaTheme="minorEastAsia"/>
                <w:color w:val="auto"/>
                <w:highlight w:val="none"/>
                <w:lang w:val="zh-CN"/>
              </w:rPr>
              <w:t>不</w:t>
            </w:r>
            <w:r>
              <w:rPr>
                <w:rFonts w:hint="eastAsia" w:cs="宋体" w:asciiTheme="minorEastAsia" w:hAnsiTheme="minorEastAsia" w:eastAsiaTheme="minorEastAsia"/>
                <w:color w:val="auto"/>
                <w:highlight w:val="none"/>
              </w:rPr>
              <w:t>得</w:t>
            </w:r>
            <w:r>
              <w:rPr>
                <w:rFonts w:hint="eastAsia" w:cs="宋体" w:asciiTheme="minorEastAsia" w:hAnsiTheme="minorEastAsia" w:eastAsiaTheme="minorEastAsia"/>
                <w:color w:val="auto"/>
                <w:highlight w:val="none"/>
                <w:lang w:val="zh-CN"/>
              </w:rPr>
              <w:t>超过</w:t>
            </w:r>
            <w:r>
              <w:rPr>
                <w:rFonts w:hint="eastAsia" w:cs="宋体" w:asciiTheme="minorEastAsia" w:hAnsiTheme="minorEastAsia" w:eastAsiaTheme="minorEastAsia"/>
                <w:color w:val="auto"/>
                <w:highlight w:val="none"/>
              </w:rPr>
              <w:t>分包采购</w:t>
            </w:r>
            <w:r>
              <w:rPr>
                <w:rFonts w:hint="eastAsia" w:cs="宋体" w:asciiTheme="minorEastAsia" w:hAnsiTheme="minorEastAsia" w:eastAsiaTheme="minorEastAsia"/>
                <w:color w:val="auto"/>
                <w:highlight w:val="none"/>
                <w:lang w:val="zh-CN"/>
              </w:rPr>
              <w:t>预算，</w:t>
            </w:r>
            <w:r>
              <w:rPr>
                <w:rFonts w:hint="eastAsia" w:cs="宋体" w:asciiTheme="minorEastAsia" w:hAnsiTheme="minorEastAsia" w:eastAsiaTheme="minorEastAsia"/>
                <w:color w:val="auto"/>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最高限价</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 xml:space="preserve">1.本项目最高限价为人民币 </w:t>
            </w:r>
            <w:r>
              <w:rPr>
                <w:rFonts w:cs="宋体" w:asciiTheme="minorEastAsia" w:hAnsiTheme="minorEastAsia" w:eastAsiaTheme="minorEastAsia"/>
                <w:color w:val="auto"/>
                <w:highlight w:val="none"/>
              </w:rPr>
              <w:t>12804000</w:t>
            </w:r>
            <w:r>
              <w:rPr>
                <w:rFonts w:hint="eastAsia" w:cs="宋体" w:asciiTheme="minorEastAsia" w:hAnsiTheme="minorEastAsia" w:eastAsiaTheme="minorEastAsia"/>
                <w:color w:val="auto"/>
                <w:highlight w:val="none"/>
              </w:rPr>
              <w:t xml:space="preserve"> 元，其中第一包最高限价为1</w:t>
            </w:r>
            <w:r>
              <w:rPr>
                <w:rFonts w:cs="宋体" w:asciiTheme="minorEastAsia" w:hAnsiTheme="minorEastAsia" w:eastAsiaTheme="minorEastAsia"/>
                <w:color w:val="auto"/>
                <w:highlight w:val="none"/>
              </w:rPr>
              <w:t>0880000</w:t>
            </w:r>
            <w:r>
              <w:rPr>
                <w:rFonts w:hint="eastAsia" w:cs="宋体" w:asciiTheme="minorEastAsia" w:hAnsiTheme="minorEastAsia" w:eastAsiaTheme="minorEastAsia"/>
                <w:color w:val="auto"/>
                <w:highlight w:val="none"/>
              </w:rPr>
              <w:t>元,第二包最高限价为1</w:t>
            </w:r>
            <w:r>
              <w:rPr>
                <w:rFonts w:cs="宋体" w:asciiTheme="minorEastAsia" w:hAnsiTheme="minorEastAsia" w:eastAsiaTheme="minorEastAsia"/>
                <w:color w:val="auto"/>
                <w:highlight w:val="none"/>
              </w:rPr>
              <w:t>9</w:t>
            </w:r>
            <w:bookmarkStart w:id="1243" w:name="_GoBack"/>
            <w:bookmarkEnd w:id="1243"/>
            <w:r>
              <w:rPr>
                <w:rFonts w:cs="宋体" w:asciiTheme="minorEastAsia" w:hAnsiTheme="minorEastAsia" w:eastAsiaTheme="minorEastAsia"/>
                <w:color w:val="auto"/>
                <w:highlight w:val="none"/>
              </w:rPr>
              <w:t>24000</w:t>
            </w:r>
            <w:r>
              <w:rPr>
                <w:rFonts w:hint="eastAsia" w:cs="宋体" w:asciiTheme="minorEastAsia" w:hAnsiTheme="minorEastAsia" w:eastAsiaTheme="minorEastAsia"/>
                <w:color w:val="auto"/>
                <w:highlight w:val="none"/>
              </w:rPr>
              <w:t>元</w:t>
            </w:r>
            <w:r>
              <w:rPr>
                <w:rFonts w:hint="eastAsia" w:cs="宋体" w:asciiTheme="minorEastAsia" w:hAnsiTheme="minorEastAsia" w:eastAsiaTheme="minorEastAsia"/>
                <w:color w:val="auto"/>
                <w:highlight w:val="none"/>
                <w:lang w:val="zh-CN"/>
              </w:rPr>
              <w:t>；</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本项目</w:t>
            </w:r>
            <w:r>
              <w:rPr>
                <w:rFonts w:hint="eastAsia" w:cs="宋体" w:asciiTheme="minorEastAsia" w:hAnsiTheme="minorEastAsia" w:eastAsiaTheme="minorEastAsia"/>
                <w:color w:val="auto"/>
                <w:highlight w:val="none"/>
              </w:rPr>
              <w:t>投标报价</w:t>
            </w:r>
            <w:r>
              <w:rPr>
                <w:rFonts w:hint="eastAsia" w:cs="宋体" w:asciiTheme="minorEastAsia" w:hAnsiTheme="minorEastAsia" w:eastAsiaTheme="minorEastAsia"/>
                <w:color w:val="auto"/>
                <w:highlight w:val="none"/>
                <w:lang w:val="zh-CN"/>
              </w:rPr>
              <w:t>不</w:t>
            </w:r>
            <w:r>
              <w:rPr>
                <w:rFonts w:hint="eastAsia" w:cs="宋体" w:asciiTheme="minorEastAsia" w:hAnsiTheme="minorEastAsia" w:eastAsiaTheme="minorEastAsia"/>
                <w:color w:val="auto"/>
                <w:highlight w:val="none"/>
              </w:rPr>
              <w:t>得</w:t>
            </w:r>
            <w:r>
              <w:rPr>
                <w:rFonts w:hint="eastAsia" w:cs="宋体" w:asciiTheme="minorEastAsia" w:hAnsiTheme="minorEastAsia" w:eastAsiaTheme="minorEastAsia"/>
                <w:color w:val="auto"/>
                <w:highlight w:val="none"/>
                <w:lang w:val="zh-CN"/>
              </w:rPr>
              <w:t>超过</w:t>
            </w:r>
            <w:r>
              <w:rPr>
                <w:rFonts w:hint="eastAsia" w:cs="宋体" w:asciiTheme="minorEastAsia" w:hAnsiTheme="minorEastAsia" w:eastAsiaTheme="minorEastAsia"/>
                <w:color w:val="auto"/>
                <w:highlight w:val="none"/>
              </w:rPr>
              <w:t>最高限价</w:t>
            </w:r>
            <w:r>
              <w:rPr>
                <w:rFonts w:hint="eastAsia" w:cs="宋体" w:asciiTheme="minorEastAsia" w:hAnsiTheme="minorEastAsia" w:eastAsiaTheme="minorEastAsia"/>
                <w:color w:val="auto"/>
                <w:highlight w:val="none"/>
                <w:lang w:val="zh-CN"/>
              </w:rPr>
              <w:t>，</w:t>
            </w:r>
            <w:r>
              <w:rPr>
                <w:rFonts w:hint="eastAsia" w:cs="宋体" w:asciiTheme="minorEastAsia" w:hAnsiTheme="minorEastAsia" w:eastAsiaTheme="minorEastAsia"/>
                <w:color w:val="auto"/>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项目属性</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本项目属于服务类采购项目，不对其中涉及的货物的制造商是否享受中小企业扶持政策作出要求。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ind w:left="24" w:leftChars="10" w:right="24" w:rightChars="1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本项目所属行业</w:t>
            </w:r>
          </w:p>
        </w:tc>
        <w:tc>
          <w:tcPr>
            <w:tcW w:w="7244" w:type="dxa"/>
            <w:gridSpan w:val="2"/>
            <w:vAlign w:val="center"/>
          </w:tcPr>
          <w:p>
            <w:pPr>
              <w:pStyle w:val="47"/>
              <w:ind w:left="60" w:leftChars="25" w:right="60" w:rightChars="25"/>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本项目所属行业为其他未列明行业。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定向采购</w:t>
            </w:r>
          </w:p>
        </w:tc>
        <w:tc>
          <w:tcPr>
            <w:tcW w:w="7244" w:type="dxa"/>
            <w:gridSpan w:val="2"/>
            <w:vAlign w:val="center"/>
          </w:tcPr>
          <w:p>
            <w:pPr>
              <w:pStyle w:val="47"/>
              <w:ind w:left="60" w:leftChars="25" w:right="60" w:rightChars="25"/>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本项目 第一包 通过分包意向协议方式预留采购份额专门</w:t>
            </w:r>
            <w:r>
              <w:rPr>
                <w:rFonts w:hint="eastAsia" w:cs="宋体" w:asciiTheme="minorEastAsia" w:hAnsiTheme="minorEastAsia" w:eastAsiaTheme="minorEastAsia"/>
                <w:color w:val="000000" w:themeColor="text1"/>
                <w:highlight w:val="none"/>
                <w:lang w:val="zh-CN"/>
                <w14:textFill>
                  <w14:solidFill>
                    <w14:schemeClr w14:val="tx1"/>
                  </w14:solidFill>
                </w14:textFill>
              </w:rPr>
              <w:t>面向中小企业</w:t>
            </w:r>
            <w:r>
              <w:rPr>
                <w:rFonts w:hint="eastAsia" w:cs="宋体" w:asciiTheme="minorEastAsia" w:hAnsiTheme="minorEastAsia" w:eastAsiaTheme="minorEastAsia"/>
                <w:color w:val="000000" w:themeColor="text1"/>
                <w:highlight w:val="none"/>
                <w14:textFill>
                  <w14:solidFill>
                    <w14:schemeClr w14:val="tx1"/>
                  </w14:solidFill>
                </w14:textFill>
              </w:rPr>
              <w:t>采购。第二包为非专门</w:t>
            </w:r>
            <w:r>
              <w:rPr>
                <w:rFonts w:hint="eastAsia" w:cs="宋体" w:asciiTheme="minorEastAsia" w:hAnsiTheme="minorEastAsia" w:eastAsiaTheme="minorEastAsia"/>
                <w:color w:val="000000" w:themeColor="text1"/>
                <w:highlight w:val="none"/>
                <w:lang w:val="zh-CN"/>
                <w14:textFill>
                  <w14:solidFill>
                    <w14:schemeClr w14:val="tx1"/>
                  </w14:solidFill>
                </w14:textFill>
              </w:rPr>
              <w:t>面向中小企业</w:t>
            </w:r>
            <w:r>
              <w:rPr>
                <w:rFonts w:hint="eastAsia" w:cs="宋体" w:asciiTheme="minorEastAsia" w:hAnsiTheme="minorEastAsia" w:eastAsiaTheme="minorEastAsia"/>
                <w:color w:val="000000" w:themeColor="text1"/>
                <w:highlight w:val="none"/>
                <w14:textFill>
                  <w14:solidFill>
                    <w14:schemeClr w14:val="tx1"/>
                  </w14:solidFill>
                </w14:textFill>
              </w:rPr>
              <w:t>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本国</w:t>
            </w:r>
            <w:r>
              <w:rPr>
                <w:rFonts w:hint="eastAsia" w:cs="宋体" w:asciiTheme="minorEastAsia" w:hAnsiTheme="minorEastAsia" w:eastAsiaTheme="minorEastAsia"/>
                <w:color w:val="auto"/>
                <w:highlight w:val="none"/>
              </w:rPr>
              <w:t>服务</w:t>
            </w:r>
          </w:p>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(实质性要求)</w:t>
            </w:r>
          </w:p>
        </w:tc>
        <w:tc>
          <w:tcPr>
            <w:tcW w:w="7244" w:type="dxa"/>
            <w:gridSpan w:val="2"/>
            <w:vAlign w:val="center"/>
          </w:tcPr>
          <w:p>
            <w:pPr>
              <w:pStyle w:val="51"/>
              <w:ind w:left="60" w:leftChars="25" w:right="60" w:rightChars="25"/>
              <w:jc w:val="left"/>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lang w:val="zh-CN"/>
                <w14:textFill>
                  <w14:solidFill>
                    <w14:schemeClr w14:val="tx1"/>
                  </w14:solidFill>
                </w14:textFill>
              </w:rPr>
              <w:t>根据《中华人民共和国政府采购法》第十条的规定，本项目采购本国</w:t>
            </w:r>
            <w:r>
              <w:rPr>
                <w:rFonts w:hint="eastAsia" w:cs="宋体" w:asciiTheme="minorEastAsia" w:hAnsiTheme="minorEastAsia" w:eastAsiaTheme="minorEastAsia"/>
                <w:color w:val="000000" w:themeColor="text1"/>
                <w:highlight w:val="none"/>
                <w14:textFill>
                  <w14:solidFill>
                    <w14:schemeClr w14:val="tx1"/>
                  </w14:solidFill>
                </w14:textFill>
              </w:rPr>
              <w:t>服务</w:t>
            </w:r>
            <w:r>
              <w:rPr>
                <w:rFonts w:hint="eastAsia" w:cs="宋体" w:asciiTheme="minorEastAsia" w:hAnsiTheme="minorEastAsia" w:eastAsiaTheme="minorEastAsia"/>
                <w:color w:val="000000" w:themeColor="text1"/>
                <w:highlight w:val="none"/>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采购方式</w:t>
            </w:r>
          </w:p>
        </w:tc>
        <w:tc>
          <w:tcPr>
            <w:tcW w:w="7244" w:type="dxa"/>
            <w:gridSpan w:val="2"/>
            <w:vAlign w:val="center"/>
          </w:tcPr>
          <w:p>
            <w:pPr>
              <w:pStyle w:val="47"/>
              <w:ind w:left="60" w:leftChars="25" w:right="60" w:rightChars="25"/>
              <w:rPr>
                <w:rFonts w:cs="宋体" w:asciiTheme="minorEastAsia" w:hAnsiTheme="minorEastAsia" w:eastAsiaTheme="minorEastAsia"/>
                <w:color w:val="000000" w:themeColor="text1"/>
                <w:highlight w:val="none"/>
                <w:lang w:val="zh-CN"/>
                <w14:textFill>
                  <w14:solidFill>
                    <w14:schemeClr w14:val="tx1"/>
                  </w14:solidFill>
                </w14:textFill>
              </w:rPr>
            </w:pPr>
            <w:r>
              <w:rPr>
                <w:rFonts w:hint="eastAsia" w:cs="宋体" w:asciiTheme="minorEastAsia" w:hAnsiTheme="minorEastAsia" w:eastAsiaTheme="minorEastAsia"/>
                <w:color w:val="000000" w:themeColor="text1"/>
                <w:highlight w:val="none"/>
                <w:lang w:val="zh-CN"/>
                <w14:textFill>
                  <w14:solidFill>
                    <w14:schemeClr w14:val="tx1"/>
                  </w14:solidFill>
                </w14:textFill>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评标方法</w:t>
            </w:r>
          </w:p>
        </w:tc>
        <w:tc>
          <w:tcPr>
            <w:tcW w:w="7244" w:type="dxa"/>
            <w:gridSpan w:val="2"/>
            <w:vAlign w:val="center"/>
          </w:tcPr>
          <w:p>
            <w:pPr>
              <w:pStyle w:val="47"/>
              <w:ind w:left="60" w:leftChars="25" w:right="60" w:rightChars="25"/>
              <w:rPr>
                <w:rFonts w:cs="宋体" w:asciiTheme="minorEastAsia" w:hAnsiTheme="minorEastAsia" w:eastAsiaTheme="minorEastAsia"/>
                <w:color w:val="000000" w:themeColor="text1"/>
                <w:highlight w:val="none"/>
                <w:lang w:val="zh-CN"/>
                <w14:textFill>
                  <w14:solidFill>
                    <w14:schemeClr w14:val="tx1"/>
                  </w14:solidFill>
                </w14:textFill>
              </w:rPr>
            </w:pPr>
            <w:r>
              <w:rPr>
                <w:rFonts w:hint="eastAsia" w:cs="宋体" w:asciiTheme="minorEastAsia" w:hAnsiTheme="minorEastAsia" w:eastAsiaTheme="minorEastAsia"/>
                <w:color w:val="000000" w:themeColor="text1"/>
                <w:highlight w:val="none"/>
                <w:lang w:val="zh-CN"/>
                <w14:textFill>
                  <w14:solidFill>
                    <w14:schemeClr w14:val="tx1"/>
                  </w14:solidFill>
                </w14:textFill>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ind w:left="24" w:leftChars="10" w:right="24" w:rightChars="1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合同分包</w:t>
            </w:r>
          </w:p>
          <w:p>
            <w:pPr>
              <w:pStyle w:val="51"/>
              <w:ind w:left="24" w:leftChars="10" w:right="24" w:rightChars="1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000000" w:themeColor="text1"/>
                <w:highlight w:val="none"/>
                <w:lang w:val="zh-CN"/>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本项目根据《政府采购促进中小企业发展管理办法》的通知(财库〔2020〕46号)第八条规定，第</w:t>
            </w:r>
            <w:r>
              <w:rPr>
                <w:rFonts w:hint="eastAsia" w:cs="宋体" w:asciiTheme="minorEastAsia" w:hAnsiTheme="minorEastAsia" w:eastAsiaTheme="minorEastAsia"/>
                <w:color w:val="000000" w:themeColor="text1"/>
                <w:highlight w:val="none"/>
                <w:u w:val="single"/>
                <w14:textFill>
                  <w14:solidFill>
                    <w14:schemeClr w14:val="tx1"/>
                  </w14:solidFill>
                </w14:textFill>
              </w:rPr>
              <w:t>一</w:t>
            </w:r>
            <w:r>
              <w:rPr>
                <w:rFonts w:hint="eastAsia" w:cs="宋体" w:asciiTheme="minorEastAsia" w:hAnsiTheme="minorEastAsia" w:eastAsiaTheme="minorEastAsia"/>
                <w:color w:val="000000" w:themeColor="text1"/>
                <w:highlight w:val="none"/>
                <w14:textFill>
                  <w14:solidFill>
                    <w14:schemeClr w14:val="tx1"/>
                  </w14:solidFill>
                </w14:textFill>
              </w:rPr>
              <w:t>包供应商应以合同分包形式进行投标。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联合体投标</w:t>
            </w:r>
          </w:p>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本</w:t>
            </w:r>
            <w:r>
              <w:rPr>
                <w:rFonts w:hint="eastAsia" w:cs="宋体" w:asciiTheme="minorEastAsia" w:hAnsiTheme="minorEastAsia" w:eastAsiaTheme="minorEastAsia"/>
                <w:color w:val="000000" w:themeColor="text1"/>
                <w:highlight w:val="none"/>
                <w14:textFill>
                  <w14:solidFill>
                    <w14:schemeClr w14:val="tx1"/>
                  </w14:solidFill>
                </w14:textFill>
              </w:rPr>
              <w:t>项目不接受联合</w:t>
            </w:r>
            <w:r>
              <w:rPr>
                <w:rFonts w:hint="eastAsia" w:cs="宋体" w:asciiTheme="minorEastAsia" w:hAnsiTheme="minorEastAsia" w:eastAsiaTheme="minorEastAsia"/>
                <w:color w:val="auto"/>
                <w:highlight w:val="none"/>
              </w:rPr>
              <w:t>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投标有效期</w:t>
            </w:r>
          </w:p>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备选投标方案和报价</w:t>
            </w:r>
          </w:p>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质量要求、履约验收</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1.质量要求：符合国家相关标准、行业标准、地方标准或者其他标准、规范要求；</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2.履约验收：中标人与采购人应严格按照《财政部关于进一步加强政府采购需求和履约验收管理的指导意见》(财库〔2016〕205号)、参照四川省财政厅《四川省政府采购项目需求论证和履约验收管理办法》</w:t>
            </w:r>
            <w:r>
              <w:rPr>
                <w:rFonts w:cs="宋体" w:asciiTheme="minorEastAsia" w:hAnsiTheme="minorEastAsia" w:eastAsiaTheme="minorEastAsia"/>
                <w:color w:val="auto"/>
                <w:highlight w:val="none"/>
              </w:rPr>
              <w:t>(川财采〔2015〕32号)</w:t>
            </w:r>
            <w:r>
              <w:rPr>
                <w:rFonts w:hint="eastAsia" w:cs="宋体" w:asciiTheme="minorEastAsia" w:hAnsiTheme="minorEastAsia" w:eastAsiaTheme="minorEastAsia"/>
                <w:color w:val="auto"/>
                <w:highlight w:val="none"/>
              </w:rPr>
              <w:t>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现场考察、标前</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答疑会</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投标保证金</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lang w:val="zh-CN"/>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低于成本价不正当竞争预防措施</w:t>
            </w:r>
          </w:p>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参照四川省人民政府令第301号公布实施的《四川省测绘地理信息市场管理办法》第十四条第二款规定“评标委员会发现投标单位报价明显低于其他投标报价，且不能作出合理说明并提供相关证明材料的，可以依法认定其投标无效。报价低于平均报价15%的为明显低于其他投标报价。”</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5.四川省测绘地理信息局关于《四川省测绘地理信息市场管理办法》第十四条执行中有关问题的解答意见中明确:</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做出合理说明并提供相关证明材料是指：投标单位在该项目实施中，采用不同于其他单位的新技术、新工艺、新方法，或者具备其他独特的优势资源，且能够有效降低该项目成本费用的相关证明材料。报价明显低于其他投标报价的投标单位不能提供或者提供的相关证明材料不符合上述要求的，评标(评审)委员会应当依本办法认定其投标无效，以维护公平的市场竞争秩序。”</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报价低于平均报价15%的为明显低于其他投标报价是指：投标单位报价低于有效投标人的平均报价，且低于平均报价的幅度超过15%((平均报价-投标单位报价)/平均报价×100%≥15%)的，视为明显低于其他投标报价。”</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注：投标人投标总价低于平均报价15%，视为明显低于其他投标报价，并按上述1-3点进行评审。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ind w:left="24" w:leftChars="10" w:right="24" w:rightChars="1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小微企业、监狱企业、残疾人福利性单位价格扣除</w:t>
            </w:r>
          </w:p>
          <w:p>
            <w:pPr>
              <w:pStyle w:val="51"/>
              <w:ind w:left="24" w:leftChars="10" w:right="24" w:rightChars="1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政府采购促进中小企业发展政策</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定义：</w:t>
            </w:r>
            <w:r>
              <w:rPr>
                <w:rFonts w:hint="eastAsia" w:cs="宋体" w:asciiTheme="minorEastAsia" w:hAnsiTheme="minorEastAsia" w:eastAsiaTheme="minorEastAsia"/>
                <w:color w:val="auto"/>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适用情形：</w:t>
            </w:r>
            <w:r>
              <w:rPr>
                <w:rFonts w:hint="eastAsia"/>
                <w:color w:val="auto"/>
                <w:highlight w:val="none"/>
              </w:rPr>
              <w:t>(1)在服务采购项目中，服务由中小企业承接，即提供服务的人员为中小企业依照《中华人民共和国劳动合同法》 订立劳动合同的从业人员</w:t>
            </w:r>
            <w:r>
              <w:rPr>
                <w:rFonts w:hint="eastAsia" w:cs="宋体" w:asciiTheme="minorEastAsia" w:hAnsiTheme="minorEastAsia" w:eastAsiaTheme="minorEastAsia"/>
                <w:color w:val="auto"/>
                <w:highlight w:val="none"/>
              </w:rPr>
              <w:t>。</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注：关于中小微型企业划分标准详见附件二。</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执行方式：</w:t>
            </w:r>
          </w:p>
          <w:p>
            <w:pPr>
              <w:pStyle w:val="47"/>
              <w:ind w:left="60" w:leftChars="25" w:right="60" w:rightChars="25"/>
              <w:rPr>
                <w:rFonts w:cs="宋体" w:asciiTheme="minorEastAsia" w:hAnsiTheme="minorEastAsia" w:eastAsiaTheme="minorEastAsia"/>
                <w:color w:val="auto"/>
                <w:spacing w:val="-8"/>
                <w:highlight w:val="none"/>
              </w:rPr>
            </w:pPr>
            <w:r>
              <w:rPr>
                <w:rFonts w:hint="eastAsia" w:cs="宋体" w:asciiTheme="minorEastAsia" w:hAnsiTheme="minorEastAsia" w:eastAsiaTheme="minorEastAsia"/>
                <w:color w:val="auto"/>
                <w:highlight w:val="none"/>
              </w:rPr>
              <w:t>(1)根据关于印发《政府采购促进中小企业发展管理办法》的通知(财库〔2020〕46号)、四川省人民政府关于印发进一步规范政府采购监管和执行若干规定的通知川府发〔2018〕14号的规定，对小型和微型企业的价格给予10%的价格扣除，用扣除后的价格参与评审(适用于</w:t>
            </w:r>
            <w:r>
              <w:rPr>
                <w:rFonts w:hint="eastAsia" w:cs="宋体" w:asciiTheme="minorEastAsia" w:hAnsiTheme="minorEastAsia" w:eastAsiaTheme="minorEastAsia"/>
                <w:color w:val="auto"/>
                <w:spacing w:val="8"/>
                <w:highlight w:val="none"/>
              </w:rPr>
              <w:t>经主管预算单位统筹后未预留份额专门</w:t>
            </w:r>
            <w:r>
              <w:rPr>
                <w:rFonts w:hint="eastAsia" w:cs="宋体" w:asciiTheme="minorEastAsia" w:hAnsiTheme="minorEastAsia" w:eastAsiaTheme="minorEastAsia"/>
                <w:color w:val="auto"/>
                <w:highlight w:val="none"/>
              </w:rPr>
              <w:t>面向中小企业采购的采购项目，以及</w:t>
            </w:r>
            <w:r>
              <w:rPr>
                <w:rFonts w:hint="eastAsia" w:cs="宋体" w:asciiTheme="minorEastAsia" w:hAnsiTheme="minorEastAsia" w:eastAsiaTheme="minorEastAsia"/>
                <w:color w:val="auto"/>
                <w:spacing w:val="-8"/>
                <w:highlight w:val="none"/>
              </w:rPr>
              <w:t>预留份额项目中的非预留部分采购包)。</w:t>
            </w:r>
          </w:p>
          <w:p>
            <w:pPr>
              <w:pStyle w:val="47"/>
              <w:ind w:left="60" w:leftChars="25" w:right="60" w:rightChars="25"/>
              <w:rPr>
                <w:rFonts w:cs="宋体" w:asciiTheme="minorEastAsia" w:hAnsiTheme="minorEastAsia" w:eastAsiaTheme="minorEastAsia"/>
                <w:color w:val="auto"/>
                <w:spacing w:val="-8"/>
                <w:highlight w:val="none"/>
              </w:rPr>
            </w:pPr>
            <w:r>
              <w:rPr>
                <w:rFonts w:hint="eastAsia" w:cs="宋体" w:asciiTheme="minorEastAsia" w:hAnsiTheme="minorEastAsia" w:eastAsiaTheme="minorEastAsia"/>
                <w:color w:val="auto"/>
                <w:spacing w:val="-8"/>
                <w:highlight w:val="none"/>
              </w:rPr>
              <w:t>(2)中小企业参加政府采购活动，应当出具《中小企业声明函》(格式详见招标文件)，否则不得享受相关中小企业扶持政策。</w:t>
            </w:r>
          </w:p>
          <w:p>
            <w:pPr>
              <w:pStyle w:val="47"/>
              <w:ind w:left="60" w:leftChars="25" w:right="60" w:rightChars="25"/>
              <w:rPr>
                <w:rFonts w:cs="宋体" w:asciiTheme="minorEastAsia" w:hAnsiTheme="minorEastAsia" w:eastAsiaTheme="minorEastAsia"/>
                <w:color w:val="auto"/>
                <w:spacing w:val="-8"/>
                <w:highlight w:val="none"/>
              </w:rPr>
            </w:pPr>
            <w:r>
              <w:rPr>
                <w:rFonts w:hint="eastAsia" w:cs="宋体" w:asciiTheme="minorEastAsia" w:hAnsiTheme="minorEastAsia" w:eastAsiaTheme="minorEastAsia"/>
                <w:color w:val="auto"/>
                <w:spacing w:val="-8"/>
                <w:highlight w:val="none"/>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二、监狱企业价格扣除</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2.本项目对监狱企业参与投标的价格给予10%的扣除，用扣除后的价格参与评审。</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3.监狱企业参加政府采购活动时，应当提供由省级以上监狱管理局、戒毒管理局(含新疆生产建设兵团)出具的属于监狱企业的证明文件。</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4.监狱企业属于小型、微型企业的，不重复享受政策。</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三、残疾人福利性单位价格扣除</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2.本项目对残疾人福利性单位参与投标的价格给予10%的扣除，用扣除后的价格参与评审。</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3.残疾人福利性单位参加政府采购活动时，应当提供本通知规定的《残疾人福利性单位声明函》。</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4.供应商提供的《残疾人福利性单位声明函》与事实不符的，依照《政府采购法》第七十七条第一款的规定追究法律责任。</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5.残疾人福利性单位属于小型、微型企业的，不重复享受政策。</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000000" w:themeColor="text1"/>
                <w:highlight w:val="none"/>
                <w14:textFill>
                  <w14:solidFill>
                    <w14:schemeClr w14:val="tx1"/>
                  </w14:solidFill>
                </w14:textFill>
              </w:rPr>
              <w:t>注：本项目第一包预留采购份额专门面向中小企业采购，不再执行价格评审优惠的扶持政策。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建议品牌或者供应商</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(如涉及)</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节能产品、环境标志产品、无线局域网产品以商品包装、快递包装采购政策</w:t>
            </w:r>
          </w:p>
          <w:p>
            <w:pPr>
              <w:pStyle w:val="51"/>
              <w:jc w:val="both"/>
              <w:rPr>
                <w:rFonts w:cs="宋体" w:asciiTheme="minorEastAsia" w:hAnsiTheme="minorEastAsia" w:eastAsiaTheme="minorEastAsia"/>
                <w:color w:val="000000" w:themeColor="text1"/>
                <w:highlight w:val="none"/>
                <w14:textFill>
                  <w14:solidFill>
                    <w14:schemeClr w14:val="tx1"/>
                  </w14:solidFill>
                </w14:textFill>
              </w:rPr>
            </w:pPr>
          </w:p>
        </w:tc>
        <w:tc>
          <w:tcPr>
            <w:tcW w:w="7244" w:type="dxa"/>
            <w:gridSpan w:val="2"/>
            <w:vAlign w:val="center"/>
          </w:tcPr>
          <w:p>
            <w:pPr>
              <w:pStyle w:val="47"/>
              <w:ind w:left="60" w:leftChars="25" w:right="60" w:rightChars="25"/>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本项目不涉及节能产品、环境标志产品、无线局域网产品，商品包装、快递包装等情形，故不在招标文件中体现相关采购政策。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其他强制性规定</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(如涉及时作为实质性要求)</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评</w:t>
            </w:r>
            <w:r>
              <w:rPr>
                <w:rFonts w:hint="eastAsia" w:cs="宋体" w:asciiTheme="minorEastAsia" w:hAnsiTheme="minorEastAsia" w:eastAsiaTheme="minorEastAsia"/>
                <w:color w:val="auto"/>
                <w:highlight w:val="none"/>
              </w:rPr>
              <w:t>审</w:t>
            </w:r>
            <w:r>
              <w:rPr>
                <w:rFonts w:hint="eastAsia" w:cs="宋体" w:asciiTheme="minorEastAsia" w:hAnsiTheme="minorEastAsia" w:eastAsiaTheme="minorEastAsia"/>
                <w:color w:val="auto"/>
                <w:highlight w:val="none"/>
                <w:lang w:val="zh-CN"/>
              </w:rPr>
              <w:t>情况的公告</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1.所有供应商投标文件资格性、符合性审查情况、采用综合评分法时的总得分和分项汇总得分情况、《中小企业声明函》(如涉及)、评审结果等将在“四川政府采购网”采购结果公告附件中予以公告。</w:t>
            </w:r>
          </w:p>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ind w:left="24" w:leftChars="10" w:right="24" w:rightChars="10"/>
              <w:rPr>
                <w:rFonts w:cs="宋体" w:asciiTheme="minorEastAsia" w:hAnsiTheme="minorEastAsia" w:eastAsiaTheme="minorEastAsia"/>
                <w:color w:val="auto"/>
                <w:highlight w:val="none"/>
              </w:rPr>
            </w:pPr>
          </w:p>
        </w:tc>
        <w:tc>
          <w:tcPr>
            <w:tcW w:w="1936" w:type="dxa"/>
            <w:vAlign w:val="center"/>
          </w:tcPr>
          <w:p>
            <w:pPr>
              <w:pStyle w:val="51"/>
              <w:ind w:left="24" w:leftChars="10" w:right="24" w:rightChars="1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中标通知书领取</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采购代理机构在中标供应商确定后2个工作日内，在“四川政府采购网”发布中标公告。</w:t>
            </w:r>
          </w:p>
          <w:p>
            <w:pPr>
              <w:pStyle w:val="47"/>
              <w:ind w:left="60" w:leftChars="25" w:right="60" w:rightChars="25"/>
              <w:rPr>
                <w:rFonts w:cs="宋体" w:asciiTheme="minorEastAsia" w:hAnsiTheme="minorEastAsia" w:eastAsiaTheme="minorEastAsia"/>
                <w:color w:val="auto"/>
                <w:highlight w:val="none"/>
                <w:lang w:val="zh-CN"/>
              </w:rPr>
            </w:pPr>
            <w:r>
              <w:rPr>
                <w:rFonts w:hint="eastAsia"/>
                <w:color w:val="auto"/>
                <w:highlight w:val="none"/>
              </w:rPr>
              <w:t>投标人中标后应当及时领取中标通知书，不能及时领取或拒绝领取中标通知书的，采购代理机构将于中标供应商确定之日起两个工作日内采取邮寄、快递方式将中标通知书送达中标人。</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联系人：</w:t>
            </w:r>
            <w:r>
              <w:rPr>
                <w:rFonts w:hint="eastAsia" w:cs="宋体" w:asciiTheme="minorEastAsia" w:hAnsiTheme="minorEastAsia" w:eastAsiaTheme="minorEastAsia"/>
                <w:color w:val="auto"/>
                <w:highlight w:val="none"/>
              </w:rPr>
              <w:t>朱琴</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联系电话：028-61375575、62600820、62630990转601或602</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地址：</w:t>
            </w:r>
            <w:r>
              <w:rPr>
                <w:rFonts w:hint="eastAsia" w:cs="宋体" w:asciiTheme="minorEastAsia" w:hAnsiTheme="minorEastAsia" w:eastAsiaTheme="minorEastAsia"/>
                <w:color w:val="auto"/>
                <w:highlight w:val="none"/>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570" w:type="dxa"/>
            <w:vMerge w:val="restart"/>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restart"/>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招标</w:t>
            </w:r>
            <w:r>
              <w:rPr>
                <w:rFonts w:hint="eastAsia" w:cs="宋体" w:asciiTheme="minorEastAsia" w:hAnsiTheme="minorEastAsia" w:eastAsiaTheme="minorEastAsia"/>
                <w:color w:val="auto"/>
                <w:highlight w:val="none"/>
                <w:lang w:val="zh-CN"/>
              </w:rPr>
              <w:t>代理</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服务费</w:t>
            </w:r>
          </w:p>
        </w:tc>
        <w:tc>
          <w:tcPr>
            <w:tcW w:w="7244" w:type="dxa"/>
            <w:gridSpan w:val="2"/>
            <w:vAlign w:val="center"/>
          </w:tcPr>
          <w:p>
            <w:pPr>
              <w:pStyle w:val="47"/>
              <w:ind w:left="60" w:leftChars="25" w:right="60" w:rightChars="25"/>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1.收取标准：招标代理服务费以成本加合理利润为原则，以实际中标金额为计费基数，按照下列收费标准计算出收费基准价格后100%收取。</w:t>
            </w:r>
          </w:p>
          <w:p>
            <w:pPr>
              <w:pStyle w:val="47"/>
              <w:ind w:left="60" w:leftChars="25" w:right="60" w:rightChars="25"/>
              <w:rPr>
                <w:rFonts w:cs="宋体" w:asciiTheme="minorEastAsia" w:hAnsiTheme="minorEastAsia" w:eastAsiaTheme="minorEastAsia"/>
                <w:color w:val="auto"/>
                <w:highlight w:val="none"/>
                <w:lang w:val="zh-CN"/>
              </w:rPr>
            </w:pPr>
            <w:r>
              <w:rPr>
                <w:rFonts w:hint="eastAsia" w:cs="宋体"/>
                <w:color w:val="000000" w:themeColor="text1"/>
                <w:szCs w:val="21"/>
                <w:highlight w:val="none"/>
                <w14:textFill>
                  <w14:solidFill>
                    <w14:schemeClr w14:val="tx1"/>
                  </w14:solidFill>
                </w14:textFill>
              </w:rPr>
              <w:t>2.收取方式：</w:t>
            </w:r>
            <w:r>
              <w:rPr>
                <w:rFonts w:hint="eastAsia" w:cs="宋体"/>
                <w:color w:val="000000" w:themeColor="text1"/>
                <w:szCs w:val="21"/>
                <w:highlight w:val="none"/>
                <w:lang w:val="zh-CN"/>
                <w14:textFill>
                  <w14:solidFill>
                    <w14:schemeClr w14:val="tx1"/>
                  </w14:solidFill>
                </w14:textFill>
              </w:rPr>
              <w:t>中标通知发出后二个工作日内由中标人一次性支付</w:t>
            </w:r>
            <w:r>
              <w:rPr>
                <w:rFonts w:hint="eastAsia" w:cs="宋体"/>
                <w:color w:val="000000" w:themeColor="text1"/>
                <w:szCs w:val="21"/>
                <w:highlight w:val="none"/>
                <w14:textFill>
                  <w14:solidFill>
                    <w14:schemeClr w14:val="tx1"/>
                  </w14:solidFill>
                </w14:textFill>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7244" w:type="dxa"/>
            <w:gridSpan w:val="2"/>
            <w:vAlign w:val="center"/>
          </w:tcPr>
          <w:p>
            <w:pPr>
              <w:pStyle w:val="47"/>
              <w:ind w:left="60" w:leftChars="25" w:right="60" w:rightChars="25" w:firstLine="2108" w:firstLineChars="1000"/>
              <w:rPr>
                <w:rFonts w:cs="宋体" w:asciiTheme="minorEastAsia" w:hAnsiTheme="minorEastAsia" w:eastAsiaTheme="minorEastAsia"/>
                <w:color w:val="auto"/>
                <w:highlight w:val="none"/>
              </w:rPr>
            </w:pPr>
            <w:r>
              <w:rPr>
                <w:rFonts w:hint="eastAsia" w:cs="宋体"/>
                <w:b/>
                <w:color w:val="000000" w:themeColor="text1"/>
                <w:szCs w:val="21"/>
                <w:highlight w:val="none"/>
                <w14:textFill>
                  <w14:solidFill>
                    <w14:schemeClr w14:val="tx1"/>
                  </w14:solidFill>
                </w14:textFill>
              </w:rPr>
              <w:t>招标代理服务收费标准(服务类)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3670" w:type="dxa"/>
            <w:vAlign w:val="center"/>
          </w:tcPr>
          <w:p>
            <w:pPr>
              <w:pStyle w:val="24"/>
              <w:widowControl/>
              <w:spacing w:before="50" w:beforeAutospacing="0" w:after="50" w:afterAutospacing="0"/>
              <w:jc w:val="center"/>
              <w:rPr>
                <w:rFonts w:cs="宋体" w:asciiTheme="minorEastAsia" w:hAnsiTheme="minorEastAsia" w:eastAsiaTheme="minorEastAsia"/>
                <w:color w:val="auto"/>
                <w:highlight w:val="none"/>
              </w:rPr>
            </w:pPr>
            <w:r>
              <w:rPr>
                <w:rFonts w:hint="eastAsia" w:cs="宋体"/>
                <w:b/>
                <w:color w:val="000000" w:themeColor="text1"/>
                <w:sz w:val="21"/>
                <w:szCs w:val="21"/>
                <w:highlight w:val="none"/>
                <w14:textFill>
                  <w14:solidFill>
                    <w14:schemeClr w14:val="tx1"/>
                  </w14:solidFill>
                </w14:textFill>
              </w:rPr>
              <w:t>中标/成交金额（万元）</w:t>
            </w:r>
          </w:p>
        </w:tc>
        <w:tc>
          <w:tcPr>
            <w:tcW w:w="3574" w:type="dxa"/>
            <w:vAlign w:val="center"/>
          </w:tcPr>
          <w:p>
            <w:pPr>
              <w:pStyle w:val="47"/>
              <w:ind w:left="60" w:leftChars="25" w:right="60" w:rightChars="25"/>
              <w:jc w:val="center"/>
              <w:rPr>
                <w:rFonts w:cs="宋体" w:asciiTheme="minorEastAsia" w:hAnsiTheme="minorEastAsia" w:eastAsiaTheme="minorEastAsia"/>
                <w:color w:val="auto"/>
                <w:highlight w:val="none"/>
              </w:rPr>
            </w:pPr>
            <w:r>
              <w:rPr>
                <w:rFonts w:hint="eastAsia" w:cs="宋体"/>
                <w:b/>
                <w:color w:val="000000" w:themeColor="text1"/>
                <w:szCs w:val="21"/>
                <w:highlight w:val="none"/>
                <w14:textFill>
                  <w14:solidFill>
                    <w14:schemeClr w14:val="tx1"/>
                  </w14:solidFill>
                </w14:textFill>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3670" w:type="dxa"/>
            <w:vAlign w:val="center"/>
          </w:tcPr>
          <w:p>
            <w:pPr>
              <w:pStyle w:val="24"/>
              <w:widowControl/>
              <w:spacing w:before="50" w:beforeAutospacing="0" w:after="50" w:afterAutospacing="0"/>
              <w:jc w:val="center"/>
              <w:rPr>
                <w:rFonts w:cs="宋体" w:asciiTheme="minorEastAsia" w:hAnsiTheme="minorEastAsia" w:eastAsiaTheme="minorEastAsia"/>
                <w:color w:val="auto"/>
                <w:highlight w:val="none"/>
              </w:rPr>
            </w:pPr>
            <w:r>
              <w:rPr>
                <w:rFonts w:hint="eastAsia" w:cs="宋体"/>
                <w:color w:val="000000" w:themeColor="text1"/>
                <w:sz w:val="21"/>
                <w:szCs w:val="21"/>
                <w:highlight w:val="none"/>
                <w14:textFill>
                  <w14:solidFill>
                    <w14:schemeClr w14:val="tx1"/>
                  </w14:solidFill>
                </w14:textFill>
              </w:rPr>
              <w:t>100以下</w:t>
            </w:r>
          </w:p>
        </w:tc>
        <w:tc>
          <w:tcPr>
            <w:tcW w:w="3574" w:type="dxa"/>
            <w:vAlign w:val="center"/>
          </w:tcPr>
          <w:p>
            <w:pPr>
              <w:pStyle w:val="47"/>
              <w:ind w:left="60" w:leftChars="25" w:right="60" w:rightChars="25"/>
              <w:jc w:val="center"/>
              <w:rPr>
                <w:rFonts w:cs="宋体" w:asciiTheme="minorEastAsia" w:hAnsiTheme="minorEastAsia" w:eastAsiaTheme="minorEastAsia"/>
                <w:color w:val="auto"/>
                <w:highlight w:val="none"/>
              </w:rPr>
            </w:pPr>
            <w:r>
              <w:rPr>
                <w:rFonts w:hint="eastAsia" w:cs="宋体"/>
                <w:color w:val="000000" w:themeColor="text1"/>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3670" w:type="dxa"/>
            <w:vAlign w:val="center"/>
          </w:tcPr>
          <w:p>
            <w:pPr>
              <w:pStyle w:val="24"/>
              <w:widowControl/>
              <w:spacing w:before="50" w:beforeAutospacing="0" w:after="50" w:afterAutospacing="0"/>
              <w:jc w:val="center"/>
              <w:rPr>
                <w:rFonts w:cs="宋体" w:asciiTheme="minorEastAsia" w:hAnsiTheme="minorEastAsia" w:eastAsiaTheme="minorEastAsia"/>
                <w:color w:val="auto"/>
                <w:highlight w:val="none"/>
              </w:rPr>
            </w:pPr>
            <w:r>
              <w:rPr>
                <w:rFonts w:hint="eastAsia" w:cs="宋体"/>
                <w:color w:val="000000" w:themeColor="text1"/>
                <w:sz w:val="21"/>
                <w:szCs w:val="21"/>
                <w:highlight w:val="none"/>
                <w14:textFill>
                  <w14:solidFill>
                    <w14:schemeClr w14:val="tx1"/>
                  </w14:solidFill>
                </w14:textFill>
              </w:rPr>
              <w:t>100-500</w:t>
            </w:r>
          </w:p>
        </w:tc>
        <w:tc>
          <w:tcPr>
            <w:tcW w:w="3574" w:type="dxa"/>
            <w:vAlign w:val="center"/>
          </w:tcPr>
          <w:p>
            <w:pPr>
              <w:pStyle w:val="47"/>
              <w:ind w:left="60" w:leftChars="25" w:right="60" w:rightChars="25"/>
              <w:jc w:val="center"/>
              <w:rPr>
                <w:rFonts w:cs="宋体" w:asciiTheme="minorEastAsia" w:hAnsiTheme="minorEastAsia" w:eastAsiaTheme="minorEastAsia"/>
                <w:color w:val="auto"/>
                <w:highlight w:val="none"/>
              </w:rPr>
            </w:pPr>
            <w:r>
              <w:rPr>
                <w:rFonts w:hint="eastAsia" w:cs="宋体"/>
                <w:color w:val="000000" w:themeColor="text1"/>
                <w:szCs w:val="21"/>
                <w:highlight w:val="none"/>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3670" w:type="dxa"/>
            <w:vAlign w:val="center"/>
          </w:tcPr>
          <w:p>
            <w:pPr>
              <w:pStyle w:val="24"/>
              <w:widowControl/>
              <w:spacing w:before="50" w:beforeAutospacing="0" w:after="50" w:afterAutospacing="0"/>
              <w:jc w:val="center"/>
              <w:rPr>
                <w:rFonts w:cs="宋体" w:asciiTheme="minorEastAsia" w:hAnsiTheme="minorEastAsia" w:eastAsiaTheme="minorEastAsia"/>
                <w:color w:val="auto"/>
                <w:highlight w:val="none"/>
              </w:rPr>
            </w:pPr>
            <w:r>
              <w:rPr>
                <w:rFonts w:hint="eastAsia" w:cs="宋体"/>
                <w:color w:val="000000" w:themeColor="text1"/>
                <w:sz w:val="21"/>
                <w:szCs w:val="21"/>
                <w:highlight w:val="none"/>
                <w14:textFill>
                  <w14:solidFill>
                    <w14:schemeClr w14:val="tx1"/>
                  </w14:solidFill>
                </w14:textFill>
              </w:rPr>
              <w:t>500-1000</w:t>
            </w:r>
          </w:p>
        </w:tc>
        <w:tc>
          <w:tcPr>
            <w:tcW w:w="3574" w:type="dxa"/>
            <w:vAlign w:val="center"/>
          </w:tcPr>
          <w:p>
            <w:pPr>
              <w:pStyle w:val="47"/>
              <w:ind w:left="60" w:leftChars="25" w:right="60" w:rightChars="25"/>
              <w:jc w:val="center"/>
              <w:rPr>
                <w:rFonts w:cs="宋体" w:asciiTheme="minorEastAsia" w:hAnsiTheme="minorEastAsia" w:eastAsiaTheme="minorEastAsia"/>
                <w:color w:val="auto"/>
                <w:highlight w:val="none"/>
              </w:rPr>
            </w:pPr>
            <w:r>
              <w:rPr>
                <w:rFonts w:hint="eastAsia" w:cs="宋体"/>
                <w:color w:val="000000" w:themeColor="text1"/>
                <w:szCs w:val="21"/>
                <w:highlight w:val="none"/>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3670" w:type="dxa"/>
            <w:vAlign w:val="center"/>
          </w:tcPr>
          <w:p>
            <w:pPr>
              <w:pStyle w:val="24"/>
              <w:widowControl/>
              <w:spacing w:before="50" w:beforeAutospacing="0" w:after="50" w:afterAutospacing="0"/>
              <w:jc w:val="center"/>
              <w:rPr>
                <w:rFonts w:cs="宋体" w:asciiTheme="minorEastAsia" w:hAnsiTheme="minorEastAsia" w:eastAsiaTheme="minorEastAsia"/>
                <w:color w:val="auto"/>
                <w:highlight w:val="none"/>
              </w:rPr>
            </w:pPr>
            <w:r>
              <w:rPr>
                <w:rFonts w:hint="eastAsia" w:cs="宋体"/>
                <w:color w:val="000000" w:themeColor="text1"/>
                <w:sz w:val="21"/>
                <w:szCs w:val="21"/>
                <w:highlight w:val="none"/>
                <w14:textFill>
                  <w14:solidFill>
                    <w14:schemeClr w14:val="tx1"/>
                  </w14:solidFill>
                </w14:textFill>
              </w:rPr>
              <w:t>1000-5000</w:t>
            </w:r>
          </w:p>
        </w:tc>
        <w:tc>
          <w:tcPr>
            <w:tcW w:w="3574" w:type="dxa"/>
            <w:vAlign w:val="center"/>
          </w:tcPr>
          <w:p>
            <w:pPr>
              <w:pStyle w:val="47"/>
              <w:ind w:left="60" w:leftChars="25" w:right="60" w:rightChars="25"/>
              <w:jc w:val="center"/>
              <w:rPr>
                <w:rFonts w:cs="宋体" w:asciiTheme="minorEastAsia" w:hAnsiTheme="minorEastAsia" w:eastAsiaTheme="minorEastAsia"/>
                <w:color w:val="auto"/>
                <w:highlight w:val="none"/>
              </w:rPr>
            </w:pPr>
            <w:r>
              <w:rPr>
                <w:rFonts w:hint="eastAsia" w:cs="宋体"/>
                <w:color w:val="000000" w:themeColor="text1"/>
                <w:szCs w:val="21"/>
                <w:highlight w:val="none"/>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3670" w:type="dxa"/>
            <w:vAlign w:val="center"/>
          </w:tcPr>
          <w:p>
            <w:pPr>
              <w:pStyle w:val="24"/>
              <w:widowControl/>
              <w:spacing w:before="50" w:beforeAutospacing="0" w:after="50" w:afterAutospacing="0"/>
              <w:jc w:val="center"/>
              <w:rPr>
                <w:rFonts w:cs="宋体" w:asciiTheme="minorEastAsia" w:hAnsiTheme="minorEastAsia" w:eastAsiaTheme="minorEastAsia"/>
                <w:color w:val="auto"/>
                <w:highlight w:val="none"/>
              </w:rPr>
            </w:pPr>
            <w:r>
              <w:rPr>
                <w:rFonts w:hint="eastAsia" w:cs="宋体"/>
                <w:color w:val="000000" w:themeColor="text1"/>
                <w:sz w:val="21"/>
                <w:szCs w:val="21"/>
                <w:highlight w:val="none"/>
                <w14:textFill>
                  <w14:solidFill>
                    <w14:schemeClr w14:val="tx1"/>
                  </w14:solidFill>
                </w14:textFill>
              </w:rPr>
              <w:t>5000-10000</w:t>
            </w:r>
          </w:p>
        </w:tc>
        <w:tc>
          <w:tcPr>
            <w:tcW w:w="3574" w:type="dxa"/>
            <w:vAlign w:val="center"/>
          </w:tcPr>
          <w:p>
            <w:pPr>
              <w:pStyle w:val="47"/>
              <w:ind w:left="60" w:leftChars="25" w:right="60" w:rightChars="25"/>
              <w:jc w:val="center"/>
              <w:rPr>
                <w:rFonts w:cs="宋体" w:asciiTheme="minorEastAsia" w:hAnsiTheme="minorEastAsia" w:eastAsiaTheme="minorEastAsia"/>
                <w:color w:val="auto"/>
                <w:highlight w:val="none"/>
              </w:rPr>
            </w:pPr>
            <w:r>
              <w:rPr>
                <w:rFonts w:hint="eastAsia" w:cs="宋体"/>
                <w:color w:val="000000" w:themeColor="text1"/>
                <w:szCs w:val="21"/>
                <w:highlight w:val="none"/>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3670" w:type="dxa"/>
            <w:vAlign w:val="center"/>
          </w:tcPr>
          <w:p>
            <w:pPr>
              <w:pStyle w:val="24"/>
              <w:widowControl/>
              <w:spacing w:before="50" w:beforeAutospacing="0" w:after="50" w:afterAutospacing="0"/>
              <w:jc w:val="center"/>
              <w:rPr>
                <w:rFonts w:cs="宋体" w:asciiTheme="minorEastAsia" w:hAnsiTheme="minorEastAsia" w:eastAsiaTheme="minorEastAsia"/>
                <w:color w:val="auto"/>
                <w:highlight w:val="none"/>
              </w:rPr>
            </w:pPr>
            <w:r>
              <w:rPr>
                <w:rFonts w:hint="eastAsia" w:cs="宋体"/>
                <w:color w:val="000000" w:themeColor="text1"/>
                <w:sz w:val="21"/>
                <w:szCs w:val="21"/>
                <w:highlight w:val="none"/>
                <w14:textFill>
                  <w14:solidFill>
                    <w14:schemeClr w14:val="tx1"/>
                  </w14:solidFill>
                </w14:textFill>
              </w:rPr>
              <w:t>10000-100000</w:t>
            </w:r>
          </w:p>
        </w:tc>
        <w:tc>
          <w:tcPr>
            <w:tcW w:w="3574" w:type="dxa"/>
            <w:vAlign w:val="center"/>
          </w:tcPr>
          <w:p>
            <w:pPr>
              <w:pStyle w:val="47"/>
              <w:ind w:left="60" w:leftChars="25" w:right="60" w:rightChars="25"/>
              <w:jc w:val="center"/>
              <w:rPr>
                <w:rFonts w:cs="宋体" w:asciiTheme="minorEastAsia" w:hAnsiTheme="minorEastAsia" w:eastAsiaTheme="minorEastAsia"/>
                <w:color w:val="auto"/>
                <w:highlight w:val="none"/>
              </w:rPr>
            </w:pPr>
            <w:r>
              <w:rPr>
                <w:rFonts w:hint="eastAsia" w:cs="宋体"/>
                <w:color w:val="000000" w:themeColor="text1"/>
                <w:szCs w:val="21"/>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3670" w:type="dxa"/>
            <w:vAlign w:val="center"/>
          </w:tcPr>
          <w:p>
            <w:pPr>
              <w:pStyle w:val="24"/>
              <w:widowControl/>
              <w:spacing w:before="50" w:beforeAutospacing="0" w:after="50" w:afterAutospacing="0"/>
              <w:jc w:val="center"/>
              <w:rPr>
                <w:rFonts w:cs="宋体" w:asciiTheme="minorEastAsia" w:hAnsiTheme="minorEastAsia" w:eastAsiaTheme="minorEastAsia"/>
                <w:color w:val="auto"/>
                <w:highlight w:val="none"/>
              </w:rPr>
            </w:pPr>
            <w:r>
              <w:rPr>
                <w:rFonts w:hint="eastAsia" w:cs="宋体"/>
                <w:color w:val="000000" w:themeColor="text1"/>
                <w:sz w:val="21"/>
                <w:szCs w:val="21"/>
                <w:highlight w:val="none"/>
                <w14:textFill>
                  <w14:solidFill>
                    <w14:schemeClr w14:val="tx1"/>
                  </w14:solidFill>
                </w14:textFill>
              </w:rPr>
              <w:t>1000000以上</w:t>
            </w:r>
          </w:p>
        </w:tc>
        <w:tc>
          <w:tcPr>
            <w:tcW w:w="3574" w:type="dxa"/>
            <w:vAlign w:val="center"/>
          </w:tcPr>
          <w:p>
            <w:pPr>
              <w:pStyle w:val="47"/>
              <w:ind w:left="60" w:leftChars="25" w:right="60" w:rightChars="25"/>
              <w:jc w:val="center"/>
              <w:rPr>
                <w:rFonts w:cs="宋体" w:asciiTheme="minorEastAsia" w:hAnsiTheme="minorEastAsia" w:eastAsiaTheme="minorEastAsia"/>
                <w:color w:val="auto"/>
                <w:highlight w:val="none"/>
              </w:rPr>
            </w:pPr>
            <w:r>
              <w:rPr>
                <w:rFonts w:hint="eastAsia" w:cs="宋体"/>
                <w:color w:val="000000" w:themeColor="text1"/>
                <w:szCs w:val="21"/>
                <w:highlight w:val="none"/>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70" w:type="dxa"/>
            <w:vMerge w:val="continue"/>
            <w:vAlign w:val="center"/>
          </w:tcPr>
          <w:p>
            <w:pPr>
              <w:pStyle w:val="51"/>
              <w:numPr>
                <w:ilvl w:val="0"/>
                <w:numId w:val="9"/>
              </w:numPr>
              <w:rPr>
                <w:rFonts w:cs="宋体" w:asciiTheme="minorEastAsia" w:hAnsiTheme="minorEastAsia" w:eastAsiaTheme="minorEastAsia"/>
                <w:color w:val="auto"/>
                <w:highlight w:val="none"/>
              </w:rPr>
            </w:pPr>
          </w:p>
        </w:tc>
        <w:tc>
          <w:tcPr>
            <w:tcW w:w="1936" w:type="dxa"/>
            <w:vMerge w:val="continue"/>
            <w:vAlign w:val="center"/>
          </w:tcPr>
          <w:p>
            <w:pPr>
              <w:pStyle w:val="51"/>
              <w:rPr>
                <w:rFonts w:cs="宋体" w:asciiTheme="minorEastAsia" w:hAnsiTheme="minorEastAsia" w:eastAsiaTheme="minorEastAsia"/>
                <w:color w:val="auto"/>
                <w:highlight w:val="none"/>
                <w:lang w:val="zh-CN"/>
              </w:rPr>
            </w:pP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color w:val="000000" w:themeColor="text1"/>
                <w:szCs w:val="21"/>
                <w:highlight w:val="none"/>
                <w14:textFill>
                  <w14:solidFill>
                    <w14:schemeClr w14:val="tx1"/>
                  </w14:solidFill>
                </w14:textFill>
              </w:rPr>
              <w:t>注：①按照上述收费标准计算的招标代理服务费为采购全过程包干价。②招标代理服务收费按差额定率累进法计算。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履约保证金</w:t>
            </w:r>
          </w:p>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(实质性要求)</w:t>
            </w:r>
          </w:p>
        </w:tc>
        <w:tc>
          <w:tcPr>
            <w:tcW w:w="7244" w:type="dxa"/>
            <w:gridSpan w:val="2"/>
            <w:vAlign w:val="center"/>
          </w:tcPr>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1.金额：采购合同金额的5%。</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2.履约保证金：由采购人收取。</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3.交款方式：履约保证金可以以支票、汇票、本票或者金融机构出具的保函等非现金形式提交(包括网银转账，电汇等方式)。不接受以现金及个人名义汇款交纳的履约保证金。</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4.交纳要求：转款户名必须与投标单位名称一致，不接受其它方式交纳。</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5.交款时间：中标通知书发放后，政府采购合同签订前。</w:t>
            </w:r>
            <w:r>
              <w:rPr>
                <w:rFonts w:hint="eastAsia" w:cs="宋体" w:asciiTheme="minorEastAsia" w:hAnsiTheme="minorEastAsia" w:eastAsiaTheme="minorEastAsia"/>
                <w:color w:val="auto"/>
                <w:highlight w:val="none"/>
              </w:rPr>
              <w:br w:type="textWrapping"/>
            </w:r>
            <w:r>
              <w:rPr>
                <w:rFonts w:hint="eastAsia" w:cs="宋体" w:asciiTheme="minorEastAsia" w:hAnsiTheme="minorEastAsia" w:eastAsiaTheme="minorEastAsia"/>
                <w:color w:val="auto"/>
                <w:highlight w:val="none"/>
              </w:rPr>
              <w:t>注：①提供保函的的担保机构必须是依法成立的具有相关资质和偿付能力的担保机构。保函是银行等金融机构出具的，保函必须要在中国人民银行征信系统能够进行查询，否则将取消中标资格，采购人将重新确定中标单位，并依法追究法律责任。</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②履约保证金退还方式：验收通过后30个工作日内按原路径退还。</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③履约保证金退还时间：除中标合同规定的不予退还的情形及法律法规规定的其他情形外，中标单位按时如约履行合同后，采购人应在本项目通过验收后30个工作日内退还履约保证金。</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④履约保证金不予退还情形：中标合同规定的不予退还的情形及法律法规规定的其他情形。</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⑤履约保证金不予退还的，将按照有关规定上缴国库。逾期退还履约保证金的，将依法承担法律责任，并赔偿供应商损失。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政府采购供应商信用融资</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3.“政采贷”政策咨询电话：</w:t>
            </w:r>
            <w:r>
              <w:rPr>
                <w:rFonts w:hint="eastAsia" w:cs="宋体" w:asciiTheme="minorEastAsia" w:hAnsiTheme="minorEastAsia" w:eastAsiaTheme="minorEastAsia"/>
                <w:color w:val="auto"/>
                <w:highlight w:val="none"/>
                <w:lang w:val="zh-CN"/>
              </w:rPr>
              <w:t>028-61375575转6</w:t>
            </w:r>
            <w:r>
              <w:rPr>
                <w:rFonts w:hint="eastAsia" w:cs="宋体" w:asciiTheme="minorEastAsia" w:hAnsiTheme="minorEastAsia" w:eastAsiaTheme="minorEastAsia"/>
                <w:color w:val="auto"/>
                <w:highlight w:val="none"/>
              </w:rPr>
              <w:t>08。</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tcPr>
          <w:p>
            <w:pPr>
              <w:pStyle w:val="51"/>
              <w:ind w:left="24" w:leftChars="10" w:right="24" w:rightChars="10"/>
              <w:rPr>
                <w:rFonts w:cs="宋体" w:asciiTheme="minorEastAsia" w:hAnsiTheme="minorEastAsia" w:eastAsiaTheme="minorEastAsia"/>
                <w:color w:val="auto"/>
                <w:highlight w:val="none"/>
              </w:rPr>
            </w:pPr>
          </w:p>
          <w:p>
            <w:pPr>
              <w:pStyle w:val="51"/>
              <w:ind w:left="24" w:leftChars="10" w:right="24" w:rightChars="1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政府采购合同公告</w:t>
            </w:r>
          </w:p>
          <w:p>
            <w:pPr>
              <w:pStyle w:val="51"/>
              <w:ind w:left="24" w:leftChars="10" w:right="24" w:rightChars="1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备案</w:t>
            </w:r>
          </w:p>
        </w:tc>
        <w:tc>
          <w:tcPr>
            <w:tcW w:w="7244" w:type="dxa"/>
            <w:gridSpan w:val="2"/>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合同签订之日起2个工作日内，政府采购合同将在“四川政府采购网”公告(包含联合体协议和分包意向协议，分包意向协议公开仅限于享受了政府采购相关扶持政策的情形)；政府采购合同签订之日起七个工作日内，政府采购合同将向本采购项目同级财政部门</w:t>
            </w:r>
            <w:r>
              <w:rPr>
                <w:rFonts w:hint="eastAsia" w:cs="宋体" w:asciiTheme="minorEastAsia" w:hAnsiTheme="minorEastAsia" w:eastAsiaTheme="minorEastAsia"/>
                <w:color w:val="auto"/>
                <w:highlight w:val="none"/>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供应商询问</w:t>
            </w:r>
          </w:p>
        </w:tc>
        <w:tc>
          <w:tcPr>
            <w:tcW w:w="7244" w:type="dxa"/>
            <w:gridSpan w:val="2"/>
          </w:tcPr>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1.根据委托代理协议约定，采购人负责对采购文件技术参数部分的询问答复，四川乾新招投标代理有限公司负责采购文件技术参数部分以外的询问答复。</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2.询问内容不得涉及评审秘密、国家机密和商业秘密等保密内容。</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联系人：</w:t>
            </w:r>
            <w:r>
              <w:rPr>
                <w:rFonts w:hint="eastAsia" w:cs="宋体" w:asciiTheme="minorEastAsia" w:hAnsiTheme="minorEastAsia" w:eastAsiaTheme="minorEastAsia"/>
                <w:color w:val="auto"/>
                <w:highlight w:val="none"/>
              </w:rPr>
              <w:t>郭巧樾</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联系电话：</w:t>
            </w:r>
            <w:r>
              <w:rPr>
                <w:rFonts w:hint="eastAsia" w:cs="宋体" w:asciiTheme="minorEastAsia" w:hAnsiTheme="minorEastAsia" w:eastAsiaTheme="minorEastAsia"/>
                <w:color w:val="auto"/>
                <w:highlight w:val="none"/>
              </w:rPr>
              <w:t>028-61375575、62600820、62630990转682</w:t>
            </w:r>
          </w:p>
          <w:p>
            <w:pPr>
              <w:pStyle w:val="47"/>
              <w:ind w:left="60" w:leftChars="25" w:right="60" w:rightChars="25"/>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地址：成都市高新区吉庆三路333号蜀都中心二期一号楼一单元401号</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邮编：610041</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供应商质疑</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cs="宋体" w:asciiTheme="minorEastAsia" w:hAnsiTheme="minorEastAsia" w:eastAsiaTheme="minorEastAsia"/>
                <w:color w:val="auto"/>
                <w:highlight w:val="none"/>
              </w:rPr>
              <w:br w:type="textWrapping"/>
            </w:r>
            <w:r>
              <w:rPr>
                <w:rFonts w:hint="eastAsia" w:cs="宋体" w:asciiTheme="minorEastAsia" w:hAnsiTheme="minorEastAsia" w:eastAsiaTheme="minorEastAsia"/>
                <w:color w:val="auto"/>
                <w:highlight w:val="none"/>
              </w:rPr>
              <w:t>2.供应商提出质疑应当坚持依法依规、诚实信用原则；不得超出采购文件、采购过程、采购结果的范围，不得进行虚假、恶意质疑，不得以质疑为手段获取不当得利、实现非法目的。</w:t>
            </w:r>
            <w:r>
              <w:rPr>
                <w:rFonts w:hint="eastAsia" w:cs="宋体" w:asciiTheme="minorEastAsia" w:hAnsiTheme="minorEastAsia" w:eastAsiaTheme="minorEastAsia"/>
                <w:color w:val="auto"/>
                <w:highlight w:val="none"/>
              </w:rPr>
              <w:br w:type="textWrapping"/>
            </w:r>
            <w:r>
              <w:rPr>
                <w:rFonts w:hint="eastAsia" w:cs="宋体" w:asciiTheme="minorEastAsia" w:hAnsiTheme="minorEastAsia" w:eastAsiaTheme="minorEastAsia"/>
                <w:color w:val="auto"/>
                <w:highlight w:val="none"/>
              </w:rPr>
              <w:t>3.提出质疑函的时限要求：供应商认为采购文件、采购过程、中标使其权益受到损害的，可以在知道或者应知其权益受到损害之日起7个工作日内，以书面形式向采购人、采购代理机构提出质疑。</w:t>
            </w:r>
            <w:r>
              <w:rPr>
                <w:rFonts w:hint="eastAsia" w:cs="宋体" w:asciiTheme="minorEastAsia" w:hAnsiTheme="minorEastAsia" w:eastAsiaTheme="minorEastAsia"/>
                <w:color w:val="auto"/>
                <w:highlight w:val="none"/>
              </w:rPr>
              <w:br w:type="textWrapping"/>
            </w:r>
            <w:r>
              <w:rPr>
                <w:rFonts w:hint="eastAsia" w:cs="宋体" w:asciiTheme="minorEastAsia" w:hAnsiTheme="minorEastAsia" w:eastAsiaTheme="minorEastAsia"/>
                <w:color w:val="auto"/>
                <w:highlight w:val="none"/>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联系人：滕德伟</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联系电话：028-61375575、62600820、62630990转656</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通讯地址：</w:t>
            </w:r>
            <w:r>
              <w:rPr>
                <w:rFonts w:hint="eastAsia" w:cs="宋体" w:asciiTheme="minorEastAsia" w:hAnsiTheme="minorEastAsia" w:eastAsiaTheme="minorEastAsia"/>
                <w:color w:val="auto"/>
                <w:highlight w:val="none"/>
                <w:lang w:val="zh-CN"/>
              </w:rPr>
              <w:t>成都市高新区吉庆三路333号蜀都中心二期一号楼一单元401号</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邮编：610041</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明确的请求是指：供应商对采购文件还是对采购过程还是对中标结果提出质疑；想要达到的结果，如中标无效、废标、重新组织采购、赔偿、追究法律责任等；</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必要的证明材料是指：包含供应商的营业执照、授权委托书(法定代表人质疑时无需提供)、委托代理人身份证明、参加采购项目的证明、权益受到损害的证明材料、证明提出质疑的事实存在的材料等。</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ind w:left="48" w:leftChars="2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000000" w:themeColor="text1"/>
                <w:szCs w:val="21"/>
                <w:highlight w:val="none"/>
                <w14:textFill>
                  <w14:solidFill>
                    <w14:schemeClr w14:val="tx1"/>
                  </w14:solidFill>
                </w14:textFill>
              </w:rPr>
              <w:t>供应商投诉</w:t>
            </w:r>
          </w:p>
        </w:tc>
        <w:tc>
          <w:tcPr>
            <w:tcW w:w="7244" w:type="dxa"/>
            <w:gridSpan w:val="2"/>
          </w:tcPr>
          <w:p>
            <w:pPr>
              <w:pStyle w:val="47"/>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投诉受理单位：成都市财政局</w:t>
            </w:r>
            <w:r>
              <w:rPr>
                <w:rFonts w:hint="eastAsia" w:cs="宋体" w:asciiTheme="minorEastAsia" w:hAnsiTheme="minorEastAsia" w:eastAsiaTheme="minorEastAsia"/>
                <w:color w:val="000000" w:themeColor="text1"/>
                <w:szCs w:val="21"/>
                <w:highlight w:val="none"/>
                <w:lang w:val="zh-CN"/>
                <w14:textFill>
                  <w14:solidFill>
                    <w14:schemeClr w14:val="tx1"/>
                  </w14:solidFill>
                </w14:textFill>
              </w:rPr>
              <w:t>。</w:t>
            </w:r>
          </w:p>
          <w:p>
            <w:pPr>
              <w:pStyle w:val="47"/>
              <w:rPr>
                <w:rFonts w:cs="宋体" w:asciiTheme="minorEastAsia" w:hAnsiTheme="minorEastAsia" w:eastAsiaTheme="minorEastAsia"/>
                <w:color w:val="000000" w:themeColor="text1"/>
                <w:szCs w:val="21"/>
                <w:highlight w:val="none"/>
                <w:lang w:val="zh-CN"/>
                <w14:textFill>
                  <w14:solidFill>
                    <w14:schemeClr w14:val="tx1"/>
                  </w14:solidFill>
                </w14:textFill>
              </w:rPr>
            </w:pPr>
            <w:r>
              <w:rPr>
                <w:rFonts w:hint="eastAsia" w:cs="宋体" w:asciiTheme="minorEastAsia" w:hAnsiTheme="minorEastAsia" w:eastAsiaTheme="minorEastAsia"/>
                <w:color w:val="000000" w:themeColor="text1"/>
                <w:szCs w:val="21"/>
                <w:highlight w:val="none"/>
                <w:lang w:val="zh-CN"/>
                <w14:textFill>
                  <w14:solidFill>
                    <w14:schemeClr w14:val="tx1"/>
                  </w14:solidFill>
                </w14:textFill>
              </w:rPr>
              <w:t>联系电话：028-61882648</w:t>
            </w:r>
          </w:p>
          <w:p>
            <w:pPr>
              <w:pStyle w:val="47"/>
              <w:ind w:left="24" w:leftChars="10" w:right="24" w:rightChars="1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地址：成都市锦城大道366号 </w:t>
            </w:r>
          </w:p>
          <w:p>
            <w:pPr>
              <w:pStyle w:val="47"/>
              <w:ind w:left="24" w:leftChars="10" w:right="24" w:rightChars="1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邮编：610041</w:t>
            </w:r>
          </w:p>
          <w:p>
            <w:pPr>
              <w:pStyle w:val="47"/>
              <w:rPr>
                <w:rFonts w:cs="宋体" w:asciiTheme="minorEastAsia" w:hAnsiTheme="minorEastAsia" w:eastAsiaTheme="minorEastAsia"/>
                <w:color w:val="auto"/>
                <w:highlight w:val="none"/>
              </w:rPr>
            </w:pPr>
            <w:r>
              <w:rPr>
                <w:rFonts w:hint="eastAsia" w:cs="宋体" w:asciiTheme="minorEastAsia" w:hAnsiTheme="minorEastAsia" w:eastAsiaTheme="minorEastAsia"/>
                <w:color w:val="000000" w:themeColor="text1"/>
                <w:szCs w:val="21"/>
                <w:highlight w:val="none"/>
                <w14:textFill>
                  <w14:solidFill>
                    <w14:schemeClr w14:val="tx1"/>
                  </w14:solidFill>
                </w14:textFill>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招标文件咨询</w:t>
            </w:r>
          </w:p>
        </w:tc>
        <w:tc>
          <w:tcPr>
            <w:tcW w:w="7244" w:type="dxa"/>
            <w:gridSpan w:val="2"/>
            <w:vAlign w:val="center"/>
          </w:tcPr>
          <w:p>
            <w:pPr>
              <w:pStyle w:val="51"/>
              <w:ind w:left="60" w:leftChars="25" w:right="60" w:rightChars="25"/>
              <w:jc w:val="left"/>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联系人：</w:t>
            </w:r>
            <w:r>
              <w:rPr>
                <w:rFonts w:hint="eastAsia" w:cs="宋体" w:asciiTheme="minorEastAsia" w:hAnsiTheme="minorEastAsia" w:eastAsiaTheme="minorEastAsia"/>
                <w:color w:val="auto"/>
                <w:highlight w:val="none"/>
              </w:rPr>
              <w:t>郭巧樾</w:t>
            </w:r>
          </w:p>
          <w:p>
            <w:pPr>
              <w:pStyle w:val="51"/>
              <w:ind w:left="60" w:leftChars="25" w:right="60" w:rightChars="25"/>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联系电话：</w:t>
            </w:r>
            <w:r>
              <w:rPr>
                <w:rFonts w:hint="eastAsia" w:cs="宋体" w:asciiTheme="minorEastAsia" w:hAnsiTheme="minorEastAsia" w:eastAsiaTheme="minorEastAsia"/>
                <w:color w:val="auto"/>
                <w:highlight w:val="none"/>
              </w:rPr>
              <w:t>028-61375575、62600820、62630990转682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开评标工作咨询</w:t>
            </w:r>
          </w:p>
        </w:tc>
        <w:tc>
          <w:tcPr>
            <w:tcW w:w="7244" w:type="dxa"/>
            <w:gridSpan w:val="2"/>
            <w:vAlign w:val="center"/>
          </w:tcPr>
          <w:p>
            <w:pPr>
              <w:pStyle w:val="51"/>
              <w:ind w:left="60" w:leftChars="25" w:right="60" w:rightChars="25"/>
              <w:jc w:val="left"/>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联系人：</w:t>
            </w:r>
            <w:r>
              <w:rPr>
                <w:rFonts w:hint="eastAsia" w:cs="宋体" w:asciiTheme="minorEastAsia" w:hAnsiTheme="minorEastAsia" w:eastAsiaTheme="minorEastAsia"/>
                <w:color w:val="auto"/>
                <w:highlight w:val="none"/>
                <w:lang w:val="en-US" w:eastAsia="zh-CN"/>
              </w:rPr>
              <w:t>郭婉莹</w:t>
            </w:r>
          </w:p>
          <w:p>
            <w:pPr>
              <w:pStyle w:val="51"/>
              <w:ind w:left="60" w:leftChars="25" w:right="60" w:rightChars="25"/>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联系电话：</w:t>
            </w:r>
            <w:r>
              <w:rPr>
                <w:rFonts w:hint="eastAsia" w:cs="宋体" w:asciiTheme="minorEastAsia" w:hAnsiTheme="minorEastAsia" w:eastAsiaTheme="minorEastAsia"/>
                <w:color w:val="auto"/>
                <w:highlight w:val="none"/>
              </w:rPr>
              <w:t>028-61375575、62600820、62630990转6xx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服务质量投诉电话</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联系人：滕德伟</w:t>
            </w:r>
          </w:p>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联系电话：028-61375575、62600820、62630990转656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声明承诺提醒</w:t>
            </w:r>
          </w:p>
        </w:tc>
        <w:tc>
          <w:tcPr>
            <w:tcW w:w="7244" w:type="dxa"/>
            <w:gridSpan w:val="2"/>
            <w:vAlign w:val="center"/>
          </w:tcPr>
          <w:p>
            <w:pPr>
              <w:pStyle w:val="51"/>
              <w:ind w:left="60" w:leftChars="25" w:right="60" w:rightChars="25"/>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投标人的投标</w:t>
            </w:r>
            <w:r>
              <w:rPr>
                <w:rFonts w:hint="eastAsia" w:cs="宋体" w:asciiTheme="minorEastAsia" w:hAnsiTheme="minorEastAsia" w:eastAsiaTheme="minorEastAsia"/>
                <w:color w:val="auto"/>
                <w:highlight w:val="none"/>
                <w:lang w:val="zh-CN"/>
              </w:rPr>
              <w:t>文件中提供的各种声明和承诺应当真实有效，无效声明和承诺、虚假声明和承诺将由</w:t>
            </w:r>
            <w:r>
              <w:rPr>
                <w:rFonts w:hint="eastAsia" w:cs="宋体" w:asciiTheme="minorEastAsia" w:hAnsiTheme="minorEastAsia" w:eastAsiaTheme="minorEastAsia"/>
                <w:color w:val="auto"/>
                <w:highlight w:val="none"/>
              </w:rPr>
              <w:t>投标人自行</w:t>
            </w:r>
            <w:r>
              <w:rPr>
                <w:rFonts w:hint="eastAsia" w:cs="宋体" w:asciiTheme="minorEastAsia" w:hAnsiTheme="minorEastAsia" w:eastAsiaTheme="minorEastAsia"/>
                <w:color w:val="auto"/>
                <w:highlight w:val="none"/>
                <w:lang w:val="zh-CN"/>
              </w:rPr>
              <w:t>承担由此带来的</w:t>
            </w:r>
            <w:r>
              <w:rPr>
                <w:rFonts w:hint="eastAsia" w:cs="宋体" w:asciiTheme="minorEastAsia" w:hAnsiTheme="minorEastAsia" w:eastAsiaTheme="minorEastAsia"/>
                <w:color w:val="auto"/>
                <w:highlight w:val="none"/>
              </w:rPr>
              <w:t>一切</w:t>
            </w:r>
            <w:r>
              <w:rPr>
                <w:rFonts w:hint="eastAsia" w:cs="宋体" w:asciiTheme="minorEastAsia" w:hAnsiTheme="minorEastAsia" w:eastAsiaTheme="minorEastAsia"/>
                <w:color w:val="auto"/>
                <w:highlight w:val="none"/>
                <w:lang w:val="zh-CN"/>
              </w:rPr>
              <w:t>不利后果，</w:t>
            </w:r>
            <w:r>
              <w:rPr>
                <w:rFonts w:hint="eastAsia" w:cs="宋体" w:asciiTheme="minorEastAsia" w:hAnsiTheme="minorEastAsia" w:eastAsiaTheme="minorEastAsia"/>
                <w:color w:val="auto"/>
                <w:highlight w:val="none"/>
              </w:rPr>
              <w:t>采购代理机构</w:t>
            </w:r>
            <w:r>
              <w:rPr>
                <w:rFonts w:hint="eastAsia" w:cs="宋体" w:asciiTheme="minorEastAsia" w:hAnsiTheme="minorEastAsia" w:eastAsiaTheme="minorEastAsia"/>
                <w:color w:val="auto"/>
                <w:highlight w:val="none"/>
                <w:lang w:val="zh-CN"/>
              </w:rPr>
              <w:t>还将报告监管部门追究</w:t>
            </w:r>
            <w:r>
              <w:rPr>
                <w:rFonts w:hint="eastAsia" w:cs="宋体" w:asciiTheme="minorEastAsia" w:hAnsiTheme="minorEastAsia" w:eastAsiaTheme="minorEastAsia"/>
                <w:color w:val="auto"/>
                <w:highlight w:val="none"/>
              </w:rPr>
              <w:t>其</w:t>
            </w:r>
            <w:r>
              <w:rPr>
                <w:rFonts w:hint="eastAsia" w:cs="宋体" w:asciiTheme="minorEastAsia" w:hAnsiTheme="minorEastAsia" w:eastAsiaTheme="minorEastAsia"/>
                <w:color w:val="auto"/>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1"/>
              <w:numPr>
                <w:ilvl w:val="0"/>
                <w:numId w:val="9"/>
              </w:numPr>
              <w:rPr>
                <w:rFonts w:cs="宋体" w:asciiTheme="minorEastAsia" w:hAnsiTheme="minorEastAsia" w:eastAsiaTheme="minorEastAsia"/>
                <w:color w:val="auto"/>
                <w:highlight w:val="none"/>
              </w:rPr>
            </w:pPr>
          </w:p>
        </w:tc>
        <w:tc>
          <w:tcPr>
            <w:tcW w:w="1936"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备注</w:t>
            </w:r>
          </w:p>
        </w:tc>
        <w:tc>
          <w:tcPr>
            <w:tcW w:w="7244" w:type="dxa"/>
            <w:gridSpan w:val="2"/>
            <w:vAlign w:val="center"/>
          </w:tcPr>
          <w:p>
            <w:pPr>
              <w:pStyle w:val="47"/>
              <w:ind w:left="60" w:leftChars="25" w:right="60" w:rightChars="25"/>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若招标文件中其他内容与投标人须知前附表内容不一致的，以投标人须知前附表为准。</w:t>
            </w:r>
          </w:p>
        </w:tc>
      </w:tr>
    </w:tbl>
    <w:p>
      <w:pPr>
        <w:pStyle w:val="49"/>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Start w:id="38" w:name="_Toc23295"/>
      <w:bookmarkStart w:id="39" w:name="_Toc3941"/>
      <w:bookmarkStart w:id="40" w:name="_Toc2042"/>
      <w:bookmarkStart w:id="41" w:name="_Toc4011"/>
      <w:bookmarkStart w:id="42" w:name="_Toc26593"/>
      <w:r>
        <w:rPr>
          <w:rFonts w:hint="eastAsia" w:cs="宋体" w:asciiTheme="minorEastAsia" w:hAnsiTheme="minorEastAsia" w:eastAsiaTheme="minorEastAsia"/>
          <w:color w:val="auto"/>
          <w:highlight w:val="none"/>
        </w:rPr>
        <w:t>总 则</w:t>
      </w:r>
      <w:bookmarkEnd w:id="37"/>
      <w:bookmarkEnd w:id="38"/>
      <w:bookmarkEnd w:id="39"/>
      <w:bookmarkEnd w:id="40"/>
      <w:bookmarkEnd w:id="41"/>
      <w:bookmarkEnd w:id="42"/>
    </w:p>
    <w:p>
      <w:pPr>
        <w:pStyle w:val="55"/>
        <w:numPr>
          <w:ilvl w:val="0"/>
          <w:numId w:val="10"/>
        </w:numPr>
        <w:ind w:firstLineChars="0"/>
        <w:rPr>
          <w:rFonts w:cs="宋体" w:asciiTheme="minorEastAsia" w:hAnsiTheme="minorEastAsia" w:eastAsiaTheme="minorEastAsia"/>
          <w:color w:val="auto"/>
          <w:highlight w:val="none"/>
        </w:rPr>
      </w:pPr>
      <w:bookmarkStart w:id="43" w:name="_Toc31870"/>
      <w:bookmarkStart w:id="44" w:name="_Toc319440119"/>
      <w:bookmarkStart w:id="45" w:name="_Toc307564829"/>
      <w:bookmarkStart w:id="46" w:name="_Toc327196263"/>
      <w:bookmarkStart w:id="47" w:name="_Toc28450"/>
      <w:bookmarkStart w:id="48" w:name="_Toc308188129"/>
      <w:bookmarkStart w:id="49" w:name="_Toc10311"/>
      <w:bookmarkStart w:id="50" w:name="_Toc217446034"/>
      <w:bookmarkStart w:id="51" w:name="_Toc12046"/>
      <w:bookmarkStart w:id="52" w:name="_Toc23796"/>
      <w:bookmarkStart w:id="53" w:name="_Toc32483"/>
      <w:bookmarkStart w:id="54" w:name="_Toc5790"/>
      <w:bookmarkStart w:id="55" w:name="_Toc307501086"/>
      <w:bookmarkStart w:id="56" w:name="_Toc32648"/>
      <w:bookmarkStart w:id="57" w:name="_Toc308084574"/>
      <w:bookmarkStart w:id="58" w:name="_Toc29532"/>
      <w:bookmarkStart w:id="59" w:name="_Toc3601"/>
      <w:bookmarkStart w:id="60" w:name="_Toc319439877"/>
      <w:bookmarkStart w:id="61" w:name="_Toc309897492"/>
      <w:bookmarkStart w:id="62" w:name="_Toc8023"/>
      <w:bookmarkStart w:id="63" w:name="_Toc20769"/>
      <w:r>
        <w:rPr>
          <w:rFonts w:hint="eastAsia" w:cs="宋体" w:asciiTheme="minorEastAsia" w:hAnsiTheme="minorEastAsia" w:eastAsiaTheme="minor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1"/>
        <w:numPr>
          <w:ilvl w:val="2"/>
          <w:numId w:val="0"/>
        </w:numPr>
        <w:ind w:left="480" w:left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本招标文件仅适用于本次公开招标采购项目。</w:t>
      </w:r>
    </w:p>
    <w:p>
      <w:pPr>
        <w:pStyle w:val="55"/>
        <w:numPr>
          <w:ilvl w:val="0"/>
          <w:numId w:val="10"/>
        </w:numPr>
        <w:ind w:firstLineChars="0"/>
        <w:rPr>
          <w:rFonts w:cs="宋体" w:asciiTheme="minorEastAsia" w:hAnsiTheme="minorEastAsia" w:eastAsiaTheme="minorEastAsia"/>
          <w:color w:val="auto"/>
          <w:highlight w:val="none"/>
        </w:rPr>
      </w:pPr>
      <w:bookmarkStart w:id="64" w:name="_Toc19670"/>
      <w:bookmarkStart w:id="65" w:name="_Toc2775"/>
      <w:bookmarkStart w:id="66" w:name="_Toc13022"/>
      <w:bookmarkStart w:id="67" w:name="_Toc24751"/>
      <w:bookmarkStart w:id="68" w:name="_Toc308084575"/>
      <w:bookmarkStart w:id="69" w:name="_Toc19069"/>
      <w:bookmarkStart w:id="70" w:name="_Toc307564830"/>
      <w:bookmarkStart w:id="71" w:name="_Toc22672"/>
      <w:bookmarkStart w:id="72" w:name="_Toc524"/>
      <w:bookmarkStart w:id="73" w:name="_Toc308188130"/>
      <w:bookmarkStart w:id="74" w:name="_Toc309897493"/>
      <w:bookmarkStart w:id="75" w:name="_Toc307501087"/>
      <w:bookmarkStart w:id="76" w:name="_Toc7942"/>
      <w:bookmarkStart w:id="77" w:name="_Toc156"/>
      <w:bookmarkStart w:id="78" w:name="_Toc327196264"/>
      <w:bookmarkStart w:id="79" w:name="_Toc16858"/>
      <w:bookmarkStart w:id="80" w:name="_Toc12194"/>
      <w:bookmarkStart w:id="81" w:name="_Toc24985"/>
      <w:bookmarkStart w:id="82" w:name="_Toc319439878"/>
      <w:bookmarkStart w:id="83" w:name="_Toc319440120"/>
      <w:bookmarkStart w:id="84" w:name="_Toc217446035"/>
      <w:r>
        <w:rPr>
          <w:rFonts w:hint="eastAsia" w:cs="宋体" w:asciiTheme="minorEastAsia" w:hAnsiTheme="minorEastAsia" w:eastAsiaTheme="minor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69"/>
        <w:ind w:left="0" w:firstLine="480" w:firstLineChars="200"/>
        <w:rPr>
          <w:color w:val="auto"/>
          <w:highlight w:val="none"/>
        </w:rPr>
      </w:pPr>
      <w:r>
        <w:rPr>
          <w:rFonts w:hint="eastAsia"/>
          <w:color w:val="auto"/>
          <w:highlight w:val="none"/>
        </w:rPr>
        <w:t>“采购人”系指依法进行政府采购的国家机关、事业单位、团体组织。本次招标的采购人是成都市规划和自然资源局。</w:t>
      </w:r>
    </w:p>
    <w:p>
      <w:pPr>
        <w:pStyle w:val="69"/>
        <w:ind w:left="0" w:firstLine="480" w:firstLineChars="200"/>
        <w:rPr>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69"/>
        <w:ind w:left="0" w:firstLine="480" w:firstLineChars="200"/>
        <w:rPr>
          <w:color w:val="auto"/>
          <w:highlight w:val="none"/>
        </w:rPr>
      </w:pPr>
      <w:r>
        <w:rPr>
          <w:rFonts w:hint="eastAsia"/>
          <w:color w:val="auto"/>
          <w:highlight w:val="none"/>
        </w:rPr>
        <w:t>“招标采购单位”系指“采购人”和“采购代理机构”的统称。</w:t>
      </w:r>
    </w:p>
    <w:p>
      <w:pPr>
        <w:pStyle w:val="69"/>
        <w:ind w:left="0" w:firstLine="480" w:firstLineChars="200"/>
        <w:rPr>
          <w:color w:val="auto"/>
          <w:highlight w:val="none"/>
        </w:rPr>
      </w:pPr>
      <w:r>
        <w:rPr>
          <w:rFonts w:hint="eastAsia"/>
          <w:color w:val="auto"/>
          <w:highlight w:val="none"/>
        </w:rPr>
        <w:t>“投标人”系指购买了招标文件拟参加投标和向采购人提供服务的供应商。</w:t>
      </w:r>
    </w:p>
    <w:p>
      <w:pPr>
        <w:pStyle w:val="69"/>
        <w:ind w:left="0" w:firstLine="480" w:firstLineChars="200"/>
        <w:rPr>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69"/>
        <w:ind w:left="0" w:firstLine="480" w:firstLineChars="200"/>
        <w:rPr>
          <w:color w:val="auto"/>
          <w:highlight w:val="none"/>
        </w:rPr>
      </w:pPr>
      <w:r>
        <w:rPr>
          <w:rFonts w:hint="eastAsia"/>
          <w:color w:val="auto"/>
          <w:highlight w:val="none"/>
        </w:rPr>
        <w:t>本招标文件各部分规定的时间均以北京时间为准。</w:t>
      </w:r>
    </w:p>
    <w:p>
      <w:pPr>
        <w:pStyle w:val="55"/>
        <w:numPr>
          <w:ilvl w:val="0"/>
          <w:numId w:val="10"/>
        </w:numPr>
        <w:ind w:firstLineChars="0"/>
        <w:rPr>
          <w:rFonts w:cs="宋体" w:asciiTheme="minorEastAsia" w:hAnsiTheme="minorEastAsia" w:eastAsiaTheme="minorEastAsia"/>
          <w:color w:val="auto"/>
          <w:highlight w:val="none"/>
        </w:rPr>
      </w:pPr>
      <w:bookmarkStart w:id="85" w:name="_Toc30244"/>
      <w:bookmarkStart w:id="86" w:name="_Toc26508"/>
      <w:bookmarkStart w:id="87" w:name="_Toc307501088"/>
      <w:bookmarkStart w:id="88" w:name="_Toc308084576"/>
      <w:bookmarkStart w:id="89" w:name="_Toc309897494"/>
      <w:bookmarkStart w:id="90" w:name="_Toc217446036"/>
      <w:bookmarkStart w:id="91" w:name="_Toc23383"/>
      <w:bookmarkStart w:id="92" w:name="_Toc308188131"/>
      <w:bookmarkStart w:id="93" w:name="_Toc22174"/>
      <w:bookmarkStart w:id="94" w:name="_Toc24547"/>
      <w:bookmarkStart w:id="95" w:name="_Toc319440121"/>
      <w:bookmarkStart w:id="96" w:name="_Toc319439879"/>
      <w:bookmarkStart w:id="97" w:name="_Toc183582207"/>
      <w:bookmarkStart w:id="98" w:name="_Toc217390843"/>
      <w:bookmarkStart w:id="99" w:name="_Toc327196265"/>
      <w:bookmarkStart w:id="100" w:name="_Toc183682344"/>
      <w:bookmarkStart w:id="101" w:name="_Toc29784"/>
      <w:bookmarkStart w:id="102" w:name="_Toc3060"/>
      <w:bookmarkStart w:id="103" w:name="_Toc307564831"/>
      <w:bookmarkStart w:id="104" w:name="_Toc7511"/>
      <w:bookmarkStart w:id="105" w:name="_Toc23400"/>
      <w:bookmarkStart w:id="106" w:name="_Toc31295"/>
      <w:bookmarkStart w:id="107" w:name="_Toc30689"/>
      <w:bookmarkStart w:id="108" w:name="_Toc4501"/>
      <w:r>
        <w:rPr>
          <w:rFonts w:hint="eastAsia" w:cs="宋体" w:asciiTheme="minorEastAsia" w:hAnsiTheme="minorEastAsia" w:eastAsiaTheme="minor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s="宋体" w:asciiTheme="minorEastAsia" w:hAnsiTheme="minorEastAsia" w:eastAsiaTheme="minorEastAsia"/>
          <w:color w:val="auto"/>
          <w:highlight w:val="none"/>
        </w:rPr>
        <w:t>(实质性要求)</w:t>
      </w:r>
      <w:bookmarkEnd w:id="105"/>
      <w:bookmarkEnd w:id="106"/>
      <w:bookmarkEnd w:id="107"/>
      <w:bookmarkEnd w:id="108"/>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合格的投标人应具备以下条件：</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1.本招标文件“投标邀请”第五条规定的条件；</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2.遵守国家有关的法律、法规、规章和其他政策制度；</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3.向采购代理机构依法获取了招标文件并完成登记。</w:t>
      </w:r>
    </w:p>
    <w:p>
      <w:pPr>
        <w:pStyle w:val="55"/>
        <w:numPr>
          <w:ilvl w:val="0"/>
          <w:numId w:val="10"/>
        </w:numPr>
        <w:ind w:firstLineChars="0"/>
        <w:rPr>
          <w:rFonts w:cs="宋体" w:asciiTheme="minorEastAsia" w:hAnsiTheme="minorEastAsia" w:eastAsiaTheme="minorEastAsia"/>
          <w:color w:val="auto"/>
          <w:highlight w:val="none"/>
        </w:rPr>
      </w:pPr>
      <w:bookmarkStart w:id="109" w:name="_Toc12293"/>
      <w:bookmarkStart w:id="110" w:name="_Toc21649"/>
      <w:bookmarkStart w:id="111" w:name="_Toc4414"/>
      <w:bookmarkStart w:id="112" w:name="_Toc307564832"/>
      <w:bookmarkStart w:id="113" w:name="_Toc327196266"/>
      <w:bookmarkStart w:id="114" w:name="_Toc28895"/>
      <w:bookmarkStart w:id="115" w:name="_Toc183582208"/>
      <w:bookmarkStart w:id="116" w:name="_Toc319440122"/>
      <w:bookmarkStart w:id="117" w:name="_Toc14323"/>
      <w:bookmarkStart w:id="118" w:name="_Toc308188132"/>
      <w:bookmarkStart w:id="119" w:name="_Toc5067"/>
      <w:bookmarkStart w:id="120" w:name="_Toc307501089"/>
      <w:bookmarkStart w:id="121" w:name="_Toc183682345"/>
      <w:bookmarkStart w:id="122" w:name="_Toc9761"/>
      <w:bookmarkStart w:id="123" w:name="_Toc309897495"/>
      <w:bookmarkStart w:id="124" w:name="_Toc26952"/>
      <w:bookmarkStart w:id="125" w:name="_Toc319439880"/>
      <w:bookmarkStart w:id="126" w:name="_Toc217446037"/>
      <w:bookmarkStart w:id="127" w:name="_Toc308084577"/>
      <w:bookmarkStart w:id="128" w:name="_Toc20132"/>
      <w:bookmarkStart w:id="129" w:name="_Toc31729"/>
      <w:bookmarkStart w:id="130" w:name="_Toc19013"/>
      <w:bookmarkStart w:id="131" w:name="_Toc7047"/>
      <w:r>
        <w:rPr>
          <w:rFonts w:hint="eastAsia" w:cs="宋体" w:asciiTheme="minorEastAsia" w:hAnsiTheme="minorEastAsia" w:eastAsiaTheme="minor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s="宋体" w:asciiTheme="minorEastAsia" w:hAnsiTheme="minorEastAsia" w:eastAsiaTheme="minorEastAsia"/>
          <w:color w:val="auto"/>
          <w:highlight w:val="none"/>
        </w:rPr>
        <w:t>(实质性要求)</w:t>
      </w:r>
      <w:bookmarkEnd w:id="128"/>
      <w:bookmarkEnd w:id="129"/>
      <w:bookmarkEnd w:id="130"/>
      <w:bookmarkEnd w:id="131"/>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无论投标的结果如何，投标人参加投标的有关费用由投标人自行承担。</w:t>
      </w:r>
    </w:p>
    <w:p>
      <w:pPr>
        <w:pStyle w:val="55"/>
        <w:numPr>
          <w:ilvl w:val="0"/>
          <w:numId w:val="10"/>
        </w:numPr>
        <w:ind w:firstLineChars="0"/>
        <w:rPr>
          <w:rFonts w:cs="宋体" w:asciiTheme="minorEastAsia" w:hAnsiTheme="minorEastAsia" w:eastAsiaTheme="minorEastAsia"/>
          <w:color w:val="auto"/>
          <w:highlight w:val="none"/>
        </w:rPr>
      </w:pPr>
      <w:bookmarkStart w:id="132" w:name="_Toc307564833"/>
      <w:bookmarkStart w:id="133" w:name="_Toc27927"/>
      <w:bookmarkStart w:id="134" w:name="_Toc7710"/>
      <w:bookmarkStart w:id="135" w:name="_Toc327196267"/>
      <w:bookmarkStart w:id="136" w:name="_Toc319440123"/>
      <w:bookmarkStart w:id="137" w:name="_Toc309897496"/>
      <w:bookmarkStart w:id="138" w:name="_Toc308188133"/>
      <w:bookmarkStart w:id="139" w:name="_Toc11996"/>
      <w:bookmarkStart w:id="140" w:name="_Toc308084578"/>
      <w:bookmarkStart w:id="141" w:name="_Toc11131"/>
      <w:bookmarkStart w:id="142" w:name="_Toc319439881"/>
      <w:bookmarkStart w:id="143" w:name="_Toc307501090"/>
      <w:bookmarkStart w:id="144" w:name="_Toc18984"/>
      <w:bookmarkStart w:id="145" w:name="_Toc28490"/>
      <w:bookmarkStart w:id="146" w:name="_Toc27604"/>
      <w:bookmarkStart w:id="147" w:name="_Toc18993"/>
      <w:bookmarkStart w:id="148" w:name="_Toc20145"/>
      <w:bookmarkStart w:id="149" w:name="_Toc5564"/>
      <w:bookmarkStart w:id="150" w:name="_Toc433"/>
      <w:bookmarkStart w:id="151" w:name="_Toc11923"/>
      <w:r>
        <w:rPr>
          <w:rFonts w:hint="eastAsia" w:cs="宋体" w:asciiTheme="minorEastAsia" w:hAnsiTheme="minorEastAsia" w:eastAsiaTheme="minor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s="宋体" w:asciiTheme="minorEastAsia" w:hAnsiTheme="minorEastAsia" w:eastAsiaTheme="minorEastAsia"/>
          <w:color w:val="auto"/>
          <w:highlight w:val="none"/>
        </w:rPr>
        <w:t>(实质性要求)</w:t>
      </w:r>
      <w:bookmarkEnd w:id="148"/>
      <w:bookmarkEnd w:id="149"/>
      <w:bookmarkEnd w:id="150"/>
      <w:bookmarkEnd w:id="151"/>
    </w:p>
    <w:p>
      <w:pPr>
        <w:pStyle w:val="69"/>
        <w:numPr>
          <w:ilvl w:val="3"/>
          <w:numId w:val="0"/>
        </w:numPr>
        <w:ind w:firstLine="480" w:firstLineChars="200"/>
        <w:rPr>
          <w:rFonts w:cs="宋体" w:asciiTheme="minorEastAsia" w:hAnsiTheme="minorEastAsia" w:eastAsiaTheme="minorEastAsia"/>
          <w:color w:val="auto"/>
          <w:highlight w:val="none"/>
        </w:rPr>
      </w:pPr>
      <w:bookmarkStart w:id="152" w:name="_Toc77400779"/>
      <w:bookmarkStart w:id="153" w:name="_Toc183582209"/>
      <w:bookmarkStart w:id="154" w:name="_Toc13891"/>
      <w:bookmarkStart w:id="155" w:name="_Toc89075875"/>
      <w:bookmarkStart w:id="156" w:name="_Toc217446038"/>
      <w:bookmarkStart w:id="157" w:name="_Toc327196268"/>
      <w:bookmarkStart w:id="158" w:name="_Toc183682346"/>
      <w:r>
        <w:rPr>
          <w:rFonts w:hint="eastAsia" w:cs="宋体" w:asciiTheme="minorEastAsia" w:hAnsiTheme="minorEastAsia" w:eastAsiaTheme="minorEastAsia"/>
          <w:color w:val="auto"/>
          <w:highlight w:val="none"/>
        </w:rPr>
        <w:t>1.利害关系供应商处理。</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52"/>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2.前期参与供应商处理。</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2"/>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注：本项目无符合本条规定的供应商。</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3.利害关系代理人处理。</w:t>
      </w:r>
    </w:p>
    <w:p>
      <w:pPr>
        <w:pStyle w:val="70"/>
        <w:numPr>
          <w:ilvl w:val="4"/>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3.1在同一合同项下的采购项目中，若有2家及以上的供应商同时委托同一个自然人、同一家庭的人员、同一单位的人员作为其代理人，其投标文件作为无效处理。</w:t>
      </w:r>
    </w:p>
    <w:p>
      <w:pPr>
        <w:pStyle w:val="70"/>
        <w:numPr>
          <w:ilvl w:val="4"/>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3.2供应商实际控制人或者中高级管理人员，同时是采购代理机构工作人员，不得参与本项目政府采购活动。</w:t>
      </w:r>
    </w:p>
    <w:p>
      <w:pPr>
        <w:pStyle w:val="70"/>
        <w:numPr>
          <w:ilvl w:val="4"/>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3.3同一母公司的两家以上的子公司只能组成联合体参加本项目同一合同项下的采购活动，不得以不同供应商身份同时参加本项目同一合同项下的采购活动。</w:t>
      </w:r>
    </w:p>
    <w:p>
      <w:pPr>
        <w:pStyle w:val="70"/>
        <w:numPr>
          <w:ilvl w:val="4"/>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3.4供应商与采购代理机构存在关联关系，或者是采购代理机构的母公司或子公司，不得参加本项目政府采购活动。</w:t>
      </w:r>
    </w:p>
    <w:p>
      <w:pPr>
        <w:pStyle w:val="49"/>
        <w:spacing w:before="120" w:after="120"/>
        <w:rPr>
          <w:rFonts w:cs="宋体" w:asciiTheme="minorEastAsia" w:hAnsiTheme="minorEastAsia" w:eastAsiaTheme="minorEastAsia"/>
          <w:color w:val="auto"/>
          <w:highlight w:val="none"/>
        </w:rPr>
      </w:pPr>
      <w:bookmarkStart w:id="159" w:name="_Toc27564"/>
      <w:bookmarkStart w:id="160" w:name="_Toc14125"/>
      <w:bookmarkStart w:id="161" w:name="_Toc12561"/>
      <w:bookmarkStart w:id="162" w:name="_Toc26834"/>
      <w:r>
        <w:rPr>
          <w:rFonts w:hint="eastAsia" w:cs="宋体" w:asciiTheme="minorEastAsia" w:hAnsiTheme="minorEastAsia" w:eastAsiaTheme="minor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55"/>
        <w:numPr>
          <w:ilvl w:val="2"/>
          <w:numId w:val="11"/>
        </w:numPr>
        <w:ind w:left="0" w:firstLine="482"/>
        <w:rPr>
          <w:rFonts w:cs="宋体" w:asciiTheme="minorEastAsia" w:hAnsiTheme="minorEastAsia" w:eastAsiaTheme="minorEastAsia"/>
          <w:color w:val="auto"/>
          <w:highlight w:val="none"/>
        </w:rPr>
      </w:pPr>
      <w:bookmarkStart w:id="163" w:name="_Toc319439883"/>
      <w:bookmarkStart w:id="164" w:name="_Toc183582210"/>
      <w:bookmarkStart w:id="165" w:name="_Toc308084580"/>
      <w:bookmarkStart w:id="166" w:name="_Toc8808"/>
      <w:bookmarkStart w:id="167" w:name="_Toc22520"/>
      <w:bookmarkStart w:id="168" w:name="_Toc5983"/>
      <w:bookmarkStart w:id="169" w:name="_Toc5362"/>
      <w:bookmarkStart w:id="170" w:name="_Toc327196269"/>
      <w:bookmarkStart w:id="171" w:name="_Toc309897498"/>
      <w:bookmarkStart w:id="172" w:name="_Toc308188135"/>
      <w:bookmarkStart w:id="173" w:name="_Toc25650"/>
      <w:bookmarkStart w:id="174" w:name="_Toc21985"/>
      <w:bookmarkStart w:id="175" w:name="_Toc183682347"/>
      <w:bookmarkStart w:id="176" w:name="_Toc16404"/>
      <w:bookmarkStart w:id="177" w:name="_Toc29642"/>
      <w:bookmarkStart w:id="178" w:name="_Toc319440125"/>
      <w:bookmarkStart w:id="179" w:name="_Toc29703"/>
      <w:bookmarkStart w:id="180" w:name="_Toc25874"/>
      <w:bookmarkStart w:id="181" w:name="_Toc307564835"/>
      <w:bookmarkStart w:id="182" w:name="_Toc217446039"/>
      <w:bookmarkStart w:id="183" w:name="_Toc307501092"/>
      <w:bookmarkStart w:id="184" w:name="_Toc19030"/>
      <w:bookmarkStart w:id="185" w:name="_Toc24565"/>
      <w:r>
        <w:rPr>
          <w:rFonts w:hint="eastAsia" w:cs="宋体" w:asciiTheme="minorEastAsia" w:hAnsiTheme="minorEastAsia" w:eastAsiaTheme="minor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投标邀请；</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投标人须知(包括投标文件的密封、签署、盖章要求等)；</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投标人应当提交的资格、资信证明文件；</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为落实政府采购政策，采购标的需满足的要求，以及投标人须提供的证明材料；</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投标文件编制要求、投标报价要求；</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采购项目预算金额，设定最高限价的，还应当公开最高限价；</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采购项目的技术规格、数量、服务标准、验收等要求，包括附件、图纸(如涉及)等；</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拟签订的合同文本；</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货物、服务提供的时间、地点、方式；</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采购资金的支付方式、时间、条件；</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评标方法、评标标准和投标无效情形；</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投标有效期；</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投标截止时间、开标时间及地点；</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采购代理机构代理费用的收取标准和方式；</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投标人信用信息查询渠道及截止时点、信用信息查询记录和证据留存的具体方式、信用信息的使用规则等；</w:t>
      </w:r>
    </w:p>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省级以上财政部门规定的其他事项。</w:t>
      </w:r>
    </w:p>
    <w:p>
      <w:pPr>
        <w:pStyle w:val="69"/>
        <w:numPr>
          <w:ilvl w:val="3"/>
          <w:numId w:val="11"/>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5"/>
        <w:numPr>
          <w:ilvl w:val="2"/>
          <w:numId w:val="11"/>
        </w:numPr>
        <w:ind w:left="0" w:firstLine="482"/>
        <w:rPr>
          <w:rFonts w:cs="宋体" w:asciiTheme="minorEastAsia" w:hAnsiTheme="minorEastAsia" w:eastAsiaTheme="minorEastAsia"/>
          <w:color w:val="auto"/>
          <w:highlight w:val="none"/>
        </w:rPr>
      </w:pPr>
      <w:bookmarkStart w:id="186" w:name="_Toc183582211"/>
      <w:bookmarkStart w:id="187" w:name="_Toc183682348"/>
      <w:bookmarkStart w:id="188" w:name="_Toc319440126"/>
      <w:bookmarkStart w:id="189" w:name="_Toc308188136"/>
      <w:bookmarkStart w:id="190" w:name="_Toc7541"/>
      <w:bookmarkStart w:id="191" w:name="_Toc13600"/>
      <w:bookmarkStart w:id="192" w:name="_Toc307501093"/>
      <w:bookmarkStart w:id="193" w:name="_Toc25894"/>
      <w:bookmarkStart w:id="194" w:name="_Toc27690"/>
      <w:bookmarkStart w:id="195" w:name="_Toc31172"/>
      <w:bookmarkStart w:id="196" w:name="_Toc19612"/>
      <w:bookmarkStart w:id="197" w:name="_Toc217446040"/>
      <w:bookmarkStart w:id="198" w:name="_Toc327196270"/>
      <w:bookmarkStart w:id="199" w:name="_Toc308084581"/>
      <w:bookmarkStart w:id="200" w:name="_Toc319439884"/>
      <w:bookmarkStart w:id="201" w:name="_Toc307564836"/>
      <w:bookmarkStart w:id="202" w:name="_Toc17632"/>
      <w:bookmarkStart w:id="203" w:name="_Toc26020"/>
      <w:bookmarkStart w:id="204" w:name="_Toc22085"/>
      <w:bookmarkStart w:id="205" w:name="_Toc3834"/>
      <w:bookmarkStart w:id="206" w:name="_Toc11995"/>
      <w:bookmarkStart w:id="207" w:name="_Toc16291"/>
      <w:bookmarkStart w:id="208" w:name="_Toc309897499"/>
      <w:r>
        <w:rPr>
          <w:rFonts w:hint="eastAsia" w:cs="宋体" w:asciiTheme="minorEastAsia" w:hAnsiTheme="minorEastAsia" w:eastAsiaTheme="minorEastAsia"/>
          <w:color w:val="auto"/>
          <w:highlight w:val="none"/>
        </w:rPr>
        <w:t>招标文件的澄清</w:t>
      </w:r>
      <w:bookmarkEnd w:id="186"/>
      <w:bookmarkEnd w:id="187"/>
      <w:r>
        <w:rPr>
          <w:rFonts w:hint="eastAsia" w:cs="宋体" w:asciiTheme="minorEastAsia" w:hAnsiTheme="minorEastAsia" w:eastAsiaTheme="minor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69"/>
        <w:numPr>
          <w:ilvl w:val="3"/>
          <w:numId w:val="12"/>
        </w:numPr>
        <w:ind w:left="0" w:firstLine="480" w:firstLineChars="200"/>
        <w:rPr>
          <w:rFonts w:cs="宋体" w:asciiTheme="minorEastAsia" w:hAnsiTheme="minorEastAsia" w:eastAsiaTheme="minorEastAsia"/>
          <w:color w:val="auto"/>
          <w:highlight w:val="none"/>
        </w:rPr>
      </w:pPr>
      <w:bookmarkStart w:id="209" w:name="_Toc208848971"/>
      <w:bookmarkStart w:id="210" w:name="_Toc17111"/>
      <w:bookmarkStart w:id="211" w:name="_Toc307501094"/>
      <w:bookmarkStart w:id="212" w:name="_Toc309897500"/>
      <w:bookmarkStart w:id="213" w:name="_Toc327196271"/>
      <w:bookmarkStart w:id="214" w:name="_Toc307564837"/>
      <w:bookmarkStart w:id="215" w:name="_Toc9735"/>
      <w:bookmarkStart w:id="216" w:name="_Toc2637"/>
      <w:bookmarkStart w:id="217" w:name="_Toc7026"/>
      <w:bookmarkStart w:id="218" w:name="_Toc217446041"/>
      <w:bookmarkStart w:id="219" w:name="_Toc3159"/>
      <w:bookmarkStart w:id="220" w:name="_Toc308188137"/>
      <w:bookmarkStart w:id="221" w:name="_Toc308084582"/>
      <w:bookmarkStart w:id="222" w:name="_Toc319440127"/>
      <w:bookmarkStart w:id="223" w:name="_Toc22061"/>
      <w:bookmarkStart w:id="224" w:name="_Toc6811"/>
      <w:bookmarkStart w:id="225" w:name="_Toc24226"/>
      <w:bookmarkStart w:id="226" w:name="_Toc3361"/>
      <w:bookmarkStart w:id="227" w:name="_Toc8838"/>
      <w:bookmarkStart w:id="228" w:name="_Toc319439885"/>
      <w:r>
        <w:rPr>
          <w:rFonts w:hint="eastAsia" w:cs="宋体" w:asciiTheme="minorEastAsia" w:hAnsiTheme="minorEastAsia" w:eastAsiaTheme="minorEastAsia"/>
          <w:color w:val="auto"/>
          <w:highlight w:val="none"/>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69"/>
        <w:numPr>
          <w:ilvl w:val="3"/>
          <w:numId w:val="12"/>
        </w:numPr>
        <w:ind w:left="0"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pStyle w:val="52"/>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采购代理机构将通过报名系统将更正通知发送至所有购买招标文件的供应商，供应商在收到相应更正通知后，将更正公告打印后加盖单位公章扫描并通过报名系统提交至采购代理机构。如供应商未给予书面回复，则视为收到并认可该更正通知的内容。</w:t>
      </w:r>
    </w:p>
    <w:p>
      <w:pPr>
        <w:pStyle w:val="55"/>
        <w:numPr>
          <w:ilvl w:val="2"/>
          <w:numId w:val="11"/>
        </w:numPr>
        <w:ind w:left="0" w:firstLine="482"/>
        <w:rPr>
          <w:rFonts w:cs="宋体" w:asciiTheme="minorEastAsia" w:hAnsiTheme="minorEastAsia" w:eastAsiaTheme="minorEastAsia"/>
          <w:color w:val="auto"/>
          <w:highlight w:val="none"/>
        </w:rPr>
      </w:pPr>
      <w:bookmarkStart w:id="229" w:name="_Toc7131"/>
      <w:bookmarkStart w:id="230" w:name="_Toc31570"/>
      <w:r>
        <w:rPr>
          <w:rFonts w:hint="eastAsia" w:cs="宋体" w:asciiTheme="minorEastAsia" w:hAnsiTheme="minorEastAsia" w:eastAsiaTheme="minor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69"/>
        <w:numPr>
          <w:ilvl w:val="3"/>
          <w:numId w:val="12"/>
        </w:numPr>
        <w:ind w:left="0" w:firstLine="480" w:firstLineChars="200"/>
        <w:rPr>
          <w:rFonts w:cs="宋体" w:asciiTheme="minorEastAsia" w:hAnsiTheme="minorEastAsia" w:eastAsiaTheme="minorEastAsia"/>
          <w:color w:val="auto"/>
          <w:highlight w:val="none"/>
        </w:rPr>
      </w:pPr>
      <w:bookmarkStart w:id="231" w:name="_Toc183582214"/>
      <w:bookmarkStart w:id="232" w:name="_Toc20199"/>
      <w:bookmarkStart w:id="233" w:name="_Toc183682351"/>
      <w:bookmarkStart w:id="234" w:name="_Toc89075876"/>
      <w:bookmarkStart w:id="235" w:name="_Toc217446042"/>
      <w:bookmarkStart w:id="236" w:name="_Toc77400780"/>
      <w:bookmarkStart w:id="237" w:name="_Toc327196272"/>
      <w:r>
        <w:rPr>
          <w:rFonts w:hint="eastAsia" w:cs="宋体" w:asciiTheme="minorEastAsia" w:hAnsiTheme="minorEastAsia" w:eastAsiaTheme="minorEastAsia"/>
          <w:color w:val="auto"/>
          <w:highlight w:val="none"/>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投标人考察现场所发生的一切费用由投标人自行承担。</w:t>
      </w:r>
    </w:p>
    <w:p>
      <w:pPr>
        <w:pStyle w:val="49"/>
        <w:spacing w:before="120" w:after="120"/>
        <w:rPr>
          <w:rFonts w:cs="宋体" w:asciiTheme="minorEastAsia" w:hAnsiTheme="minorEastAsia" w:eastAsiaTheme="minorEastAsia"/>
          <w:color w:val="auto"/>
          <w:highlight w:val="none"/>
        </w:rPr>
      </w:pPr>
      <w:bookmarkStart w:id="238" w:name="_Toc25022"/>
      <w:bookmarkStart w:id="239" w:name="_Toc27479"/>
      <w:bookmarkStart w:id="240" w:name="_Toc16131"/>
      <w:bookmarkStart w:id="241" w:name="_Toc615"/>
      <w:r>
        <w:rPr>
          <w:rFonts w:hint="eastAsia" w:cs="宋体" w:asciiTheme="minorEastAsia" w:hAnsiTheme="minorEastAsia" w:eastAsiaTheme="minor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55"/>
        <w:numPr>
          <w:ilvl w:val="2"/>
          <w:numId w:val="13"/>
        </w:numPr>
        <w:ind w:left="0" w:firstLine="482"/>
        <w:rPr>
          <w:rFonts w:cs="宋体" w:asciiTheme="minorEastAsia" w:hAnsiTheme="minorEastAsia" w:eastAsiaTheme="minorEastAsia"/>
          <w:color w:val="auto"/>
          <w:highlight w:val="none"/>
        </w:rPr>
      </w:pPr>
      <w:bookmarkStart w:id="242" w:name="_Toc183682352"/>
      <w:bookmarkStart w:id="243" w:name="_Toc319440129"/>
      <w:bookmarkStart w:id="244" w:name="_Toc21169"/>
      <w:bookmarkStart w:id="245" w:name="_Toc1641"/>
      <w:bookmarkStart w:id="246" w:name="_Toc3041"/>
      <w:bookmarkStart w:id="247" w:name="_Toc307501096"/>
      <w:bookmarkStart w:id="248" w:name="_Toc308084584"/>
      <w:bookmarkStart w:id="249" w:name="_Toc327196273"/>
      <w:bookmarkStart w:id="250" w:name="_Toc26076"/>
      <w:bookmarkStart w:id="251" w:name="_Toc217446043"/>
      <w:bookmarkStart w:id="252" w:name="_Toc27053"/>
      <w:bookmarkStart w:id="253" w:name="_Toc307564839"/>
      <w:bookmarkStart w:id="254" w:name="_Toc319439887"/>
      <w:bookmarkStart w:id="255" w:name="_Toc308188139"/>
      <w:bookmarkStart w:id="256" w:name="_Toc29330"/>
      <w:bookmarkStart w:id="257" w:name="_Toc309897502"/>
      <w:bookmarkStart w:id="258" w:name="_Toc183582215"/>
      <w:bookmarkStart w:id="259" w:name="_Toc23564"/>
      <w:bookmarkStart w:id="260" w:name="_Toc2601"/>
      <w:bookmarkStart w:id="261" w:name="_Toc11217"/>
      <w:bookmarkStart w:id="262" w:name="_Toc8388"/>
      <w:bookmarkStart w:id="263" w:name="_Toc14178"/>
      <w:bookmarkStart w:id="264" w:name="_Toc29235"/>
      <w:r>
        <w:rPr>
          <w:rFonts w:hint="eastAsia" w:cs="宋体" w:asciiTheme="minorEastAsia" w:hAnsiTheme="minorEastAsia" w:eastAsiaTheme="minor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s="宋体" w:asciiTheme="minorEastAsia" w:hAnsiTheme="minorEastAsia" w:eastAsiaTheme="minorEastAsia"/>
          <w:color w:val="auto"/>
          <w:highlight w:val="none"/>
        </w:rPr>
        <w:t>(实质性要求)</w:t>
      </w:r>
      <w:bookmarkEnd w:id="261"/>
      <w:bookmarkEnd w:id="262"/>
      <w:bookmarkEnd w:id="263"/>
      <w:bookmarkEnd w:id="264"/>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翻译的中文资料与外文资料如果出现差异和矛盾时，以中文为准。但不能故意错误翻译，否则，投标人的投标文件将作为无效投标处理。</w:t>
      </w:r>
    </w:p>
    <w:p>
      <w:pPr>
        <w:pStyle w:val="55"/>
        <w:numPr>
          <w:ilvl w:val="2"/>
          <w:numId w:val="13"/>
        </w:numPr>
        <w:ind w:left="0" w:firstLine="482"/>
        <w:rPr>
          <w:rFonts w:cs="宋体" w:asciiTheme="minorEastAsia" w:hAnsiTheme="minorEastAsia" w:eastAsiaTheme="minorEastAsia"/>
          <w:color w:val="auto"/>
          <w:highlight w:val="none"/>
        </w:rPr>
      </w:pPr>
      <w:bookmarkStart w:id="265" w:name="_Toc327196274"/>
      <w:bookmarkStart w:id="266" w:name="_Toc183582216"/>
      <w:bookmarkStart w:id="267" w:name="_Toc183682353"/>
      <w:bookmarkStart w:id="268" w:name="_Toc15145"/>
      <w:bookmarkStart w:id="269" w:name="_Toc11901"/>
      <w:bookmarkStart w:id="270" w:name="_Toc20091"/>
      <w:bookmarkStart w:id="271" w:name="_Toc319440130"/>
      <w:bookmarkStart w:id="272" w:name="_Toc308188140"/>
      <w:bookmarkStart w:id="273" w:name="_Toc17444"/>
      <w:bookmarkStart w:id="274" w:name="_Toc12195"/>
      <w:bookmarkStart w:id="275" w:name="_Toc20188"/>
      <w:bookmarkStart w:id="276" w:name="_Toc2379"/>
      <w:bookmarkStart w:id="277" w:name="_Toc307501097"/>
      <w:bookmarkStart w:id="278" w:name="_Toc217446044"/>
      <w:bookmarkStart w:id="279" w:name="_Toc309897503"/>
      <w:bookmarkStart w:id="280" w:name="_Toc308084585"/>
      <w:bookmarkStart w:id="281" w:name="_Toc307564840"/>
      <w:bookmarkStart w:id="282" w:name="_Toc319439888"/>
      <w:bookmarkStart w:id="283" w:name="_Toc15226"/>
      <w:bookmarkStart w:id="284" w:name="_Toc18700"/>
      <w:bookmarkStart w:id="285" w:name="_Toc25450"/>
      <w:bookmarkStart w:id="286" w:name="_Toc10594"/>
      <w:bookmarkStart w:id="287" w:name="_Toc12658"/>
      <w:r>
        <w:rPr>
          <w:rFonts w:hint="eastAsia" w:cs="宋体" w:asciiTheme="minorEastAsia" w:hAnsiTheme="minorEastAsia" w:eastAsiaTheme="minor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s="宋体" w:asciiTheme="minorEastAsia" w:hAnsiTheme="minorEastAsia" w:eastAsiaTheme="minorEastAsia"/>
          <w:color w:val="auto"/>
          <w:highlight w:val="none"/>
        </w:rPr>
        <w:t>(实质性要求)</w:t>
      </w:r>
      <w:bookmarkEnd w:id="284"/>
      <w:bookmarkEnd w:id="285"/>
      <w:bookmarkEnd w:id="286"/>
      <w:bookmarkEnd w:id="287"/>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除技术规格及要求中另有规定外，本采购项下的投标均采用国家法定的计量单位。</w:t>
      </w:r>
    </w:p>
    <w:p>
      <w:pPr>
        <w:pStyle w:val="55"/>
        <w:numPr>
          <w:ilvl w:val="2"/>
          <w:numId w:val="13"/>
        </w:numPr>
        <w:ind w:left="0" w:firstLine="482"/>
        <w:rPr>
          <w:rFonts w:cs="宋体" w:asciiTheme="minorEastAsia" w:hAnsiTheme="minorEastAsia" w:eastAsiaTheme="minorEastAsia"/>
          <w:color w:val="auto"/>
          <w:highlight w:val="none"/>
        </w:rPr>
      </w:pPr>
      <w:bookmarkStart w:id="288" w:name="_Toc16798"/>
      <w:bookmarkStart w:id="289" w:name="_Toc698"/>
      <w:bookmarkStart w:id="290" w:name="_Toc15435"/>
      <w:bookmarkStart w:id="291" w:name="_Toc308188141"/>
      <w:bookmarkStart w:id="292" w:name="_Toc309897504"/>
      <w:bookmarkStart w:id="293" w:name="_Toc8881"/>
      <w:bookmarkStart w:id="294" w:name="_Toc25216"/>
      <w:bookmarkStart w:id="295" w:name="_Toc8803"/>
      <w:bookmarkStart w:id="296" w:name="_Toc308084586"/>
      <w:bookmarkStart w:id="297" w:name="_Toc319440131"/>
      <w:bookmarkStart w:id="298" w:name="_Toc22739"/>
      <w:bookmarkStart w:id="299" w:name="_Toc217446045"/>
      <w:bookmarkStart w:id="300" w:name="_Toc327196275"/>
      <w:bookmarkStart w:id="301" w:name="_Toc24761"/>
      <w:bookmarkStart w:id="302" w:name="_Toc307564841"/>
      <w:bookmarkStart w:id="303" w:name="_Toc307501098"/>
      <w:bookmarkStart w:id="304" w:name="_Toc319439889"/>
      <w:bookmarkStart w:id="305" w:name="_Toc20780"/>
      <w:bookmarkStart w:id="306" w:name="_Toc11633"/>
      <w:bookmarkStart w:id="307" w:name="_Toc19960"/>
      <w:bookmarkStart w:id="308" w:name="_Toc3376"/>
      <w:r>
        <w:rPr>
          <w:rFonts w:hint="eastAsia" w:cs="宋体" w:asciiTheme="minorEastAsia" w:hAnsiTheme="minorEastAsia" w:eastAsiaTheme="minor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s="宋体" w:asciiTheme="minorEastAsia" w:hAnsiTheme="minorEastAsia" w:eastAsiaTheme="minorEastAsia"/>
          <w:color w:val="auto"/>
          <w:highlight w:val="none"/>
        </w:rPr>
        <w:t>(实质性要求)</w:t>
      </w:r>
      <w:bookmarkEnd w:id="305"/>
      <w:bookmarkEnd w:id="306"/>
      <w:bookmarkEnd w:id="307"/>
      <w:bookmarkEnd w:id="308"/>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本次招标项目的投标均以人民币报价。</w:t>
      </w:r>
    </w:p>
    <w:p>
      <w:pPr>
        <w:pStyle w:val="55"/>
        <w:numPr>
          <w:ilvl w:val="2"/>
          <w:numId w:val="13"/>
        </w:numPr>
        <w:ind w:left="0" w:firstLine="482"/>
        <w:rPr>
          <w:rFonts w:cs="宋体" w:asciiTheme="minorEastAsia" w:hAnsiTheme="minorEastAsia" w:eastAsiaTheme="minorEastAsia"/>
          <w:color w:val="auto"/>
          <w:highlight w:val="none"/>
        </w:rPr>
      </w:pPr>
      <w:bookmarkStart w:id="309" w:name="_Toc24432"/>
      <w:bookmarkStart w:id="310" w:name="_Toc25923"/>
      <w:bookmarkStart w:id="311" w:name="_Toc307501099"/>
      <w:bookmarkStart w:id="312" w:name="_Toc309897505"/>
      <w:bookmarkStart w:id="313" w:name="_Toc307564842"/>
      <w:bookmarkStart w:id="314" w:name="_Toc308084587"/>
      <w:bookmarkStart w:id="315" w:name="_Toc308188142"/>
      <w:bookmarkStart w:id="316" w:name="_Toc21797"/>
      <w:bookmarkStart w:id="317" w:name="_Toc4336"/>
      <w:bookmarkStart w:id="318" w:name="_Toc327196276"/>
      <w:bookmarkStart w:id="319" w:name="_Toc25266"/>
      <w:bookmarkStart w:id="320" w:name="_Toc16409"/>
      <w:bookmarkStart w:id="321" w:name="_Toc319440132"/>
      <w:bookmarkStart w:id="322" w:name="_Toc8550"/>
      <w:bookmarkStart w:id="323" w:name="_Toc32108"/>
      <w:bookmarkStart w:id="324" w:name="_Toc217446046"/>
      <w:bookmarkStart w:id="325" w:name="_Toc7935"/>
      <w:bookmarkStart w:id="326" w:name="_Toc32667"/>
      <w:bookmarkStart w:id="327" w:name="_Toc15074"/>
      <w:bookmarkStart w:id="328" w:name="_Toc319439890"/>
      <w:bookmarkStart w:id="329" w:name="_Toc21894"/>
      <w:bookmarkStart w:id="330" w:name="_Toc10256"/>
      <w:bookmarkStart w:id="331" w:name="_Toc319439891"/>
      <w:bookmarkStart w:id="332" w:name="_Toc10974"/>
      <w:bookmarkStart w:id="333" w:name="_Toc2050"/>
      <w:bookmarkStart w:id="334" w:name="_Toc13754"/>
      <w:bookmarkStart w:id="335" w:name="_Toc27877"/>
      <w:bookmarkStart w:id="336" w:name="_Toc18912"/>
      <w:bookmarkStart w:id="337" w:name="_Toc7819"/>
      <w:bookmarkStart w:id="338" w:name="_Toc307564843"/>
      <w:bookmarkStart w:id="339" w:name="_Toc309897506"/>
      <w:bookmarkStart w:id="340" w:name="_Toc319440133"/>
      <w:bookmarkStart w:id="341" w:name="_Toc327196277"/>
      <w:bookmarkStart w:id="342" w:name="_Toc308084588"/>
      <w:bookmarkStart w:id="343" w:name="_Toc3781"/>
      <w:bookmarkStart w:id="344" w:name="_Toc217446047"/>
      <w:bookmarkStart w:id="345" w:name="_Toc308188143"/>
      <w:bookmarkStart w:id="346" w:name="_Toc307501100"/>
      <w:bookmarkStart w:id="347" w:name="_Toc30958"/>
      <w:bookmarkStart w:id="348" w:name="_Toc9626"/>
      <w:bookmarkStart w:id="349" w:name="_Toc15468"/>
      <w:r>
        <w:rPr>
          <w:rFonts w:hint="eastAsia" w:cs="宋体" w:asciiTheme="minorEastAsia" w:hAnsiTheme="minorEastAsia" w:eastAsiaTheme="minor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s="宋体" w:asciiTheme="minorEastAsia" w:hAnsiTheme="minorEastAsia" w:eastAsiaTheme="minorEastAsia"/>
          <w:color w:val="auto"/>
          <w:highlight w:val="none"/>
        </w:rPr>
        <w:t>(实质性要求)</w:t>
      </w:r>
      <w:bookmarkEnd w:id="330"/>
    </w:p>
    <w:p>
      <w:pPr>
        <w:pStyle w:val="48"/>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本项目不接受联合体投标。</w:t>
      </w:r>
    </w:p>
    <w:p>
      <w:pPr>
        <w:pStyle w:val="55"/>
        <w:numPr>
          <w:ilvl w:val="2"/>
          <w:numId w:val="13"/>
        </w:numPr>
        <w:ind w:left="0" w:firstLine="482"/>
        <w:rPr>
          <w:rFonts w:cs="宋体" w:asciiTheme="minorEastAsia" w:hAnsiTheme="minorEastAsia" w:eastAsiaTheme="minorEastAsia"/>
          <w:color w:val="auto"/>
          <w:highlight w:val="none"/>
        </w:rPr>
      </w:pPr>
      <w:bookmarkStart w:id="350" w:name="_Toc30421"/>
      <w:bookmarkStart w:id="351" w:name="_Toc7557"/>
      <w:r>
        <w:rPr>
          <w:rFonts w:hint="eastAsia" w:cs="宋体" w:asciiTheme="minorEastAsia" w:hAnsiTheme="minorEastAsia" w:eastAsiaTheme="minor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s="宋体" w:asciiTheme="minorEastAsia" w:hAnsiTheme="minorEastAsia" w:eastAsiaTheme="minorEastAsia"/>
          <w:color w:val="auto"/>
          <w:highlight w:val="none"/>
        </w:rPr>
        <w:t>(实质性要求)</w:t>
      </w:r>
      <w:bookmarkEnd w:id="348"/>
      <w:bookmarkEnd w:id="349"/>
      <w:bookmarkEnd w:id="350"/>
      <w:bookmarkEnd w:id="351"/>
    </w:p>
    <w:p>
      <w:pPr>
        <w:pStyle w:val="69"/>
        <w:numPr>
          <w:ilvl w:val="3"/>
          <w:numId w:val="12"/>
        </w:numPr>
        <w:ind w:left="0" w:firstLine="480" w:firstLineChars="200"/>
        <w:rPr>
          <w:rFonts w:cs="宋体" w:asciiTheme="minorEastAsia" w:hAnsiTheme="minorEastAsia" w:eastAsiaTheme="minorEastAsia"/>
          <w:color w:val="auto"/>
          <w:highlight w:val="none"/>
        </w:rPr>
      </w:pPr>
      <w:bookmarkStart w:id="352" w:name="_Toc309897507"/>
      <w:bookmarkStart w:id="353" w:name="_Toc2706"/>
      <w:bookmarkStart w:id="354" w:name="_Toc6143"/>
      <w:bookmarkStart w:id="355" w:name="_Toc183682354"/>
      <w:bookmarkStart w:id="356" w:name="_Toc7660"/>
      <w:bookmarkStart w:id="357" w:name="_Toc327196278"/>
      <w:bookmarkStart w:id="358" w:name="_Toc16281"/>
      <w:bookmarkStart w:id="359" w:name="_Toc307564844"/>
      <w:bookmarkStart w:id="360" w:name="_Toc319439892"/>
      <w:bookmarkStart w:id="361" w:name="_Toc308084589"/>
      <w:bookmarkStart w:id="362" w:name="_Toc11856"/>
      <w:bookmarkStart w:id="363" w:name="_Toc30708"/>
      <w:bookmarkStart w:id="364" w:name="_Toc5369"/>
      <w:bookmarkStart w:id="365" w:name="_Toc8432"/>
      <w:bookmarkStart w:id="366" w:name="_Toc10817"/>
      <w:bookmarkStart w:id="367" w:name="_Toc1140"/>
      <w:bookmarkStart w:id="368" w:name="_Toc183582217"/>
      <w:bookmarkStart w:id="369" w:name="_Toc319440134"/>
      <w:bookmarkStart w:id="370" w:name="_Toc217446048"/>
      <w:bookmarkStart w:id="371" w:name="_Toc307501101"/>
      <w:bookmarkStart w:id="372" w:name="_Toc308188144"/>
      <w:r>
        <w:rPr>
          <w:rFonts w:hint="eastAsia" w:cs="宋体" w:asciiTheme="minorEastAsia" w:hAnsiTheme="minorEastAsia" w:eastAsiaTheme="minor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采购人享有本项目实施过程中产生的知识成果及知识产权。</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如欲在项目实施过程中采用自有知识成果，需在投标文件中声明，并提供相关知识产权证明文件。使用该知识成果后，投标人需提供相关技术文档，并承诺提供无限期技术支持，采购人享有永久使用权，同时需在投标文件中提供声明，并提供相关知识产权证明文件，否则视为投标人未在本项目实施过程中采用自有知识成果，不影响有效性。</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如采用投标人所不拥有的知识产权，则在投标报价中必须包括合法获取该知识产权的相关费用。 </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如采购项目涉及知识产权时按照此条要求执行，并在评审时作实质性审查。</w:t>
      </w:r>
    </w:p>
    <w:p>
      <w:pPr>
        <w:pStyle w:val="55"/>
        <w:numPr>
          <w:ilvl w:val="2"/>
          <w:numId w:val="13"/>
        </w:numPr>
        <w:ind w:left="0" w:firstLine="482"/>
        <w:rPr>
          <w:rFonts w:cs="宋体" w:asciiTheme="minorEastAsia" w:hAnsiTheme="minorEastAsia" w:eastAsiaTheme="minorEastAsia"/>
          <w:color w:val="auto"/>
          <w:highlight w:val="none"/>
        </w:rPr>
      </w:pPr>
      <w:bookmarkStart w:id="373" w:name="_Toc32472"/>
      <w:bookmarkStart w:id="374" w:name="_Toc28370"/>
      <w:r>
        <w:rPr>
          <w:rFonts w:hint="eastAsia" w:cs="宋体" w:asciiTheme="minorEastAsia" w:hAnsiTheme="minorEastAsia" w:eastAsiaTheme="minor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52"/>
        <w:rPr>
          <w:rFonts w:cs="宋体" w:asciiTheme="minorEastAsia" w:hAnsiTheme="minorEastAsia" w:eastAsiaTheme="minorEastAsia"/>
          <w:color w:val="auto"/>
          <w:highlight w:val="none"/>
        </w:rPr>
      </w:pPr>
      <w:bookmarkStart w:id="375" w:name="_Toc217446049"/>
      <w:bookmarkStart w:id="376" w:name="_Toc307501102"/>
      <w:bookmarkStart w:id="377" w:name="_Toc183682355"/>
      <w:bookmarkStart w:id="378" w:name="_Toc183582218"/>
      <w:r>
        <w:rPr>
          <w:rFonts w:hint="eastAsia" w:cs="宋体" w:asciiTheme="minorEastAsia" w:hAnsiTheme="minorEastAsia" w:eastAsiaTheme="minorEastAsia"/>
          <w:color w:val="auto"/>
          <w:highlight w:val="none"/>
        </w:rPr>
        <w:t>投标人应按照招标文件的规定和要求编制投标文件，否则视为无效投标。投标人拟在中标后将中标项目的非主体、非关键性工作交由他人完成的，应当在投标文件中载明。投标人编写的投标文件应包括以下两部分：</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第一部分：资格、资质性及其他类似效力投标文件(用于资格审查)</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按照招标文件第四、五章要求提供相关资格、资质性及其他类似效力要求的相关证明材料。</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第二部分：其它投标文件(用于资格审查以外的评标)</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按照招标文件要求提供以下相关材料：</w:t>
      </w:r>
    </w:p>
    <w:p>
      <w:pPr>
        <w:pStyle w:val="70"/>
        <w:numPr>
          <w:ilvl w:val="4"/>
          <w:numId w:val="12"/>
        </w:numPr>
        <w:ind w:left="0"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报价部分。</w:t>
      </w:r>
    </w:p>
    <w:p>
      <w:pPr>
        <w:pStyle w:val="42"/>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投标人按照以下要求填写的“开标一览表”。本次招标报价要求：</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投标人的报价是投标人响应招标项目要求的全部工作内容的价格体现，包括完成本项目所涉及的一切费用</w:t>
      </w:r>
      <w:r>
        <w:rPr>
          <w:rFonts w:hint="eastAsia" w:cs="宋体" w:asciiTheme="minorEastAsia" w:hAnsiTheme="minorEastAsia" w:eastAsiaTheme="minorEastAsia"/>
          <w:b/>
          <w:bCs/>
          <w:color w:val="auto"/>
          <w:highlight w:val="none"/>
          <w:lang w:val="zh-CN"/>
        </w:rPr>
        <w:t>(实质性要求)</w:t>
      </w:r>
      <w:r>
        <w:rPr>
          <w:rFonts w:hint="eastAsia" w:cs="宋体" w:asciiTheme="minorEastAsia" w:hAnsiTheme="minorEastAsia" w:eastAsiaTheme="minorEastAsia"/>
          <w:color w:val="auto"/>
          <w:highlight w:val="none"/>
        </w:rPr>
        <w:t>。</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投标人只允许有一个报价，并且在合同履行过程中是固定不变的，任何有选择或可调整的报价将不予接受，并按无效投标处理</w:t>
      </w:r>
      <w:r>
        <w:rPr>
          <w:rFonts w:hint="eastAsia" w:cs="宋体" w:asciiTheme="minorEastAsia" w:hAnsiTheme="minorEastAsia" w:eastAsiaTheme="minorEastAsia"/>
          <w:b/>
          <w:bCs/>
          <w:color w:val="auto"/>
          <w:highlight w:val="none"/>
          <w:lang w:val="zh-CN"/>
        </w:rPr>
        <w:t>(实质性要求)</w:t>
      </w:r>
      <w:r>
        <w:rPr>
          <w:rFonts w:hint="eastAsia" w:cs="宋体" w:asciiTheme="minorEastAsia" w:hAnsiTheme="minorEastAsia" w:eastAsiaTheme="minorEastAsia"/>
          <w:color w:val="auto"/>
          <w:highlight w:val="none"/>
        </w:rPr>
        <w:t>。</w:t>
      </w:r>
    </w:p>
    <w:p>
      <w:pPr>
        <w:pStyle w:val="70"/>
        <w:numPr>
          <w:ilvl w:val="4"/>
          <w:numId w:val="12"/>
        </w:numPr>
        <w:ind w:left="0" w:firstLine="482"/>
        <w:rPr>
          <w:rFonts w:cs="宋体" w:asciiTheme="minorEastAsia" w:hAnsiTheme="minorEastAsia" w:eastAsiaTheme="minorEastAsia"/>
          <w:b/>
          <w:bCs/>
          <w:color w:val="auto"/>
          <w:highlight w:val="none"/>
          <w:lang w:val="zh-CN"/>
        </w:rPr>
      </w:pPr>
      <w:r>
        <w:rPr>
          <w:rFonts w:hint="eastAsia" w:cs="宋体" w:asciiTheme="minorEastAsia" w:hAnsiTheme="minorEastAsia" w:eastAsiaTheme="minorEastAsia"/>
          <w:b/>
          <w:bCs/>
          <w:color w:val="auto"/>
          <w:highlight w:val="none"/>
        </w:rPr>
        <w:t>服务</w:t>
      </w:r>
      <w:r>
        <w:rPr>
          <w:rFonts w:hint="eastAsia" w:cs="宋体" w:asciiTheme="minorEastAsia" w:hAnsiTheme="minorEastAsia" w:eastAsiaTheme="minorEastAsia"/>
          <w:b/>
          <w:bCs/>
          <w:color w:val="auto"/>
          <w:highlight w:val="none"/>
          <w:lang w:val="zh-CN"/>
        </w:rPr>
        <w:t>部分</w:t>
      </w:r>
    </w:p>
    <w:p>
      <w:pPr>
        <w:pStyle w:val="52"/>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投标人按照招标文件要求做出的服务应答，主要是针对招标项目的服务要求做出的实质性响应和满足。投标人的服务应答应尽可能包括下列内容：</w:t>
      </w:r>
    </w:p>
    <w:p>
      <w:pPr>
        <w:pStyle w:val="71"/>
        <w:numPr>
          <w:ilvl w:val="5"/>
          <w:numId w:val="12"/>
        </w:numPr>
        <w:ind w:left="0" w:firstLine="48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技术方案</w:t>
      </w:r>
      <w:r>
        <w:rPr>
          <w:rFonts w:hint="eastAsia" w:cs="宋体" w:asciiTheme="minorEastAsia" w:hAnsiTheme="minorEastAsia" w:eastAsiaTheme="minorEastAsia"/>
          <w:color w:val="auto"/>
          <w:highlight w:val="none"/>
          <w:lang w:val="zh-CN"/>
        </w:rPr>
        <w:t>、</w:t>
      </w:r>
      <w:r>
        <w:rPr>
          <w:rFonts w:hint="eastAsia" w:cs="宋体" w:asciiTheme="minorEastAsia" w:hAnsiTheme="minorEastAsia" w:eastAsiaTheme="minorEastAsia"/>
          <w:color w:val="auto"/>
          <w:highlight w:val="none"/>
        </w:rPr>
        <w:t>实施</w:t>
      </w:r>
      <w:r>
        <w:rPr>
          <w:rFonts w:hint="eastAsia" w:cs="宋体" w:asciiTheme="minorEastAsia" w:hAnsiTheme="minorEastAsia" w:eastAsiaTheme="minorEastAsia"/>
          <w:color w:val="auto"/>
          <w:highlight w:val="none"/>
          <w:lang w:val="zh-CN"/>
        </w:rPr>
        <w:t>方案</w:t>
      </w:r>
      <w:r>
        <w:rPr>
          <w:rFonts w:hint="eastAsia" w:cs="宋体" w:asciiTheme="minorEastAsia" w:hAnsiTheme="minorEastAsia" w:eastAsiaTheme="minorEastAsia"/>
          <w:color w:val="auto"/>
          <w:highlight w:val="none"/>
        </w:rPr>
        <w:t>等(具体详见各包综合评分明细表)</w:t>
      </w:r>
      <w:r>
        <w:rPr>
          <w:rFonts w:hint="eastAsia" w:cs="宋体" w:asciiTheme="minorEastAsia" w:hAnsiTheme="minorEastAsia" w:eastAsiaTheme="minorEastAsia"/>
          <w:color w:val="auto"/>
          <w:highlight w:val="none"/>
          <w:lang w:val="zh-CN"/>
        </w:rPr>
        <w:t>；</w:t>
      </w:r>
    </w:p>
    <w:p>
      <w:pPr>
        <w:pStyle w:val="71"/>
        <w:numPr>
          <w:ilvl w:val="5"/>
          <w:numId w:val="12"/>
        </w:numPr>
        <w:ind w:left="0" w:firstLine="48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拟投本项目的管理、技术及服务人员(如涉及需投入设备的项目可列明设备清单)；</w:t>
      </w:r>
    </w:p>
    <w:p>
      <w:pPr>
        <w:pStyle w:val="71"/>
        <w:numPr>
          <w:ilvl w:val="5"/>
          <w:numId w:val="12"/>
        </w:numPr>
        <w:ind w:left="0" w:firstLine="48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服务应答表；</w:t>
      </w:r>
    </w:p>
    <w:p>
      <w:pPr>
        <w:pStyle w:val="71"/>
        <w:numPr>
          <w:ilvl w:val="5"/>
          <w:numId w:val="12"/>
        </w:numPr>
        <w:ind w:left="0" w:firstLine="48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项目验收标准和验收方法；</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投标人认为需要提供的文件和资料</w:t>
      </w:r>
      <w:r>
        <w:rPr>
          <w:rFonts w:hint="eastAsia" w:cs="宋体" w:asciiTheme="minorEastAsia" w:hAnsiTheme="minorEastAsia" w:eastAsiaTheme="minorEastAsia"/>
          <w:color w:val="auto"/>
          <w:highlight w:val="none"/>
        </w:rPr>
        <w:t>。</w:t>
      </w:r>
    </w:p>
    <w:p>
      <w:pPr>
        <w:pStyle w:val="70"/>
        <w:numPr>
          <w:ilvl w:val="4"/>
          <w:numId w:val="12"/>
        </w:numPr>
        <w:ind w:left="0"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商务部分</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投标人按照招标文件要求提供的有关证明材料；至少应包括但不限于以下内容：</w:t>
      </w:r>
    </w:p>
    <w:p>
      <w:pPr>
        <w:pStyle w:val="71"/>
        <w:numPr>
          <w:ilvl w:val="5"/>
          <w:numId w:val="12"/>
        </w:numPr>
        <w:ind w:left="0" w:firstLine="480"/>
        <w:rPr>
          <w:rFonts w:cs="宋体" w:asciiTheme="minorEastAsia" w:hAnsiTheme="minorEastAsia" w:eastAsiaTheme="minorEastAsia"/>
          <w:color w:val="auto"/>
          <w:highlight w:val="none"/>
        </w:rPr>
      </w:pPr>
      <w:bookmarkStart w:id="379" w:name="_Toc310410799"/>
      <w:bookmarkStart w:id="380" w:name="_Toc177972289"/>
      <w:bookmarkStart w:id="381" w:name="_Toc177972975"/>
      <w:bookmarkStart w:id="382" w:name="_Toc338418069"/>
      <w:bookmarkStart w:id="383" w:name="_Toc310412059"/>
      <w:bookmarkStart w:id="384" w:name="_Toc310411990"/>
      <w:bookmarkStart w:id="385" w:name="_Toc148505258"/>
      <w:r>
        <w:rPr>
          <w:rFonts w:hint="eastAsia" w:cs="宋体" w:asciiTheme="minorEastAsia" w:hAnsiTheme="minorEastAsia" w:eastAsiaTheme="minorEastAsia"/>
          <w:color w:val="auto"/>
          <w:highlight w:val="none"/>
        </w:rPr>
        <w:t>投标函；</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投标人基本情况表；</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商务应答表；</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招标代理服务费承诺函；</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履约经验；</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投标人认为应当提供的其他证明材料；</w:t>
      </w:r>
    </w:p>
    <w:p>
      <w:pPr>
        <w:pStyle w:val="71"/>
        <w:numPr>
          <w:ilvl w:val="5"/>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招标文件规定的其他商务要求。</w:t>
      </w:r>
    </w:p>
    <w:bookmarkEnd w:id="379"/>
    <w:bookmarkEnd w:id="380"/>
    <w:bookmarkEnd w:id="381"/>
    <w:bookmarkEnd w:id="382"/>
    <w:bookmarkEnd w:id="383"/>
    <w:bookmarkEnd w:id="384"/>
    <w:bookmarkEnd w:id="385"/>
    <w:p>
      <w:pPr>
        <w:pStyle w:val="70"/>
        <w:numPr>
          <w:ilvl w:val="4"/>
          <w:numId w:val="12"/>
        </w:numPr>
        <w:ind w:left="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其他部分。</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投标人按照招标文件要求作出的其他应答和承诺。</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注：①以上1、2要求提供的证明材料均需加盖投标人公章，若未加盖投标人公章的，则该证明材料涉及的评分项不予评分，涉及资格条件或实质性要求的评审项按未通过处理。</w:t>
      </w:r>
    </w:p>
    <w:p>
      <w:pPr>
        <w:pStyle w:val="52"/>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②投标人根据项目的实际需求和具体情况实事求是的编制投标文件，能具体量化，具有可行性及便于监督考核，不得违反法律、法规规定，不得夸大其词和空口许诺。</w:t>
      </w:r>
    </w:p>
    <w:p>
      <w:pPr>
        <w:pStyle w:val="52"/>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③若综合评分明细表和技术参数中需要提供的证明材料上述未提及，投标人根据综合评分明细表和技术参数提供相关的证明材料。</w:t>
      </w:r>
    </w:p>
    <w:p>
      <w:pPr>
        <w:pStyle w:val="55"/>
        <w:numPr>
          <w:ilvl w:val="2"/>
          <w:numId w:val="13"/>
        </w:numPr>
        <w:ind w:left="0" w:firstLine="482"/>
        <w:rPr>
          <w:rFonts w:cs="宋体" w:asciiTheme="minorEastAsia" w:hAnsiTheme="minorEastAsia" w:eastAsiaTheme="minorEastAsia"/>
          <w:color w:val="auto"/>
          <w:highlight w:val="none"/>
        </w:rPr>
      </w:pPr>
      <w:bookmarkStart w:id="386" w:name="_Toc26967"/>
      <w:bookmarkStart w:id="387" w:name="_Toc6645"/>
      <w:bookmarkStart w:id="388" w:name="_Toc6789"/>
      <w:bookmarkStart w:id="389" w:name="_Toc31136"/>
      <w:bookmarkStart w:id="390" w:name="_Toc308188145"/>
      <w:bookmarkStart w:id="391" w:name="_Toc23655"/>
      <w:bookmarkStart w:id="392" w:name="_Toc308084590"/>
      <w:bookmarkStart w:id="393" w:name="_Toc1874"/>
      <w:bookmarkStart w:id="394" w:name="_Toc4288"/>
      <w:bookmarkStart w:id="395" w:name="_Toc327196279"/>
      <w:bookmarkStart w:id="396" w:name="_Toc319439893"/>
      <w:bookmarkStart w:id="397" w:name="_Toc32288"/>
      <w:bookmarkStart w:id="398" w:name="_Toc3096"/>
      <w:bookmarkStart w:id="399" w:name="_Toc31194"/>
      <w:bookmarkStart w:id="400" w:name="_Toc307564845"/>
      <w:bookmarkStart w:id="401" w:name="_Toc309897508"/>
      <w:bookmarkStart w:id="402" w:name="_Toc319440135"/>
      <w:bookmarkStart w:id="403" w:name="_Toc32103"/>
      <w:bookmarkStart w:id="404" w:name="_Toc15763"/>
      <w:r>
        <w:rPr>
          <w:rFonts w:hint="eastAsia" w:cs="宋体" w:asciiTheme="minorEastAsia" w:hAnsiTheme="minorEastAsia" w:eastAsiaTheme="minor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s="宋体" w:asciiTheme="minorEastAsia" w:hAnsiTheme="minorEastAsia" w:eastAsiaTheme="minorEastAsia"/>
          <w:color w:val="auto"/>
          <w:highlight w:val="none"/>
        </w:rPr>
        <w:tab/>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投标人应按照招标文件第三章中提供的“投标文件格式”填写相关内容。</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对于没有格式要求的由投标人自行编写。</w:t>
      </w:r>
    </w:p>
    <w:p>
      <w:pPr>
        <w:pStyle w:val="55"/>
        <w:numPr>
          <w:ilvl w:val="2"/>
          <w:numId w:val="13"/>
        </w:numPr>
        <w:ind w:left="0" w:firstLine="482"/>
        <w:rPr>
          <w:rFonts w:cs="宋体" w:asciiTheme="minorEastAsia" w:hAnsiTheme="minorEastAsia" w:eastAsiaTheme="minorEastAsia"/>
          <w:color w:val="auto"/>
          <w:highlight w:val="none"/>
        </w:rPr>
      </w:pPr>
      <w:bookmarkStart w:id="405" w:name="_Toc307501103"/>
      <w:bookmarkStart w:id="406" w:name="_Toc308084591"/>
      <w:bookmarkStart w:id="407" w:name="_Toc309897509"/>
      <w:bookmarkStart w:id="408" w:name="_Toc16077"/>
      <w:bookmarkStart w:id="409" w:name="_Toc21967"/>
      <w:bookmarkStart w:id="410" w:name="_Toc16016"/>
      <w:bookmarkStart w:id="411" w:name="_Toc27418"/>
      <w:bookmarkStart w:id="412" w:name="_Toc307564846"/>
      <w:bookmarkStart w:id="413" w:name="_Toc319440136"/>
      <w:bookmarkStart w:id="414" w:name="_Toc2456"/>
      <w:bookmarkStart w:id="415" w:name="_Toc14436"/>
      <w:bookmarkStart w:id="416" w:name="_Toc319439894"/>
      <w:bookmarkStart w:id="417" w:name="_Toc308188146"/>
      <w:bookmarkStart w:id="418" w:name="_Toc14382"/>
      <w:bookmarkStart w:id="419" w:name="_Toc29891"/>
      <w:bookmarkStart w:id="420" w:name="_Toc20642"/>
      <w:bookmarkStart w:id="421" w:name="_Toc21884"/>
      <w:bookmarkStart w:id="422" w:name="_Toc183582223"/>
      <w:bookmarkStart w:id="423" w:name="_Toc4102"/>
      <w:bookmarkStart w:id="424" w:name="_Toc183682360"/>
      <w:bookmarkStart w:id="425" w:name="_Toc31944"/>
      <w:bookmarkStart w:id="426" w:name="_Toc217446050"/>
      <w:bookmarkStart w:id="427" w:name="_Toc327196280"/>
      <w:r>
        <w:rPr>
          <w:rFonts w:hint="eastAsia" w:cs="宋体" w:asciiTheme="minorEastAsia" w:hAnsiTheme="minorEastAsia" w:eastAsiaTheme="minor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69"/>
        <w:numPr>
          <w:ilvl w:val="3"/>
          <w:numId w:val="0"/>
        </w:numPr>
        <w:ind w:left="480" w:leftChars="200"/>
        <w:rPr>
          <w:rFonts w:cs="宋体" w:asciiTheme="minorEastAsia" w:hAnsiTheme="minorEastAsia" w:eastAsiaTheme="minorEastAsia"/>
          <w:color w:val="auto"/>
          <w:highlight w:val="none"/>
        </w:rPr>
      </w:pPr>
      <w:bookmarkStart w:id="428" w:name="_Toc27589"/>
      <w:bookmarkStart w:id="429" w:name="_Toc31284"/>
      <w:bookmarkStart w:id="430" w:name="_Toc319439895"/>
      <w:bookmarkStart w:id="431" w:name="_Toc29434"/>
      <w:bookmarkStart w:id="432" w:name="_Toc26011"/>
      <w:bookmarkStart w:id="433" w:name="_Toc217446051"/>
      <w:bookmarkStart w:id="434" w:name="_Toc308188147"/>
      <w:bookmarkStart w:id="435" w:name="_Toc319440137"/>
      <w:bookmarkStart w:id="436" w:name="_Toc309897510"/>
      <w:bookmarkStart w:id="437" w:name="_Toc327196281"/>
      <w:bookmarkStart w:id="438" w:name="_Toc307564847"/>
      <w:bookmarkStart w:id="439" w:name="_Toc183582224"/>
      <w:bookmarkStart w:id="440" w:name="_Toc17857"/>
      <w:bookmarkStart w:id="441" w:name="_Toc308084592"/>
      <w:bookmarkStart w:id="442" w:name="_Toc307501104"/>
      <w:bookmarkStart w:id="443" w:name="_Toc21338"/>
      <w:bookmarkStart w:id="444" w:name="_Toc183682361"/>
      <w:bookmarkStart w:id="445" w:name="_Toc9356"/>
      <w:bookmarkStart w:id="446" w:name="_Toc13956"/>
      <w:r>
        <w:rPr>
          <w:rFonts w:hint="eastAsia" w:cs="宋体" w:asciiTheme="minorEastAsia" w:hAnsiTheme="minorEastAsia" w:eastAsiaTheme="minorEastAsia"/>
          <w:color w:val="auto"/>
          <w:highlight w:val="none"/>
        </w:rPr>
        <w:t>本项目不收取投标保证金。</w:t>
      </w:r>
    </w:p>
    <w:p>
      <w:pPr>
        <w:pStyle w:val="55"/>
        <w:numPr>
          <w:ilvl w:val="2"/>
          <w:numId w:val="13"/>
        </w:numPr>
        <w:ind w:left="0" w:firstLine="482"/>
        <w:rPr>
          <w:rFonts w:cs="宋体" w:asciiTheme="minorEastAsia" w:hAnsiTheme="minorEastAsia" w:eastAsiaTheme="minorEastAsia"/>
          <w:color w:val="auto"/>
          <w:highlight w:val="none"/>
        </w:rPr>
      </w:pPr>
      <w:bookmarkStart w:id="447" w:name="_Toc20243"/>
      <w:bookmarkStart w:id="448" w:name="_Toc19115"/>
      <w:bookmarkStart w:id="449" w:name="_Toc4971"/>
      <w:bookmarkStart w:id="450" w:name="_Toc30115"/>
      <w:r>
        <w:rPr>
          <w:rFonts w:hint="eastAsia" w:cs="宋体" w:asciiTheme="minorEastAsia" w:hAnsiTheme="minorEastAsia" w:eastAsiaTheme="minor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s="宋体" w:asciiTheme="minorEastAsia" w:hAnsiTheme="minorEastAsia" w:eastAsiaTheme="minorEastAsia"/>
          <w:color w:val="auto"/>
          <w:highlight w:val="none"/>
        </w:rPr>
        <w:t>(实质性要求</w:t>
      </w:r>
      <w:bookmarkEnd w:id="447"/>
      <w:r>
        <w:rPr>
          <w:rFonts w:hint="eastAsia" w:cs="宋体" w:asciiTheme="minorEastAsia" w:hAnsiTheme="minorEastAsia" w:eastAsiaTheme="minorEastAsia"/>
          <w:color w:val="auto"/>
          <w:highlight w:val="none"/>
        </w:rPr>
        <w:t>)</w:t>
      </w:r>
      <w:bookmarkEnd w:id="448"/>
      <w:bookmarkEnd w:id="449"/>
      <w:bookmarkEnd w:id="450"/>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5"/>
        <w:numPr>
          <w:ilvl w:val="2"/>
          <w:numId w:val="13"/>
        </w:numPr>
        <w:ind w:left="0" w:firstLine="482"/>
        <w:rPr>
          <w:rFonts w:cs="宋体" w:asciiTheme="minorEastAsia" w:hAnsiTheme="minorEastAsia" w:eastAsiaTheme="minorEastAsia"/>
          <w:color w:val="auto"/>
          <w:highlight w:val="none"/>
        </w:rPr>
      </w:pPr>
      <w:bookmarkStart w:id="451" w:name="_Toc307564848"/>
      <w:bookmarkStart w:id="452" w:name="_Toc22593"/>
      <w:bookmarkStart w:id="453" w:name="_Toc308188148"/>
      <w:bookmarkStart w:id="454" w:name="_Toc308084593"/>
      <w:bookmarkStart w:id="455" w:name="_Toc217446052"/>
      <w:bookmarkStart w:id="456" w:name="_Toc183682362"/>
      <w:bookmarkStart w:id="457" w:name="_Toc307501105"/>
      <w:bookmarkStart w:id="458" w:name="_Toc3717"/>
      <w:bookmarkStart w:id="459" w:name="_Toc6924"/>
      <w:bookmarkStart w:id="460" w:name="_Toc319440138"/>
      <w:bookmarkStart w:id="461" w:name="_Toc27612"/>
      <w:bookmarkStart w:id="462" w:name="_Toc7213"/>
      <w:bookmarkStart w:id="463" w:name="_Toc3077"/>
      <w:bookmarkStart w:id="464" w:name="_Toc25471"/>
      <w:bookmarkStart w:id="465" w:name="_Toc183582225"/>
      <w:bookmarkStart w:id="466" w:name="_Toc6239"/>
      <w:bookmarkStart w:id="467" w:name="_Toc26817"/>
      <w:bookmarkStart w:id="468" w:name="_Toc309897511"/>
      <w:bookmarkStart w:id="469" w:name="_Toc12545"/>
      <w:bookmarkStart w:id="470" w:name="_Toc24656"/>
      <w:bookmarkStart w:id="471" w:name="_Toc319439896"/>
      <w:bookmarkStart w:id="472" w:name="_Toc27461"/>
      <w:bookmarkStart w:id="473" w:name="_Toc327196282"/>
      <w:r>
        <w:rPr>
          <w:rFonts w:hint="eastAsia" w:cs="宋体" w:asciiTheme="minorEastAsia" w:hAnsiTheme="minorEastAsia" w:eastAsiaTheme="minorEastAsia"/>
          <w:color w:val="auto"/>
          <w:highlight w:val="none"/>
        </w:rPr>
        <w:t>投标文件的印制和签署</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69"/>
        <w:numPr>
          <w:ilvl w:val="3"/>
          <w:numId w:val="12"/>
        </w:numPr>
        <w:ind w:left="0" w:firstLine="480" w:firstLineChars="200"/>
        <w:rPr>
          <w:rFonts w:cs="宋体" w:asciiTheme="minorEastAsia" w:hAnsiTheme="minorEastAsia" w:eastAsiaTheme="minorEastAsia"/>
          <w:color w:val="auto"/>
          <w:highlight w:val="none"/>
        </w:rPr>
      </w:pPr>
      <w:bookmarkStart w:id="474" w:name="_Toc183682363"/>
      <w:bookmarkStart w:id="475" w:name="_Toc183582226"/>
      <w:bookmarkStart w:id="476" w:name="_Toc89075877"/>
      <w:bookmarkStart w:id="477" w:name="_Toc77400781"/>
      <w:bookmarkStart w:id="478" w:name="_Toc27443"/>
      <w:bookmarkStart w:id="479" w:name="_Toc308084594"/>
      <w:bookmarkStart w:id="480" w:name="_Toc307501106"/>
      <w:bookmarkStart w:id="481" w:name="_Toc23619"/>
      <w:bookmarkStart w:id="482" w:name="_Toc5019"/>
      <w:bookmarkStart w:id="483" w:name="_Toc327196283"/>
      <w:bookmarkStart w:id="484" w:name="_Toc13153"/>
      <w:bookmarkStart w:id="485" w:name="_Toc217446053"/>
      <w:bookmarkStart w:id="486" w:name="_Toc309897512"/>
      <w:bookmarkStart w:id="487" w:name="_Toc10555"/>
      <w:bookmarkStart w:id="488" w:name="_Toc319440139"/>
      <w:bookmarkStart w:id="489" w:name="_Toc23675"/>
      <w:bookmarkStart w:id="490" w:name="_Toc19635"/>
      <w:bookmarkStart w:id="491" w:name="_Toc16752"/>
      <w:bookmarkStart w:id="492" w:name="_Toc308188149"/>
      <w:bookmarkStart w:id="493" w:name="_Toc319439897"/>
      <w:bookmarkStart w:id="494" w:name="_Toc17010"/>
      <w:bookmarkStart w:id="495" w:name="_Toc307564849"/>
      <w:bookmarkStart w:id="496" w:name="_Toc6805"/>
      <w:r>
        <w:rPr>
          <w:rFonts w:hint="eastAsia" w:cs="宋体" w:asciiTheme="minorEastAsia" w:hAnsiTheme="minorEastAsia" w:eastAsiaTheme="minorEastAsia"/>
          <w:color w:val="auto"/>
          <w:highlight w:val="none"/>
        </w:rPr>
        <w:t>投标文件分《资格、资质性及其他类似效力投标文件》、《其他投标文件》两部分，分册装订，内容不得相互混装。</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投标文件按招标文件要求的格式进行密封。资格、资质性及其他类似效力投标文件用于采购人或采购代理机构对投标人进行资格审查，其他投标文件用于评标委员会评审。</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投标人递交的投标文件为一式叁份，其中正本壹份、副本贰份，单独提交用于开标唱标的“开标一览表”壹份原件(加盖公章，复印件无效)</w:t>
      </w:r>
      <w:r>
        <w:rPr>
          <w:rFonts w:hint="eastAsia" w:cs="宋体" w:asciiTheme="minorEastAsia" w:hAnsiTheme="minorEastAsia" w:eastAsiaTheme="minorEastAsia"/>
          <w:b/>
          <w:bCs/>
          <w:color w:val="auto"/>
          <w:highlight w:val="none"/>
        </w:rPr>
        <w:t>(实质性要求)</w:t>
      </w:r>
      <w:r>
        <w:rPr>
          <w:rFonts w:hint="eastAsia" w:cs="宋体" w:asciiTheme="minorEastAsia" w:hAnsiTheme="minorEastAsia" w:eastAsiaTheme="minorEastAsia"/>
          <w:color w:val="auto"/>
          <w:highlight w:val="none"/>
        </w:rPr>
        <w:t>。</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“开标一览表”除单独密封提交外，还应编制于其他投标文件正副本内，如有遗漏，将视为无效投标</w:t>
      </w:r>
      <w:r>
        <w:rPr>
          <w:rFonts w:hint="eastAsia" w:cs="宋体" w:asciiTheme="minorEastAsia" w:hAnsiTheme="minorEastAsia" w:eastAsiaTheme="minorEastAsia"/>
          <w:b/>
          <w:bCs/>
          <w:color w:val="auto"/>
          <w:highlight w:val="none"/>
        </w:rPr>
        <w:t>(实质性要求)</w:t>
      </w:r>
      <w:r>
        <w:rPr>
          <w:rFonts w:hint="eastAsia" w:cs="宋体" w:asciiTheme="minorEastAsia" w:hAnsiTheme="minorEastAsia" w:eastAsiaTheme="minorEastAsia"/>
          <w:color w:val="auto"/>
          <w:highlight w:val="none"/>
        </w:rPr>
        <w:t>。</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投标文件正本和副本统一用A4幅面纸印制(图、表及证件可以除外)，逐页编码，可双面打印。</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投标文件的正本和副本应采用左侧胶装，不得散装或者活页装订。</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若投标文件内容较多，可分册装订，并在封面标明次序及册数。</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投标文件中的证明、证件及附件等复印件应集中紧附在相应正文内容后面，并尽量与前面正文部分的顺序相对应。</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的打印和书写应清楚工整，任何签字、行间插字、涂改或增删，必须由投标人的法定代表人或其授权代表签字或盖个人印鉴(签字可用具有法定效力的个人印章代替)不得使用专用章(如经济合同章、投标专用章等)或下属单位印章代替</w:t>
      </w:r>
      <w:r>
        <w:rPr>
          <w:rFonts w:hint="eastAsia" w:cs="宋体" w:asciiTheme="minorEastAsia" w:hAnsiTheme="minorEastAsia" w:eastAsiaTheme="minorEastAsia"/>
          <w:b/>
          <w:bCs/>
          <w:color w:val="auto"/>
          <w:highlight w:val="none"/>
        </w:rPr>
        <w:t>(实质性要求)</w:t>
      </w:r>
      <w:r>
        <w:rPr>
          <w:rFonts w:hint="eastAsia" w:cs="宋体" w:asciiTheme="minorEastAsia" w:hAnsiTheme="minorEastAsia" w:eastAsiaTheme="minorEastAsia"/>
          <w:color w:val="auto"/>
          <w:highlight w:val="none"/>
        </w:rPr>
        <w:t>。</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投标文件应根据上述要求制作，签署、盖章，内容应完整。</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本招标文件要求的复印件是指对图文进行复制后的文件，包括扫描、复印、影印等方式复制的材料。</w:t>
      </w:r>
    </w:p>
    <w:p>
      <w:pPr>
        <w:pStyle w:val="55"/>
        <w:numPr>
          <w:ilvl w:val="2"/>
          <w:numId w:val="13"/>
        </w:numPr>
        <w:ind w:left="0" w:firstLine="482"/>
        <w:rPr>
          <w:rFonts w:cs="宋体" w:asciiTheme="minorEastAsia" w:hAnsiTheme="minorEastAsia" w:eastAsiaTheme="minorEastAsia"/>
          <w:color w:val="auto"/>
          <w:highlight w:val="none"/>
        </w:rPr>
      </w:pPr>
      <w:bookmarkStart w:id="497" w:name="_Toc19839"/>
      <w:bookmarkStart w:id="498" w:name="_Toc18153"/>
      <w:r>
        <w:rPr>
          <w:rFonts w:hint="eastAsia" w:cs="宋体" w:asciiTheme="minorEastAsia" w:hAnsiTheme="minorEastAsia" w:eastAsiaTheme="minorEastAsia"/>
          <w:color w:val="auto"/>
          <w:highlight w:val="none"/>
        </w:rPr>
        <w:t>投标文件的密封和标</w:t>
      </w:r>
      <w:bookmarkEnd w:id="474"/>
      <w:bookmarkEnd w:id="475"/>
      <w:bookmarkEnd w:id="476"/>
      <w:bookmarkEnd w:id="477"/>
      <w:r>
        <w:rPr>
          <w:rFonts w:hint="eastAsia" w:cs="宋体" w:asciiTheme="minorEastAsia" w:hAnsiTheme="minorEastAsia" w:eastAsiaTheme="minorEastAsia"/>
          <w:color w:val="auto"/>
          <w:highlight w:val="none"/>
        </w:rPr>
        <w:t>注</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69"/>
        <w:numPr>
          <w:ilvl w:val="3"/>
          <w:numId w:val="12"/>
        </w:numPr>
        <w:ind w:left="0" w:firstLine="480" w:firstLineChars="200"/>
        <w:rPr>
          <w:rFonts w:cs="宋体" w:asciiTheme="minorEastAsia" w:hAnsiTheme="minorEastAsia" w:eastAsiaTheme="minorEastAsia"/>
          <w:color w:val="auto"/>
          <w:highlight w:val="none"/>
        </w:rPr>
      </w:pPr>
      <w:bookmarkStart w:id="499" w:name="_Toc183582227"/>
      <w:bookmarkStart w:id="500" w:name="_Toc183682364"/>
      <w:bookmarkStart w:id="501" w:name="_Toc25113"/>
      <w:bookmarkStart w:id="502" w:name="_Toc5768"/>
      <w:bookmarkStart w:id="503" w:name="_Toc307501107"/>
      <w:bookmarkStart w:id="504" w:name="_Toc309897513"/>
      <w:bookmarkStart w:id="505" w:name="_Toc54"/>
      <w:bookmarkStart w:id="506" w:name="_Toc308188150"/>
      <w:bookmarkStart w:id="507" w:name="_Toc20273"/>
      <w:bookmarkStart w:id="508" w:name="_Toc308084595"/>
      <w:bookmarkStart w:id="509" w:name="_Toc7231"/>
      <w:bookmarkStart w:id="510" w:name="_Toc307564850"/>
      <w:bookmarkStart w:id="511" w:name="_Toc2092"/>
      <w:bookmarkStart w:id="512" w:name="_Toc319439898"/>
      <w:bookmarkStart w:id="513" w:name="_Toc319440140"/>
      <w:bookmarkStart w:id="514" w:name="_Toc217446054"/>
      <w:bookmarkStart w:id="515" w:name="_Toc327196284"/>
      <w:r>
        <w:rPr>
          <w:rFonts w:hint="eastAsia" w:cs="宋体" w:asciiTheme="minorEastAsia" w:hAnsiTheme="minorEastAsia" w:eastAsiaTheme="minorEastAsia"/>
          <w:color w:val="auto"/>
          <w:highlight w:val="none"/>
        </w:rPr>
        <w:t>投标人应在投标文件正本和所有副本的封面上注明投标人名称、项目编号、项目名称、投标日期、分包号(如有分包)。</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资格、资质性及其他类似效力投标文件、其他投标文件、用于开标唱标单独提交的开标一览表，应分别封装于不同的密封袋内，密封袋的封口处应粘贴牢固，密封袋上应分别标上“资格、资质性及其他类似效力投标文件”、“其他投标文件”、“开标一览表”字样，并注明投标人名称、项目名称、项目编号、分包号(如有分包)、投标日期，并在封口处加盖投标人公章。</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未按照招标文件要求密封的投标文件，将被采购代理机构拒收。</w:t>
      </w:r>
    </w:p>
    <w:p>
      <w:pPr>
        <w:pStyle w:val="55"/>
        <w:numPr>
          <w:ilvl w:val="2"/>
          <w:numId w:val="13"/>
        </w:numPr>
        <w:ind w:left="0" w:firstLine="482"/>
        <w:rPr>
          <w:rFonts w:cs="宋体" w:asciiTheme="minorEastAsia" w:hAnsiTheme="minorEastAsia" w:eastAsiaTheme="minorEastAsia"/>
          <w:color w:val="auto"/>
          <w:highlight w:val="none"/>
        </w:rPr>
      </w:pPr>
      <w:bookmarkStart w:id="516" w:name="_Toc30361"/>
      <w:bookmarkStart w:id="517" w:name="_Toc25947"/>
      <w:bookmarkStart w:id="518" w:name="_Toc16773"/>
      <w:bookmarkStart w:id="519" w:name="_Toc27234"/>
      <w:bookmarkStart w:id="520" w:name="_Toc9965"/>
      <w:bookmarkStart w:id="521" w:name="_Toc19406"/>
      <w:r>
        <w:rPr>
          <w:rFonts w:hint="eastAsia" w:cs="宋体" w:asciiTheme="minorEastAsia" w:hAnsiTheme="minorEastAsia" w:eastAsiaTheme="minorEastAsia"/>
          <w:color w:val="auto"/>
          <w:highlight w:val="none"/>
        </w:rPr>
        <w:t>投标文件的</w:t>
      </w:r>
      <w:bookmarkEnd w:id="499"/>
      <w:bookmarkEnd w:id="500"/>
      <w:r>
        <w:rPr>
          <w:rFonts w:hint="eastAsia" w:cs="宋体" w:asciiTheme="minorEastAsia" w:hAnsiTheme="minorEastAsia" w:eastAsiaTheme="minorEastAsia"/>
          <w:color w:val="auto"/>
          <w:highlight w:val="none"/>
        </w:rPr>
        <w:t>递交</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投标人应在招标文件规定的投标截止时间前，将投标文件按招标文件规定密封后送达开标地点。</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逾期送达或者未按照招标文件要求密封的投标文件，将被采购代理机构拒收，并告知投标人不予接收的原因。</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递交投标文件时，投标供应商名称和投标文件的项目编号、分包号(如有分包)应当与报名供应商名称和招标文件的项目编号、分包号(如有分包)一致。但是，投标文件实质内容与报名供应商名称和招标文件的项目编号、分包号(如有分包)一致，只是封面文字错误的，可以在评标过程中当面予以澄清，以有效的澄清材料作为认定投标文件是否有效的依据。</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本次招标不接收邮寄的投标文件。</w:t>
      </w:r>
    </w:p>
    <w:p>
      <w:pPr>
        <w:pStyle w:val="55"/>
        <w:numPr>
          <w:ilvl w:val="2"/>
          <w:numId w:val="13"/>
        </w:numPr>
        <w:ind w:left="0" w:firstLine="482"/>
        <w:rPr>
          <w:rFonts w:cs="宋体" w:asciiTheme="minorEastAsia" w:hAnsiTheme="minorEastAsia" w:eastAsiaTheme="minorEastAsia"/>
          <w:color w:val="auto"/>
          <w:highlight w:val="none"/>
        </w:rPr>
      </w:pPr>
      <w:bookmarkStart w:id="522" w:name="_Toc183682365"/>
      <w:bookmarkStart w:id="523" w:name="_Toc183582228"/>
      <w:bookmarkStart w:id="524" w:name="_Toc23816"/>
      <w:bookmarkStart w:id="525" w:name="_Toc3865"/>
      <w:bookmarkStart w:id="526" w:name="_Toc309897514"/>
      <w:bookmarkStart w:id="527" w:name="_Toc22634"/>
      <w:bookmarkStart w:id="528" w:name="_Toc319440141"/>
      <w:bookmarkStart w:id="529" w:name="_Toc15674"/>
      <w:bookmarkStart w:id="530" w:name="_Toc327196285"/>
      <w:bookmarkStart w:id="531" w:name="_Toc307501108"/>
      <w:bookmarkStart w:id="532" w:name="_Toc12138"/>
      <w:bookmarkStart w:id="533" w:name="_Toc7313"/>
      <w:bookmarkStart w:id="534" w:name="_Toc1451"/>
      <w:bookmarkStart w:id="535" w:name="_Toc6140"/>
      <w:bookmarkStart w:id="536" w:name="_Toc4178"/>
      <w:bookmarkStart w:id="537" w:name="_Toc308084596"/>
      <w:bookmarkStart w:id="538" w:name="_Toc26118"/>
      <w:bookmarkStart w:id="539" w:name="_Toc307564851"/>
      <w:bookmarkStart w:id="540" w:name="_Toc17352"/>
      <w:bookmarkStart w:id="541" w:name="_Toc308188151"/>
      <w:bookmarkStart w:id="542" w:name="_Toc17045"/>
      <w:bookmarkStart w:id="543" w:name="_Toc319439899"/>
      <w:bookmarkStart w:id="544" w:name="_Toc217446055"/>
      <w:r>
        <w:rPr>
          <w:rFonts w:hint="eastAsia" w:cs="宋体" w:asciiTheme="minorEastAsia" w:hAnsiTheme="minorEastAsia" w:eastAsiaTheme="minorEastAsia"/>
          <w:color w:val="auto"/>
          <w:highlight w:val="none"/>
        </w:rPr>
        <w:t>投标文件的修改和撤</w:t>
      </w:r>
      <w:bookmarkEnd w:id="522"/>
      <w:bookmarkEnd w:id="523"/>
      <w:r>
        <w:rPr>
          <w:rFonts w:hint="eastAsia" w:cs="宋体" w:asciiTheme="minorEastAsia" w:hAnsiTheme="minorEastAsia" w:eastAsiaTheme="minorEastAsia"/>
          <w:color w:val="auto"/>
          <w:highlight w:val="none"/>
        </w:rPr>
        <w:t>回</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投标人的修改书或撤回通知书，应由其法定代表人/单位负责人或授权代表签署并盖单位印章。修改书应按第二章第四节第十一条规定进行密封和标注，并在密封袋上标注“修改”字样。</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在投标截止时间之后，投标人不得对其递交的投标文件做任何修改，撤回投标的，将按照有关规定进行相应处理。</w:t>
      </w:r>
    </w:p>
    <w:p>
      <w:pPr>
        <w:pStyle w:val="49"/>
        <w:spacing w:before="120" w:after="120"/>
        <w:rPr>
          <w:rFonts w:cs="宋体" w:asciiTheme="minorEastAsia" w:hAnsiTheme="minorEastAsia" w:eastAsiaTheme="minorEastAsia"/>
          <w:color w:val="auto"/>
          <w:highlight w:val="none"/>
        </w:rPr>
      </w:pPr>
      <w:bookmarkStart w:id="545" w:name="_Toc183682368"/>
      <w:bookmarkStart w:id="546" w:name="_Toc327196286"/>
      <w:bookmarkStart w:id="547" w:name="_Toc16817"/>
      <w:bookmarkStart w:id="548" w:name="_Toc24962"/>
      <w:bookmarkStart w:id="549" w:name="_Toc24750"/>
      <w:bookmarkStart w:id="550" w:name="_Toc183582231"/>
      <w:bookmarkStart w:id="551" w:name="_Toc77400782"/>
      <w:bookmarkStart w:id="552" w:name="_Toc21531"/>
      <w:bookmarkStart w:id="553" w:name="_Toc89075878"/>
      <w:bookmarkStart w:id="554" w:name="_Toc15691"/>
      <w:bookmarkStart w:id="555" w:name="_Toc217446056"/>
      <w:r>
        <w:rPr>
          <w:rFonts w:hint="eastAsia" w:cs="宋体" w:asciiTheme="minorEastAsia" w:hAnsiTheme="minorEastAsia" w:eastAsiaTheme="minorEastAsia"/>
          <w:color w:val="auto"/>
          <w:highlight w:val="none"/>
        </w:rPr>
        <w:t>开标和中标</w:t>
      </w:r>
      <w:bookmarkEnd w:id="545"/>
      <w:bookmarkEnd w:id="546"/>
      <w:bookmarkEnd w:id="547"/>
      <w:bookmarkEnd w:id="548"/>
      <w:bookmarkEnd w:id="549"/>
      <w:bookmarkEnd w:id="550"/>
      <w:bookmarkEnd w:id="551"/>
      <w:bookmarkEnd w:id="552"/>
      <w:bookmarkEnd w:id="553"/>
      <w:bookmarkEnd w:id="554"/>
      <w:bookmarkEnd w:id="555"/>
    </w:p>
    <w:p>
      <w:pPr>
        <w:pStyle w:val="55"/>
        <w:numPr>
          <w:ilvl w:val="2"/>
          <w:numId w:val="14"/>
        </w:numPr>
        <w:ind w:left="0" w:firstLine="482"/>
        <w:rPr>
          <w:rFonts w:cs="宋体" w:asciiTheme="minorEastAsia" w:hAnsiTheme="minorEastAsia" w:eastAsiaTheme="minorEastAsia"/>
          <w:color w:val="auto"/>
          <w:highlight w:val="none"/>
        </w:rPr>
      </w:pPr>
      <w:bookmarkStart w:id="556" w:name="_Toc308188153"/>
      <w:bookmarkStart w:id="557" w:name="_Toc11957"/>
      <w:bookmarkStart w:id="558" w:name="_Toc307564853"/>
      <w:bookmarkStart w:id="559" w:name="_Toc319439901"/>
      <w:bookmarkStart w:id="560" w:name="_Toc19952"/>
      <w:bookmarkStart w:id="561" w:name="_Toc308084598"/>
      <w:bookmarkStart w:id="562" w:name="_Toc29493"/>
      <w:bookmarkStart w:id="563" w:name="_Toc183582232"/>
      <w:bookmarkStart w:id="564" w:name="_Toc307501110"/>
      <w:bookmarkStart w:id="565" w:name="_Toc8915"/>
      <w:bookmarkStart w:id="566" w:name="_Toc13237"/>
      <w:bookmarkStart w:id="567" w:name="_Toc13303"/>
      <w:bookmarkStart w:id="568" w:name="_Toc327196287"/>
      <w:bookmarkStart w:id="569" w:name="_Toc18049"/>
      <w:bookmarkStart w:id="570" w:name="_Toc319440143"/>
      <w:bookmarkStart w:id="571" w:name="_Toc29031"/>
      <w:bookmarkStart w:id="572" w:name="_Toc28957"/>
      <w:bookmarkStart w:id="573" w:name="_Toc217446057"/>
      <w:bookmarkStart w:id="574" w:name="_Toc309897516"/>
      <w:bookmarkStart w:id="575" w:name="_Toc6289"/>
      <w:bookmarkStart w:id="576" w:name="_Toc23998"/>
      <w:bookmarkStart w:id="577" w:name="_Toc183682369"/>
      <w:bookmarkStart w:id="578" w:name="_Toc15426"/>
      <w:r>
        <w:rPr>
          <w:rFonts w:hint="eastAsia" w:cs="宋体" w:asciiTheme="minorEastAsia" w:hAnsiTheme="minorEastAsia" w:eastAsiaTheme="minorEastAsia"/>
          <w:color w:val="auto"/>
          <w:highlight w:val="none"/>
        </w:rPr>
        <w:t>开标</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69"/>
        <w:numPr>
          <w:ilvl w:val="3"/>
          <w:numId w:val="15"/>
        </w:numPr>
        <w:ind w:left="0" w:firstLine="480" w:firstLineChars="200"/>
        <w:rPr>
          <w:rFonts w:cs="宋体" w:asciiTheme="minorEastAsia" w:hAnsiTheme="minorEastAsia" w:eastAsiaTheme="minorEastAsia"/>
          <w:color w:val="auto"/>
          <w:highlight w:val="none"/>
        </w:rPr>
      </w:pPr>
      <w:bookmarkStart w:id="579" w:name="_Toc308084599"/>
      <w:bookmarkStart w:id="580" w:name="_Toc307564854"/>
      <w:bookmarkStart w:id="581" w:name="_Toc319439902"/>
      <w:bookmarkStart w:id="582" w:name="_Toc309897517"/>
      <w:bookmarkStart w:id="583" w:name="_Toc319440144"/>
      <w:bookmarkStart w:id="584" w:name="_Toc327196288"/>
      <w:bookmarkStart w:id="585" w:name="_Toc307501111"/>
      <w:bookmarkStart w:id="586" w:name="_Toc217446058"/>
      <w:bookmarkStart w:id="587" w:name="_Toc308188154"/>
      <w:r>
        <w:rPr>
          <w:rFonts w:hint="eastAsia" w:cs="宋体" w:asciiTheme="minorEastAsia" w:hAnsiTheme="minorEastAsia" w:eastAsiaTheme="minorEastAsia"/>
          <w:color w:val="auto"/>
          <w:highlight w:val="none"/>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p>
    <w:p>
      <w:pPr>
        <w:pStyle w:val="69"/>
        <w:numPr>
          <w:ilvl w:val="3"/>
          <w:numId w:val="15"/>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活动对外公开，在保证正常开标秩序的前提下，允许除投标人及其代表之外的其他人员观摩开标活动。其他人员需要参加开标活动的，须事先向采购代理机构书面申请并取得同意后方能参加，且在开标现场须服从采购代理机构的安排。</w:t>
      </w:r>
    </w:p>
    <w:p>
      <w:pPr>
        <w:pStyle w:val="69"/>
        <w:numPr>
          <w:ilvl w:val="3"/>
          <w:numId w:val="15"/>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开标时，可根据具体情况邀请有关监督管理部门对开标活动进行现场监督。</w:t>
      </w:r>
    </w:p>
    <w:p>
      <w:pPr>
        <w:pStyle w:val="69"/>
        <w:numPr>
          <w:ilvl w:val="3"/>
          <w:numId w:val="15"/>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时，由投标人或者其推选的代表先检查其自己递交的投标文件的密封情况，经确认无误后，由招标工作人员将投标人单独提交用于开标唱标的“开标一览表”当众拆封，并由唱标人员按照招标文件规定的内容进行宣读。</w:t>
      </w:r>
    </w:p>
    <w:p>
      <w:pPr>
        <w:pStyle w:val="69"/>
        <w:numPr>
          <w:ilvl w:val="3"/>
          <w:numId w:val="15"/>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至开标主持人或者现场监督人员，要求开标现场记录人员予以记录，但不得干扰、阻挠开标工作的正常进行。</w:t>
      </w:r>
    </w:p>
    <w:p>
      <w:pPr>
        <w:pStyle w:val="69"/>
        <w:numPr>
          <w:ilvl w:val="3"/>
          <w:numId w:val="15"/>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69"/>
        <w:numPr>
          <w:ilvl w:val="3"/>
          <w:numId w:val="15"/>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投标文件中相关内容与“开标一览表”不一致的，以“开标一览表”为准。对不同文字文本投标文件的解释发生异议的，以中文文本为准。</w:t>
      </w:r>
    </w:p>
    <w:p>
      <w:pPr>
        <w:pStyle w:val="69"/>
        <w:numPr>
          <w:ilvl w:val="3"/>
          <w:numId w:val="15"/>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所有投标唱标完毕，如投标人代表对宣读的“开标一览表”上的内容有异议的，应在获得开标会主持人同意后当场提出。如确实属于唱标人员宣读错了的，经现场监督人员核实后，当场予以更正。</w:t>
      </w:r>
    </w:p>
    <w:p>
      <w:pPr>
        <w:pStyle w:val="55"/>
        <w:numPr>
          <w:ilvl w:val="2"/>
          <w:numId w:val="14"/>
        </w:numPr>
        <w:ind w:left="0" w:firstLine="482"/>
        <w:rPr>
          <w:rFonts w:cs="宋体" w:asciiTheme="minorEastAsia" w:hAnsiTheme="minorEastAsia" w:eastAsiaTheme="minorEastAsia"/>
          <w:color w:val="auto"/>
          <w:highlight w:val="none"/>
        </w:rPr>
      </w:pPr>
      <w:bookmarkStart w:id="588" w:name="_Toc10782"/>
      <w:bookmarkStart w:id="589" w:name="_Toc12755"/>
      <w:bookmarkStart w:id="590" w:name="_Toc7168"/>
      <w:bookmarkStart w:id="591" w:name="_Toc17927"/>
      <w:bookmarkStart w:id="592" w:name="_Toc24509"/>
      <w:bookmarkStart w:id="593" w:name="_Toc827"/>
      <w:bookmarkStart w:id="594" w:name="_Toc21461"/>
      <w:bookmarkStart w:id="595" w:name="_Toc18256"/>
      <w:bookmarkStart w:id="596" w:name="_Toc26350"/>
      <w:bookmarkStart w:id="597" w:name="_Toc20885"/>
      <w:bookmarkStart w:id="598" w:name="_Toc5097"/>
      <w:bookmarkStart w:id="599" w:name="_Toc15266"/>
      <w:r>
        <w:rPr>
          <w:rFonts w:hint="eastAsia" w:cs="宋体" w:asciiTheme="minorEastAsia" w:hAnsiTheme="minorEastAsia" w:eastAsiaTheme="minorEastAsia"/>
          <w:color w:val="auto"/>
          <w:highlight w:val="none"/>
        </w:rPr>
        <w:t>开标程序</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开标会主持人按照招标文件规定的开标时间宣布开标，按照规定要求主持开标会。开标将按以下程序进行：</w:t>
      </w:r>
    </w:p>
    <w:p>
      <w:pPr>
        <w:pStyle w:val="69"/>
        <w:numPr>
          <w:ilvl w:val="3"/>
          <w:numId w:val="14"/>
        </w:numPr>
        <w:ind w:left="0" w:firstLine="480" w:firstLineChars="200"/>
        <w:rPr>
          <w:rFonts w:cs="宋体" w:asciiTheme="minorEastAsia" w:hAnsiTheme="minorEastAsia" w:eastAsiaTheme="minorEastAsia"/>
          <w:color w:val="auto"/>
          <w:highlight w:val="none"/>
        </w:rPr>
      </w:pPr>
      <w:bookmarkStart w:id="600" w:name="_Toc13447"/>
      <w:bookmarkStart w:id="601" w:name="_Toc13983"/>
      <w:bookmarkStart w:id="602" w:name="_Toc183582238"/>
      <w:bookmarkStart w:id="603" w:name="_Toc183682375"/>
      <w:bookmarkStart w:id="604" w:name="_Toc307564855"/>
      <w:bookmarkStart w:id="605" w:name="_Toc319439903"/>
      <w:bookmarkStart w:id="606" w:name="_Toc13751"/>
      <w:bookmarkStart w:id="607" w:name="_Toc28123"/>
      <w:bookmarkStart w:id="608" w:name="_Toc16512"/>
      <w:bookmarkStart w:id="609" w:name="_Toc8800"/>
      <w:bookmarkStart w:id="610" w:name="_Toc308188155"/>
      <w:bookmarkStart w:id="611" w:name="_Toc308084600"/>
      <w:bookmarkStart w:id="612" w:name="_Toc15967"/>
      <w:bookmarkStart w:id="613" w:name="_Toc489"/>
      <w:bookmarkStart w:id="614" w:name="_Toc28481"/>
      <w:bookmarkStart w:id="615" w:name="_Toc319440145"/>
      <w:bookmarkStart w:id="616" w:name="_Toc309897518"/>
      <w:bookmarkStart w:id="617" w:name="_Toc217446063"/>
      <w:bookmarkStart w:id="618" w:name="_Toc327196289"/>
      <w:bookmarkStart w:id="619" w:name="_Toc307501112"/>
      <w:bookmarkStart w:id="620" w:name="_Toc9806"/>
      <w:r>
        <w:rPr>
          <w:rFonts w:hint="eastAsia" w:cs="宋体" w:asciiTheme="minorEastAsia" w:hAnsiTheme="minorEastAsia" w:eastAsiaTheme="minorEastAsia"/>
          <w:color w:val="auto"/>
          <w:highlight w:val="none"/>
        </w:rPr>
        <w:t>宣布开标会开始。当众宣布参加开标会主持人(唱标人)、会议记录人以及根据情况邀请的现场监督人等工作人员，根据“投标文件递交登记表”宣布参加投标的供应商名单。</w:t>
      </w:r>
    </w:p>
    <w:p>
      <w:pPr>
        <w:pStyle w:val="69"/>
        <w:numPr>
          <w:ilvl w:val="3"/>
          <w:numId w:val="14"/>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宣布会场纪律和有关注意事项，根据投标人或者其推选的代表对投标文件密封的检查结果，当众宣布投标文件的密封情况。</w:t>
      </w:r>
    </w:p>
    <w:p>
      <w:pPr>
        <w:pStyle w:val="69"/>
        <w:numPr>
          <w:ilvl w:val="3"/>
          <w:numId w:val="14"/>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投标人不足3家的，不得开标。</w:t>
      </w:r>
    </w:p>
    <w:p>
      <w:pPr>
        <w:pStyle w:val="69"/>
        <w:numPr>
          <w:ilvl w:val="3"/>
          <w:numId w:val="14"/>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唱标。主持人宣布开标后，由现场工作人员按任意顺序对单独用于开标唱标的“开标一览表”当众进行拆封，由唱标人员宣读投标人名称、投标价格(价格折扣)、或招标文件允许提供的备选投标方案和投标文件的其他主要内容。未宣读的投标价格(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69"/>
        <w:numPr>
          <w:ilvl w:val="3"/>
          <w:numId w:val="14"/>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pStyle w:val="69"/>
        <w:numPr>
          <w:ilvl w:val="3"/>
          <w:numId w:val="14"/>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宣布开标会结束。主持人宣布开标会结束。所有投标人代表应立即退场(招标文件要求有演示、介绍等的除外)。同时所有投标人应保持通讯设备的畅通，以方便在评标过程中评标委员会要求投标人对投标文件的必要澄清。投标人自行在“四川政府采购网”查询评标结果。</w:t>
      </w:r>
    </w:p>
    <w:bookmarkEnd w:id="600"/>
    <w:bookmarkEnd w:id="601"/>
    <w:p>
      <w:pPr>
        <w:pStyle w:val="55"/>
        <w:numPr>
          <w:ilvl w:val="2"/>
          <w:numId w:val="14"/>
        </w:numPr>
        <w:ind w:left="0" w:firstLine="482"/>
        <w:rPr>
          <w:rFonts w:cs="宋体" w:asciiTheme="minorEastAsia" w:hAnsiTheme="minorEastAsia" w:eastAsiaTheme="minorEastAsia"/>
          <w:color w:val="auto"/>
          <w:highlight w:val="none"/>
        </w:rPr>
      </w:pPr>
      <w:bookmarkStart w:id="621" w:name="_Toc21326"/>
      <w:bookmarkStart w:id="622" w:name="_Toc128"/>
      <w:bookmarkStart w:id="623" w:name="_Toc6332"/>
      <w:r>
        <w:rPr>
          <w:rFonts w:hint="eastAsia" w:cs="宋体" w:asciiTheme="minorEastAsia" w:hAnsiTheme="minorEastAsia" w:eastAsiaTheme="minorEastAsia"/>
          <w:color w:val="auto"/>
          <w:highlight w:val="none"/>
        </w:rPr>
        <w:t>开评标过程存档</w:t>
      </w:r>
      <w:bookmarkEnd w:id="621"/>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开标和评标过程进行全过程电子监控，并将电子监控资料存储介质留存归档。</w:t>
      </w:r>
    </w:p>
    <w:p>
      <w:pPr>
        <w:pStyle w:val="55"/>
        <w:numPr>
          <w:ilvl w:val="2"/>
          <w:numId w:val="14"/>
        </w:numPr>
        <w:ind w:left="0" w:firstLine="482"/>
        <w:rPr>
          <w:rFonts w:cs="宋体" w:asciiTheme="minorEastAsia" w:hAnsiTheme="minorEastAsia" w:eastAsiaTheme="minorEastAsia"/>
          <w:color w:val="auto"/>
          <w:highlight w:val="none"/>
        </w:rPr>
      </w:pPr>
      <w:bookmarkStart w:id="624" w:name="_Toc29428"/>
      <w:bookmarkStart w:id="625" w:name="_Toc32453"/>
      <w:r>
        <w:rPr>
          <w:rFonts w:hint="eastAsia" w:cs="宋体" w:asciiTheme="minorEastAsia" w:hAnsiTheme="minorEastAsia" w:eastAsiaTheme="minorEastAsia"/>
          <w:color w:val="auto"/>
          <w:highlight w:val="none"/>
        </w:rPr>
        <w:t>中标结果</w:t>
      </w:r>
      <w:bookmarkEnd w:id="624"/>
    </w:p>
    <w:p>
      <w:pPr>
        <w:pStyle w:val="69"/>
        <w:numPr>
          <w:ilvl w:val="3"/>
          <w:numId w:val="0"/>
        </w:numPr>
        <w:ind w:firstLine="480" w:firstLineChars="200"/>
        <w:rPr>
          <w:color w:val="auto"/>
          <w:highlight w:val="none"/>
        </w:rPr>
      </w:pPr>
      <w:bookmarkStart w:id="626" w:name="_Toc21750"/>
      <w:bookmarkStart w:id="627" w:name="_Toc26659"/>
      <w:r>
        <w:rPr>
          <w:rFonts w:hint="eastAsia"/>
          <w:color w:val="auto"/>
          <w:highlight w:val="none"/>
        </w:rPr>
        <w:t>1.采购人确定中标供应商后，将及时书面通知采购代理机构，采购代理机构在中标供应商确定后2个工作日内，在“四川政府采购网”公告中标结果，同时向中标供应商发出中标通知书。</w:t>
      </w:r>
    </w:p>
    <w:p>
      <w:pPr>
        <w:pStyle w:val="69"/>
        <w:numPr>
          <w:ilvl w:val="3"/>
          <w:numId w:val="0"/>
        </w:numPr>
        <w:ind w:firstLine="480" w:firstLineChars="200"/>
        <w:rPr>
          <w:color w:val="auto"/>
          <w:highlight w:val="none"/>
        </w:rPr>
      </w:pPr>
      <w:r>
        <w:rPr>
          <w:rFonts w:hint="eastAsia"/>
          <w:color w:val="auto"/>
          <w:highlight w:val="none"/>
        </w:rPr>
        <w:t>2.采购项目需要交纳履约保证金的，中标供应商应当按照规定和要求及时向采购人交纳。</w:t>
      </w:r>
    </w:p>
    <w:p>
      <w:pPr>
        <w:pStyle w:val="69"/>
        <w:numPr>
          <w:ilvl w:val="3"/>
          <w:numId w:val="0"/>
        </w:numPr>
        <w:ind w:firstLine="480" w:firstLineChars="200"/>
        <w:rPr>
          <w:color w:val="auto"/>
          <w:highlight w:val="none"/>
        </w:rPr>
      </w:pPr>
      <w:bookmarkStart w:id="628" w:name="_Toc11136"/>
      <w:bookmarkStart w:id="629" w:name="_Toc24215"/>
      <w:r>
        <w:rPr>
          <w:rFonts w:hint="eastAsia"/>
          <w:color w:val="auto"/>
          <w:highlight w:val="none"/>
        </w:rPr>
        <w:t>3.投标人中标后应当及时领取中标通知书，不能及时领取或拒绝领取中标通知书的，采购代理机构将于中标供应商确定之日起两个工作日内采取邮寄、快递方式将中标通知书送达中标人。</w:t>
      </w:r>
      <w:bookmarkEnd w:id="628"/>
      <w:bookmarkEnd w:id="629"/>
    </w:p>
    <w:bookmarkEnd w:id="626"/>
    <w:bookmarkEnd w:id="627"/>
    <w:p>
      <w:pPr>
        <w:pStyle w:val="55"/>
        <w:numPr>
          <w:ilvl w:val="2"/>
          <w:numId w:val="14"/>
        </w:numPr>
        <w:ind w:left="0" w:firstLine="482"/>
        <w:rPr>
          <w:rFonts w:cs="宋体" w:asciiTheme="minorEastAsia" w:hAnsiTheme="minorEastAsia" w:eastAsiaTheme="minorEastAsia"/>
          <w:color w:val="auto"/>
          <w:highlight w:val="none"/>
        </w:rPr>
      </w:pPr>
      <w:bookmarkStart w:id="630" w:name="_Toc15110"/>
      <w:r>
        <w:rPr>
          <w:rFonts w:hint="eastAsia" w:cs="宋体" w:asciiTheme="minorEastAsia" w:hAnsiTheme="minorEastAsia" w:eastAsiaTheme="minorEastAsia"/>
          <w:color w:val="auto"/>
          <w:highlight w:val="none"/>
        </w:rPr>
        <w:t>中标通知</w:t>
      </w:r>
      <w:bookmarkEnd w:id="602"/>
      <w:bookmarkEnd w:id="603"/>
      <w:r>
        <w:rPr>
          <w:rFonts w:hint="eastAsia" w:cs="宋体" w:asciiTheme="minorEastAsia" w:hAnsiTheme="minorEastAsia" w:eastAsiaTheme="minorEastAsia"/>
          <w:color w:val="auto"/>
          <w:highlight w:val="none"/>
        </w:rPr>
        <w:t>书</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2"/>
      <w:bookmarkEnd w:id="623"/>
      <w:bookmarkEnd w:id="625"/>
      <w:bookmarkEnd w:id="630"/>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中标通知书为签订政府采购合同的依据，是合同的有效组成部分。</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中标通知书对采购人和中标人均具有法律效力。中标通知书发出后，采购人改变中标结果，或者中标人无正当理由放弃中标的，应当承担相应的法律责任。</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49"/>
        <w:spacing w:before="120" w:after="120"/>
        <w:rPr>
          <w:rFonts w:cs="宋体" w:asciiTheme="minorEastAsia" w:hAnsiTheme="minorEastAsia" w:eastAsiaTheme="minorEastAsia"/>
          <w:color w:val="auto"/>
          <w:highlight w:val="none"/>
        </w:rPr>
      </w:pPr>
      <w:bookmarkStart w:id="631" w:name="_Toc13383"/>
      <w:bookmarkStart w:id="632" w:name="_Toc30422"/>
      <w:bookmarkStart w:id="633" w:name="_Toc10801"/>
      <w:bookmarkStart w:id="634" w:name="_Toc217446064"/>
      <w:bookmarkStart w:id="635" w:name="_Toc2685"/>
      <w:bookmarkStart w:id="636" w:name="_Toc10354"/>
      <w:bookmarkStart w:id="637" w:name="_Toc327196290"/>
      <w:bookmarkStart w:id="638" w:name="_Toc183582240"/>
      <w:bookmarkStart w:id="639" w:name="_Toc183682377"/>
      <w:r>
        <w:rPr>
          <w:rFonts w:hint="eastAsia" w:cs="宋体" w:asciiTheme="minorEastAsia" w:hAnsiTheme="minorEastAsia" w:eastAsiaTheme="minorEastAsia"/>
          <w:color w:val="auto"/>
          <w:highlight w:val="none"/>
        </w:rPr>
        <w:t>签订及履行合同和验收</w:t>
      </w:r>
      <w:bookmarkEnd w:id="631"/>
      <w:bookmarkEnd w:id="632"/>
      <w:bookmarkEnd w:id="633"/>
      <w:bookmarkEnd w:id="634"/>
      <w:bookmarkEnd w:id="635"/>
      <w:bookmarkEnd w:id="636"/>
      <w:bookmarkEnd w:id="637"/>
    </w:p>
    <w:p>
      <w:pPr>
        <w:pStyle w:val="55"/>
        <w:numPr>
          <w:ilvl w:val="2"/>
          <w:numId w:val="16"/>
        </w:numPr>
        <w:ind w:left="0" w:firstLine="482"/>
        <w:rPr>
          <w:rFonts w:cs="宋体" w:asciiTheme="minorEastAsia" w:hAnsiTheme="minorEastAsia" w:eastAsiaTheme="minorEastAsia"/>
          <w:color w:val="auto"/>
          <w:highlight w:val="none"/>
        </w:rPr>
      </w:pPr>
      <w:bookmarkStart w:id="640" w:name="_Toc4460"/>
      <w:bookmarkStart w:id="641" w:name="_Toc307501114"/>
      <w:bookmarkStart w:id="642" w:name="_Toc217446065"/>
      <w:bookmarkStart w:id="643" w:name="_Toc308188157"/>
      <w:bookmarkStart w:id="644" w:name="_Toc5659"/>
      <w:bookmarkStart w:id="645" w:name="_Toc309897520"/>
      <w:bookmarkStart w:id="646" w:name="_Toc4408"/>
      <w:bookmarkStart w:id="647" w:name="_Toc27989"/>
      <w:bookmarkStart w:id="648" w:name="_Toc20427"/>
      <w:bookmarkStart w:id="649" w:name="_Toc24949"/>
      <w:bookmarkStart w:id="650" w:name="_Toc27214"/>
      <w:bookmarkStart w:id="651" w:name="_Toc3130"/>
      <w:bookmarkStart w:id="652" w:name="_Toc327196291"/>
      <w:bookmarkStart w:id="653" w:name="_Toc9464"/>
      <w:bookmarkStart w:id="654" w:name="_Toc319440147"/>
      <w:bookmarkStart w:id="655" w:name="_Toc25992"/>
      <w:bookmarkStart w:id="656" w:name="_Toc308084602"/>
      <w:bookmarkStart w:id="657" w:name="_Toc319439905"/>
      <w:bookmarkStart w:id="658" w:name="_Toc307564857"/>
      <w:bookmarkStart w:id="659" w:name="_Toc515"/>
      <w:bookmarkStart w:id="660" w:name="_Toc16835"/>
      <w:r>
        <w:rPr>
          <w:rFonts w:hint="eastAsia" w:cs="宋体" w:asciiTheme="minorEastAsia" w:hAnsiTheme="minorEastAsia" w:eastAsiaTheme="minorEastAsia"/>
          <w:color w:val="auto"/>
          <w:highlight w:val="none"/>
        </w:rPr>
        <w:t>签订合同</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69"/>
        <w:numPr>
          <w:ilvl w:val="3"/>
          <w:numId w:val="12"/>
        </w:numPr>
        <w:ind w:left="0" w:firstLine="480" w:firstLineChars="200"/>
        <w:rPr>
          <w:rFonts w:cs="宋体" w:asciiTheme="minorEastAsia" w:hAnsiTheme="minorEastAsia" w:eastAsiaTheme="minorEastAsia"/>
          <w:color w:val="auto"/>
          <w:highlight w:val="none"/>
        </w:rPr>
      </w:pPr>
      <w:bookmarkStart w:id="661" w:name="_Toc31397"/>
      <w:bookmarkStart w:id="662" w:name="_Toc309897521"/>
      <w:bookmarkStart w:id="663" w:name="_Toc307501115"/>
      <w:bookmarkStart w:id="664" w:name="_Toc308188158"/>
      <w:bookmarkStart w:id="665" w:name="_Toc319439906"/>
      <w:bookmarkStart w:id="666" w:name="_Toc327196292"/>
      <w:bookmarkStart w:id="667" w:name="_Toc217446066"/>
      <w:bookmarkStart w:id="668" w:name="_Toc31670"/>
      <w:bookmarkStart w:id="669" w:name="_Toc319440148"/>
      <w:bookmarkStart w:id="670" w:name="_Toc20139"/>
      <w:bookmarkStart w:id="671" w:name="_Toc308084603"/>
      <w:bookmarkStart w:id="672" w:name="_Toc12489"/>
      <w:bookmarkStart w:id="673" w:name="_Toc307564858"/>
      <w:bookmarkStart w:id="674" w:name="_Toc3758"/>
      <w:bookmarkStart w:id="675" w:name="_Toc12852"/>
      <w:bookmarkStart w:id="676" w:name="_Toc25756"/>
      <w:bookmarkStart w:id="677" w:name="_Toc24196"/>
      <w:bookmarkStart w:id="678" w:name="_Toc26000"/>
      <w:bookmarkStart w:id="679" w:name="_Toc29795"/>
      <w:r>
        <w:rPr>
          <w:rFonts w:hint="eastAsia" w:cs="宋体" w:asciiTheme="minorEastAsia" w:hAnsiTheme="minorEastAsia" w:eastAsiaTheme="minorEastAsia"/>
          <w:color w:val="auto"/>
          <w:highlight w:val="none"/>
        </w:rPr>
        <w:t>中标人在收到采购代理机构发出的《中标通知书》后，应在中标通知书发出之日起30日内与采购人签订采购合同。由于中标人的原因逾期未与采购人签订采购合同的，将视为放弃中标，取消其中标资格并将按相关规定进行处理。</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政府采购合同应当包括采购人与中标人的名称和住所、标的、数量、质量、价款或者报酬、履行期限及地点和方式、验收要求、违约责任、解决争议的方法等内容。</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本项目的招标文件、中标供应商提交的投标文件、评审中的澄清、中标通知书等文件均具有法律约束力，属于合同组成部分。</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中标人因不可抗力原因不能履行采购合同或放弃中标的，采购人可以与排在中标人之后第一位的中标候选人签订采购合同，以此类推。</w:t>
      </w:r>
    </w:p>
    <w:p>
      <w:pPr>
        <w:pStyle w:val="69"/>
        <w:numPr>
          <w:ilvl w:val="3"/>
          <w:numId w:val="12"/>
        </w:numPr>
        <w:ind w:left="0"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中标人在合同签订之后2个工作日内，将签订的合同(1份)送采购代理机构进行归档留存。</w:t>
      </w:r>
    </w:p>
    <w:p>
      <w:pPr>
        <w:pStyle w:val="55"/>
        <w:numPr>
          <w:ilvl w:val="2"/>
          <w:numId w:val="16"/>
        </w:numPr>
        <w:ind w:left="0" w:firstLine="482"/>
        <w:rPr>
          <w:rFonts w:cs="宋体" w:asciiTheme="minorEastAsia" w:hAnsiTheme="minorEastAsia" w:eastAsiaTheme="minorEastAsia"/>
          <w:color w:val="auto"/>
          <w:highlight w:val="none"/>
        </w:rPr>
      </w:pPr>
      <w:bookmarkStart w:id="680" w:name="_Toc24189"/>
      <w:bookmarkStart w:id="681" w:name="_Toc12864"/>
      <w:r>
        <w:rPr>
          <w:rFonts w:hint="eastAsia" w:cs="宋体" w:asciiTheme="minorEastAsia" w:hAnsiTheme="minorEastAsia" w:eastAsiaTheme="minorEastAsia"/>
          <w:color w:val="auto"/>
          <w:highlight w:val="none"/>
        </w:rPr>
        <w:t>合同</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Pr>
          <w:rFonts w:hint="eastAsia" w:cs="宋体" w:asciiTheme="minorEastAsia" w:hAnsiTheme="minorEastAsia" w:eastAsiaTheme="minorEastAsia"/>
          <w:color w:val="auto"/>
          <w:highlight w:val="none"/>
        </w:rPr>
        <w:t>分包</w:t>
      </w:r>
      <w:bookmarkEnd w:id="676"/>
      <w:bookmarkEnd w:id="677"/>
      <w:r>
        <w:rPr>
          <w:rFonts w:hint="eastAsia" w:cs="宋体" w:asciiTheme="minorEastAsia" w:hAnsiTheme="minorEastAsia" w:eastAsiaTheme="minorEastAsia"/>
          <w:color w:val="auto"/>
          <w:highlight w:val="none"/>
        </w:rPr>
        <w:t>(实质性要求)</w:t>
      </w:r>
      <w:bookmarkEnd w:id="678"/>
      <w:bookmarkEnd w:id="679"/>
      <w:bookmarkEnd w:id="680"/>
      <w:bookmarkEnd w:id="681"/>
    </w:p>
    <w:p>
      <w:pPr>
        <w:pStyle w:val="52"/>
        <w:numPr>
          <w:ilvl w:val="0"/>
          <w:numId w:val="17"/>
        </w:numPr>
        <w:rPr>
          <w:rFonts w:cs="宋体" w:asciiTheme="minorEastAsia" w:hAnsiTheme="minorEastAsia" w:eastAsiaTheme="minorEastAsia"/>
          <w:color w:val="000000" w:themeColor="text1"/>
          <w:highlight w:val="none"/>
          <w14:textFill>
            <w14:solidFill>
              <w14:schemeClr w14:val="tx1"/>
            </w14:solidFill>
          </w14:textFill>
        </w:rPr>
      </w:pPr>
      <w:bookmarkStart w:id="682" w:name="_Toc217446067"/>
      <w:bookmarkStart w:id="683" w:name="_Toc308188159"/>
      <w:bookmarkStart w:id="684" w:name="_Toc29332"/>
      <w:bookmarkStart w:id="685" w:name="_Toc29842"/>
      <w:bookmarkStart w:id="686" w:name="_Toc319439907"/>
      <w:bookmarkStart w:id="687" w:name="_Toc29552"/>
      <w:bookmarkStart w:id="688" w:name="_Toc308084604"/>
      <w:bookmarkStart w:id="689" w:name="_Toc319440149"/>
      <w:bookmarkStart w:id="690" w:name="_Toc16143"/>
      <w:bookmarkStart w:id="691" w:name="_Toc30954"/>
      <w:bookmarkStart w:id="692" w:name="_Toc307501116"/>
      <w:bookmarkStart w:id="693" w:name="_Toc19999"/>
      <w:bookmarkStart w:id="694" w:name="_Toc309897522"/>
      <w:bookmarkStart w:id="695" w:name="_Toc15644"/>
      <w:bookmarkStart w:id="696" w:name="_Toc30827"/>
      <w:bookmarkStart w:id="697" w:name="_Toc307564859"/>
      <w:bookmarkStart w:id="698" w:name="_Toc327196293"/>
      <w:r>
        <w:rPr>
          <w:rFonts w:hint="eastAsia" w:cs="宋体" w:asciiTheme="minorEastAsia" w:hAnsiTheme="minorEastAsia" w:eastAsiaTheme="minorEastAsia"/>
          <w:color w:val="000000" w:themeColor="text1"/>
          <w:highlight w:val="none"/>
          <w14:textFill>
            <w14:solidFill>
              <w14:schemeClr w14:val="tx1"/>
            </w14:solidFill>
          </w14:textFill>
        </w:rPr>
        <w:t>本项目第一包投标人应以合同分包形式进行投标。</w:t>
      </w:r>
    </w:p>
    <w:p>
      <w:pPr>
        <w:pStyle w:val="52"/>
        <w:numPr>
          <w:ilvl w:val="255"/>
          <w:numId w:val="0"/>
        </w:num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2、具体约定详见分包意向协议。</w:t>
      </w:r>
    </w:p>
    <w:p>
      <w:pPr>
        <w:pStyle w:val="55"/>
        <w:numPr>
          <w:ilvl w:val="2"/>
          <w:numId w:val="16"/>
        </w:numPr>
        <w:ind w:left="0" w:firstLine="482"/>
        <w:rPr>
          <w:rFonts w:cs="宋体" w:asciiTheme="minorEastAsia" w:hAnsiTheme="minorEastAsia" w:eastAsiaTheme="minorEastAsia"/>
          <w:color w:val="auto"/>
          <w:highlight w:val="none"/>
        </w:rPr>
      </w:pPr>
      <w:bookmarkStart w:id="699" w:name="_Toc5242"/>
      <w:bookmarkStart w:id="700" w:name="_Toc28937"/>
      <w:bookmarkStart w:id="701" w:name="_Toc29526"/>
      <w:bookmarkStart w:id="702" w:name="_Toc20433"/>
      <w:r>
        <w:rPr>
          <w:rFonts w:hint="eastAsia" w:cs="宋体" w:asciiTheme="minorEastAsia" w:hAnsiTheme="minorEastAsia" w:eastAsiaTheme="minorEastAsia"/>
          <w:color w:val="auto"/>
          <w:highlight w:val="none"/>
        </w:rPr>
        <w:t>合同转包(实质性要求)</w:t>
      </w:r>
      <w:bookmarkEnd w:id="699"/>
      <w:bookmarkEnd w:id="700"/>
      <w:bookmarkEnd w:id="701"/>
      <w:bookmarkEnd w:id="702"/>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中标人转包的，视同拒绝履行政府采购合同义务，将依法追究法律责任。</w:t>
      </w:r>
    </w:p>
    <w:p>
      <w:pPr>
        <w:pStyle w:val="55"/>
        <w:numPr>
          <w:ilvl w:val="2"/>
          <w:numId w:val="16"/>
        </w:numPr>
        <w:ind w:left="0" w:firstLine="482"/>
        <w:rPr>
          <w:rFonts w:cs="宋体" w:asciiTheme="minorEastAsia" w:hAnsiTheme="minorEastAsia" w:eastAsiaTheme="minorEastAsia"/>
          <w:color w:val="auto"/>
          <w:highlight w:val="none"/>
        </w:rPr>
      </w:pPr>
      <w:bookmarkStart w:id="703" w:name="_Toc12603"/>
      <w:bookmarkStart w:id="704" w:name="_Toc11992"/>
      <w:bookmarkStart w:id="705" w:name="_Toc4064"/>
      <w:bookmarkStart w:id="706" w:name="_Toc9592"/>
      <w:r>
        <w:rPr>
          <w:rFonts w:hint="eastAsia" w:cs="宋体" w:asciiTheme="minorEastAsia" w:hAnsiTheme="minorEastAsia" w:eastAsiaTheme="minorEastAsia"/>
          <w:color w:val="auto"/>
          <w:highlight w:val="none"/>
        </w:rPr>
        <w:t>补充合同</w:t>
      </w:r>
      <w:bookmarkEnd w:id="703"/>
      <w:bookmarkEnd w:id="704"/>
      <w:bookmarkEnd w:id="705"/>
      <w:bookmarkEnd w:id="706"/>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p>
      <w:pPr>
        <w:pStyle w:val="55"/>
        <w:numPr>
          <w:ilvl w:val="2"/>
          <w:numId w:val="16"/>
        </w:numPr>
        <w:ind w:left="0" w:firstLine="482"/>
        <w:rPr>
          <w:rFonts w:cs="宋体" w:asciiTheme="minorEastAsia" w:hAnsiTheme="minorEastAsia" w:eastAsiaTheme="minorEastAsia"/>
          <w:color w:val="auto"/>
          <w:highlight w:val="none"/>
        </w:rPr>
      </w:pPr>
      <w:bookmarkStart w:id="707" w:name="_Toc12689"/>
      <w:bookmarkStart w:id="708" w:name="_Toc13715"/>
      <w:bookmarkStart w:id="709" w:name="_Toc30638"/>
      <w:bookmarkStart w:id="710" w:name="_Toc30012"/>
      <w:r>
        <w:rPr>
          <w:rFonts w:hint="eastAsia" w:cs="宋体" w:asciiTheme="minorEastAsia" w:hAnsiTheme="minorEastAsia" w:eastAsiaTheme="minorEastAsia"/>
          <w:color w:val="auto"/>
          <w:highlight w:val="none"/>
        </w:rPr>
        <w:t>合同公告</w:t>
      </w:r>
      <w:bookmarkEnd w:id="707"/>
      <w:bookmarkEnd w:id="708"/>
      <w:bookmarkEnd w:id="709"/>
      <w:r>
        <w:rPr>
          <w:rFonts w:hint="eastAsia" w:cs="宋体" w:asciiTheme="minorEastAsia" w:hAnsiTheme="minorEastAsia" w:eastAsiaTheme="minorEastAsia"/>
          <w:color w:val="auto"/>
          <w:highlight w:val="none"/>
        </w:rPr>
        <w:t>备案</w:t>
      </w:r>
      <w:bookmarkEnd w:id="710"/>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人应当自政府采购合同签订(双方当事人均已签字盖章)之日起2个工作日内，将政府采购合同在省级以上人民政府财政部门指定的媒体“四川政府采购网”公告(包含联合体协议和分包意向协议，分包意向协议公开仅限于享受了政府采购相关扶持政策的情形)，但政府采购合同中涉及国家秘密、商业秘密的内容除外。</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采购人应当将政府采购合同副本自签订(双方当事人均已签字盖章)之日起七个工作日内通过“四川政府采购网”报同级财政部门备案。</w:t>
      </w:r>
    </w:p>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Pr>
        <w:pStyle w:val="55"/>
        <w:numPr>
          <w:ilvl w:val="2"/>
          <w:numId w:val="16"/>
        </w:numPr>
        <w:ind w:left="0" w:firstLine="482"/>
        <w:rPr>
          <w:rFonts w:cs="宋体" w:asciiTheme="minorEastAsia" w:hAnsiTheme="minorEastAsia" w:eastAsiaTheme="minorEastAsia"/>
          <w:color w:val="auto"/>
          <w:highlight w:val="none"/>
        </w:rPr>
      </w:pPr>
      <w:bookmarkStart w:id="711" w:name="_Toc308164812"/>
      <w:bookmarkStart w:id="712" w:name="_Toc24147"/>
      <w:bookmarkStart w:id="713" w:name="_Toc28540"/>
      <w:bookmarkStart w:id="714" w:name="_Toc24237"/>
      <w:bookmarkStart w:id="715" w:name="_Toc31704"/>
      <w:bookmarkStart w:id="716" w:name="_Toc307564860"/>
      <w:bookmarkStart w:id="717" w:name="_Toc28404"/>
      <w:bookmarkStart w:id="718" w:name="_Toc22746"/>
      <w:bookmarkStart w:id="719" w:name="_Toc217446068"/>
      <w:bookmarkStart w:id="720" w:name="_Toc27331"/>
      <w:bookmarkStart w:id="721" w:name="_Toc308188160"/>
      <w:bookmarkStart w:id="722" w:name="_Toc11533"/>
      <w:bookmarkStart w:id="723" w:name="_Toc327196294"/>
      <w:bookmarkStart w:id="724" w:name="_Toc30856"/>
      <w:bookmarkStart w:id="725" w:name="_Toc308084605"/>
      <w:bookmarkStart w:id="726" w:name="_Toc319439908"/>
      <w:bookmarkStart w:id="727" w:name="_Toc19537"/>
      <w:bookmarkStart w:id="728" w:name="_Toc307501117"/>
      <w:bookmarkStart w:id="729" w:name="_Toc309897523"/>
      <w:bookmarkStart w:id="730" w:name="_Toc16034"/>
      <w:bookmarkStart w:id="731" w:name="_Toc319440150"/>
      <w:bookmarkStart w:id="732" w:name="_Toc27686"/>
      <w:r>
        <w:rPr>
          <w:rFonts w:hint="eastAsia" w:cs="宋体" w:asciiTheme="minorEastAsia" w:hAnsiTheme="minorEastAsia" w:eastAsiaTheme="minorEastAsia"/>
          <w:color w:val="auto"/>
          <w:highlight w:val="none"/>
        </w:rPr>
        <w:t>履约保证金</w:t>
      </w:r>
      <w:bookmarkEnd w:id="711"/>
      <w:r>
        <w:rPr>
          <w:rFonts w:hint="eastAsia" w:cs="宋体" w:asciiTheme="minorEastAsia" w:hAnsiTheme="minorEastAsia" w:eastAsiaTheme="minorEastAsia"/>
          <w:color w:val="auto"/>
          <w:highlight w:val="none"/>
        </w:rPr>
        <w:t>(实质性要求)</w:t>
      </w:r>
      <w:bookmarkEnd w:id="712"/>
      <w:bookmarkEnd w:id="713"/>
      <w:bookmarkEnd w:id="714"/>
      <w:bookmarkEnd w:id="715"/>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1.金额：</w:t>
      </w:r>
      <w:r>
        <w:rPr>
          <w:rFonts w:hint="eastAsia" w:cs="宋体" w:asciiTheme="minorEastAsia" w:hAnsiTheme="minorEastAsia" w:eastAsiaTheme="minorEastAsia"/>
          <w:color w:val="000000" w:themeColor="text1"/>
          <w:sz w:val="24"/>
          <w:highlight w:val="none"/>
          <w14:textFill>
            <w14:solidFill>
              <w14:schemeClr w14:val="tx1"/>
            </w14:solidFill>
          </w14:textFill>
        </w:rPr>
        <w:t>采购合同金额</w:t>
      </w:r>
      <w:r>
        <w:rPr>
          <w:rFonts w:cs="宋体" w:asciiTheme="minorEastAsia" w:hAnsiTheme="minorEastAsia" w:eastAsiaTheme="minorEastAsia"/>
          <w:color w:val="000000" w:themeColor="text1"/>
          <w:sz w:val="24"/>
          <w:highlight w:val="none"/>
          <w14:textFill>
            <w14:solidFill>
              <w14:schemeClr w14:val="tx1"/>
            </w14:solidFill>
          </w14:textFill>
        </w:rPr>
        <w:t>的5%。</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2.履约保证金：由采购人收取。</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3.交款方式：履约保证金可以以支票、汇票、本票或者金融机构出具的保函等非现金形式提交</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包括网银转账，电汇等方式</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。不接受以现金及个人名义汇款交纳的履约保证金。</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4.交纳要求：转款户名必须与</w:t>
      </w:r>
      <w:r>
        <w:rPr>
          <w:rFonts w:hint="eastAsia" w:cs="宋体" w:asciiTheme="minorEastAsia" w:hAnsiTheme="minorEastAsia" w:eastAsiaTheme="minorEastAsia"/>
          <w:color w:val="000000" w:themeColor="text1"/>
          <w:sz w:val="24"/>
          <w:highlight w:val="none"/>
          <w14:textFill>
            <w14:solidFill>
              <w14:schemeClr w14:val="tx1"/>
            </w14:solidFill>
          </w14:textFill>
        </w:rPr>
        <w:t>投标单位</w:t>
      </w:r>
      <w:r>
        <w:rPr>
          <w:rFonts w:cs="宋体" w:asciiTheme="minorEastAsia" w:hAnsiTheme="minorEastAsia" w:eastAsiaTheme="minorEastAsia"/>
          <w:color w:val="000000" w:themeColor="text1"/>
          <w:sz w:val="24"/>
          <w:highlight w:val="none"/>
          <w14:textFill>
            <w14:solidFill>
              <w14:schemeClr w14:val="tx1"/>
            </w14:solidFill>
          </w14:textFill>
        </w:rPr>
        <w:t>名称一致，不接受其它方式交纳。</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5.交款时间：中标通知书发放后，政府采购合同签订前。</w:t>
      </w:r>
      <w:r>
        <w:rPr>
          <w:rFonts w:cs="宋体" w:asciiTheme="minorEastAsia" w:hAnsiTheme="minorEastAsia" w:eastAsiaTheme="minorEastAsia"/>
          <w:color w:val="000000" w:themeColor="text1"/>
          <w:sz w:val="24"/>
          <w:highlight w:val="none"/>
          <w14:textFill>
            <w14:solidFill>
              <w14:schemeClr w14:val="tx1"/>
            </w14:solidFill>
          </w14:textFill>
        </w:rPr>
        <w:br w:type="textWrapping"/>
      </w:r>
      <w:r>
        <w:rPr>
          <w:rFonts w:cs="宋体" w:asciiTheme="minorEastAsia" w:hAnsiTheme="minorEastAsia" w:eastAsiaTheme="minorEastAsia"/>
          <w:color w:val="000000" w:themeColor="text1"/>
          <w:sz w:val="24"/>
          <w:highlight w:val="none"/>
          <w14:textFill>
            <w14:solidFill>
              <w14:schemeClr w14:val="tx1"/>
            </w14:solidFill>
          </w14:textFill>
        </w:rPr>
        <w:t>注：</w:t>
      </w:r>
      <w:r>
        <w:rPr>
          <w:rFonts w:hint="eastAsia" w:cs="宋体" w:asciiTheme="minorEastAsia" w:hAnsiTheme="minorEastAsia" w:eastAsiaTheme="minorEastAsia"/>
          <w:color w:val="000000" w:themeColor="text1"/>
          <w:sz w:val="24"/>
          <w:highlight w:val="none"/>
          <w14:textFill>
            <w14:solidFill>
              <w14:schemeClr w14:val="tx1"/>
            </w14:solidFill>
          </w14:textFill>
        </w:rPr>
        <w:t>①</w:t>
      </w:r>
      <w:r>
        <w:rPr>
          <w:rFonts w:cs="宋体" w:asciiTheme="minorEastAsia" w:hAnsiTheme="minorEastAsia" w:eastAsiaTheme="minorEastAsia"/>
          <w:color w:val="000000" w:themeColor="text1"/>
          <w:sz w:val="24"/>
          <w:highlight w:val="none"/>
          <w14:textFill>
            <w14:solidFill>
              <w14:schemeClr w14:val="tx1"/>
            </w14:solidFill>
          </w14:textFill>
        </w:rPr>
        <w:t>提供保函的的担保机构必须是依法成立的具有相关资质和偿付能力的担保机构。保函是银行等金融机构出具的，保函必须要在中国人民银行征信系统能够进行查询，否则将取消</w:t>
      </w:r>
      <w:r>
        <w:rPr>
          <w:rFonts w:hint="eastAsia" w:cs="宋体" w:asciiTheme="minorEastAsia" w:hAnsiTheme="minorEastAsia" w:eastAsiaTheme="minorEastAsia"/>
          <w:color w:val="000000" w:themeColor="text1"/>
          <w:sz w:val="24"/>
          <w:highlight w:val="none"/>
          <w14:textFill>
            <w14:solidFill>
              <w14:schemeClr w14:val="tx1"/>
            </w14:solidFill>
          </w14:textFill>
        </w:rPr>
        <w:t>中标</w:t>
      </w:r>
      <w:r>
        <w:rPr>
          <w:rFonts w:cs="宋体" w:asciiTheme="minorEastAsia" w:hAnsiTheme="minorEastAsia" w:eastAsiaTheme="minorEastAsia"/>
          <w:color w:val="000000" w:themeColor="text1"/>
          <w:sz w:val="24"/>
          <w:highlight w:val="none"/>
          <w14:textFill>
            <w14:solidFill>
              <w14:schemeClr w14:val="tx1"/>
            </w14:solidFill>
          </w14:textFill>
        </w:rPr>
        <w:t>资格，采购人将重新确定</w:t>
      </w:r>
      <w:r>
        <w:rPr>
          <w:rFonts w:hint="eastAsia" w:cs="宋体" w:asciiTheme="minorEastAsia" w:hAnsiTheme="minorEastAsia" w:eastAsiaTheme="minorEastAsia"/>
          <w:color w:val="000000" w:themeColor="text1"/>
          <w:sz w:val="24"/>
          <w:highlight w:val="none"/>
          <w14:textFill>
            <w14:solidFill>
              <w14:schemeClr w14:val="tx1"/>
            </w14:solidFill>
          </w14:textFill>
        </w:rPr>
        <w:t>中标单位</w:t>
      </w:r>
      <w:r>
        <w:rPr>
          <w:rFonts w:cs="宋体" w:asciiTheme="minorEastAsia" w:hAnsiTheme="minorEastAsia" w:eastAsiaTheme="minorEastAsia"/>
          <w:color w:val="000000" w:themeColor="text1"/>
          <w:sz w:val="24"/>
          <w:highlight w:val="none"/>
          <w14:textFill>
            <w14:solidFill>
              <w14:schemeClr w14:val="tx1"/>
            </w14:solidFill>
          </w14:textFill>
        </w:rPr>
        <w:t>，并依法追究法律责任。</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②</w:t>
      </w:r>
      <w:r>
        <w:rPr>
          <w:rFonts w:cs="宋体" w:asciiTheme="minorEastAsia" w:hAnsiTheme="minorEastAsia" w:eastAsiaTheme="minorEastAsia"/>
          <w:color w:val="000000" w:themeColor="text1"/>
          <w:sz w:val="24"/>
          <w:highlight w:val="none"/>
          <w14:textFill>
            <w14:solidFill>
              <w14:schemeClr w14:val="tx1"/>
            </w14:solidFill>
          </w14:textFill>
        </w:rPr>
        <w:t>履约保证金退还方式：</w:t>
      </w:r>
      <w:r>
        <w:rPr>
          <w:rFonts w:hint="eastAsia" w:cs="宋体" w:asciiTheme="minorEastAsia" w:hAnsiTheme="minorEastAsia" w:eastAsiaTheme="minorEastAsia"/>
          <w:color w:val="000000" w:themeColor="text1"/>
          <w:sz w:val="24"/>
          <w:highlight w:val="none"/>
          <w14:textFill>
            <w14:solidFill>
              <w14:schemeClr w14:val="tx1"/>
            </w14:solidFill>
          </w14:textFill>
        </w:rPr>
        <w:t>验收通过后</w:t>
      </w:r>
      <w:r>
        <w:rPr>
          <w:rFonts w:cs="宋体" w:asciiTheme="minorEastAsia" w:hAnsiTheme="minorEastAsia" w:eastAsiaTheme="minorEastAsia"/>
          <w:color w:val="000000" w:themeColor="text1"/>
          <w:sz w:val="24"/>
          <w:highlight w:val="none"/>
          <w14:textFill>
            <w14:solidFill>
              <w14:schemeClr w14:val="tx1"/>
            </w14:solidFill>
          </w14:textFill>
        </w:rPr>
        <w:t>30个工作日内按原路径退还。</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③</w:t>
      </w:r>
      <w:r>
        <w:rPr>
          <w:rFonts w:cs="宋体" w:asciiTheme="minorEastAsia" w:hAnsiTheme="minorEastAsia" w:eastAsiaTheme="minorEastAsia"/>
          <w:color w:val="000000" w:themeColor="text1"/>
          <w:sz w:val="24"/>
          <w:highlight w:val="none"/>
          <w14:textFill>
            <w14:solidFill>
              <w14:schemeClr w14:val="tx1"/>
            </w14:solidFill>
          </w14:textFill>
        </w:rPr>
        <w:t>履约保证金退还时间：</w:t>
      </w:r>
      <w:r>
        <w:rPr>
          <w:rFonts w:hint="eastAsia" w:cs="宋体" w:asciiTheme="minorEastAsia" w:hAnsiTheme="minorEastAsia" w:eastAsiaTheme="minorEastAsia"/>
          <w:color w:val="000000" w:themeColor="text1"/>
          <w:sz w:val="24"/>
          <w:highlight w:val="none"/>
          <w14:textFill>
            <w14:solidFill>
              <w14:schemeClr w14:val="tx1"/>
            </w14:solidFill>
          </w14:textFill>
        </w:rPr>
        <w:t>除中标合同规定的不予退还的情形及法律法规规定的其他情形外，中标单位按时如约履行合同后，采购人应在本项目通过验收后</w:t>
      </w:r>
      <w:r>
        <w:rPr>
          <w:rFonts w:cs="宋体" w:asciiTheme="minorEastAsia" w:hAnsiTheme="minorEastAsia" w:eastAsiaTheme="minorEastAsia"/>
          <w:color w:val="000000" w:themeColor="text1"/>
          <w:sz w:val="24"/>
          <w:highlight w:val="none"/>
          <w14:textFill>
            <w14:solidFill>
              <w14:schemeClr w14:val="tx1"/>
            </w14:solidFill>
          </w14:textFill>
        </w:rPr>
        <w:t>30个工作日内退还履约保证金。</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④</w:t>
      </w:r>
      <w:r>
        <w:rPr>
          <w:rFonts w:cs="宋体" w:asciiTheme="minorEastAsia" w:hAnsiTheme="minorEastAsia" w:eastAsiaTheme="minorEastAsia"/>
          <w:color w:val="000000" w:themeColor="text1"/>
          <w:sz w:val="24"/>
          <w:highlight w:val="none"/>
          <w14:textFill>
            <w14:solidFill>
              <w14:schemeClr w14:val="tx1"/>
            </w14:solidFill>
          </w14:textFill>
        </w:rPr>
        <w:t>履约保证金不予退还情形：</w:t>
      </w:r>
      <w:r>
        <w:rPr>
          <w:rFonts w:hint="eastAsia" w:cs="宋体" w:asciiTheme="minorEastAsia" w:hAnsiTheme="minorEastAsia" w:eastAsiaTheme="minorEastAsia"/>
          <w:color w:val="000000" w:themeColor="text1"/>
          <w:sz w:val="24"/>
          <w:highlight w:val="none"/>
          <w14:textFill>
            <w14:solidFill>
              <w14:schemeClr w14:val="tx1"/>
            </w14:solidFill>
          </w14:textFill>
        </w:rPr>
        <w:t>中标合同规定的不予退还的情形及法律法规规定的其他情形</w:t>
      </w:r>
      <w:r>
        <w:rPr>
          <w:rFonts w:cs="宋体" w:asciiTheme="minorEastAsia" w:hAnsiTheme="minorEastAsia" w:eastAsiaTheme="minorEastAsia"/>
          <w:color w:val="000000" w:themeColor="text1"/>
          <w:sz w:val="24"/>
          <w:highlight w:val="none"/>
          <w14:textFill>
            <w14:solidFill>
              <w14:schemeClr w14:val="tx1"/>
            </w14:solidFill>
          </w14:textFill>
        </w:rPr>
        <w:t>。</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⑤履约保证金不予退还的，将按照有关规定上缴国库。逾期退还履约保证金的，将依法承担法律责任，并赔偿供应商损失。</w:t>
      </w:r>
    </w:p>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Pr>
        <w:pStyle w:val="55"/>
        <w:numPr>
          <w:ilvl w:val="2"/>
          <w:numId w:val="16"/>
        </w:numPr>
        <w:ind w:left="0" w:firstLine="482"/>
        <w:rPr>
          <w:rFonts w:cs="宋体" w:asciiTheme="minorEastAsia" w:hAnsiTheme="minorEastAsia" w:eastAsiaTheme="minorEastAsia"/>
          <w:color w:val="auto"/>
          <w:highlight w:val="none"/>
        </w:rPr>
      </w:pPr>
      <w:bookmarkStart w:id="733" w:name="_Toc28918"/>
      <w:bookmarkStart w:id="734" w:name="_Toc29503"/>
      <w:bookmarkStart w:id="735" w:name="_Toc15310"/>
      <w:bookmarkStart w:id="736" w:name="_Toc13194"/>
      <w:bookmarkStart w:id="737" w:name="_Toc319440152"/>
      <w:bookmarkStart w:id="738" w:name="_Toc15219"/>
      <w:bookmarkStart w:id="739" w:name="_Toc307501119"/>
      <w:bookmarkStart w:id="740" w:name="_Toc27114"/>
      <w:bookmarkStart w:id="741" w:name="_Toc18547"/>
      <w:bookmarkStart w:id="742" w:name="_Toc327196296"/>
      <w:bookmarkStart w:id="743" w:name="_Toc217446070"/>
      <w:bookmarkStart w:id="744" w:name="_Toc308084607"/>
      <w:bookmarkStart w:id="745" w:name="_Toc308188162"/>
      <w:bookmarkStart w:id="746" w:name="_Toc9815"/>
      <w:bookmarkStart w:id="747" w:name="_Toc307564862"/>
      <w:bookmarkStart w:id="748" w:name="_Toc27872"/>
      <w:bookmarkStart w:id="749" w:name="_Toc5754"/>
      <w:bookmarkStart w:id="750" w:name="_Toc319439910"/>
      <w:bookmarkStart w:id="751" w:name="_Toc9916"/>
      <w:bookmarkStart w:id="752" w:name="_Toc309897525"/>
      <w:bookmarkStart w:id="753" w:name="_Toc17018"/>
      <w:r>
        <w:rPr>
          <w:rFonts w:hint="eastAsia" w:cs="宋体" w:asciiTheme="minorEastAsia" w:hAnsiTheme="minorEastAsia" w:eastAsiaTheme="minorEastAsia"/>
          <w:color w:val="auto"/>
          <w:highlight w:val="none"/>
        </w:rPr>
        <w:t>履行合同</w:t>
      </w:r>
      <w:bookmarkEnd w:id="733"/>
      <w:bookmarkEnd w:id="734"/>
      <w:bookmarkEnd w:id="735"/>
      <w:bookmarkEnd w:id="736"/>
    </w:p>
    <w:p>
      <w:pPr>
        <w:pStyle w:val="69"/>
        <w:numPr>
          <w:ilvl w:val="3"/>
          <w:numId w:val="12"/>
        </w:numPr>
        <w:ind w:left="0" w:firstLine="480" w:firstLineChars="200"/>
        <w:rPr>
          <w:rFonts w:cs="宋体" w:asciiTheme="minorEastAsia" w:hAnsiTheme="minorEastAsia" w:eastAsiaTheme="minorEastAsia"/>
          <w:color w:val="auto"/>
          <w:highlight w:val="none"/>
        </w:rPr>
      </w:pPr>
      <w:bookmarkStart w:id="754" w:name="_Toc12435"/>
      <w:bookmarkStart w:id="755" w:name="_Toc31"/>
      <w:r>
        <w:rPr>
          <w:rFonts w:hint="eastAsia" w:cs="宋体" w:asciiTheme="minorEastAsia" w:hAnsiTheme="minorEastAsia" w:eastAsiaTheme="minorEastAsia"/>
          <w:color w:val="auto"/>
          <w:highlight w:val="none"/>
        </w:rPr>
        <w:t>采购人与中标人应当根据合同的约定依法履行合同义务。</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政府采购合同的履行、违约责任和解决争议的方法等适用《中华人民共和国民法典》。</w:t>
      </w:r>
    </w:p>
    <w:p>
      <w:pPr>
        <w:pStyle w:val="55"/>
        <w:numPr>
          <w:ilvl w:val="2"/>
          <w:numId w:val="16"/>
        </w:numPr>
        <w:ind w:left="0" w:firstLine="482"/>
        <w:rPr>
          <w:rFonts w:cs="宋体" w:asciiTheme="minorEastAsia" w:hAnsiTheme="minorEastAsia" w:eastAsiaTheme="minorEastAsia"/>
          <w:color w:val="auto"/>
          <w:highlight w:val="none"/>
        </w:rPr>
      </w:pPr>
      <w:bookmarkStart w:id="756" w:name="_Toc22276"/>
      <w:bookmarkStart w:id="757" w:name="_Toc3656"/>
      <w:r>
        <w:rPr>
          <w:rFonts w:hint="eastAsia" w:cs="宋体" w:asciiTheme="minorEastAsia" w:hAnsiTheme="minorEastAsia" w:eastAsiaTheme="minorEastAsia"/>
          <w:color w:val="auto"/>
          <w:highlight w:val="none"/>
        </w:rPr>
        <w:t>验收</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pPr>
        <w:pStyle w:val="69"/>
        <w:numPr>
          <w:ilvl w:val="3"/>
          <w:numId w:val="12"/>
        </w:numPr>
        <w:ind w:left="0" w:firstLine="480" w:firstLineChars="200"/>
        <w:rPr>
          <w:rFonts w:cs="宋体" w:asciiTheme="minorEastAsia" w:hAnsiTheme="minorEastAsia" w:eastAsiaTheme="minorEastAsia"/>
          <w:color w:val="auto"/>
          <w:highlight w:val="none"/>
        </w:rPr>
      </w:pPr>
      <w:bookmarkStart w:id="758" w:name="_Toc217446071"/>
      <w:r>
        <w:rPr>
          <w:rFonts w:hint="eastAsia" w:cs="宋体" w:asciiTheme="minorEastAsia" w:hAnsiTheme="minorEastAsia" w:eastAsiaTheme="minorEastAsia"/>
          <w:color w:val="auto"/>
          <w:highlight w:val="none"/>
        </w:rPr>
        <w:t>本项目采购人及其委托的采购代理机构将严格按照《财政部关于进一步加强政府采购需求和履约验收管理的指导意见》(财库〔2016〕205号)、参照《四川省政府采购项目需求论证和履约验收管理办法》(川财采〔2015〕32号)要求进行验收。</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验收结果合格的，双方签署验收报告；验收结果不合格的，将不予支付采购资金，还可能会报本项目同级财政部门按照政府采购法律法规等有关规定给予行政处罚。</w:t>
      </w:r>
    </w:p>
    <w:bookmarkEnd w:id="638"/>
    <w:bookmarkEnd w:id="639"/>
    <w:bookmarkEnd w:id="758"/>
    <w:p>
      <w:pPr>
        <w:pStyle w:val="55"/>
        <w:numPr>
          <w:ilvl w:val="2"/>
          <w:numId w:val="16"/>
        </w:numPr>
        <w:ind w:left="0" w:firstLine="482"/>
        <w:rPr>
          <w:rFonts w:cs="宋体" w:asciiTheme="minorEastAsia" w:hAnsiTheme="minorEastAsia" w:eastAsiaTheme="minorEastAsia"/>
          <w:color w:val="auto"/>
          <w:highlight w:val="none"/>
        </w:rPr>
      </w:pPr>
      <w:bookmarkStart w:id="759" w:name="_Toc308164818"/>
      <w:bookmarkStart w:id="760" w:name="_Toc14779"/>
      <w:bookmarkStart w:id="761" w:name="_Toc17896"/>
      <w:bookmarkStart w:id="762" w:name="_Toc3266"/>
      <w:bookmarkStart w:id="763" w:name="_Toc16716"/>
      <w:bookmarkStart w:id="764" w:name="_Toc217446074"/>
      <w:bookmarkStart w:id="765" w:name="_Toc327196297"/>
      <w:bookmarkStart w:id="766" w:name="_Toc16219"/>
      <w:bookmarkStart w:id="767" w:name="_Toc183582243"/>
      <w:bookmarkStart w:id="768" w:name="_Toc183682380"/>
      <w:r>
        <w:rPr>
          <w:rFonts w:hint="eastAsia" w:cs="宋体" w:asciiTheme="minorEastAsia" w:hAnsiTheme="minorEastAsia" w:eastAsiaTheme="minorEastAsia"/>
          <w:color w:val="auto"/>
          <w:highlight w:val="none"/>
        </w:rPr>
        <w:t>资金支付</w:t>
      </w:r>
      <w:bookmarkEnd w:id="759"/>
      <w:r>
        <w:rPr>
          <w:rFonts w:hint="eastAsia" w:cs="宋体" w:asciiTheme="minorEastAsia" w:hAnsiTheme="minorEastAsia" w:eastAsiaTheme="minorEastAsia"/>
          <w:color w:val="auto"/>
          <w:highlight w:val="none"/>
        </w:rPr>
        <w:t>方式、时间、条件</w:t>
      </w:r>
      <w:bookmarkEnd w:id="760"/>
      <w:bookmarkEnd w:id="761"/>
      <w:bookmarkEnd w:id="762"/>
      <w:bookmarkEnd w:id="763"/>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采购资金的支付时间：详见招标文件第六章。</w:t>
      </w:r>
    </w:p>
    <w:p>
      <w:pPr>
        <w:pStyle w:val="69"/>
        <w:numPr>
          <w:ilvl w:val="3"/>
          <w:numId w:val="12"/>
        </w:numPr>
        <w:ind w:left="0"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采购资金的支付条件：详见招标文件第六章。</w:t>
      </w:r>
    </w:p>
    <w:p>
      <w:pPr>
        <w:pStyle w:val="49"/>
        <w:spacing w:before="120" w:after="120"/>
        <w:rPr>
          <w:rFonts w:cs="宋体" w:asciiTheme="minorEastAsia" w:hAnsiTheme="minorEastAsia" w:eastAsiaTheme="minorEastAsia"/>
          <w:color w:val="auto"/>
          <w:highlight w:val="none"/>
        </w:rPr>
      </w:pPr>
      <w:bookmarkStart w:id="769" w:name="_Toc3955"/>
      <w:bookmarkStart w:id="770" w:name="_Toc15972"/>
      <w:bookmarkStart w:id="771" w:name="_Toc27770"/>
      <w:bookmarkStart w:id="772" w:name="_Toc13080"/>
      <w:r>
        <w:rPr>
          <w:rFonts w:hint="eastAsia" w:cs="宋体" w:asciiTheme="minorEastAsia" w:hAnsiTheme="minorEastAsia" w:eastAsiaTheme="minorEastAsia"/>
          <w:color w:val="auto"/>
          <w:highlight w:val="none"/>
        </w:rPr>
        <w:t>投标纪律要求</w:t>
      </w:r>
      <w:bookmarkEnd w:id="764"/>
      <w:bookmarkEnd w:id="765"/>
      <w:bookmarkEnd w:id="766"/>
      <w:bookmarkEnd w:id="769"/>
      <w:bookmarkEnd w:id="770"/>
      <w:bookmarkEnd w:id="771"/>
      <w:bookmarkEnd w:id="772"/>
    </w:p>
    <w:p>
      <w:pPr>
        <w:pStyle w:val="52"/>
        <w:rPr>
          <w:rFonts w:cs="宋体" w:asciiTheme="minorEastAsia" w:hAnsiTheme="minorEastAsia" w:eastAsiaTheme="minorEastAsia"/>
          <w:color w:val="auto"/>
          <w:highlight w:val="none"/>
        </w:rPr>
      </w:pPr>
      <w:bookmarkStart w:id="773" w:name="_Toc308188164"/>
      <w:bookmarkStart w:id="774" w:name="_Toc327196298"/>
      <w:bookmarkStart w:id="775" w:name="_Toc10754"/>
      <w:bookmarkStart w:id="776" w:name="_Toc30964"/>
      <w:bookmarkStart w:id="777" w:name="_Toc309897527"/>
      <w:bookmarkStart w:id="778" w:name="_Toc5014"/>
      <w:bookmarkStart w:id="779" w:name="_Toc27399"/>
      <w:bookmarkStart w:id="780" w:name="_Toc307501121"/>
      <w:bookmarkStart w:id="781" w:name="_Toc11074"/>
      <w:bookmarkStart w:id="782" w:name="_Toc217446075"/>
      <w:bookmarkStart w:id="783" w:name="_Toc17887"/>
      <w:bookmarkStart w:id="784" w:name="_Toc319440154"/>
      <w:bookmarkStart w:id="785" w:name="_Toc20490"/>
      <w:bookmarkStart w:id="786" w:name="_Toc21018"/>
      <w:bookmarkStart w:id="787" w:name="_Toc308084609"/>
      <w:bookmarkStart w:id="788" w:name="_Toc31498"/>
      <w:bookmarkStart w:id="789" w:name="_Toc6284"/>
      <w:bookmarkStart w:id="790" w:name="_Toc307564864"/>
      <w:bookmarkStart w:id="791" w:name="_Toc1828"/>
      <w:bookmarkStart w:id="792" w:name="_Toc319439912"/>
      <w:r>
        <w:rPr>
          <w:rFonts w:hint="eastAsia" w:cs="宋体" w:asciiTheme="minorEastAsia" w:hAnsiTheme="minorEastAsia" w:eastAsiaTheme="minorEastAsia"/>
          <w:color w:val="auto"/>
          <w:highlight w:val="none"/>
        </w:rPr>
        <w:t>投标人不得具有的情形</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Pr>
          <w:rFonts w:hint="eastAsia" w:cs="宋体" w:asciiTheme="minorEastAsia" w:hAnsiTheme="minorEastAsia" w:eastAsiaTheme="minorEastAsia"/>
          <w:color w:val="auto"/>
          <w:highlight w:val="none"/>
        </w:rPr>
        <w:t>：</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提供虚假材料谋取中标；</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采取不正当手段诋毁、排挤其他投标人；</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与招标采购单位、其他投标人恶意串通；</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向招标采购单位、评标委员会成员行贿或者提供其他不正当利益；</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在招标过程中与招标采购单位进行协商谈判；</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中标或者成交后无正当理由拒不与采购人签订政府采购合同；</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未按照采购文件确定的事项签订政府采购合同；</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将政府采购合同转包或者违规分包；</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提供假冒伪劣产品；</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擅自变更、中止或者终止政府采购合同；</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拒绝有关部门的监督检查或者向监督检查部门提供虚假情况；</w:t>
      </w:r>
    </w:p>
    <w:p>
      <w:pPr>
        <w:pStyle w:val="38"/>
        <w:numPr>
          <w:ilvl w:val="1"/>
          <w:numId w:val="1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法律法规规定的其他情形。</w:t>
      </w:r>
    </w:p>
    <w:p>
      <w:pPr>
        <w:pStyle w:val="48"/>
        <w:ind w:firstLine="480" w:firstLineChars="200"/>
        <w:rPr>
          <w:rFonts w:cs="宋体" w:asciiTheme="minorEastAsia" w:hAnsiTheme="minorEastAsia" w:eastAsiaTheme="minorEastAsia"/>
          <w:color w:val="auto"/>
          <w:highlight w:val="none"/>
        </w:rPr>
      </w:pPr>
      <w:bookmarkStart w:id="793" w:name="_Toc8765"/>
      <w:bookmarkStart w:id="794" w:name="_Toc525"/>
      <w:bookmarkStart w:id="795" w:name="_Toc20327"/>
      <w:bookmarkStart w:id="796" w:name="_Toc217446078"/>
      <w:r>
        <w:rPr>
          <w:rFonts w:hint="eastAsia" w:cs="宋体" w:asciiTheme="minorEastAsia" w:hAnsiTheme="minorEastAsia" w:eastAsiaTheme="minorEastAsia"/>
          <w:color w:val="auto"/>
          <w:highlight w:val="none"/>
        </w:rPr>
        <w:t>投标人有上述情形的，按照规定追究法律责任，具备(一)～(十)条情形之一的，同时将取消中标资格或者认定中标无效。</w:t>
      </w:r>
    </w:p>
    <w:bookmarkEnd w:id="793"/>
    <w:bookmarkEnd w:id="794"/>
    <w:bookmarkEnd w:id="795"/>
    <w:p>
      <w:pPr>
        <w:pStyle w:val="49"/>
        <w:spacing w:before="120" w:after="120"/>
        <w:rPr>
          <w:rFonts w:cs="宋体" w:asciiTheme="minorEastAsia" w:hAnsiTheme="minorEastAsia" w:eastAsiaTheme="minorEastAsia"/>
          <w:color w:val="auto"/>
          <w:highlight w:val="none"/>
        </w:rPr>
      </w:pPr>
      <w:bookmarkStart w:id="797" w:name="_Toc528"/>
      <w:r>
        <w:rPr>
          <w:rFonts w:hint="eastAsia" w:cs="宋体" w:asciiTheme="minorEastAsia" w:hAnsiTheme="minorEastAsia" w:eastAsiaTheme="minorEastAsia"/>
          <w:color w:val="auto"/>
          <w:highlight w:val="none"/>
        </w:rPr>
        <w:t>其他</w:t>
      </w:r>
      <w:bookmarkEnd w:id="797"/>
    </w:p>
    <w:p>
      <w:pPr>
        <w:pStyle w:val="55"/>
        <w:numPr>
          <w:ilvl w:val="2"/>
          <w:numId w:val="19"/>
        </w:numPr>
        <w:ind w:left="0" w:firstLine="482"/>
        <w:rPr>
          <w:rFonts w:cs="宋体" w:asciiTheme="minorEastAsia" w:hAnsiTheme="minorEastAsia" w:eastAsiaTheme="minorEastAsia"/>
          <w:color w:val="auto"/>
          <w:highlight w:val="none"/>
        </w:rPr>
      </w:pPr>
      <w:bookmarkStart w:id="798" w:name="_Toc24165"/>
      <w:bookmarkStart w:id="799" w:name="_Toc1652"/>
      <w:bookmarkStart w:id="800" w:name="_Toc414"/>
      <w:bookmarkStart w:id="801" w:name="_Toc24434"/>
      <w:bookmarkStart w:id="802" w:name="_Toc12421"/>
      <w:bookmarkStart w:id="803" w:name="_Toc6508"/>
      <w:bookmarkStart w:id="804" w:name="_Toc21424"/>
      <w:bookmarkStart w:id="805" w:name="_Toc327196301"/>
      <w:r>
        <w:rPr>
          <w:rFonts w:hint="eastAsia" w:cs="宋体" w:asciiTheme="minorEastAsia" w:hAnsiTheme="minorEastAsia" w:eastAsiaTheme="minorEastAsia"/>
          <w:color w:val="auto"/>
          <w:highlight w:val="none"/>
        </w:rPr>
        <w:t>询问</w:t>
      </w:r>
      <w:bookmarkEnd w:id="798"/>
      <w:bookmarkEnd w:id="799"/>
      <w:bookmarkEnd w:id="800"/>
      <w:bookmarkEnd w:id="801"/>
      <w:bookmarkEnd w:id="802"/>
      <w:r>
        <w:rPr>
          <w:rFonts w:hint="eastAsia" w:cs="宋体" w:asciiTheme="minorEastAsia" w:hAnsiTheme="minorEastAsia" w:eastAsiaTheme="minorEastAsia"/>
          <w:color w:val="auto"/>
          <w:highlight w:val="none"/>
        </w:rPr>
        <w:t>、质疑和投诉</w:t>
      </w:r>
      <w:bookmarkEnd w:id="803"/>
    </w:p>
    <w:bookmarkEnd w:id="767"/>
    <w:bookmarkEnd w:id="768"/>
    <w:bookmarkEnd w:id="796"/>
    <w:bookmarkEnd w:id="804"/>
    <w:bookmarkEnd w:id="805"/>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具体详见投标人须知前附表。</w:t>
      </w:r>
    </w:p>
    <w:p>
      <w:pPr>
        <w:pStyle w:val="55"/>
        <w:numPr>
          <w:ilvl w:val="2"/>
          <w:numId w:val="19"/>
        </w:numPr>
        <w:ind w:left="0" w:firstLine="482"/>
        <w:rPr>
          <w:rFonts w:cs="宋体" w:asciiTheme="minorEastAsia" w:hAnsiTheme="minorEastAsia" w:eastAsiaTheme="minorEastAsia"/>
          <w:color w:val="auto"/>
          <w:highlight w:val="none"/>
        </w:rPr>
      </w:pPr>
      <w:bookmarkStart w:id="806" w:name="_Toc26172"/>
      <w:bookmarkStart w:id="807" w:name="_Toc8852"/>
      <w:bookmarkStart w:id="808" w:name="_Toc27417"/>
      <w:bookmarkStart w:id="809" w:name="_Toc22454"/>
      <w:r>
        <w:rPr>
          <w:rFonts w:hint="eastAsia" w:cs="宋体" w:asciiTheme="minorEastAsia" w:hAnsiTheme="minorEastAsia" w:eastAsiaTheme="minorEastAsia"/>
          <w:color w:val="auto"/>
          <w:highlight w:val="none"/>
        </w:rPr>
        <w:t>关于行贿犯罪档案查询工作的规定</w:t>
      </w:r>
      <w:bookmarkEnd w:id="806"/>
      <w:bookmarkEnd w:id="807"/>
      <w:bookmarkEnd w:id="808"/>
      <w:bookmarkEnd w:id="809"/>
    </w:p>
    <w:p>
      <w:pPr>
        <w:pStyle w:val="52"/>
        <w:rPr>
          <w:rFonts w:cs="宋体" w:asciiTheme="minorEastAsia" w:hAnsiTheme="minorEastAsia" w:eastAsiaTheme="minorEastAsia"/>
          <w:color w:val="auto"/>
          <w:highlight w:val="none"/>
        </w:rPr>
      </w:pPr>
      <w:bookmarkStart w:id="810" w:name="_Toc24870"/>
      <w:bookmarkStart w:id="811" w:name="_Toc25217"/>
      <w:bookmarkStart w:id="812" w:name="_Toc5589"/>
      <w:r>
        <w:rPr>
          <w:rFonts w:hint="eastAsia" w:cs="宋体" w:asciiTheme="minorEastAsia" w:hAnsiTheme="minorEastAsia" w:eastAsiaTheme="minorEastAsia"/>
          <w:color w:val="auto"/>
          <w:highlight w:val="none"/>
        </w:rPr>
        <w:t>因国家检察机关职务犯罪侦查部门转隶工作已经完成，供应商参与采购活动时须按照采购文件要求提供承诺函或由采购代理机构通过“中国裁判文书网”查询，并将查询记录存档。</w:t>
      </w:r>
    </w:p>
    <w:p>
      <w:pPr>
        <w:pStyle w:val="55"/>
        <w:numPr>
          <w:ilvl w:val="2"/>
          <w:numId w:val="19"/>
        </w:numPr>
        <w:ind w:left="0" w:firstLine="482"/>
        <w:rPr>
          <w:rFonts w:cs="宋体" w:asciiTheme="minorEastAsia" w:hAnsiTheme="minorEastAsia" w:eastAsiaTheme="minorEastAsia"/>
          <w:color w:val="auto"/>
          <w:highlight w:val="none"/>
        </w:rPr>
      </w:pPr>
      <w:bookmarkStart w:id="813" w:name="_Toc10259"/>
      <w:r>
        <w:rPr>
          <w:rFonts w:hint="eastAsia" w:cs="宋体" w:asciiTheme="minorEastAsia" w:hAnsiTheme="minorEastAsia" w:eastAsiaTheme="minorEastAsia"/>
          <w:color w:val="auto"/>
          <w:highlight w:val="none"/>
        </w:rPr>
        <w:t>串通投标的情形</w:t>
      </w:r>
      <w:bookmarkEnd w:id="810"/>
      <w:bookmarkEnd w:id="811"/>
      <w:bookmarkEnd w:id="813"/>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有下列情形之一的，视为投标人串通投标，其投标无效。</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1.不同投标人的投标文件由同一单位或者个人编制；</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2.不同投标人委托同一单位或者个人办理投标事宜；</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3.不同投标人的投标文件载明的项目管理成员或者联系人员为同一人；</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4.不同投标人的投标文件异常一致或者投标报价呈规律性差异；</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5.不同投标人的投标文件相互混装；</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6.不同投标人的投标保证金从同一单位或者个人的账户转出。</w:t>
      </w:r>
    </w:p>
    <w:p>
      <w:pPr>
        <w:pStyle w:val="55"/>
        <w:numPr>
          <w:ilvl w:val="2"/>
          <w:numId w:val="19"/>
        </w:numPr>
        <w:ind w:left="0" w:firstLine="482"/>
        <w:rPr>
          <w:rFonts w:cs="宋体" w:asciiTheme="minorEastAsia" w:hAnsiTheme="minorEastAsia" w:eastAsiaTheme="minorEastAsia"/>
          <w:color w:val="auto"/>
          <w:highlight w:val="none"/>
        </w:rPr>
      </w:pPr>
      <w:bookmarkStart w:id="814" w:name="_Toc1772"/>
      <w:bookmarkStart w:id="815" w:name="_Toc22192"/>
      <w:bookmarkStart w:id="816" w:name="_Toc10983"/>
      <w:bookmarkStart w:id="817" w:name="_Toc17038"/>
      <w:bookmarkStart w:id="818" w:name="_Toc32334"/>
      <w:r>
        <w:rPr>
          <w:rFonts w:hint="eastAsia" w:cs="宋体" w:asciiTheme="minorEastAsia" w:hAnsiTheme="minorEastAsia" w:eastAsiaTheme="minorEastAsia"/>
          <w:color w:val="auto"/>
          <w:highlight w:val="none"/>
        </w:rPr>
        <w:t>投标人信用信息查询</w:t>
      </w:r>
      <w:bookmarkEnd w:id="814"/>
      <w:bookmarkEnd w:id="815"/>
      <w:bookmarkEnd w:id="816"/>
      <w:bookmarkEnd w:id="817"/>
      <w:bookmarkEnd w:id="818"/>
    </w:p>
    <w:p>
      <w:pPr>
        <w:pStyle w:val="38"/>
        <w:numPr>
          <w:ilvl w:val="1"/>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1.投标人信用信息查询渠道</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“信用中国”网站(www.creditchina.gov.cn)、“中国政府采购网”(www.ccgp.gov.cn)等。</w:t>
      </w:r>
    </w:p>
    <w:p>
      <w:pPr>
        <w:pStyle w:val="38"/>
        <w:numPr>
          <w:ilvl w:val="1"/>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2.投标人信用信息查询截止时点</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信用信息查询在资格审查阶段完成。</w:t>
      </w:r>
    </w:p>
    <w:p>
      <w:pPr>
        <w:pStyle w:val="38"/>
        <w:numPr>
          <w:ilvl w:val="1"/>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3.投标人信用信息查询记录和证据留存的具体方式</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采购代理机构通过“信用中国”网站、“中国政府采购网”等渠道对供应商进行信用记录查询，并将查询记录存档。</w:t>
      </w:r>
    </w:p>
    <w:p>
      <w:pPr>
        <w:pStyle w:val="38"/>
        <w:numPr>
          <w:ilvl w:val="1"/>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4.投标人信用信息的使用：凡被列入失信被执行人、重大税收违法案件当事人名单、政府采购严重违法失信行为记录名单的，视为存在不良信用记录，参与本项目的将被拒绝。</w:t>
      </w:r>
    </w:p>
    <w:p>
      <w:pPr>
        <w:pStyle w:val="55"/>
        <w:numPr>
          <w:ilvl w:val="2"/>
          <w:numId w:val="19"/>
        </w:numPr>
        <w:ind w:left="0" w:firstLine="482"/>
        <w:rPr>
          <w:rFonts w:cs="宋体" w:asciiTheme="minorEastAsia" w:hAnsiTheme="minorEastAsia" w:eastAsiaTheme="minorEastAsia"/>
          <w:color w:val="auto"/>
          <w:highlight w:val="none"/>
        </w:rPr>
      </w:pPr>
      <w:bookmarkStart w:id="819" w:name="_Toc26035"/>
      <w:r>
        <w:rPr>
          <w:rFonts w:hint="eastAsia" w:cs="宋体" w:asciiTheme="minorEastAsia" w:hAnsiTheme="minorEastAsia" w:eastAsiaTheme="minorEastAsia"/>
          <w:color w:val="auto"/>
          <w:highlight w:val="none"/>
        </w:rPr>
        <w:t>解释说明</w:t>
      </w:r>
      <w:bookmarkEnd w:id="819"/>
    </w:p>
    <w:p>
      <w:pPr>
        <w:pStyle w:val="38"/>
        <w:numPr>
          <w:ilvl w:val="1"/>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38"/>
        <w:numPr>
          <w:ilvl w:val="1"/>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8"/>
        <w:numPr>
          <w:ilvl w:val="1"/>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3.国家或行业主管部门对供应商和采购产品的技术标准、质量标准和资格资质条件等有强制性规定的，必须符合其要求</w:t>
      </w:r>
      <w:r>
        <w:rPr>
          <w:rFonts w:hint="eastAsia" w:cs="宋体" w:asciiTheme="minorEastAsia" w:hAnsiTheme="minorEastAsia" w:eastAsiaTheme="minorEastAsia"/>
          <w:b/>
          <w:bCs/>
          <w:color w:val="auto"/>
          <w:highlight w:val="none"/>
        </w:rPr>
        <w:t>(实质性要求)</w:t>
      </w:r>
      <w:r>
        <w:rPr>
          <w:rFonts w:hint="eastAsia" w:cs="宋体" w:asciiTheme="minorEastAsia" w:hAnsiTheme="minorEastAsia" w:eastAsiaTheme="minorEastAsia"/>
          <w:color w:val="auto"/>
          <w:highlight w:val="none"/>
        </w:rPr>
        <w:t>。</w:t>
      </w:r>
    </w:p>
    <w:p>
      <w:pPr>
        <w:pStyle w:val="38"/>
        <w:numPr>
          <w:ilvl w:val="1"/>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4.本项目涉及企业资质、产品认证、人员执业资格等描述与国家最新要求不一致时以最新要求为准。</w:t>
      </w:r>
    </w:p>
    <w:p>
      <w:pPr>
        <w:pStyle w:val="38"/>
        <w:numPr>
          <w:ilvl w:val="1"/>
          <w:numId w:val="0"/>
        </w:numPr>
        <w:ind w:left="480" w:leftChars="200"/>
        <w:rPr>
          <w:rFonts w:cs="宋体" w:asciiTheme="minorEastAsia" w:hAnsiTheme="minorEastAsia" w:eastAsiaTheme="minorEastAsia"/>
          <w:color w:val="auto"/>
          <w:highlight w:val="none"/>
        </w:rPr>
      </w:pPr>
    </w:p>
    <w:p>
      <w:pPr>
        <w:pStyle w:val="54"/>
        <w:numPr>
          <w:ilvl w:val="0"/>
          <w:numId w:val="11"/>
        </w:numPr>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End w:id="812"/>
      <w:bookmarkStart w:id="820" w:name="_Toc25961"/>
      <w:bookmarkStart w:id="821" w:name="_Toc24088"/>
      <w:bookmarkStart w:id="822" w:name="_Toc29575"/>
      <w:bookmarkStart w:id="823" w:name="_Toc4206"/>
      <w:bookmarkStart w:id="824" w:name="_Toc31402"/>
      <w:r>
        <w:rPr>
          <w:rFonts w:hint="eastAsia" w:cs="宋体" w:asciiTheme="minorEastAsia" w:hAnsiTheme="minorEastAsia" w:eastAsiaTheme="minorEastAsia"/>
          <w:color w:val="auto"/>
          <w:highlight w:val="none"/>
        </w:rPr>
        <w:t>投标文件格式</w:t>
      </w:r>
      <w:bookmarkEnd w:id="820"/>
      <w:bookmarkEnd w:id="821"/>
      <w:bookmarkEnd w:id="822"/>
      <w:bookmarkEnd w:id="823"/>
      <w:bookmarkEnd w:id="824"/>
    </w:p>
    <w:p>
      <w:pPr>
        <w:pStyle w:val="56"/>
        <w:ind w:firstLine="480"/>
        <w:rPr>
          <w:rFonts w:cs="宋体" w:asciiTheme="minorEastAsia" w:hAnsiTheme="minorEastAsia" w:eastAsiaTheme="minorEastAsia"/>
          <w:color w:val="auto"/>
          <w:highlight w:val="none"/>
        </w:rPr>
      </w:pPr>
      <w:bookmarkStart w:id="825" w:name="_Toc316462354"/>
      <w:bookmarkStart w:id="826" w:name="_Toc287367101"/>
      <w:bookmarkStart w:id="827" w:name="_Toc16460"/>
      <w:bookmarkStart w:id="828" w:name="_Toc294701519"/>
      <w:bookmarkStart w:id="829" w:name="_Toc295978802"/>
      <w:bookmarkStart w:id="830" w:name="_Toc182759327"/>
      <w:bookmarkStart w:id="831" w:name="_Toc294688711"/>
      <w:bookmarkStart w:id="832" w:name="_Toc211218954"/>
      <w:bookmarkStart w:id="833" w:name="_Toc439161746"/>
      <w:bookmarkStart w:id="834" w:name="_Toc182629023"/>
      <w:r>
        <w:rPr>
          <w:rFonts w:hint="eastAsia" w:cs="宋体" w:asciiTheme="minorEastAsia" w:hAnsiTheme="minorEastAsia" w:eastAsiaTheme="minorEastAsia"/>
          <w:color w:val="auto"/>
          <w:highlight w:val="none"/>
        </w:rPr>
        <w:t>一、本章所制投标文件格式，除格式中明确将该格式作为实质性要求的，一律不具有强制性。</w:t>
      </w:r>
    </w:p>
    <w:p>
      <w:pPr>
        <w:pStyle w:val="56"/>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二、本章所制投标文件格式有关表格中的备注栏，由投标人根据自身投标情况作解释性说明，不作为必填项。</w:t>
      </w:r>
    </w:p>
    <w:p>
      <w:pPr>
        <w:pStyle w:val="56"/>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三、本章格式中“注”的内容，供应商可自行决定是否保留在投标文件中，未保留的视为供应商默认接受“注”的内容。</w:t>
      </w:r>
    </w:p>
    <w:p>
      <w:pPr>
        <w:pStyle w:val="56"/>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四、本章所制投标文件格式中需要填写的相关内容事项，可能会与本采购项目无关，在不改变投标文件原义、不影响本项目采购需求的情况下，投标人可以不予填写，但应当注明。</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39"/>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附件：密封袋的格式</w:t>
      </w:r>
    </w:p>
    <w:p>
      <w:pPr>
        <w:pStyle w:val="39"/>
        <w:rPr>
          <w:rFonts w:cs="宋体" w:asciiTheme="minorEastAsia" w:hAnsiTheme="minorEastAsia" w:eastAsiaTheme="minorEastAsia"/>
          <w:color w:val="auto"/>
          <w:highlight w:val="none"/>
        </w:rPr>
      </w:pPr>
    </w:p>
    <w:p>
      <w:pPr>
        <w:pStyle w:val="39"/>
        <w:rPr>
          <w:rFonts w:cs="宋体" w:asciiTheme="minorEastAsia" w:hAnsiTheme="minorEastAsia" w:eastAsiaTheme="minorEastAsia"/>
          <w:color w:val="auto"/>
          <w:highlight w:val="none"/>
        </w:rPr>
      </w:pPr>
    </w:p>
    <w:p>
      <w:pPr>
        <w:pStyle w:val="39"/>
        <w:rPr>
          <w:rFonts w:cs="宋体" w:asciiTheme="minorEastAsia" w:hAnsiTheme="minorEastAsia" w:eastAsiaTheme="minorEastAsia"/>
          <w:color w:val="auto"/>
          <w:highlight w:val="none"/>
        </w:rPr>
      </w:pPr>
    </w:p>
    <w:tbl>
      <w:tblPr>
        <w:tblStyle w:val="26"/>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39"/>
              <w:rPr>
                <w:rFonts w:cs="宋体" w:asciiTheme="minorEastAsia" w:hAnsiTheme="minorEastAsia" w:eastAsiaTheme="minorEastAsia"/>
                <w:color w:val="auto"/>
                <w:highlight w:val="none"/>
              </w:rPr>
            </w:pPr>
          </w:p>
          <w:p>
            <w:pPr>
              <w:pStyle w:val="39"/>
              <w:ind w:left="2400" w:leftChars="1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39"/>
              <w:ind w:left="2400" w:leftChars="1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39"/>
              <w:ind w:left="2400" w:leftChars="1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包号：</w:t>
            </w:r>
            <w:r>
              <w:rPr>
                <w:rFonts w:hint="eastAsia" w:cs="宋体" w:asciiTheme="minorEastAsia" w:hAnsiTheme="minorEastAsia" w:eastAsiaTheme="minorEastAsia"/>
                <w:color w:val="auto"/>
                <w:highlight w:val="none"/>
                <w:u w:val="single"/>
              </w:rPr>
              <w:t xml:space="preserve">                   </w:t>
            </w:r>
          </w:p>
          <w:p>
            <w:pPr>
              <w:pStyle w:val="39"/>
              <w:rPr>
                <w:rFonts w:cs="宋体" w:asciiTheme="minorEastAsia" w:hAnsiTheme="minorEastAsia" w:eastAsiaTheme="minorEastAsia"/>
                <w:color w:val="auto"/>
                <w:highlight w:val="none"/>
              </w:rPr>
            </w:pPr>
          </w:p>
          <w:p>
            <w:pPr>
              <w:pStyle w:val="39"/>
              <w:jc w:val="center"/>
              <w:rPr>
                <w:rFonts w:cs="宋体" w:asciiTheme="minorEastAsia" w:hAnsiTheme="minorEastAsia" w:eastAsiaTheme="minorEastAsia"/>
                <w:b/>
                <w:bCs/>
                <w:color w:val="auto"/>
                <w:sz w:val="32"/>
                <w:szCs w:val="32"/>
                <w:highlight w:val="none"/>
              </w:rPr>
            </w:pPr>
            <w:r>
              <w:rPr>
                <w:rFonts w:hint="eastAsia" w:cs="宋体" w:asciiTheme="minorEastAsia" w:hAnsiTheme="minorEastAsia" w:eastAsiaTheme="minorEastAsia"/>
                <w:b/>
                <w:bCs/>
                <w:color w:val="auto"/>
                <w:sz w:val="32"/>
                <w:szCs w:val="32"/>
                <w:highlight w:val="none"/>
              </w:rPr>
              <w:t>资格、资质性及其他类似效力投标文件/其他投标文件</w:t>
            </w:r>
          </w:p>
          <w:p>
            <w:pPr>
              <w:pStyle w:val="39"/>
              <w:jc w:val="center"/>
              <w:rPr>
                <w:rFonts w:cs="宋体" w:asciiTheme="minorEastAsia" w:hAnsiTheme="minorEastAsia" w:eastAsiaTheme="minorEastAsia"/>
                <w:b/>
                <w:bCs/>
                <w:color w:val="auto"/>
                <w:sz w:val="32"/>
                <w:szCs w:val="32"/>
                <w:highlight w:val="none"/>
              </w:rPr>
            </w:pPr>
            <w:r>
              <w:rPr>
                <w:rFonts w:hint="eastAsia" w:cs="宋体" w:asciiTheme="minorEastAsia" w:hAnsiTheme="minorEastAsia" w:eastAsiaTheme="minorEastAsia"/>
                <w:b/>
                <w:bCs/>
                <w:color w:val="auto"/>
                <w:sz w:val="32"/>
                <w:szCs w:val="32"/>
                <w:highlight w:val="none"/>
              </w:rPr>
              <w:t>/开标一览表</w:t>
            </w:r>
          </w:p>
          <w:p>
            <w:pPr>
              <w:pStyle w:val="39"/>
              <w:rPr>
                <w:rFonts w:cs="宋体" w:asciiTheme="minorEastAsia" w:hAnsiTheme="minorEastAsia" w:eastAsiaTheme="minorEastAsia"/>
                <w:color w:val="auto"/>
                <w:highlight w:val="none"/>
              </w:rPr>
            </w:pPr>
          </w:p>
          <w:p>
            <w:pPr>
              <w:pStyle w:val="39"/>
              <w:ind w:left="2400" w:leftChars="1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39"/>
              <w:ind w:left="2400" w:leftChars="1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39"/>
              <w:rPr>
                <w:rFonts w:cs="宋体" w:asciiTheme="minorEastAsia" w:hAnsiTheme="minorEastAsia" w:eastAsiaTheme="minorEastAsia"/>
                <w:color w:val="auto"/>
                <w:highlight w:val="none"/>
              </w:rPr>
            </w:pPr>
          </w:p>
        </w:tc>
      </w:tr>
    </w:tbl>
    <w:p>
      <w:pPr>
        <w:pStyle w:val="39"/>
        <w:rPr>
          <w:rFonts w:cs="宋体" w:asciiTheme="minorEastAsia" w:hAnsiTheme="minorEastAsia" w:eastAsiaTheme="minorEastAsia"/>
          <w:color w:val="auto"/>
          <w:highlight w:val="none"/>
        </w:rPr>
      </w:pPr>
      <w:bookmarkStart w:id="835" w:name="_Toc11581"/>
      <w:bookmarkStart w:id="836" w:name="_Toc6994"/>
      <w:r>
        <w:rPr>
          <w:rFonts w:hint="eastAsia" w:cs="宋体" w:asciiTheme="minorEastAsia" w:hAnsiTheme="minorEastAsia" w:eastAsiaTheme="minorEastAsia"/>
          <w:color w:val="auto"/>
          <w:highlight w:val="none"/>
        </w:rPr>
        <w:br w:type="page"/>
      </w:r>
    </w:p>
    <w:p>
      <w:pPr>
        <w:pStyle w:val="39"/>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投标文件封面格式</w:t>
      </w:r>
      <w:bookmarkEnd w:id="825"/>
      <w:bookmarkEnd w:id="826"/>
      <w:bookmarkEnd w:id="827"/>
      <w:bookmarkEnd w:id="828"/>
      <w:bookmarkEnd w:id="829"/>
      <w:bookmarkEnd w:id="830"/>
      <w:bookmarkEnd w:id="831"/>
      <w:bookmarkEnd w:id="832"/>
      <w:bookmarkEnd w:id="833"/>
      <w:bookmarkEnd w:id="834"/>
      <w:bookmarkEnd w:id="835"/>
      <w:bookmarkEnd w:id="836"/>
    </w:p>
    <w:p>
      <w:pPr>
        <w:pStyle w:val="39"/>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3360;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39"/>
        <w:rPr>
          <w:rFonts w:cs="宋体" w:asciiTheme="minorEastAsia" w:hAnsiTheme="minorEastAsia" w:eastAsiaTheme="minorEastAsia"/>
          <w:color w:val="auto"/>
          <w:highlight w:val="none"/>
        </w:rPr>
      </w:pPr>
    </w:p>
    <w:p>
      <w:pPr>
        <w:pStyle w:val="39"/>
        <w:rPr>
          <w:rFonts w:cs="宋体" w:asciiTheme="minorEastAsia" w:hAnsiTheme="minorEastAsia" w:eastAsiaTheme="minorEastAsia"/>
          <w:color w:val="auto"/>
          <w:highlight w:val="none"/>
        </w:rPr>
      </w:pPr>
    </w:p>
    <w:p>
      <w:pPr>
        <w:pStyle w:val="39"/>
        <w:rPr>
          <w:rFonts w:cs="宋体" w:asciiTheme="minorEastAsia" w:hAnsiTheme="minorEastAsia" w:eastAsiaTheme="minorEastAsia"/>
          <w:color w:val="auto"/>
          <w:highlight w:val="none"/>
        </w:rPr>
      </w:pPr>
    </w:p>
    <w:p>
      <w:pPr>
        <w:pStyle w:val="39"/>
        <w:spacing w:line="360" w:lineRule="auto"/>
        <w:jc w:val="center"/>
        <w:rPr>
          <w:rFonts w:cs="宋体" w:asciiTheme="minorEastAsia" w:hAnsiTheme="minorEastAsia" w:eastAsiaTheme="minorEastAsia"/>
          <w:b/>
          <w:bCs/>
          <w:color w:val="auto"/>
          <w:sz w:val="48"/>
          <w:szCs w:val="48"/>
          <w:highlight w:val="none"/>
        </w:rPr>
      </w:pPr>
    </w:p>
    <w:p>
      <w:pPr>
        <w:pStyle w:val="39"/>
        <w:spacing w:line="360" w:lineRule="auto"/>
        <w:jc w:val="center"/>
        <w:rPr>
          <w:rFonts w:cs="宋体" w:asciiTheme="minorEastAsia" w:hAnsiTheme="minorEastAsia" w:eastAsiaTheme="minorEastAsia"/>
          <w:b/>
          <w:bCs/>
          <w:color w:val="auto"/>
          <w:sz w:val="48"/>
          <w:szCs w:val="48"/>
          <w:highlight w:val="none"/>
        </w:rPr>
      </w:pPr>
      <w:r>
        <w:rPr>
          <w:rFonts w:hint="eastAsia" w:cs="宋体" w:asciiTheme="minorEastAsia" w:hAnsiTheme="minorEastAsia" w:eastAsiaTheme="minorEastAsia"/>
          <w:b/>
          <w:bCs/>
          <w:color w:val="auto"/>
          <w:sz w:val="48"/>
          <w:szCs w:val="48"/>
          <w:highlight w:val="none"/>
        </w:rPr>
        <w:t>资格、资质性及其他类似效力投标文件</w:t>
      </w:r>
    </w:p>
    <w:p>
      <w:pPr>
        <w:pStyle w:val="39"/>
        <w:spacing w:line="360" w:lineRule="auto"/>
        <w:jc w:val="center"/>
        <w:rPr>
          <w:rFonts w:cs="宋体" w:asciiTheme="minorEastAsia" w:hAnsiTheme="minorEastAsia" w:eastAsiaTheme="minorEastAsia"/>
          <w:b/>
          <w:bCs/>
          <w:color w:val="auto"/>
          <w:sz w:val="48"/>
          <w:szCs w:val="48"/>
          <w:highlight w:val="none"/>
        </w:rPr>
      </w:pPr>
      <w:r>
        <w:rPr>
          <w:rFonts w:hint="eastAsia" w:cs="宋体" w:asciiTheme="minorEastAsia" w:hAnsiTheme="minorEastAsia" w:eastAsiaTheme="minorEastAsia"/>
          <w:b/>
          <w:bCs/>
          <w:color w:val="auto"/>
          <w:sz w:val="48"/>
          <w:szCs w:val="48"/>
          <w:highlight w:val="none"/>
        </w:rPr>
        <w:t>/其他投标文件</w:t>
      </w:r>
    </w:p>
    <w:p>
      <w:pPr>
        <w:pStyle w:val="39"/>
        <w:rPr>
          <w:rFonts w:cs="宋体" w:asciiTheme="minorEastAsia" w:hAnsiTheme="minorEastAsia" w:eastAsiaTheme="minorEastAsia"/>
          <w:color w:val="auto"/>
          <w:highlight w:val="none"/>
        </w:rPr>
      </w:pPr>
    </w:p>
    <w:p>
      <w:pPr>
        <w:pStyle w:val="39"/>
        <w:spacing w:line="480" w:lineRule="auto"/>
        <w:ind w:left="2400" w:leftChars="1000"/>
        <w:rPr>
          <w:rFonts w:cs="宋体" w:asciiTheme="minorEastAsia" w:hAnsiTheme="minorEastAsia" w:eastAsiaTheme="minorEastAsia"/>
          <w:b/>
          <w:bCs/>
          <w:color w:val="auto"/>
          <w:sz w:val="32"/>
          <w:szCs w:val="32"/>
          <w:highlight w:val="none"/>
        </w:rPr>
      </w:pPr>
    </w:p>
    <w:p>
      <w:pPr>
        <w:pStyle w:val="39"/>
        <w:spacing w:line="480" w:lineRule="auto"/>
        <w:ind w:left="2400" w:leftChars="1000"/>
        <w:rPr>
          <w:rFonts w:cs="宋体" w:asciiTheme="minorEastAsia" w:hAnsiTheme="minorEastAsia" w:eastAsiaTheme="minorEastAsia"/>
          <w:b/>
          <w:bCs/>
          <w:color w:val="auto"/>
          <w:sz w:val="32"/>
          <w:szCs w:val="32"/>
          <w:highlight w:val="none"/>
        </w:rPr>
      </w:pPr>
    </w:p>
    <w:p>
      <w:pPr>
        <w:pStyle w:val="39"/>
        <w:spacing w:line="480" w:lineRule="auto"/>
        <w:ind w:left="2400" w:leftChars="1000"/>
        <w:rPr>
          <w:rFonts w:cs="宋体" w:asciiTheme="minorEastAsia" w:hAnsiTheme="minorEastAsia" w:eastAsiaTheme="minorEastAsia"/>
          <w:b/>
          <w:bCs/>
          <w:color w:val="auto"/>
          <w:sz w:val="32"/>
          <w:szCs w:val="32"/>
          <w:highlight w:val="none"/>
        </w:rPr>
      </w:pPr>
    </w:p>
    <w:p>
      <w:pPr>
        <w:pStyle w:val="39"/>
        <w:spacing w:line="480" w:lineRule="auto"/>
        <w:ind w:left="2400" w:leftChars="1000"/>
        <w:rPr>
          <w:rFonts w:cs="宋体" w:asciiTheme="minorEastAsia" w:hAnsiTheme="minorEastAsia" w:eastAsiaTheme="minorEastAsia"/>
          <w:b/>
          <w:bCs/>
          <w:color w:val="auto"/>
          <w:sz w:val="32"/>
          <w:szCs w:val="32"/>
          <w:highlight w:val="none"/>
        </w:rPr>
      </w:pPr>
    </w:p>
    <w:p>
      <w:pPr>
        <w:pStyle w:val="39"/>
        <w:spacing w:line="480" w:lineRule="auto"/>
        <w:ind w:left="2400" w:leftChars="1000"/>
        <w:rPr>
          <w:rFonts w:cs="宋体" w:asciiTheme="minorEastAsia" w:hAnsiTheme="minorEastAsia" w:eastAsiaTheme="minorEastAsia"/>
          <w:b/>
          <w:bCs/>
          <w:color w:val="auto"/>
          <w:sz w:val="32"/>
          <w:szCs w:val="32"/>
          <w:highlight w:val="none"/>
        </w:rPr>
      </w:pPr>
      <w:r>
        <w:rPr>
          <w:rFonts w:hint="eastAsia" w:cs="宋体" w:asciiTheme="minorEastAsia" w:hAnsiTheme="minorEastAsia" w:eastAsiaTheme="minorEastAsia"/>
          <w:b/>
          <w:bCs/>
          <w:color w:val="auto"/>
          <w:sz w:val="32"/>
          <w:szCs w:val="32"/>
          <w:highlight w:val="none"/>
        </w:rPr>
        <w:t>项目名称：</w:t>
      </w:r>
      <w:r>
        <w:rPr>
          <w:rFonts w:hint="eastAsia" w:cs="宋体" w:asciiTheme="minorEastAsia" w:hAnsiTheme="minorEastAsia" w:eastAsiaTheme="minorEastAsia"/>
          <w:b/>
          <w:bCs/>
          <w:color w:val="auto"/>
          <w:sz w:val="32"/>
          <w:szCs w:val="32"/>
          <w:highlight w:val="none"/>
          <w:u w:val="single"/>
        </w:rPr>
        <w:t xml:space="preserve">                    </w:t>
      </w:r>
      <w:r>
        <w:rPr>
          <w:rFonts w:hint="eastAsia" w:cs="宋体" w:asciiTheme="minorEastAsia" w:hAnsiTheme="minorEastAsia" w:eastAsiaTheme="minorEastAsia"/>
          <w:b/>
          <w:bCs/>
          <w:color w:val="auto"/>
          <w:sz w:val="32"/>
          <w:szCs w:val="32"/>
          <w:highlight w:val="none"/>
        </w:rPr>
        <w:t xml:space="preserve">                      </w:t>
      </w:r>
    </w:p>
    <w:p>
      <w:pPr>
        <w:pStyle w:val="39"/>
        <w:spacing w:line="480" w:lineRule="auto"/>
        <w:ind w:left="2400" w:leftChars="1000"/>
        <w:rPr>
          <w:rFonts w:cs="宋体" w:asciiTheme="minorEastAsia" w:hAnsiTheme="minorEastAsia" w:eastAsiaTheme="minorEastAsia"/>
          <w:b/>
          <w:bCs/>
          <w:color w:val="auto"/>
          <w:sz w:val="32"/>
          <w:szCs w:val="32"/>
          <w:highlight w:val="none"/>
        </w:rPr>
      </w:pPr>
      <w:r>
        <w:rPr>
          <w:rFonts w:hint="eastAsia" w:cs="宋体" w:asciiTheme="minorEastAsia" w:hAnsiTheme="minorEastAsia" w:eastAsiaTheme="minorEastAsia"/>
          <w:b/>
          <w:bCs/>
          <w:color w:val="auto"/>
          <w:sz w:val="32"/>
          <w:szCs w:val="32"/>
          <w:highlight w:val="none"/>
        </w:rPr>
        <w:t>项目编号：</w:t>
      </w:r>
      <w:r>
        <w:rPr>
          <w:rFonts w:hint="eastAsia" w:cs="宋体" w:asciiTheme="minorEastAsia" w:hAnsiTheme="minorEastAsia" w:eastAsiaTheme="minorEastAsia"/>
          <w:b/>
          <w:bCs/>
          <w:color w:val="auto"/>
          <w:sz w:val="32"/>
          <w:szCs w:val="32"/>
          <w:highlight w:val="none"/>
          <w:u w:val="single"/>
        </w:rPr>
        <w:t xml:space="preserve">                    </w:t>
      </w:r>
      <w:r>
        <w:rPr>
          <w:rFonts w:hint="eastAsia" w:cs="宋体" w:asciiTheme="minorEastAsia" w:hAnsiTheme="minorEastAsia" w:eastAsiaTheme="minorEastAsia"/>
          <w:b/>
          <w:bCs/>
          <w:color w:val="auto"/>
          <w:sz w:val="32"/>
          <w:szCs w:val="32"/>
          <w:highlight w:val="none"/>
        </w:rPr>
        <w:t xml:space="preserve">                      </w:t>
      </w:r>
    </w:p>
    <w:p>
      <w:pPr>
        <w:pStyle w:val="39"/>
        <w:spacing w:line="480" w:lineRule="auto"/>
        <w:ind w:left="2400" w:leftChars="1000"/>
        <w:rPr>
          <w:rFonts w:cs="宋体" w:asciiTheme="minorEastAsia" w:hAnsiTheme="minorEastAsia" w:eastAsiaTheme="minorEastAsia"/>
          <w:b/>
          <w:bCs/>
          <w:color w:val="auto"/>
          <w:sz w:val="32"/>
          <w:szCs w:val="32"/>
          <w:highlight w:val="none"/>
        </w:rPr>
      </w:pPr>
      <w:r>
        <w:rPr>
          <w:rFonts w:hint="eastAsia" w:cs="宋体" w:asciiTheme="minorEastAsia" w:hAnsiTheme="minorEastAsia" w:eastAsiaTheme="minorEastAsia"/>
          <w:b/>
          <w:bCs/>
          <w:color w:val="auto"/>
          <w:sz w:val="32"/>
          <w:szCs w:val="32"/>
          <w:highlight w:val="none"/>
        </w:rPr>
        <w:t>包    号：</w:t>
      </w:r>
      <w:r>
        <w:rPr>
          <w:rFonts w:hint="eastAsia" w:cs="宋体" w:asciiTheme="minorEastAsia" w:hAnsiTheme="minorEastAsia" w:eastAsiaTheme="minorEastAsia"/>
          <w:b/>
          <w:bCs/>
          <w:color w:val="auto"/>
          <w:sz w:val="32"/>
          <w:szCs w:val="32"/>
          <w:highlight w:val="none"/>
          <w:u w:val="single"/>
        </w:rPr>
        <w:t xml:space="preserve">                    </w:t>
      </w:r>
    </w:p>
    <w:p>
      <w:pPr>
        <w:pStyle w:val="39"/>
        <w:spacing w:line="480" w:lineRule="auto"/>
        <w:ind w:left="2400" w:leftChars="1000"/>
        <w:rPr>
          <w:rFonts w:cs="宋体" w:asciiTheme="minorEastAsia" w:hAnsiTheme="minorEastAsia" w:eastAsiaTheme="minorEastAsia"/>
          <w:b/>
          <w:bCs/>
          <w:color w:val="auto"/>
          <w:sz w:val="32"/>
          <w:szCs w:val="32"/>
          <w:highlight w:val="none"/>
        </w:rPr>
      </w:pPr>
      <w:r>
        <w:rPr>
          <w:rFonts w:hint="eastAsia" w:cs="宋体" w:asciiTheme="minorEastAsia" w:hAnsiTheme="minorEastAsia" w:eastAsiaTheme="minorEastAsia"/>
          <w:b/>
          <w:bCs/>
          <w:color w:val="auto"/>
          <w:sz w:val="32"/>
          <w:szCs w:val="32"/>
          <w:highlight w:val="none"/>
        </w:rPr>
        <w:t>投标人名称：</w:t>
      </w:r>
      <w:r>
        <w:rPr>
          <w:rFonts w:hint="eastAsia" w:cs="宋体" w:asciiTheme="minorEastAsia" w:hAnsiTheme="minorEastAsia" w:eastAsiaTheme="minorEastAsia"/>
          <w:b/>
          <w:bCs/>
          <w:color w:val="auto"/>
          <w:sz w:val="32"/>
          <w:szCs w:val="32"/>
          <w:highlight w:val="none"/>
          <w:u w:val="single"/>
        </w:rPr>
        <w:t xml:space="preserve">                  </w:t>
      </w:r>
      <w:r>
        <w:rPr>
          <w:rFonts w:hint="eastAsia" w:cs="宋体" w:asciiTheme="minorEastAsia" w:hAnsiTheme="minorEastAsia" w:eastAsiaTheme="minorEastAsia"/>
          <w:b/>
          <w:bCs/>
          <w:color w:val="auto"/>
          <w:sz w:val="32"/>
          <w:szCs w:val="32"/>
          <w:highlight w:val="none"/>
        </w:rPr>
        <w:t xml:space="preserve">                </w:t>
      </w:r>
    </w:p>
    <w:p>
      <w:pPr>
        <w:pStyle w:val="39"/>
        <w:spacing w:line="480" w:lineRule="auto"/>
        <w:ind w:left="2400" w:leftChars="1000"/>
        <w:rPr>
          <w:rFonts w:cs="宋体" w:asciiTheme="minorEastAsia" w:hAnsiTheme="minorEastAsia" w:eastAsiaTheme="minorEastAsia"/>
          <w:b/>
          <w:bCs/>
          <w:color w:val="auto"/>
          <w:sz w:val="32"/>
          <w:szCs w:val="32"/>
          <w:highlight w:val="none"/>
        </w:rPr>
      </w:pPr>
      <w:r>
        <w:rPr>
          <w:rFonts w:hint="eastAsia" w:cs="宋体" w:asciiTheme="minorEastAsia" w:hAnsiTheme="minorEastAsia" w:eastAsiaTheme="minorEastAsia"/>
          <w:b/>
          <w:bCs/>
          <w:color w:val="auto"/>
          <w:sz w:val="32"/>
          <w:szCs w:val="32"/>
          <w:highlight w:val="none"/>
        </w:rPr>
        <w:t>投标日期：</w:t>
      </w:r>
      <w:r>
        <w:rPr>
          <w:rFonts w:hint="eastAsia" w:cs="宋体" w:asciiTheme="minorEastAsia" w:hAnsiTheme="minorEastAsia" w:eastAsiaTheme="minorEastAsia"/>
          <w:b/>
          <w:bCs/>
          <w:color w:val="auto"/>
          <w:sz w:val="32"/>
          <w:szCs w:val="32"/>
          <w:highlight w:val="none"/>
          <w:u w:val="single"/>
        </w:rPr>
        <w:t xml:space="preserve">      </w:t>
      </w:r>
      <w:r>
        <w:rPr>
          <w:rFonts w:hint="eastAsia" w:cs="宋体" w:asciiTheme="minorEastAsia" w:hAnsiTheme="minorEastAsia" w:eastAsiaTheme="minorEastAsia"/>
          <w:b/>
          <w:bCs/>
          <w:color w:val="auto"/>
          <w:sz w:val="32"/>
          <w:szCs w:val="32"/>
          <w:highlight w:val="none"/>
        </w:rPr>
        <w:t>年</w:t>
      </w:r>
      <w:r>
        <w:rPr>
          <w:rFonts w:hint="eastAsia" w:cs="宋体" w:asciiTheme="minorEastAsia" w:hAnsiTheme="minorEastAsia" w:eastAsiaTheme="minorEastAsia"/>
          <w:b/>
          <w:bCs/>
          <w:color w:val="auto"/>
          <w:sz w:val="32"/>
          <w:szCs w:val="32"/>
          <w:highlight w:val="none"/>
          <w:u w:val="single"/>
        </w:rPr>
        <w:t xml:space="preserve">    </w:t>
      </w:r>
      <w:r>
        <w:rPr>
          <w:rFonts w:hint="eastAsia" w:cs="宋体" w:asciiTheme="minorEastAsia" w:hAnsiTheme="minorEastAsia" w:eastAsiaTheme="minorEastAsia"/>
          <w:b/>
          <w:bCs/>
          <w:color w:val="auto"/>
          <w:sz w:val="32"/>
          <w:szCs w:val="32"/>
          <w:highlight w:val="none"/>
        </w:rPr>
        <w:t>月</w:t>
      </w:r>
      <w:r>
        <w:rPr>
          <w:rFonts w:hint="eastAsia" w:cs="宋体" w:asciiTheme="minorEastAsia" w:hAnsiTheme="minorEastAsia" w:eastAsiaTheme="minorEastAsia"/>
          <w:b/>
          <w:bCs/>
          <w:color w:val="auto"/>
          <w:sz w:val="32"/>
          <w:szCs w:val="32"/>
          <w:highlight w:val="none"/>
          <w:u w:val="single"/>
        </w:rPr>
        <w:t xml:space="preserve">    </w:t>
      </w:r>
      <w:r>
        <w:rPr>
          <w:rFonts w:hint="eastAsia" w:cs="宋体" w:asciiTheme="minorEastAsia" w:hAnsiTheme="minorEastAsia" w:eastAsiaTheme="minorEastAsia"/>
          <w:b/>
          <w:bCs/>
          <w:color w:val="auto"/>
          <w:sz w:val="32"/>
          <w:szCs w:val="32"/>
          <w:highlight w:val="none"/>
        </w:rPr>
        <w:t>日</w:t>
      </w:r>
    </w:p>
    <w:p>
      <w:pPr>
        <w:pStyle w:val="48"/>
        <w:rPr>
          <w:rFonts w:cs="宋体" w:asciiTheme="minorEastAsia" w:hAnsiTheme="minorEastAsia" w:eastAsiaTheme="minorEastAsia"/>
          <w:color w:val="auto"/>
          <w:highlight w:val="none"/>
        </w:rPr>
      </w:pPr>
      <w:bookmarkStart w:id="837" w:name="_Toc11556"/>
      <w:bookmarkStart w:id="838" w:name="_Toc5306"/>
      <w:bookmarkStart w:id="839" w:name="_Toc5565"/>
      <w:bookmarkStart w:id="840" w:name="_Toc31011"/>
      <w:r>
        <w:rPr>
          <w:rFonts w:hint="eastAsia" w:cs="宋体" w:asciiTheme="minorEastAsia" w:hAnsiTheme="minorEastAsia" w:eastAsiaTheme="minorEastAsia"/>
          <w:color w:val="auto"/>
          <w:highlight w:val="none"/>
        </w:rPr>
        <w:br w:type="page"/>
      </w:r>
    </w:p>
    <w:bookmarkEnd w:id="837"/>
    <w:bookmarkEnd w:id="838"/>
    <w:bookmarkEnd w:id="839"/>
    <w:bookmarkEnd w:id="840"/>
    <w:p>
      <w:pPr>
        <w:pStyle w:val="48"/>
        <w:rPr>
          <w:rFonts w:cs="宋体" w:asciiTheme="minorEastAsia" w:hAnsiTheme="minorEastAsia" w:eastAsiaTheme="minorEastAsia"/>
          <w:color w:val="auto"/>
          <w:highlight w:val="none"/>
        </w:rPr>
      </w:pPr>
      <w:bookmarkStart w:id="841" w:name="_Toc15611"/>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bookmarkStart w:id="842" w:name="_Toc24630"/>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0"/>
        <w:numPr>
          <w:ilvl w:val="1"/>
          <w:numId w:val="0"/>
        </w:numPr>
        <w:spacing w:before="480" w:beforeLines="200"/>
        <w:jc w:val="center"/>
        <w:rPr>
          <w:rFonts w:cs="宋体" w:asciiTheme="minorEastAsia" w:hAnsiTheme="minorEastAsia" w:eastAsiaTheme="minorEastAsia"/>
          <w:color w:val="auto"/>
          <w:sz w:val="32"/>
          <w:szCs w:val="32"/>
          <w:highlight w:val="none"/>
        </w:rPr>
      </w:pPr>
      <w:bookmarkStart w:id="843" w:name="_Toc25258"/>
      <w:r>
        <w:rPr>
          <w:rFonts w:hint="eastAsia" w:cs="宋体" w:asciiTheme="minorEastAsia" w:hAnsiTheme="minorEastAsia" w:eastAsiaTheme="minorEastAsia"/>
          <w:color w:val="auto"/>
          <w:sz w:val="32"/>
          <w:szCs w:val="32"/>
          <w:highlight w:val="none"/>
        </w:rPr>
        <w:t>第一部分 资格、资质性及其他类似效力投标文件(格式)</w:t>
      </w:r>
      <w:bookmarkEnd w:id="841"/>
      <w:bookmarkEnd w:id="842"/>
      <w:bookmarkEnd w:id="843"/>
      <w:bookmarkStart w:id="844" w:name="_Toc16168"/>
      <w:bookmarkStart w:id="845" w:name="_Toc23537"/>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End w:id="844"/>
      <w:bookmarkEnd w:id="845"/>
      <w:bookmarkStart w:id="846" w:name="_Toc26837"/>
      <w:bookmarkStart w:id="847" w:name="_Toc4996"/>
    </w:p>
    <w:bookmarkEnd w:id="846"/>
    <w:bookmarkEnd w:id="847"/>
    <w:p>
      <w:pPr>
        <w:pStyle w:val="50"/>
        <w:numPr>
          <w:ilvl w:val="0"/>
          <w:numId w:val="20"/>
        </w:numPr>
        <w:spacing w:before="120" w:after="120"/>
        <w:ind w:firstLine="0"/>
        <w:rPr>
          <w:rFonts w:cs="宋体" w:asciiTheme="minorEastAsia" w:hAnsiTheme="minorEastAsia" w:eastAsiaTheme="minorEastAsia"/>
          <w:color w:val="auto"/>
          <w:highlight w:val="none"/>
        </w:rPr>
      </w:pPr>
      <w:bookmarkStart w:id="848" w:name="_Toc17004"/>
      <w:bookmarkStart w:id="849" w:name="_Toc18400"/>
      <w:bookmarkStart w:id="850" w:name="_Toc15054"/>
      <w:bookmarkStart w:id="851" w:name="_Toc19166"/>
      <w:bookmarkStart w:id="852" w:name="_Toc4865"/>
      <w:r>
        <w:rPr>
          <w:rFonts w:hint="eastAsia" w:cs="宋体" w:asciiTheme="minorEastAsia" w:hAnsiTheme="minorEastAsia" w:eastAsiaTheme="minorEastAsia"/>
          <w:color w:val="auto"/>
          <w:highlight w:val="none"/>
        </w:rPr>
        <w:t>法定代表人/单位负责人授权书</w:t>
      </w:r>
      <w:bookmarkEnd w:id="848"/>
      <w:bookmarkEnd w:id="849"/>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(采购代理机构名称)：</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本授权声明：</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(法定代表人/单位负责人姓名、职务)授权</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(被授权人姓名、职务、身份证号码)为我方参加“</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(项目名称)(项目编号：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)”第</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包投标活动的合法代表，以我方名义全权处理该项目有关投标、签订合同以及执行合同等一切事宜，我单位均予承认，所产生的法律后果均由我单位承担。</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特此声明。</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授权代表：</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rPr>
          <w:rFonts w:cs="宋体" w:asciiTheme="minorEastAsia" w:hAnsiTheme="minorEastAsia" w:eastAsiaTheme="minorEastAsia"/>
          <w:color w:val="auto"/>
          <w:highlight w:val="none"/>
        </w:rPr>
      </w:pP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注：1.法定代表人/单位负责人不亲自参加投标，而授权代表参加投标的适用。</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2.供应商为法人单位时提供“法定代表人授权书”，供应商为其他组织时提供“负责人授权书”，供应商为自然人时提供“自然人身份证明材料”。</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3.应附法定代表人/单位负责人身份证明材料复印件和授权代表身份证明材料复印件。</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4.身份证明材料包括居民身份证或户口本或军官证或护照等。</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5.身份证明材料应同时提供其在有效期的材料，如居民身份证正、反面复印件。</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53" w:name="_Toc9243"/>
      <w:bookmarkStart w:id="854" w:name="_Toc9688"/>
      <w:bookmarkStart w:id="855" w:name="_Toc5501"/>
      <w:bookmarkStart w:id="856" w:name="_Toc22140"/>
      <w:bookmarkStart w:id="857" w:name="_Toc19179"/>
      <w:bookmarkStart w:id="858" w:name="_Toc21430"/>
      <w:r>
        <w:rPr>
          <w:rFonts w:hint="eastAsia" w:cs="宋体" w:asciiTheme="minorEastAsia" w:hAnsiTheme="minorEastAsia" w:eastAsiaTheme="minorEastAsia"/>
          <w:color w:val="auto"/>
          <w:highlight w:val="none"/>
        </w:rPr>
        <w:t>法定代表人/单位负责人证明书</w:t>
      </w:r>
      <w:bookmarkEnd w:id="853"/>
      <w:bookmarkEnd w:id="854"/>
      <w:bookmarkEnd w:id="855"/>
      <w:bookmarkEnd w:id="856"/>
      <w:bookmarkEnd w:id="857"/>
      <w:bookmarkEnd w:id="858"/>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    址：</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姓    名：</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性别：</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年龄：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职务：</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本人系</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(投标人名称)的法定代表人/单位负责人。就参加你单位组织的“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(项目名称)(项目编号：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)”第</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包的投标活动、并参与项目的投标、签订合同以及执行合同等一切事宜，我单位均予承认，所产生的法律后果均由我单位承担。</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特此证明。</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(盖章) </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color w:val="auto"/>
          <w:highlight w:val="none"/>
          <w:u w:val="single"/>
        </w:rPr>
        <w:t xml:space="preserve">             </w:t>
      </w:r>
    </w:p>
    <w:p>
      <w:pPr>
        <w:pStyle w:val="52"/>
        <w:rPr>
          <w:rFonts w:cs="宋体" w:asciiTheme="minorEastAsia" w:hAnsiTheme="minorEastAsia" w:eastAsiaTheme="minorEastAsia"/>
          <w:color w:val="auto"/>
          <w:highlight w:val="none"/>
        </w:rPr>
      </w:pP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注：1.法定代表人/单位负责人亲自参加投标时适用本证明书。</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2.应附法定代表人/单位负责人身份证明材料复印件。</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3.身份证明材料包括居民身份证或户口本或军官证或护照等。</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4.身份证明材料应同时提供其在有效期的材料，如居民身份证正、反面复印件。</w:t>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59" w:name="_Toc28837"/>
      <w:bookmarkStart w:id="860" w:name="_Toc10998"/>
      <w:bookmarkStart w:id="861" w:name="_Toc18294"/>
      <w:bookmarkStart w:id="862" w:name="_Toc22152"/>
      <w:bookmarkStart w:id="863" w:name="_Toc28397"/>
      <w:bookmarkStart w:id="864" w:name="_Toc3822"/>
      <w:r>
        <w:rPr>
          <w:rFonts w:hint="eastAsia" w:cs="宋体" w:asciiTheme="minorEastAsia" w:hAnsiTheme="minorEastAsia" w:eastAsiaTheme="minorEastAsia"/>
          <w:color w:val="auto"/>
          <w:highlight w:val="none"/>
        </w:rPr>
        <w:t>具有独立承担民事责任的能力的证明材料</w:t>
      </w:r>
      <w:bookmarkEnd w:id="859"/>
      <w:bookmarkEnd w:id="860"/>
      <w:bookmarkEnd w:id="861"/>
      <w:bookmarkEnd w:id="862"/>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63"/>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注：1.以上证明材料应满足此条要求①发证机关有年检要求的，应按规定通过年检；②在有效期内；③复印件加盖投标人公章；</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w:t>
      </w:r>
      <w:bookmarkEnd w:id="864"/>
      <w:r>
        <w:rPr>
          <w:rFonts w:hint="eastAsia" w:cs="宋体" w:asciiTheme="minorEastAsia" w:hAnsiTheme="minorEastAsia" w:eastAsiaTheme="minorEastAsia"/>
          <w:color w:val="auto"/>
          <w:highlight w:val="none"/>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3.根据国务院办公厅关于加快推进“多证合一”改革的指导意见(国办发〔2017〕41号)等政策要求，若资格要求涉及的登记、备案等有关事项和各类证照已实行多证合一的，提供多证合一证照副本复印件。</w:t>
      </w:r>
    </w:p>
    <w:p>
      <w:pPr>
        <w:pStyle w:val="48"/>
        <w:rPr>
          <w:rFonts w:cs="宋体" w:asciiTheme="minorEastAsia" w:hAnsiTheme="minorEastAsia" w:eastAsiaTheme="minorEastAsia"/>
          <w:color w:val="auto"/>
          <w:highlight w:val="none"/>
        </w:rPr>
      </w:pP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65" w:name="_Toc29937"/>
      <w:bookmarkStart w:id="866" w:name="_Toc28024"/>
      <w:bookmarkStart w:id="867" w:name="_Toc3600"/>
      <w:bookmarkStart w:id="868" w:name="_Toc10173"/>
      <w:bookmarkStart w:id="869" w:name="_Toc14566"/>
      <w:r>
        <w:rPr>
          <w:rFonts w:hint="eastAsia" w:cs="宋体" w:asciiTheme="minorEastAsia" w:hAnsiTheme="minorEastAsia" w:eastAsiaTheme="minorEastAsia"/>
          <w:color w:val="auto"/>
          <w:highlight w:val="none"/>
        </w:rPr>
        <w:t>投标人具有良好的商业信誉和健全的财务会计制度的证明材料</w:t>
      </w:r>
      <w:bookmarkEnd w:id="865"/>
      <w:bookmarkEnd w:id="866"/>
      <w:bookmarkEnd w:id="867"/>
      <w:bookmarkEnd w:id="868"/>
    </w:p>
    <w:bookmarkEnd w:id="869"/>
    <w:p>
      <w:pPr>
        <w:pStyle w:val="52"/>
        <w:rPr>
          <w:rFonts w:cs="宋体" w:asciiTheme="minorEastAsia" w:hAnsiTheme="minorEastAsia" w:eastAsiaTheme="minorEastAsia"/>
          <w:color w:val="auto"/>
          <w:highlight w:val="none"/>
        </w:rPr>
      </w:pPr>
      <w:bookmarkStart w:id="870" w:name="_Toc17744"/>
      <w:bookmarkStart w:id="871" w:name="_Toc19866"/>
      <w:bookmarkStart w:id="872" w:name="_Toc5443"/>
      <w:r>
        <w:rPr>
          <w:rFonts w:hint="eastAsia" w:cs="宋体" w:asciiTheme="minorEastAsia" w:hAnsiTheme="minorEastAsia" w:eastAsiaTheme="minorEastAsia"/>
          <w:color w:val="auto"/>
          <w:highlight w:val="none"/>
        </w:rPr>
        <w:t>1.投标人具有良好商业信誉的证明材料；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提供具有良好的商业信誉的承诺函。</w:t>
      </w:r>
    </w:p>
    <w:p>
      <w:pPr>
        <w:pStyle w:val="52"/>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2.投标人具有健全的财务会计制度的证明材料；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(1)投标人提供2019年度或2020年度经过会计师事务所审计的财务报告复印件(经审计的有效财务报告应包括报告及报告中所附的完整内容，并由注册会计师签名、盖章以及会计师事务所盖章)；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(2)投标人提供2020年度投标人内部的财务报表复印件(至少包含资产负债表)；</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(3)投标人提供投标文件递交截止日前一年内银行为其出具的资信证明复印件；</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(4)投标人注册时间截至投标文件递交截止日不足一年的，可提供公司章程复印件；</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(5)投标人为事业单位或其他组织(不具备法人条件的组织，如合伙组织、个体工商户、农村承包经营户等)或自然人时，可提供承诺函；</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(6)提供具有健全的财务会计制度的承诺函。</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bCs/>
          <w:color w:val="auto"/>
          <w:highlight w:val="none"/>
        </w:rPr>
        <w:t>注：具有健全的财务会计制度的证明材料中第(1)-(6)项具有同等的投标效力，投标人可根据自身实际情况选择提供其中任意一项。</w:t>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73" w:name="_Toc4190"/>
      <w:bookmarkStart w:id="874" w:name="_Toc19365"/>
      <w:r>
        <w:rPr>
          <w:rFonts w:hint="eastAsia" w:cs="宋体" w:asciiTheme="minorEastAsia" w:hAnsiTheme="minorEastAsia" w:eastAsiaTheme="minorEastAsia"/>
          <w:color w:val="auto"/>
          <w:highlight w:val="none"/>
        </w:rPr>
        <w:t>投标人具有依法缴纳税收和社会保障资金的良好记录的证明材料</w:t>
      </w:r>
      <w:bookmarkEnd w:id="870"/>
      <w:bookmarkEnd w:id="871"/>
      <w:bookmarkEnd w:id="873"/>
      <w:bookmarkEnd w:id="874"/>
    </w:p>
    <w:bookmarkEnd w:id="872"/>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w:t>
      </w:r>
      <w:r>
        <w:rPr>
          <w:rFonts w:hint="eastAsia" w:cs="宋体" w:asciiTheme="minorEastAsia" w:hAnsiTheme="minorEastAsia" w:eastAsiaTheme="minorEastAsia"/>
          <w:color w:val="auto"/>
          <w:highlight w:val="none"/>
          <w:lang w:val="zh-CN"/>
        </w:rPr>
        <w:t>依法缴纳税收和社会保障资金的良好记录</w:t>
      </w:r>
      <w:r>
        <w:rPr>
          <w:rFonts w:hint="eastAsia" w:cs="宋体" w:asciiTheme="minorEastAsia" w:hAnsiTheme="minorEastAsia" w:eastAsiaTheme="minorEastAsia"/>
          <w:color w:val="auto"/>
          <w:highlight w:val="none"/>
        </w:rPr>
        <w:t>的承诺函。</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注：格式自拟，或参照《符合&lt;中华人民共和国政府采购法&gt;第二十二条规定的条件的承诺及声明函》的格式提供承诺函。</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75" w:name="_Toc16336"/>
      <w:bookmarkStart w:id="876" w:name="_Toc14829"/>
      <w:bookmarkStart w:id="877" w:name="_Toc22669"/>
      <w:bookmarkStart w:id="878" w:name="_Toc15870"/>
      <w:r>
        <w:rPr>
          <w:rFonts w:hint="eastAsia" w:cs="宋体" w:asciiTheme="minorEastAsia" w:hAnsiTheme="minorEastAsia" w:eastAsiaTheme="minorEastAsia"/>
          <w:color w:val="auto"/>
          <w:highlight w:val="none"/>
        </w:rPr>
        <w:t>投标人具有履行合同所必需的设备和专业技术能力证明材料</w:t>
      </w:r>
      <w:bookmarkEnd w:id="875"/>
      <w:bookmarkEnd w:id="876"/>
      <w:bookmarkEnd w:id="877"/>
      <w:bookmarkEnd w:id="878"/>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提供具有履行合同所必需的设备和专业技术能力的承诺函。</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注：格式自拟，或参照《符合&lt;中华人民共和国政府采购法&gt;第二十二条规定的条件的承诺及声明函》的格式提供承诺函。</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79" w:name="_Toc9968"/>
      <w:bookmarkStart w:id="880" w:name="_Toc21379"/>
      <w:bookmarkStart w:id="881" w:name="_Toc24186"/>
      <w:r>
        <w:rPr>
          <w:rFonts w:hint="eastAsia" w:cs="宋体" w:asciiTheme="minorEastAsia" w:hAnsiTheme="minorEastAsia" w:eastAsiaTheme="minorEastAsia"/>
          <w:color w:val="auto"/>
          <w:highlight w:val="none"/>
        </w:rPr>
        <w:t>投标人参加政府采购活动前三年内，在经营活动中没有重大违法记录的证明材料</w:t>
      </w:r>
      <w:bookmarkEnd w:id="879"/>
      <w:bookmarkEnd w:id="880"/>
      <w:bookmarkEnd w:id="881"/>
    </w:p>
    <w:p>
      <w:pPr>
        <w:pStyle w:val="52"/>
        <w:rPr>
          <w:rFonts w:cs="宋体" w:asciiTheme="minorEastAsia" w:hAnsiTheme="minorEastAsia" w:eastAsiaTheme="minorEastAsia"/>
          <w:color w:val="auto"/>
          <w:highlight w:val="none"/>
        </w:rPr>
      </w:pPr>
      <w:bookmarkStart w:id="882" w:name="_Toc9591"/>
      <w:bookmarkStart w:id="883" w:name="_Toc14299"/>
      <w:r>
        <w:rPr>
          <w:rFonts w:hint="eastAsia" w:cs="宋体" w:asciiTheme="minorEastAsia" w:hAnsiTheme="minorEastAsia" w:eastAsiaTheme="minorEastAsia"/>
          <w:color w:val="auto"/>
          <w:highlight w:val="none"/>
        </w:rPr>
        <w:t>投标人提供参加本次政府采购活动前三年内，在经营活动中没有重大违法记录的书面声明(成立不足三年的，从成立之日起计算)。</w:t>
      </w:r>
    </w:p>
    <w:p>
      <w:pPr>
        <w:pStyle w:val="53"/>
        <w:ind w:firstLine="482"/>
        <w:rPr>
          <w:rFonts w:cs="宋体" w:asciiTheme="minorEastAsia" w:hAnsiTheme="minorEastAsia" w:eastAsiaTheme="minorEastAsia"/>
          <w:color w:val="auto"/>
          <w:highlight w:val="none"/>
        </w:rPr>
      </w:pPr>
      <w:bookmarkStart w:id="884" w:name="_Toc26284"/>
      <w:bookmarkStart w:id="885" w:name="_Toc7540"/>
      <w:r>
        <w:rPr>
          <w:rFonts w:hint="eastAsia" w:cs="宋体" w:asciiTheme="minorEastAsia" w:hAnsiTheme="minorEastAsia" w:eastAsiaTheme="minorEastAsia"/>
          <w:color w:val="auto"/>
          <w:highlight w:val="none"/>
        </w:rPr>
        <w:t>注：格式自拟，或参照《符合&lt;中华人民共和国政府采购法&gt;第二十二条规定的条件的承诺及声明函》的格式提供声明函。</w:t>
      </w:r>
    </w:p>
    <w:bookmarkEnd w:id="882"/>
    <w:bookmarkEnd w:id="883"/>
    <w:bookmarkEnd w:id="884"/>
    <w:bookmarkEnd w:id="885"/>
    <w:p>
      <w:pPr>
        <w:pStyle w:val="50"/>
        <w:numPr>
          <w:ilvl w:val="0"/>
          <w:numId w:val="21"/>
        </w:numPr>
        <w:spacing w:before="120" w:after="120"/>
        <w:ind w:firstLine="0"/>
        <w:rPr>
          <w:rFonts w:cs="宋体" w:asciiTheme="minorEastAsia" w:hAnsiTheme="minorEastAsia" w:eastAsiaTheme="minorEastAsia"/>
          <w:color w:val="auto"/>
          <w:highlight w:val="none"/>
          <w:lang w:val="zh-CN"/>
        </w:rPr>
      </w:pPr>
      <w:bookmarkStart w:id="886" w:name="_Toc27034"/>
      <w:bookmarkStart w:id="887" w:name="_Toc17558"/>
      <w:bookmarkStart w:id="888" w:name="_Toc3840"/>
      <w:bookmarkStart w:id="889" w:name="_Toc17200"/>
      <w:bookmarkStart w:id="890" w:name="_Toc29042"/>
      <w:r>
        <w:rPr>
          <w:rFonts w:hint="eastAsia" w:cs="宋体" w:asciiTheme="minorEastAsia" w:hAnsiTheme="minorEastAsia" w:eastAsiaTheme="minorEastAsia"/>
          <w:color w:val="auto"/>
          <w:highlight w:val="none"/>
        </w:rPr>
        <w:t>投标人</w:t>
      </w:r>
      <w:r>
        <w:rPr>
          <w:rFonts w:hint="eastAsia" w:cs="宋体" w:asciiTheme="minorEastAsia" w:hAnsiTheme="minorEastAsia" w:eastAsiaTheme="minorEastAsia"/>
          <w:color w:val="auto"/>
          <w:highlight w:val="none"/>
          <w:lang w:val="zh-CN"/>
        </w:rPr>
        <w:t>及其现任法定代表人、主要负责人不得具有行贿犯罪记录</w:t>
      </w:r>
      <w:r>
        <w:rPr>
          <w:rFonts w:hint="eastAsia" w:cs="宋体" w:asciiTheme="minorEastAsia" w:hAnsiTheme="minorEastAsia" w:eastAsiaTheme="minorEastAsia"/>
          <w:color w:val="auto"/>
          <w:highlight w:val="none"/>
        </w:rPr>
        <w:t>的</w:t>
      </w:r>
      <w:bookmarkEnd w:id="886"/>
      <w:bookmarkEnd w:id="887"/>
      <w:bookmarkEnd w:id="888"/>
      <w:r>
        <w:rPr>
          <w:rFonts w:hint="eastAsia" w:cs="宋体" w:asciiTheme="minorEastAsia" w:hAnsiTheme="minorEastAsia" w:eastAsiaTheme="minorEastAsia"/>
          <w:color w:val="auto"/>
          <w:highlight w:val="none"/>
        </w:rPr>
        <w:t>承诺函</w:t>
      </w:r>
      <w:bookmarkEnd w:id="889"/>
      <w:bookmarkEnd w:id="890"/>
    </w:p>
    <w:p>
      <w:pPr>
        <w:pStyle w:val="48"/>
        <w:adjustRightInd/>
        <w:snapToGrid/>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(采购代理机构名称)：</w:t>
      </w:r>
    </w:p>
    <w:p>
      <w:pPr>
        <w:pStyle w:val="48"/>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我单位作为本次采购项目的投标人，根据招标文件要求，现郑重承诺如下：</w:t>
      </w:r>
    </w:p>
    <w:p>
      <w:pPr>
        <w:pStyle w:val="52"/>
        <w:adjustRightInd/>
        <w:snapToGrid/>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(投标人名称)及其现任法定代表人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(姓名)、</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(身份证号码)，主要负责人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(姓名)、</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(身份证号码)，</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(无行贿犯罪记录的期限)均无行贿犯罪记录。     </w:t>
      </w:r>
    </w:p>
    <w:p>
      <w:pPr>
        <w:pStyle w:val="52"/>
        <w:adjustRightInd/>
        <w:snapToGrid/>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我单位对上述承诺的内容事项真实性、合法性负责。如经查实上述承诺的内容事项存在虚假，我单位自愿接受以提供虚假材料谋取中标所带来的所有法律责任。</w:t>
      </w:r>
    </w:p>
    <w:p>
      <w:pPr>
        <w:pStyle w:val="48"/>
        <w:adjustRightInd/>
        <w:snapToGrid/>
        <w:rPr>
          <w:rFonts w:cs="宋体" w:asciiTheme="minorEastAsia" w:hAnsiTheme="minorEastAsia" w:eastAsiaTheme="minorEastAsia"/>
          <w:color w:val="auto"/>
          <w:highlight w:val="none"/>
        </w:rPr>
      </w:pPr>
    </w:p>
    <w:p>
      <w:pPr>
        <w:pStyle w:val="48"/>
        <w:adjustRightInd/>
        <w:snapToGrid/>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69"/>
        <w:numPr>
          <w:ilvl w:val="3"/>
          <w:numId w:val="0"/>
        </w:numPr>
        <w:adjustRightInd/>
        <w:snapToGrid/>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color w:val="auto"/>
          <w:highlight w:val="none"/>
          <w:u w:val="single"/>
        </w:rPr>
        <w:t xml:space="preserve">                  </w:t>
      </w:r>
    </w:p>
    <w:p>
      <w:pPr>
        <w:pStyle w:val="69"/>
        <w:numPr>
          <w:ilvl w:val="3"/>
          <w:numId w:val="0"/>
        </w:numPr>
        <w:adjustRightInd/>
        <w:snapToGrid/>
        <w:ind w:firstLine="480" w:firstLineChars="200"/>
        <w:rPr>
          <w:rFonts w:cs="宋体" w:asciiTheme="minorEastAsia" w:hAnsiTheme="minorEastAsia" w:eastAsiaTheme="minorEastAsia"/>
          <w:color w:val="auto"/>
          <w:highlight w:val="none"/>
          <w:u w:val="single"/>
        </w:rPr>
      </w:pPr>
    </w:p>
    <w:p>
      <w:pPr>
        <w:pStyle w:val="69"/>
        <w:numPr>
          <w:ilvl w:val="3"/>
          <w:numId w:val="0"/>
        </w:numPr>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注：投标人成立时间超过十年的，在“无行贿犯罪记录的期限”处填写“十年内”；投标人成立时间不足十年的，在“无行贿犯罪记录的期限”处填写“自我单位成立之日起至今”。</w:t>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91" w:name="_Toc15304"/>
      <w:r>
        <w:rPr>
          <w:rFonts w:hint="eastAsia" w:cs="宋体" w:asciiTheme="minorEastAsia" w:hAnsiTheme="minorEastAsia" w:eastAsiaTheme="minorEastAsia"/>
          <w:color w:val="auto"/>
          <w:highlight w:val="none"/>
        </w:rPr>
        <w:t>根据采购项目的特殊要求，供应商提供具有特定条件</w:t>
      </w:r>
      <w:bookmarkEnd w:id="850"/>
      <w:r>
        <w:rPr>
          <w:rFonts w:hint="eastAsia" w:cs="宋体" w:asciiTheme="minorEastAsia" w:hAnsiTheme="minorEastAsia" w:eastAsiaTheme="minorEastAsia"/>
          <w:color w:val="auto"/>
          <w:highlight w:val="none"/>
        </w:rPr>
        <w:t>的证明材料</w:t>
      </w:r>
      <w:bookmarkEnd w:id="851"/>
      <w:bookmarkEnd w:id="852"/>
      <w:bookmarkEnd w:id="891"/>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lang w:val="zh-CN"/>
        </w:rPr>
        <w:t>第一包：投标人</w:t>
      </w:r>
      <w:r>
        <w:rPr>
          <w:rFonts w:hint="eastAsia" w:cs="宋体" w:asciiTheme="minorEastAsia" w:hAnsiTheme="minorEastAsia" w:eastAsiaTheme="minorEastAsia"/>
          <w:color w:val="auto"/>
          <w:highlight w:val="none"/>
        </w:rPr>
        <w:t>提供</w:t>
      </w:r>
      <w:r>
        <w:rPr>
          <w:rFonts w:hint="eastAsia" w:cs="宋体" w:asciiTheme="minorEastAsia" w:hAnsiTheme="minorEastAsia" w:eastAsiaTheme="minorEastAsia"/>
          <w:color w:val="auto"/>
          <w:highlight w:val="none"/>
          <w:lang w:val="zh-CN"/>
        </w:rPr>
        <w:t>国家测绘地理信息主管部门颁发的且在有效期内的甲级资质</w:t>
      </w:r>
      <w:r>
        <w:rPr>
          <w:rFonts w:hint="eastAsia" w:cs="宋体" w:asciiTheme="minorEastAsia" w:hAnsiTheme="minorEastAsia" w:eastAsiaTheme="minorEastAsia"/>
          <w:color w:val="auto"/>
          <w:highlight w:val="none"/>
        </w:rPr>
        <w:t>证书复印件</w:t>
      </w:r>
      <w:r>
        <w:rPr>
          <w:rFonts w:hint="eastAsia" w:cs="宋体" w:asciiTheme="minorEastAsia" w:hAnsiTheme="minorEastAsia" w:eastAsiaTheme="minorEastAsia"/>
          <w:color w:val="auto"/>
          <w:highlight w:val="none"/>
          <w:lang w:val="zh-CN"/>
        </w:rPr>
        <w:t>(专业范围需包含:①地理信息系统工程②摄影测量与遥感③地图编制。以上专业范围子项不限定)；</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第二包：</w:t>
      </w:r>
      <w:r>
        <w:rPr>
          <w:rFonts w:hint="eastAsia"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lang w:val="zh-CN"/>
        </w:rPr>
        <w:t>投标人</w:t>
      </w:r>
      <w:r>
        <w:rPr>
          <w:rFonts w:hint="eastAsia" w:cs="宋体" w:asciiTheme="minorEastAsia" w:hAnsiTheme="minorEastAsia" w:eastAsiaTheme="minorEastAsia"/>
          <w:color w:val="auto"/>
          <w:highlight w:val="none"/>
        </w:rPr>
        <w:t>提供</w:t>
      </w:r>
      <w:r>
        <w:rPr>
          <w:rFonts w:hint="eastAsia" w:cs="宋体" w:asciiTheme="minorEastAsia" w:hAnsiTheme="minorEastAsia" w:eastAsiaTheme="minorEastAsia"/>
          <w:color w:val="auto"/>
          <w:highlight w:val="none"/>
          <w:lang w:val="zh-CN"/>
        </w:rPr>
        <w:t>国家测绘地理信息主管部门颁发的且在有效期内的乙级</w:t>
      </w:r>
      <w:r>
        <w:rPr>
          <w:rFonts w:hint="eastAsia" w:cs="宋体" w:asciiTheme="minorEastAsia" w:hAnsiTheme="minorEastAsia" w:eastAsiaTheme="minorEastAsia"/>
          <w:color w:val="auto"/>
          <w:highlight w:val="none"/>
        </w:rPr>
        <w:t>及</w:t>
      </w:r>
      <w:r>
        <w:rPr>
          <w:rFonts w:hint="eastAsia" w:cs="宋体" w:asciiTheme="minorEastAsia" w:hAnsiTheme="minorEastAsia" w:eastAsiaTheme="minorEastAsia"/>
          <w:color w:val="auto"/>
          <w:highlight w:val="none"/>
          <w:lang w:val="zh-CN"/>
        </w:rPr>
        <w:t>以上资质</w:t>
      </w:r>
      <w:r>
        <w:rPr>
          <w:rFonts w:hint="eastAsia" w:cs="宋体" w:asciiTheme="minorEastAsia" w:hAnsiTheme="minorEastAsia" w:eastAsiaTheme="minorEastAsia"/>
          <w:color w:val="auto"/>
          <w:highlight w:val="none"/>
        </w:rPr>
        <w:t>证书复印件</w:t>
      </w:r>
      <w:r>
        <w:rPr>
          <w:rFonts w:hint="eastAsia" w:cs="宋体" w:asciiTheme="minorEastAsia" w:hAnsiTheme="minorEastAsia" w:eastAsiaTheme="minorEastAsia"/>
          <w:color w:val="auto"/>
          <w:highlight w:val="none"/>
          <w:lang w:val="zh-CN"/>
        </w:rPr>
        <w:t>(专业范围需包含:①地理信息系统工程②互联网地图服务③地图编制。以上专业范围子项不限定)；</w:t>
      </w: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供应商应具有省级及以上质量主管部门颁发的检验检测机构资质认定证书</w:t>
      </w:r>
      <w:r>
        <w:rPr>
          <w:rFonts w:hint="eastAsia" w:cs="宋体" w:asciiTheme="minorEastAsia" w:hAnsiTheme="minorEastAsia" w:eastAsiaTheme="minorEastAsia"/>
          <w:color w:val="auto"/>
          <w:highlight w:val="none"/>
        </w:rPr>
        <w:t>复印件</w:t>
      </w:r>
      <w:r>
        <w:rPr>
          <w:rFonts w:hint="eastAsia" w:cs="仿宋" w:asciiTheme="minorEastAsia" w:hAnsiTheme="minorEastAsia" w:eastAsiaTheme="minorEastAsia"/>
          <w:bCs/>
          <w:color w:val="000000"/>
          <w:kern w:val="0"/>
          <w:highlight w:val="none"/>
        </w:rPr>
        <w:t>(</w:t>
      </w:r>
      <w:r>
        <w:rPr>
          <w:rFonts w:hint="eastAsia" w:cs="仿宋" w:asciiTheme="minorEastAsia" w:hAnsiTheme="minorEastAsia" w:eastAsiaTheme="minorEastAsia"/>
          <w:color w:val="000000"/>
          <w:kern w:val="0"/>
          <w:highlight w:val="none"/>
        </w:rPr>
        <w:t>证书附表</w:t>
      </w:r>
      <w:r>
        <w:rPr>
          <w:rFonts w:hint="eastAsia" w:cs="仿宋" w:asciiTheme="minorEastAsia" w:hAnsiTheme="minorEastAsia" w:eastAsiaTheme="minorEastAsia"/>
          <w:bCs/>
          <w:color w:val="000000"/>
          <w:kern w:val="0"/>
          <w:highlight w:val="none"/>
        </w:rPr>
        <w:t>需包含测绘类)</w:t>
      </w:r>
      <w:r>
        <w:rPr>
          <w:rFonts w:hint="eastAsia" w:cs="宋体" w:asciiTheme="minorEastAsia" w:hAnsiTheme="minorEastAsia" w:eastAsiaTheme="minorEastAsia"/>
          <w:color w:val="auto"/>
          <w:highlight w:val="none"/>
          <w:lang w:val="zh-CN"/>
        </w:rPr>
        <w:t>。</w:t>
      </w:r>
    </w:p>
    <w:p>
      <w:pPr>
        <w:pStyle w:val="48"/>
        <w:numPr>
          <w:ilvl w:val="255"/>
          <w:numId w:val="0"/>
        </w:numPr>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3、提供未与其他投标人组成联合体参与本项目投标的承诺函。</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注：承诺函格式自拟，或参照《符合&lt;中华人民共和国政府采购法&gt;第二十二条规定的条件的承诺及声明函》的格式提供承诺函。</w:t>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92" w:name="_Toc21855"/>
      <w:bookmarkStart w:id="893" w:name="_Toc32579"/>
      <w:bookmarkStart w:id="894" w:name="_Toc15708"/>
      <w:r>
        <w:rPr>
          <w:rFonts w:hint="eastAsia" w:cs="宋体" w:asciiTheme="minorEastAsia" w:hAnsiTheme="minorEastAsia" w:eastAsiaTheme="minorEastAsia"/>
          <w:color w:val="auto"/>
          <w:highlight w:val="none"/>
        </w:rPr>
        <w:t>符合《中华人民共和国政府采购法》第二十二条规定的条件的承诺及声明函</w:t>
      </w:r>
      <w:bookmarkEnd w:id="892"/>
      <w:bookmarkEnd w:id="893"/>
      <w:bookmarkEnd w:id="894"/>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(采购代理机构名称)：</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我公司作为本次采购项目的投标供应商，根据招标文件要求，现郑重承诺如下：</w:t>
      </w:r>
    </w:p>
    <w:p>
      <w:pPr>
        <w:pStyle w:val="41"/>
        <w:numPr>
          <w:ilvl w:val="2"/>
          <w:numId w:val="2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具有良好的商业信誉和健全的财务会计制度； </w:t>
      </w:r>
    </w:p>
    <w:p>
      <w:pPr>
        <w:pStyle w:val="41"/>
        <w:numPr>
          <w:ilvl w:val="2"/>
          <w:numId w:val="2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具有履行合同所必需的设备和专业技术能力； </w:t>
      </w:r>
    </w:p>
    <w:p>
      <w:pPr>
        <w:pStyle w:val="41"/>
        <w:numPr>
          <w:ilvl w:val="2"/>
          <w:numId w:val="2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具有依法缴纳税收和社会保障资金的良好记录； </w:t>
      </w:r>
    </w:p>
    <w:p>
      <w:pPr>
        <w:pStyle w:val="41"/>
        <w:numPr>
          <w:ilvl w:val="2"/>
          <w:numId w:val="2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参加本次政府采购活动前三年内，在经营活动中没有重大违法记录(供应商成立不足三年的，从成立之日起计算)；</w:t>
      </w:r>
    </w:p>
    <w:p>
      <w:pPr>
        <w:pStyle w:val="41"/>
        <w:numPr>
          <w:ilvl w:val="2"/>
          <w:numId w:val="2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符合法律、行政法规规定的其他条件；</w:t>
      </w:r>
    </w:p>
    <w:p>
      <w:pPr>
        <w:pStyle w:val="41"/>
        <w:numPr>
          <w:ilvl w:val="2"/>
          <w:numId w:val="2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未与其他投标供应商组成联合体参加本项目投标。</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本公司对上述承诺的内容事项真实性、合法性负责。如经查实上述承诺的内容事项存在虚假，我公司自愿接受以提供虚假材料谋取中标所带来的所有法律责任。</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注：本部分所要求的承诺函可参照本格式或自拟格式填写均有效。</w:t>
      </w:r>
    </w:p>
    <w:p>
      <w:pPr>
        <w:pStyle w:val="48"/>
        <w:rPr>
          <w:rFonts w:cs="宋体" w:asciiTheme="minorEastAsia" w:hAnsiTheme="minorEastAsia" w:eastAsiaTheme="minorEastAsia"/>
          <w:color w:val="auto"/>
          <w:highlight w:val="none"/>
        </w:rPr>
      </w:pP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95" w:name="_Toc2234"/>
      <w:r>
        <w:rPr>
          <w:rFonts w:hint="eastAsia" w:cs="宋体" w:asciiTheme="minorEastAsia" w:hAnsiTheme="minorEastAsia" w:eastAsiaTheme="minorEastAsia"/>
          <w:color w:val="auto"/>
          <w:highlight w:val="none"/>
        </w:rPr>
        <w:t>中小企业声明函(作为资格条件使用仅限于第一包，且投标人应为中小企业)</w:t>
      </w:r>
      <w:bookmarkEnd w:id="895"/>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本公司</w:t>
      </w:r>
      <w:r>
        <w:rPr>
          <w:rFonts w:hint="eastAsia" w:cs="宋体" w:asciiTheme="minorEastAsia" w:hAnsiTheme="minorEastAsia" w:eastAsiaTheme="minorEastAsia"/>
          <w:b w:val="0"/>
          <w:bCs/>
          <w:i/>
          <w:iCs/>
          <w:color w:val="auto"/>
          <w:highlight w:val="none"/>
          <w:u w:val="single"/>
        </w:rPr>
        <w:t xml:space="preserve">    </w:t>
      </w:r>
      <w:r>
        <w:rPr>
          <w:rFonts w:hint="eastAsia" w:cs="宋体" w:asciiTheme="minorEastAsia" w:hAnsiTheme="minorEastAsia" w:eastAsiaTheme="minorEastAsia"/>
          <w:b w:val="0"/>
          <w:bCs/>
          <w:color w:val="auto"/>
          <w:highlight w:val="none"/>
        </w:rPr>
        <w:t>郑重声明，根据《政府采购促进中小企业发展管理办法》(财库﹝2020﹞46号)的规定，本公司</w:t>
      </w:r>
      <w:r>
        <w:rPr>
          <w:rFonts w:hint="eastAsia" w:cs="宋体" w:asciiTheme="minorEastAsia" w:hAnsiTheme="minorEastAsia" w:eastAsiaTheme="minorEastAsia"/>
          <w:b w:val="0"/>
          <w:bCs/>
          <w:i/>
          <w:iCs/>
          <w:color w:val="auto"/>
          <w:highlight w:val="none"/>
          <w:u w:val="single"/>
        </w:rPr>
        <w:t xml:space="preserve">      </w:t>
      </w:r>
      <w:r>
        <w:rPr>
          <w:rFonts w:hint="eastAsia" w:cs="宋体" w:asciiTheme="minorEastAsia" w:hAnsiTheme="minorEastAsia" w:eastAsiaTheme="minorEastAsia"/>
          <w:b w:val="0"/>
          <w:bCs/>
          <w:color w:val="auto"/>
          <w:highlight w:val="none"/>
        </w:rPr>
        <w:t>参加</w:t>
      </w:r>
      <w:r>
        <w:rPr>
          <w:rFonts w:hint="eastAsia" w:cs="宋体" w:asciiTheme="minorEastAsia" w:hAnsiTheme="minorEastAsia" w:eastAsiaTheme="minorEastAsia"/>
          <w:b w:val="0"/>
          <w:bCs/>
          <w:i/>
          <w:iCs/>
          <w:color w:val="auto"/>
          <w:highlight w:val="none"/>
          <w:u w:val="single"/>
        </w:rPr>
        <w:t>(单位名称)</w:t>
      </w:r>
      <w:r>
        <w:rPr>
          <w:rFonts w:hint="eastAsia" w:cs="宋体" w:asciiTheme="minorEastAsia" w:hAnsiTheme="minorEastAsia" w:eastAsiaTheme="minorEastAsia"/>
          <w:b w:val="0"/>
          <w:bCs/>
          <w:color w:val="auto"/>
          <w:highlight w:val="none"/>
        </w:rPr>
        <w:t>的</w:t>
      </w:r>
      <w:r>
        <w:rPr>
          <w:rFonts w:hint="eastAsia" w:cs="宋体" w:asciiTheme="minorEastAsia" w:hAnsiTheme="minorEastAsia" w:eastAsiaTheme="minorEastAsia"/>
          <w:b w:val="0"/>
          <w:bCs/>
          <w:i/>
          <w:iCs/>
          <w:color w:val="auto"/>
          <w:highlight w:val="none"/>
          <w:u w:val="single"/>
        </w:rPr>
        <w:t>(项目名称)</w:t>
      </w:r>
      <w:r>
        <w:rPr>
          <w:rFonts w:hint="eastAsia" w:cs="宋体" w:asciiTheme="minorEastAsia" w:hAnsiTheme="minorEastAsia" w:eastAsiaTheme="minorEastAsia"/>
          <w:b w:val="0"/>
          <w:bCs/>
          <w:color w:val="auto"/>
          <w:highlight w:val="none"/>
        </w:rPr>
        <w:t>采购活动，服务全部由符合政策要求的中小企业承接。相关企业(含联合体中的中小企业、签订分包意向协议的中小企业)的具体情况如下：</w:t>
      </w:r>
    </w:p>
    <w:p>
      <w:pPr>
        <w:pStyle w:val="53"/>
        <w:rPr>
          <w:rFonts w:cs="宋体" w:asciiTheme="minorEastAsia" w:hAnsiTheme="minorEastAsia" w:eastAsiaTheme="minorEastAsia"/>
          <w:b w:val="0"/>
          <w:bCs/>
          <w:i/>
          <w:iCs/>
          <w:color w:val="auto"/>
          <w:highlight w:val="none"/>
          <w:u w:val="single"/>
        </w:rPr>
      </w:pPr>
      <w:r>
        <w:rPr>
          <w:rFonts w:hint="eastAsia" w:cs="宋体" w:asciiTheme="minorEastAsia" w:hAnsiTheme="minorEastAsia" w:eastAsiaTheme="minorEastAsia"/>
          <w:b w:val="0"/>
          <w:bCs/>
          <w:i/>
          <w:iCs/>
          <w:color w:val="auto"/>
          <w:highlight w:val="none"/>
          <w:u w:val="single"/>
        </w:rPr>
        <w:t>(标的名称)</w:t>
      </w:r>
      <w:r>
        <w:rPr>
          <w:rFonts w:hint="eastAsia" w:cs="宋体" w:asciiTheme="minorEastAsia" w:hAnsiTheme="minorEastAsia" w:eastAsiaTheme="minorEastAsia"/>
          <w:b w:val="0"/>
          <w:bCs/>
          <w:color w:val="auto"/>
          <w:highlight w:val="none"/>
        </w:rPr>
        <w:t>，属于</w:t>
      </w:r>
      <w:r>
        <w:rPr>
          <w:rFonts w:hint="eastAsia" w:cs="宋体" w:asciiTheme="minorEastAsia" w:hAnsiTheme="minorEastAsia" w:eastAsiaTheme="minorEastAsia"/>
          <w:b w:val="0"/>
          <w:bCs/>
          <w:i/>
          <w:iCs/>
          <w:color w:val="auto"/>
          <w:highlight w:val="none"/>
          <w:u w:val="single"/>
        </w:rPr>
        <w:t>(采购文件中明确的所属行业)</w:t>
      </w:r>
      <w:r>
        <w:rPr>
          <w:rFonts w:hint="eastAsia" w:cs="宋体" w:asciiTheme="minorEastAsia" w:hAnsiTheme="minorEastAsia" w:eastAsiaTheme="minorEastAsia"/>
          <w:b w:val="0"/>
          <w:bCs/>
          <w:color w:val="auto"/>
          <w:highlight w:val="none"/>
        </w:rPr>
        <w:t>；承接企业为</w:t>
      </w:r>
      <w:r>
        <w:rPr>
          <w:rFonts w:hint="eastAsia" w:cs="宋体" w:asciiTheme="minorEastAsia" w:hAnsiTheme="minorEastAsia" w:eastAsiaTheme="minorEastAsia"/>
          <w:b w:val="0"/>
          <w:bCs/>
          <w:i/>
          <w:iCs/>
          <w:color w:val="auto"/>
          <w:highlight w:val="none"/>
          <w:u w:val="single"/>
        </w:rPr>
        <w:t>(企业名称)</w:t>
      </w:r>
      <w:r>
        <w:rPr>
          <w:rFonts w:hint="eastAsia" w:cs="宋体" w:asciiTheme="minorEastAsia" w:hAnsiTheme="minorEastAsia" w:eastAsiaTheme="minorEastAsia"/>
          <w:b w:val="0"/>
          <w:bCs/>
          <w:color w:val="auto"/>
          <w:highlight w:val="none"/>
        </w:rPr>
        <w:t>，从业人员</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人，营业收入为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万元，资产总额为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万元，属于</w:t>
      </w:r>
      <w:r>
        <w:rPr>
          <w:rFonts w:hint="eastAsia" w:cs="宋体" w:asciiTheme="minorEastAsia" w:hAnsiTheme="minorEastAsia" w:eastAsiaTheme="minorEastAsia"/>
          <w:b w:val="0"/>
          <w:bCs/>
          <w:i/>
          <w:iCs/>
          <w:color w:val="auto"/>
          <w:highlight w:val="none"/>
          <w:u w:val="single"/>
        </w:rPr>
        <w:t>(中型企业、小型企业、微型企业)；</w:t>
      </w:r>
    </w:p>
    <w:p>
      <w:pPr>
        <w:pStyle w:val="53"/>
        <w:rPr>
          <w:rFonts w:cs="宋体" w:asciiTheme="minorEastAsia" w:hAnsiTheme="minorEastAsia" w:eastAsiaTheme="minorEastAsia"/>
          <w:b w:val="0"/>
          <w:bCs/>
          <w:i/>
          <w:iCs/>
          <w:color w:val="auto"/>
          <w:highlight w:val="none"/>
          <w:u w:val="single"/>
        </w:rPr>
      </w:pPr>
      <w:r>
        <w:rPr>
          <w:rFonts w:hint="eastAsia" w:cs="宋体" w:asciiTheme="minorEastAsia" w:hAnsiTheme="minorEastAsia" w:eastAsiaTheme="minorEastAsia"/>
          <w:b w:val="0"/>
          <w:bCs/>
          <w:i/>
          <w:iCs/>
          <w:color w:val="auto"/>
          <w:highlight w:val="none"/>
          <w:u w:val="single"/>
        </w:rPr>
        <w:t>(标的名称)</w:t>
      </w:r>
      <w:r>
        <w:rPr>
          <w:rFonts w:hint="eastAsia" w:cs="宋体" w:asciiTheme="minorEastAsia" w:hAnsiTheme="minorEastAsia" w:eastAsiaTheme="minorEastAsia"/>
          <w:b w:val="0"/>
          <w:bCs/>
          <w:color w:val="auto"/>
          <w:highlight w:val="none"/>
        </w:rPr>
        <w:t>，属于</w:t>
      </w:r>
      <w:r>
        <w:rPr>
          <w:rFonts w:hint="eastAsia" w:cs="宋体" w:asciiTheme="minorEastAsia" w:hAnsiTheme="minorEastAsia" w:eastAsiaTheme="minorEastAsia"/>
          <w:b w:val="0"/>
          <w:bCs/>
          <w:i/>
          <w:iCs/>
          <w:color w:val="auto"/>
          <w:highlight w:val="none"/>
          <w:u w:val="single"/>
        </w:rPr>
        <w:t>(采购文件中明确的所属行业)</w:t>
      </w:r>
      <w:r>
        <w:rPr>
          <w:rFonts w:hint="eastAsia" w:cs="宋体" w:asciiTheme="minorEastAsia" w:hAnsiTheme="minorEastAsia" w:eastAsiaTheme="minorEastAsia"/>
          <w:b w:val="0"/>
          <w:bCs/>
          <w:color w:val="auto"/>
          <w:highlight w:val="none"/>
        </w:rPr>
        <w:t>；承接企业为</w:t>
      </w:r>
      <w:r>
        <w:rPr>
          <w:rFonts w:hint="eastAsia" w:cs="宋体" w:asciiTheme="minorEastAsia" w:hAnsiTheme="minorEastAsia" w:eastAsiaTheme="minorEastAsia"/>
          <w:b w:val="0"/>
          <w:bCs/>
          <w:i/>
          <w:iCs/>
          <w:color w:val="auto"/>
          <w:highlight w:val="none"/>
          <w:u w:val="single"/>
        </w:rPr>
        <w:t>(企业名称)</w:t>
      </w:r>
      <w:r>
        <w:rPr>
          <w:rFonts w:hint="eastAsia" w:cs="宋体" w:asciiTheme="minorEastAsia" w:hAnsiTheme="minorEastAsia" w:eastAsiaTheme="minorEastAsia"/>
          <w:b w:val="0"/>
          <w:bCs/>
          <w:color w:val="auto"/>
          <w:highlight w:val="none"/>
        </w:rPr>
        <w:t>，从业人员</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人，营业收入为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万元，资产总额为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万元，属于</w:t>
      </w:r>
      <w:r>
        <w:rPr>
          <w:rFonts w:hint="eastAsia" w:cs="宋体" w:asciiTheme="minorEastAsia" w:hAnsiTheme="minorEastAsia" w:eastAsiaTheme="minorEastAsia"/>
          <w:b w:val="0"/>
          <w:bCs/>
          <w:i/>
          <w:iCs/>
          <w:color w:val="auto"/>
          <w:highlight w:val="none"/>
          <w:u w:val="single"/>
        </w:rPr>
        <w:t>(中型企业、小型企业、微型企业)；</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以上企业，不属于大企业的分支机构，不存在控股股东为大企业的情形，也不存在与大企业的负责人为同一人的情形。</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本企业对上述声明内容的真实性负责。如有虚假，将依法承担相应责任。</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企业名称(盖章)：</w:t>
      </w:r>
      <w:r>
        <w:rPr>
          <w:rFonts w:hint="eastAsia" w:cs="宋体" w:asciiTheme="minorEastAsia" w:hAnsiTheme="minorEastAsia" w:eastAsiaTheme="minorEastAsia"/>
          <w:color w:val="auto"/>
          <w:highlight w:val="none"/>
          <w:u w:val="single"/>
        </w:rPr>
        <w:t xml:space="preserve">        </w:t>
      </w:r>
    </w:p>
    <w:p>
      <w:pPr>
        <w:pStyle w:val="48"/>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53"/>
        <w:ind w:firstLine="482"/>
        <w:rPr>
          <w:rFonts w:cs="宋体" w:asciiTheme="minorEastAsia" w:hAnsiTheme="minorEastAsia" w:eastAsiaTheme="minorEastAsia"/>
          <w:color w:val="auto"/>
          <w:highlight w:val="none"/>
        </w:rPr>
      </w:pP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注：从业人员、营业收入、资产总额填报上一年度数据，无上一年度数据的新成立企业可不填报。</w:t>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96" w:name="_Toc7569"/>
      <w:r>
        <w:rPr>
          <w:rFonts w:hint="eastAsia" w:cs="宋体" w:asciiTheme="minorEastAsia" w:hAnsiTheme="minorEastAsia" w:eastAsiaTheme="minorEastAsia"/>
          <w:color w:val="auto"/>
          <w:highlight w:val="none"/>
        </w:rPr>
        <w:t>监狱企业相关证明材料(作为资格条件使用仅限于第一包，且投标人应为监狱企业)</w:t>
      </w:r>
      <w:bookmarkEnd w:id="896"/>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说明：</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①监狱企业参加政府采购活动时，应当提供由省级以上监狱管理局、戒毒管理局(含新疆生产建设兵团)出具的属于监狱企业的证明文件，否则将被视为无效投标。</w:t>
      </w:r>
      <w:r>
        <w:rPr>
          <w:rFonts w:hint="eastAsia" w:cs="宋体" w:asciiTheme="minorEastAsia" w:hAnsiTheme="minorEastAsia" w:eastAsiaTheme="minorEastAsia"/>
          <w:color w:val="auto"/>
          <w:highlight w:val="none"/>
        </w:rPr>
        <w:br w:type="page"/>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97" w:name="_Toc1158"/>
      <w:r>
        <w:rPr>
          <w:rFonts w:hint="eastAsia" w:cs="宋体" w:asciiTheme="minorEastAsia" w:hAnsiTheme="minorEastAsia" w:eastAsiaTheme="minorEastAsia"/>
          <w:color w:val="auto"/>
          <w:highlight w:val="none"/>
        </w:rPr>
        <w:t>残疾人福利性单位声明函(作为资格条件使用仅限于第一包，且投标人应为残疾人福利性单位)</w:t>
      </w:r>
      <w:bookmarkEnd w:id="897"/>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单位的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项目采购活动由本单位提供服务。</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本单位对上述声明的真实性负责。如有虚假，将依法承担相应责任。</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(盖章)</w:t>
      </w:r>
    </w:p>
    <w:p>
      <w:pPr>
        <w:pStyle w:val="48"/>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    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ind w:left="4800" w:leftChars="2000"/>
        <w:rPr>
          <w:rFonts w:cs="宋体" w:asciiTheme="minorEastAsia" w:hAnsiTheme="minorEastAsia" w:eastAsiaTheme="minorEastAsia"/>
          <w:color w:val="auto"/>
          <w:highlight w:val="none"/>
        </w:rPr>
      </w:pPr>
    </w:p>
    <w:p>
      <w:pPr>
        <w:pStyle w:val="53"/>
        <w:ind w:firstLine="482"/>
        <w:rPr>
          <w:rFonts w:cs="宋体" w:asciiTheme="minorEastAsia" w:hAnsiTheme="minorEastAsia" w:eastAsiaTheme="minorEastAsia"/>
          <w:color w:val="auto"/>
          <w:highlight w:val="none"/>
        </w:rPr>
      </w:pP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说明：</w:t>
      </w:r>
      <w:r>
        <w:rPr>
          <w:rFonts w:hint="eastAsia" w:cs="宋体" w:asciiTheme="minorEastAsia" w:hAnsiTheme="minorEastAsia" w:eastAsiaTheme="minorEastAsia"/>
          <w:color w:val="auto"/>
          <w:highlight w:val="none"/>
        </w:rPr>
        <w:fldChar w:fldCharType="begin"/>
      </w:r>
      <w:r>
        <w:rPr>
          <w:rFonts w:hint="eastAsia" w:cs="宋体" w:asciiTheme="minorEastAsia" w:hAnsiTheme="minorEastAsia" w:eastAsiaTheme="minorEastAsia"/>
          <w:color w:val="auto"/>
          <w:highlight w:val="none"/>
        </w:rPr>
        <w:instrText xml:space="preserve"> = 1 \* GB3 \* MERGEFORMAT </w:instrText>
      </w:r>
      <w:r>
        <w:rPr>
          <w:rFonts w:hint="eastAsia" w:cs="宋体" w:asciiTheme="minorEastAsia" w:hAnsiTheme="minorEastAsia" w:eastAsiaTheme="minorEastAsia"/>
          <w:color w:val="auto"/>
          <w:highlight w:val="none"/>
        </w:rPr>
        <w:fldChar w:fldCharType="separate"/>
      </w:r>
      <w:r>
        <w:rPr>
          <w:rFonts w:hint="eastAsia" w:cs="宋体" w:asciiTheme="minorEastAsia" w:hAnsiTheme="minorEastAsia" w:eastAsiaTheme="minorEastAsia"/>
          <w:color w:val="auto"/>
          <w:highlight w:val="none"/>
        </w:rPr>
        <w:t>①</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残疾人福利性单位参加政府采购活动时，应提供残疾人福利性单位声明函，否则将被视为无效投标。</w:t>
      </w:r>
    </w:p>
    <w:p>
      <w:pPr>
        <w:pStyle w:val="48"/>
        <w:rPr>
          <w:rFonts w:cs="宋体" w:asciiTheme="minorEastAsia" w:hAnsiTheme="minorEastAsia" w:eastAsiaTheme="minorEastAsia"/>
          <w:color w:val="auto"/>
          <w:highlight w:val="none"/>
        </w:rPr>
      </w:pPr>
    </w:p>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0"/>
        <w:numPr>
          <w:ilvl w:val="0"/>
          <w:numId w:val="21"/>
        </w:numPr>
        <w:spacing w:before="120" w:after="120"/>
        <w:ind w:firstLine="0"/>
        <w:rPr>
          <w:rFonts w:cs="宋体" w:asciiTheme="minorEastAsia" w:hAnsiTheme="minorEastAsia" w:eastAsiaTheme="minorEastAsia"/>
          <w:color w:val="auto"/>
          <w:highlight w:val="none"/>
        </w:rPr>
      </w:pPr>
      <w:bookmarkStart w:id="898" w:name="_Toc30286"/>
      <w:bookmarkStart w:id="899" w:name="_Toc29607"/>
      <w:r>
        <w:rPr>
          <w:rFonts w:hint="eastAsia" w:cs="宋体" w:asciiTheme="minorEastAsia" w:hAnsiTheme="minorEastAsia" w:eastAsiaTheme="minorEastAsia"/>
          <w:color w:val="auto"/>
          <w:highlight w:val="none"/>
        </w:rPr>
        <w:t>分包意向协议</w:t>
      </w:r>
      <w:bookmarkEnd w:id="898"/>
      <w:r>
        <w:rPr>
          <w:rFonts w:hint="eastAsia" w:cs="宋体" w:asciiTheme="minorEastAsia" w:hAnsiTheme="minorEastAsia" w:eastAsiaTheme="minorEastAsia"/>
          <w:color w:val="auto"/>
          <w:highlight w:val="none"/>
        </w:rPr>
        <w:t>(适用第一包)</w:t>
      </w:r>
      <w:bookmarkEnd w:id="899"/>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承包人：</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分包人1：</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w:t>
      </w:r>
    </w:p>
    <w:p>
      <w:pPr>
        <w:pStyle w:val="48"/>
        <w:rPr>
          <w:rFonts w:cs="宋体" w:asciiTheme="minorEastAsia" w:hAnsiTheme="minorEastAsia" w:eastAsiaTheme="minorEastAsia"/>
          <w:color w:val="auto"/>
          <w:highlight w:val="none"/>
        </w:rPr>
      </w:pP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承包人就</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(采购项目)中的</w:t>
      </w:r>
      <w:r>
        <w:rPr>
          <w:rFonts w:hint="eastAsia" w:cs="宋体" w:asciiTheme="minorEastAsia" w:hAnsiTheme="minorEastAsia" w:eastAsiaTheme="minorEastAsia"/>
          <w:color w:val="auto"/>
          <w:highlight w:val="none"/>
          <w:u w:val="single"/>
        </w:rPr>
        <w:t xml:space="preserve">               (标的内容)</w:t>
      </w:r>
      <w:r>
        <w:rPr>
          <w:rFonts w:hint="eastAsia" w:cs="宋体" w:asciiTheme="minorEastAsia" w:hAnsiTheme="minorEastAsia" w:eastAsiaTheme="minorEastAsia"/>
          <w:color w:val="auto"/>
          <w:highlight w:val="none"/>
        </w:rPr>
        <w:t>投标事宣与分包人通过友好协商达成如下协议:</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1.在本项目投标有效期内，分包人同意承包人代理上述的投标事宜。如最终“中标”则延期到履约验收合格之日。</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2.参加本项目投标，接受分包的中小企业之间不得存在直接控股、管理关系，且与承包企业之间不得存在直接控股、管理关系。</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3.以分包形式参加采购活动的，接受分包的各方不得再单独参加或者与其他供应商另外达成分包意向参加同一合同项下的采购活动。</w:t>
      </w:r>
    </w:p>
    <w:p>
      <w:pPr>
        <w:pStyle w:val="70"/>
        <w:numPr>
          <w:ilvl w:val="4"/>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4.分包人应当具备相应资质条件且不得再次分包，在签订合同时将相应资质条件作为合同附件提供至承包人。</w:t>
      </w:r>
    </w:p>
    <w:p>
      <w:pPr>
        <w:pStyle w:val="70"/>
        <w:numPr>
          <w:ilvl w:val="4"/>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000000" w:themeColor="text1"/>
          <w:highlight w:val="none"/>
          <w14:textFill>
            <w14:solidFill>
              <w14:schemeClr w14:val="tx1"/>
            </w14:solidFill>
          </w14:textFill>
        </w:rPr>
        <w:t>5.</w:t>
      </w:r>
      <w:r>
        <w:rPr>
          <w:rFonts w:hint="eastAsia" w:cs="宋体" w:asciiTheme="minorEastAsia" w:hAnsiTheme="minorEastAsia" w:eastAsiaTheme="minorEastAsia"/>
          <w:color w:val="auto"/>
          <w:highlight w:val="none"/>
        </w:rPr>
        <w:t>享受扶持政策获得政府采购合同的，小微企业不得将合同分包给大中型企业，中型企业不得将合同分包给大型企业；</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二、承包人、分包人各方分工</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1.分包人负责承包人要求提供招标文件中规定的应由分包供应商提供的相关资料；</w:t>
      </w:r>
    </w:p>
    <w:p>
      <w:pPr>
        <w:pStyle w:val="14"/>
        <w:tabs>
          <w:tab w:val="left" w:pos="9755"/>
        </w:tabs>
        <w:wordWrap w:val="0"/>
        <w:spacing w:after="0"/>
        <w:ind w:left="199" w:leftChars="83" w:firstLine="240" w:firstLineChars="100"/>
        <w:rPr>
          <w:rFonts w:cs="宋体" w:asciiTheme="minorEastAsia" w:hAnsiTheme="minorEastAsia" w:eastAsiaTheme="minorEastAsia"/>
          <w:color w:val="auto"/>
          <w:highlight w:val="none"/>
        </w:rPr>
      </w:pPr>
      <w:r>
        <w:rPr>
          <w:rFonts w:hint="eastAsia" w:cs="宋体" w:asciiTheme="minorEastAsia" w:hAnsiTheme="minorEastAsia" w:eastAsiaTheme="minorEastAsia"/>
          <w:color w:val="000000" w:themeColor="text1"/>
          <w:highlight w:val="none"/>
          <w14:textFill>
            <w14:solidFill>
              <w14:schemeClr w14:val="tx1"/>
            </w14:solidFill>
          </w14:textFill>
        </w:rPr>
        <w:t>2.分包人提供的服务占采购项目预算总额的</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%(比例不低于</w:t>
      </w:r>
      <w:r>
        <w:rPr>
          <w:rFonts w:cs="宋体" w:asciiTheme="minorEastAsia" w:hAnsiTheme="minorEastAsia" w:eastAsiaTheme="minorEastAsia"/>
          <w:color w:val="000000" w:themeColor="text1"/>
          <w:highlight w:val="none"/>
          <w14:textFill>
            <w14:solidFill>
              <w14:schemeClr w14:val="tx1"/>
            </w14:solidFill>
          </w14:textFill>
        </w:rPr>
        <w:t>30%</w:t>
      </w:r>
      <w:r>
        <w:rPr>
          <w:rFonts w:hint="eastAsia" w:cs="宋体" w:asciiTheme="minorEastAsia" w:hAnsiTheme="minorEastAsia" w:eastAsiaTheme="minorEastAsia"/>
          <w:color w:val="000000" w:themeColor="text1"/>
          <w:highlight w:val="none"/>
          <w14:textFill>
            <w14:solidFill>
              <w14:schemeClr w14:val="tx1"/>
            </w14:solidFill>
          </w14:textFill>
        </w:rPr>
        <w:t>))，合同金额为：元，且服务由中小企业承接，其中由小微企业承接的服务比例为</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%(比例不低于60%)，合同金额为：</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元；</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3.分包人负责编写有关技术文件；</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4.分包人负责向承包人编报投标技术文件规定的所有报价；</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5.若中标，分包人应承担</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(采购项目)中的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(标的内容)所有服务(价格以分包人所报价格为准)，否则按违约处理，并承担合同总价的10%作为赔偿金支付给承包人；</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6.若中标，分包人不得再次分包，分包人履行的合同内容、技术服务要求等，必须与中标标的保持一致，分包人应对所提供服务的质量负责；</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7.承包人负责提供招标文件中规定的除分包人应提供的资料外的所有资料，并组织、汇编投标文件，并参与投标；</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8.承包人负责</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(采购项目)中的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(标的内容)所有履约内容之外的所有费用的报价，并负责汇总包括分包人报价在内的总报价，承包人未经分包人同意不擅自提高或降低分包人所提供的报价；</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9.分包人报价中不含承包人所报的管理费以及投标成本、招标代理服务费；</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10.若中标，承包人不得擅自将</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(采购项目)中的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(标的内容)或部分服务内容分包给分包人以外的供应商，否则按合同总价的10%作为赔偿金支付给分包人。</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三、其他事项</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1.协议各方应严守信誉，严格按照分工实施，以维护共同利益和采购人利益，履约过程中如出现各类纠纷或争议，均由双方自行协商解决，与采购人无关；</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2.各方联系人</w:t>
      </w:r>
    </w:p>
    <w:p>
      <w:pPr>
        <w:pStyle w:val="48"/>
        <w:ind w:left="398" w:leftChars="166"/>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承包人联系人姓名</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；身份证号码：</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；联系方式：</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分包人1联系人姓名</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；身份证号码：</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联系方式：</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p>
    <w:p>
      <w:pPr>
        <w:pStyle w:val="48"/>
        <w:ind w:left="398" w:leftChars="166"/>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3.若中标，承包人、分包人各方将另签正式合同，则本协议作为该合同的附件；</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4.未尽事宜，各方再友好协商解决；</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5.本协议书一式</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份，各成员和采购人各执一份；</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6.本协议书自签署之日起生效，本项目合同履行完毕后自动失效。</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附件：分包意向协议附表</w:t>
      </w:r>
    </w:p>
    <w:p>
      <w:pPr>
        <w:pStyle w:val="48"/>
        <w:rPr>
          <w:rFonts w:cs="宋体" w:asciiTheme="minorEastAsia" w:hAnsiTheme="minorEastAsia" w:eastAsiaTheme="minorEastAsia"/>
          <w:color w:val="auto"/>
          <w:highlight w:val="none"/>
        </w:rPr>
      </w:pPr>
    </w:p>
    <w:p>
      <w:pPr>
        <w:pStyle w:val="14"/>
        <w:tabs>
          <w:tab w:val="left" w:pos="5674"/>
        </w:tabs>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承包人名称：</w:t>
      </w:r>
      <w:r>
        <w:rPr>
          <w:rFonts w:hint="eastAsia" w:cs="宋体" w:asciiTheme="minorEastAsia" w:hAnsiTheme="minorEastAsia" w:eastAsiaTheme="minorEastAsia"/>
          <w:color w:val="000000" w:themeColor="text1"/>
          <w:highlight w:val="none"/>
          <w:u w:val="single" w:color="000000"/>
          <w14:textFill>
            <w14:solidFill>
              <w14:schemeClr w14:val="tx1"/>
            </w14:solidFill>
          </w14:textFill>
        </w:rPr>
        <w:tab/>
      </w:r>
      <w:r>
        <w:rPr>
          <w:rFonts w:hint="eastAsia" w:cs="宋体" w:asciiTheme="minorEastAsia" w:hAnsiTheme="minorEastAsia" w:eastAsiaTheme="minorEastAsia"/>
          <w:color w:val="000000" w:themeColor="text1"/>
          <w:highlight w:val="none"/>
          <w14:textFill>
            <w14:solidFill>
              <w14:schemeClr w14:val="tx1"/>
            </w14:solidFill>
          </w14:textFill>
        </w:rPr>
        <w:t>(盖单位章)</w:t>
      </w:r>
    </w:p>
    <w:p>
      <w:pPr>
        <w:pStyle w:val="14"/>
        <w:tabs>
          <w:tab w:val="left" w:pos="5674"/>
        </w:tabs>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法定代表人：</w:t>
      </w:r>
      <w:r>
        <w:rPr>
          <w:rFonts w:hint="eastAsia" w:cs="宋体" w:asciiTheme="minorEastAsia" w:hAnsiTheme="minorEastAsia" w:eastAsiaTheme="minorEastAsia"/>
          <w:color w:val="000000" w:themeColor="text1"/>
          <w:highlight w:val="none"/>
          <w:u w:val="single" w:color="000000"/>
          <w14:textFill>
            <w14:solidFill>
              <w14:schemeClr w14:val="tx1"/>
            </w14:solidFill>
          </w14:textFill>
        </w:rPr>
        <w:tab/>
      </w:r>
      <w:r>
        <w:rPr>
          <w:rFonts w:hint="eastAsia" w:cs="宋体" w:asciiTheme="minorEastAsia" w:hAnsiTheme="minorEastAsia" w:eastAsiaTheme="minorEastAsia"/>
          <w:color w:val="000000" w:themeColor="text1"/>
          <w:highlight w:val="none"/>
          <w14:textFill>
            <w14:solidFill>
              <w14:schemeClr w14:val="tx1"/>
            </w14:solidFill>
          </w14:textFill>
        </w:rPr>
        <w:t>(签章)</w:t>
      </w:r>
    </w:p>
    <w:p>
      <w:pPr>
        <w:pStyle w:val="14"/>
        <w:tabs>
          <w:tab w:val="left" w:pos="5674"/>
        </w:tabs>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分包人1名称：</w:t>
      </w:r>
      <w:r>
        <w:rPr>
          <w:rFonts w:hint="eastAsia" w:cs="宋体" w:asciiTheme="minorEastAsia" w:hAnsiTheme="minorEastAsia" w:eastAsiaTheme="minorEastAsia"/>
          <w:color w:val="000000" w:themeColor="text1"/>
          <w:highlight w:val="none"/>
          <w:u w:val="single" w:color="000000"/>
          <w14:textFill>
            <w14:solidFill>
              <w14:schemeClr w14:val="tx1"/>
            </w14:solidFill>
          </w14:textFill>
        </w:rPr>
        <w:tab/>
      </w:r>
      <w:r>
        <w:rPr>
          <w:rFonts w:hint="eastAsia" w:cs="宋体" w:asciiTheme="minorEastAsia" w:hAnsiTheme="minorEastAsia" w:eastAsiaTheme="minorEastAsia"/>
          <w:color w:val="000000" w:themeColor="text1"/>
          <w:highlight w:val="none"/>
          <w14:textFill>
            <w14:solidFill>
              <w14:schemeClr w14:val="tx1"/>
            </w14:solidFill>
          </w14:textFill>
        </w:rPr>
        <w:t>(盖单位章)</w:t>
      </w:r>
    </w:p>
    <w:p>
      <w:pPr>
        <w:pStyle w:val="14"/>
        <w:tabs>
          <w:tab w:val="left" w:pos="5674"/>
        </w:tabs>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法定代表人：</w:t>
      </w:r>
      <w:r>
        <w:rPr>
          <w:rFonts w:hint="eastAsia" w:cs="宋体" w:asciiTheme="minorEastAsia" w:hAnsiTheme="minorEastAsia" w:eastAsiaTheme="minorEastAsia"/>
          <w:color w:val="000000" w:themeColor="text1"/>
          <w:highlight w:val="none"/>
          <w:u w:val="single" w:color="000000"/>
          <w14:textFill>
            <w14:solidFill>
              <w14:schemeClr w14:val="tx1"/>
            </w14:solidFill>
          </w14:textFill>
        </w:rPr>
        <w:tab/>
      </w:r>
      <w:r>
        <w:rPr>
          <w:rFonts w:hint="eastAsia" w:cs="宋体" w:asciiTheme="minorEastAsia" w:hAnsiTheme="minorEastAsia" w:eastAsiaTheme="minorEastAsia"/>
          <w:color w:val="000000" w:themeColor="text1"/>
          <w:highlight w:val="none"/>
          <w14:textFill>
            <w14:solidFill>
              <w14:schemeClr w14:val="tx1"/>
            </w14:solidFill>
          </w14:textFill>
        </w:rPr>
        <w:t>(签章)</w:t>
      </w:r>
    </w:p>
    <w:p>
      <w:pPr>
        <w:pStyle w:val="14"/>
        <w:tabs>
          <w:tab w:val="left" w:pos="5674"/>
        </w:tabs>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分包人2名称：</w:t>
      </w:r>
      <w:r>
        <w:rPr>
          <w:rFonts w:hint="eastAsia" w:cs="宋体" w:asciiTheme="minorEastAsia" w:hAnsiTheme="minorEastAsia" w:eastAsiaTheme="minorEastAsia"/>
          <w:color w:val="000000" w:themeColor="text1"/>
          <w:highlight w:val="none"/>
          <w:u w:val="single" w:color="000000"/>
          <w14:textFill>
            <w14:solidFill>
              <w14:schemeClr w14:val="tx1"/>
            </w14:solidFill>
          </w14:textFill>
        </w:rPr>
        <w:tab/>
      </w:r>
      <w:r>
        <w:rPr>
          <w:rFonts w:hint="eastAsia" w:cs="宋体" w:asciiTheme="minorEastAsia" w:hAnsiTheme="minorEastAsia" w:eastAsiaTheme="minorEastAsia"/>
          <w:color w:val="000000" w:themeColor="text1"/>
          <w:highlight w:val="none"/>
          <w14:textFill>
            <w14:solidFill>
              <w14:schemeClr w14:val="tx1"/>
            </w14:solidFill>
          </w14:textFill>
        </w:rPr>
        <w:t>(盖单位章)</w:t>
      </w:r>
    </w:p>
    <w:p>
      <w:pPr>
        <w:pStyle w:val="14"/>
        <w:tabs>
          <w:tab w:val="left" w:pos="5674"/>
        </w:tabs>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法定代表人：</w:t>
      </w:r>
      <w:r>
        <w:rPr>
          <w:rFonts w:hint="eastAsia" w:cs="宋体" w:asciiTheme="minorEastAsia" w:hAnsiTheme="minorEastAsia" w:eastAsiaTheme="minorEastAsia"/>
          <w:color w:val="000000" w:themeColor="text1"/>
          <w:highlight w:val="none"/>
          <w:u w:val="single" w:color="000000"/>
          <w14:textFill>
            <w14:solidFill>
              <w14:schemeClr w14:val="tx1"/>
            </w14:solidFill>
          </w14:textFill>
        </w:rPr>
        <w:tab/>
      </w:r>
      <w:r>
        <w:rPr>
          <w:rFonts w:hint="eastAsia" w:cs="宋体" w:asciiTheme="minorEastAsia" w:hAnsiTheme="minorEastAsia" w:eastAsiaTheme="minorEastAsia"/>
          <w:color w:val="000000" w:themeColor="text1"/>
          <w:highlight w:val="none"/>
          <w14:textFill>
            <w14:solidFill>
              <w14:schemeClr w14:val="tx1"/>
            </w14:solidFill>
          </w14:textFill>
        </w:rPr>
        <w:t>(签章)</w:t>
      </w:r>
    </w:p>
    <w:p>
      <w:pPr>
        <w:ind w:firstLine="480" w:firstLineChars="200"/>
        <w:rPr>
          <w:rFonts w:cs="宋体" w:asciiTheme="minorEastAsia" w:hAnsiTheme="minorEastAsia" w:eastAsiaTheme="minorEastAsia"/>
          <w:color w:val="000000" w:themeColor="text1"/>
          <w:sz w:val="19"/>
          <w:szCs w:val="19"/>
          <w:highlight w:val="none"/>
          <w14:textFill>
            <w14:solidFill>
              <w14:schemeClr w14:val="tx1"/>
            </w14:solidFill>
          </w14:textFill>
        </w:rPr>
      </w:pPr>
      <w:r>
        <w:rPr>
          <w:rFonts w:hint="eastAsia" w:cs="宋体" w:asciiTheme="minorEastAsia" w:hAnsiTheme="minorEastAsia" w:eastAsiaTheme="minorEastAsia"/>
          <w:color w:val="auto"/>
          <w:highlight w:val="none"/>
        </w:rPr>
        <w:t>……</w:t>
      </w:r>
    </w:p>
    <w:p>
      <w:pPr>
        <w:spacing w:before="4" w:line="360" w:lineRule="auto"/>
        <w:rPr>
          <w:rFonts w:cs="宋体" w:asciiTheme="minorEastAsia" w:hAnsiTheme="minorEastAsia" w:eastAsiaTheme="minorEastAsia"/>
          <w:color w:val="000000" w:themeColor="text1"/>
          <w:sz w:val="11"/>
          <w:szCs w:val="11"/>
          <w:highlight w:val="none"/>
          <w14:textFill>
            <w14:solidFill>
              <w14:schemeClr w14:val="tx1"/>
            </w14:solidFill>
          </w14:textFill>
        </w:rPr>
      </w:pPr>
    </w:p>
    <w:p>
      <w:pPr>
        <w:spacing w:before="8" w:line="360" w:lineRule="auto"/>
        <w:rPr>
          <w:rFonts w:cs="宋体" w:asciiTheme="minorEastAsia" w:hAnsiTheme="minorEastAsia" w:eastAsiaTheme="minorEastAsia"/>
          <w:color w:val="000000" w:themeColor="text1"/>
          <w:sz w:val="12"/>
          <w:szCs w:val="12"/>
          <w:highlight w:val="none"/>
          <w14:textFill>
            <w14:solidFill>
              <w14:schemeClr w14:val="tx1"/>
            </w14:solidFill>
          </w14:textFill>
        </w:rPr>
      </w:pPr>
    </w:p>
    <w:p>
      <w:pPr>
        <w:pStyle w:val="48"/>
        <w:ind w:firstLine="4560" w:firstLineChars="19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签订日期：</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年</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月</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ab/>
      </w:r>
      <w:r>
        <w:rPr>
          <w:rFonts w:hint="eastAsia" w:cs="宋体" w:asciiTheme="minorEastAsia" w:hAnsiTheme="minorEastAsia" w:eastAsiaTheme="minorEastAsia"/>
          <w:color w:val="000000" w:themeColor="text1"/>
          <w:highlight w:val="none"/>
          <w14:textFill>
            <w14:solidFill>
              <w14:schemeClr w14:val="tx1"/>
            </w14:solidFill>
          </w14:textFill>
        </w:rPr>
        <w:t>日</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000000" w:themeColor="text1"/>
          <w:highlight w:val="none"/>
          <w14:textFill>
            <w14:solidFill>
              <w14:schemeClr w14:val="tx1"/>
            </w14:solidFill>
          </w14:textFill>
        </w:rPr>
        <w:t>注：①分包人数量由承包人根据实际情况自行选择，本格式仅供参考。②投标人以合同分包形式投标的，在参加政府采购活动时，应提供分包意向协议原件，否则将被作为无效投标处理。</w:t>
      </w:r>
    </w:p>
    <w:p>
      <w:pPr>
        <w:rPr>
          <w:rFonts w:cs="宋体" w:asciiTheme="minorEastAsia" w:hAnsiTheme="minorEastAsia" w:eastAsiaTheme="minorEastAsia"/>
          <w:color w:val="auto"/>
          <w:highlight w:val="none"/>
        </w:rPr>
      </w:pPr>
      <w:bookmarkStart w:id="900" w:name="_Toc18702"/>
      <w:r>
        <w:rPr>
          <w:rFonts w:hint="eastAsia" w:cs="宋体" w:asciiTheme="minorEastAsia" w:hAnsiTheme="minorEastAsia" w:eastAsiaTheme="minorEastAsia"/>
          <w:color w:val="auto"/>
          <w:highlight w:val="none"/>
        </w:rPr>
        <w:br w:type="page"/>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分包意向协议附表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879"/>
        <w:gridCol w:w="1855"/>
        <w:gridCol w:w="1855"/>
        <w:gridCol w:w="1520"/>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单位类型</w:t>
            </w:r>
          </w:p>
        </w:tc>
        <w:tc>
          <w:tcPr>
            <w:tcW w:w="1879"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单位名称</w:t>
            </w:r>
          </w:p>
        </w:tc>
        <w:tc>
          <w:tcPr>
            <w:tcW w:w="1855"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是否属于中小企业</w:t>
            </w:r>
          </w:p>
        </w:tc>
        <w:tc>
          <w:tcPr>
            <w:tcW w:w="1855"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承接标的名称</w:t>
            </w:r>
          </w:p>
        </w:tc>
        <w:tc>
          <w:tcPr>
            <w:tcW w:w="1520"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分包合同</w:t>
            </w:r>
          </w:p>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金额</w:t>
            </w:r>
          </w:p>
        </w:tc>
        <w:tc>
          <w:tcPr>
            <w:tcW w:w="1722"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占采购项目预算总额比例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承包人</w:t>
            </w:r>
          </w:p>
        </w:tc>
        <w:tc>
          <w:tcPr>
            <w:tcW w:w="1879" w:type="dxa"/>
          </w:tcPr>
          <w:p>
            <w:pPr>
              <w:pStyle w:val="48"/>
              <w:jc w:val="center"/>
              <w:rPr>
                <w:rFonts w:cs="宋体" w:asciiTheme="minorEastAsia" w:hAnsiTheme="minorEastAsia" w:eastAsiaTheme="minorEastAsia"/>
                <w:color w:val="auto"/>
                <w:highlight w:val="none"/>
              </w:rPr>
            </w:pPr>
          </w:p>
        </w:tc>
        <w:tc>
          <w:tcPr>
            <w:tcW w:w="1855" w:type="dxa"/>
          </w:tcPr>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不属于</w:t>
            </w:r>
          </w:p>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中型</w:t>
            </w:r>
          </w:p>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小微型</w:t>
            </w:r>
          </w:p>
        </w:tc>
        <w:tc>
          <w:tcPr>
            <w:tcW w:w="1855" w:type="dxa"/>
          </w:tcPr>
          <w:p>
            <w:pPr>
              <w:pStyle w:val="48"/>
              <w:jc w:val="center"/>
              <w:rPr>
                <w:rFonts w:cs="宋体" w:asciiTheme="minorEastAsia" w:hAnsiTheme="minorEastAsia" w:eastAsiaTheme="minorEastAsia"/>
                <w:color w:val="auto"/>
                <w:highlight w:val="none"/>
              </w:rPr>
            </w:pPr>
          </w:p>
        </w:tc>
        <w:tc>
          <w:tcPr>
            <w:tcW w:w="1520" w:type="dxa"/>
          </w:tcPr>
          <w:p>
            <w:pPr>
              <w:pStyle w:val="48"/>
              <w:rPr>
                <w:rFonts w:cs="宋体" w:asciiTheme="minorEastAsia" w:hAnsiTheme="minorEastAsia" w:eastAsiaTheme="minorEastAsia"/>
                <w:color w:val="auto"/>
                <w:highlight w:val="none"/>
              </w:rPr>
            </w:pPr>
          </w:p>
        </w:tc>
        <w:tc>
          <w:tcPr>
            <w:tcW w:w="1722" w:type="dxa"/>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分包人一</w:t>
            </w:r>
          </w:p>
        </w:tc>
        <w:tc>
          <w:tcPr>
            <w:tcW w:w="1879" w:type="dxa"/>
          </w:tcPr>
          <w:p>
            <w:pPr>
              <w:pStyle w:val="48"/>
              <w:jc w:val="center"/>
              <w:rPr>
                <w:rFonts w:cs="宋体" w:asciiTheme="minorEastAsia" w:hAnsiTheme="minorEastAsia" w:eastAsiaTheme="minorEastAsia"/>
                <w:color w:val="auto"/>
                <w:highlight w:val="none"/>
              </w:rPr>
            </w:pPr>
          </w:p>
        </w:tc>
        <w:tc>
          <w:tcPr>
            <w:tcW w:w="1855" w:type="dxa"/>
          </w:tcPr>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不属于</w:t>
            </w:r>
          </w:p>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中型</w:t>
            </w:r>
          </w:p>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小微型</w:t>
            </w:r>
          </w:p>
        </w:tc>
        <w:tc>
          <w:tcPr>
            <w:tcW w:w="1855" w:type="dxa"/>
          </w:tcPr>
          <w:p>
            <w:pPr>
              <w:pStyle w:val="48"/>
              <w:jc w:val="center"/>
              <w:rPr>
                <w:rFonts w:cs="宋体" w:asciiTheme="minorEastAsia" w:hAnsiTheme="minorEastAsia" w:eastAsiaTheme="minorEastAsia"/>
                <w:color w:val="auto"/>
                <w:highlight w:val="none"/>
              </w:rPr>
            </w:pPr>
          </w:p>
        </w:tc>
        <w:tc>
          <w:tcPr>
            <w:tcW w:w="1520" w:type="dxa"/>
          </w:tcPr>
          <w:p>
            <w:pPr>
              <w:pStyle w:val="48"/>
              <w:rPr>
                <w:rFonts w:cs="宋体" w:asciiTheme="minorEastAsia" w:hAnsiTheme="minorEastAsia" w:eastAsiaTheme="minorEastAsia"/>
                <w:color w:val="auto"/>
                <w:highlight w:val="none"/>
              </w:rPr>
            </w:pPr>
          </w:p>
        </w:tc>
        <w:tc>
          <w:tcPr>
            <w:tcW w:w="1722" w:type="dxa"/>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分包人二</w:t>
            </w:r>
          </w:p>
        </w:tc>
        <w:tc>
          <w:tcPr>
            <w:tcW w:w="1879" w:type="dxa"/>
          </w:tcPr>
          <w:p>
            <w:pPr>
              <w:pStyle w:val="48"/>
              <w:jc w:val="center"/>
              <w:rPr>
                <w:rFonts w:cs="宋体" w:asciiTheme="minorEastAsia" w:hAnsiTheme="minorEastAsia" w:eastAsiaTheme="minorEastAsia"/>
                <w:color w:val="auto"/>
                <w:highlight w:val="none"/>
              </w:rPr>
            </w:pPr>
          </w:p>
        </w:tc>
        <w:tc>
          <w:tcPr>
            <w:tcW w:w="1855" w:type="dxa"/>
          </w:tcPr>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不属于</w:t>
            </w:r>
          </w:p>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中型</w:t>
            </w:r>
          </w:p>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小微型</w:t>
            </w:r>
          </w:p>
        </w:tc>
        <w:tc>
          <w:tcPr>
            <w:tcW w:w="1855" w:type="dxa"/>
          </w:tcPr>
          <w:p>
            <w:pPr>
              <w:pStyle w:val="48"/>
              <w:jc w:val="center"/>
              <w:rPr>
                <w:rFonts w:cs="宋体" w:asciiTheme="minorEastAsia" w:hAnsiTheme="minorEastAsia" w:eastAsiaTheme="minorEastAsia"/>
                <w:color w:val="auto"/>
                <w:highlight w:val="none"/>
              </w:rPr>
            </w:pPr>
          </w:p>
        </w:tc>
        <w:tc>
          <w:tcPr>
            <w:tcW w:w="1520" w:type="dxa"/>
          </w:tcPr>
          <w:p>
            <w:pPr>
              <w:pStyle w:val="48"/>
              <w:rPr>
                <w:rFonts w:cs="宋体" w:asciiTheme="minorEastAsia" w:hAnsiTheme="minorEastAsia" w:eastAsiaTheme="minorEastAsia"/>
                <w:color w:val="auto"/>
                <w:highlight w:val="none"/>
              </w:rPr>
            </w:pPr>
          </w:p>
        </w:tc>
        <w:tc>
          <w:tcPr>
            <w:tcW w:w="1722" w:type="dxa"/>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分包人三</w:t>
            </w:r>
          </w:p>
        </w:tc>
        <w:tc>
          <w:tcPr>
            <w:tcW w:w="1879" w:type="dxa"/>
          </w:tcPr>
          <w:p>
            <w:pPr>
              <w:pStyle w:val="48"/>
              <w:jc w:val="center"/>
              <w:rPr>
                <w:rFonts w:cs="宋体" w:asciiTheme="minorEastAsia" w:hAnsiTheme="minorEastAsia" w:eastAsiaTheme="minorEastAsia"/>
                <w:color w:val="auto"/>
                <w:highlight w:val="none"/>
              </w:rPr>
            </w:pPr>
          </w:p>
        </w:tc>
        <w:tc>
          <w:tcPr>
            <w:tcW w:w="1855" w:type="dxa"/>
          </w:tcPr>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不属于</w:t>
            </w:r>
          </w:p>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中型</w:t>
            </w:r>
          </w:p>
          <w:p>
            <w:pPr>
              <w:pStyle w:val="48"/>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sym w:font="Wingdings 2" w:char="00A3"/>
            </w:r>
            <w:r>
              <w:rPr>
                <w:rFonts w:hint="eastAsia" w:cs="宋体" w:asciiTheme="minorEastAsia" w:hAnsiTheme="minorEastAsia" w:eastAsiaTheme="minorEastAsia"/>
                <w:color w:val="auto"/>
                <w:highlight w:val="none"/>
              </w:rPr>
              <w:t xml:space="preserve">   小微型</w:t>
            </w:r>
          </w:p>
        </w:tc>
        <w:tc>
          <w:tcPr>
            <w:tcW w:w="1855" w:type="dxa"/>
          </w:tcPr>
          <w:p>
            <w:pPr>
              <w:pStyle w:val="48"/>
              <w:jc w:val="center"/>
              <w:rPr>
                <w:rFonts w:cs="宋体" w:asciiTheme="minorEastAsia" w:hAnsiTheme="minorEastAsia" w:eastAsiaTheme="minorEastAsia"/>
                <w:color w:val="auto"/>
                <w:highlight w:val="none"/>
              </w:rPr>
            </w:pPr>
          </w:p>
        </w:tc>
        <w:tc>
          <w:tcPr>
            <w:tcW w:w="1520" w:type="dxa"/>
          </w:tcPr>
          <w:p>
            <w:pPr>
              <w:pStyle w:val="48"/>
              <w:rPr>
                <w:rFonts w:cs="宋体" w:asciiTheme="minorEastAsia" w:hAnsiTheme="minorEastAsia" w:eastAsiaTheme="minorEastAsia"/>
                <w:color w:val="auto"/>
                <w:highlight w:val="none"/>
              </w:rPr>
            </w:pPr>
          </w:p>
        </w:tc>
        <w:tc>
          <w:tcPr>
            <w:tcW w:w="1722" w:type="dxa"/>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p>
        </w:tc>
        <w:tc>
          <w:tcPr>
            <w:tcW w:w="1879" w:type="dxa"/>
          </w:tcPr>
          <w:p>
            <w:pPr>
              <w:pStyle w:val="48"/>
              <w:jc w:val="center"/>
              <w:rPr>
                <w:rFonts w:cs="宋体" w:asciiTheme="minorEastAsia" w:hAnsiTheme="minorEastAsia" w:eastAsiaTheme="minorEastAsia"/>
                <w:color w:val="auto"/>
                <w:highlight w:val="none"/>
              </w:rPr>
            </w:pPr>
          </w:p>
        </w:tc>
        <w:tc>
          <w:tcPr>
            <w:tcW w:w="1855" w:type="dxa"/>
          </w:tcPr>
          <w:p>
            <w:pPr>
              <w:pStyle w:val="48"/>
              <w:jc w:val="center"/>
              <w:rPr>
                <w:rFonts w:cs="宋体" w:asciiTheme="minorEastAsia" w:hAnsiTheme="minorEastAsia" w:eastAsiaTheme="minorEastAsia"/>
                <w:color w:val="auto"/>
                <w:highlight w:val="none"/>
              </w:rPr>
            </w:pPr>
          </w:p>
        </w:tc>
        <w:tc>
          <w:tcPr>
            <w:tcW w:w="1855" w:type="dxa"/>
          </w:tcPr>
          <w:p>
            <w:pPr>
              <w:pStyle w:val="48"/>
              <w:jc w:val="center"/>
              <w:rPr>
                <w:rFonts w:cs="宋体" w:asciiTheme="minorEastAsia" w:hAnsiTheme="minorEastAsia" w:eastAsiaTheme="minorEastAsia"/>
                <w:color w:val="auto"/>
                <w:highlight w:val="none"/>
              </w:rPr>
            </w:pPr>
          </w:p>
        </w:tc>
        <w:tc>
          <w:tcPr>
            <w:tcW w:w="1520" w:type="dxa"/>
          </w:tcPr>
          <w:p>
            <w:pPr>
              <w:pStyle w:val="48"/>
              <w:rPr>
                <w:rFonts w:cs="宋体" w:asciiTheme="minorEastAsia" w:hAnsiTheme="minorEastAsia" w:eastAsiaTheme="minorEastAsia"/>
                <w:color w:val="auto"/>
                <w:highlight w:val="none"/>
              </w:rPr>
            </w:pPr>
          </w:p>
        </w:tc>
        <w:tc>
          <w:tcPr>
            <w:tcW w:w="1722" w:type="dxa"/>
          </w:tcPr>
          <w:p>
            <w:pPr>
              <w:pStyle w:val="48"/>
              <w:rPr>
                <w:rFonts w:cs="宋体" w:asciiTheme="minorEastAsia" w:hAnsiTheme="minorEastAsia" w:eastAsiaTheme="minorEastAsia"/>
                <w:color w:val="auto"/>
                <w:highlight w:val="none"/>
              </w:rPr>
            </w:pPr>
          </w:p>
        </w:tc>
      </w:tr>
    </w:tbl>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注：供应商应如实填写上述信息，并提供所有分包单位营业执照副本复印件。</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bookmarkStart w:id="901" w:name="_Toc14607"/>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rPr>
          <w:rFonts w:cs="宋体" w:asciiTheme="minorEastAsia" w:hAnsiTheme="minorEastAsia" w:eastAsiaTheme="minorEastAsia"/>
          <w:color w:val="auto"/>
          <w:sz w:val="32"/>
          <w:szCs w:val="32"/>
          <w:highlight w:val="none"/>
        </w:rPr>
      </w:pPr>
      <w:r>
        <w:rPr>
          <w:rFonts w:hint="eastAsia" w:cs="宋体" w:asciiTheme="minorEastAsia" w:hAnsiTheme="minorEastAsia" w:eastAsiaTheme="minorEastAsia"/>
          <w:color w:val="auto"/>
          <w:sz w:val="32"/>
          <w:szCs w:val="32"/>
          <w:highlight w:val="none"/>
        </w:rPr>
        <w:br w:type="page"/>
      </w:r>
    </w:p>
    <w:p>
      <w:pPr>
        <w:pStyle w:val="40"/>
        <w:numPr>
          <w:ilvl w:val="1"/>
          <w:numId w:val="0"/>
        </w:numPr>
        <w:jc w:val="center"/>
        <w:rPr>
          <w:rFonts w:cs="宋体" w:asciiTheme="minorEastAsia" w:hAnsiTheme="minorEastAsia" w:eastAsiaTheme="minorEastAsia"/>
          <w:color w:val="auto"/>
          <w:sz w:val="32"/>
          <w:szCs w:val="32"/>
          <w:highlight w:val="none"/>
        </w:rPr>
      </w:pPr>
      <w:bookmarkStart w:id="902" w:name="_Toc15602"/>
      <w:r>
        <w:rPr>
          <w:rFonts w:hint="eastAsia" w:cs="宋体" w:asciiTheme="minorEastAsia" w:hAnsiTheme="minorEastAsia" w:eastAsiaTheme="minorEastAsia"/>
          <w:color w:val="auto"/>
          <w:sz w:val="32"/>
          <w:szCs w:val="32"/>
          <w:highlight w:val="none"/>
        </w:rPr>
        <w:t>第二部分 其他投标文件(格式)</w:t>
      </w:r>
      <w:bookmarkEnd w:id="901"/>
      <w:bookmarkEnd w:id="902"/>
    </w:p>
    <w:p>
      <w:pPr>
        <w:pStyle w:val="48"/>
        <w:rPr>
          <w:rFonts w:cs="宋体" w:asciiTheme="minorEastAsia" w:hAnsiTheme="minorEastAsia" w:eastAsiaTheme="minorEastAsia"/>
          <w:color w:val="auto"/>
          <w:highlight w:val="none"/>
        </w:rPr>
      </w:pPr>
      <w:bookmarkStart w:id="903" w:name="_Toc26038"/>
      <w:r>
        <w:rPr>
          <w:rFonts w:hint="eastAsia" w:cs="宋体" w:asciiTheme="minorEastAsia" w:hAnsiTheme="minorEastAsia" w:eastAsiaTheme="minorEastAsia"/>
          <w:color w:val="auto"/>
          <w:highlight w:val="none"/>
        </w:rPr>
        <w:br w:type="page"/>
      </w:r>
    </w:p>
    <w:bookmarkEnd w:id="900"/>
    <w:bookmarkEnd w:id="903"/>
    <w:p>
      <w:pPr>
        <w:pStyle w:val="50"/>
        <w:numPr>
          <w:ilvl w:val="0"/>
          <w:numId w:val="23"/>
        </w:numPr>
        <w:spacing w:before="120" w:after="120"/>
        <w:ind w:firstLine="0"/>
        <w:rPr>
          <w:rFonts w:cs="宋体" w:asciiTheme="minorEastAsia" w:hAnsiTheme="minorEastAsia" w:eastAsiaTheme="minorEastAsia"/>
          <w:color w:val="auto"/>
          <w:highlight w:val="none"/>
        </w:rPr>
      </w:pPr>
      <w:bookmarkStart w:id="904" w:name="_Toc21755"/>
      <w:bookmarkStart w:id="905" w:name="_Toc2311"/>
      <w:bookmarkStart w:id="906" w:name="_Toc11229"/>
      <w:bookmarkStart w:id="907" w:name="_Toc30133"/>
      <w:bookmarkStart w:id="908" w:name="_Toc1650"/>
      <w:bookmarkStart w:id="909" w:name="_Toc19766"/>
      <w:bookmarkStart w:id="910" w:name="_Toc5308"/>
      <w:r>
        <w:rPr>
          <w:rFonts w:hint="eastAsia" w:cs="宋体" w:asciiTheme="minorEastAsia" w:hAnsiTheme="minorEastAsia" w:eastAsiaTheme="minorEastAsia"/>
          <w:color w:val="auto"/>
          <w:highlight w:val="none"/>
        </w:rPr>
        <w:t>投标函</w:t>
      </w:r>
      <w:bookmarkEnd w:id="904"/>
      <w:bookmarkEnd w:id="905"/>
      <w:bookmarkEnd w:id="906"/>
    </w:p>
    <w:p>
      <w:pPr>
        <w:pStyle w:val="48"/>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致：四川乾新招投标代理有限公司　</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我方全面研究了“</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(项目名称)(项目编号：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)”的招标文件，决定参加贵单位组织的本项目第</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包投标。我方授权</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(姓名、职务)代表我方</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(投标人名称)全权处理本项目投标的有关事宜。</w:t>
      </w:r>
    </w:p>
    <w:p>
      <w:pPr>
        <w:pStyle w:val="41"/>
        <w:numPr>
          <w:ilvl w:val="2"/>
          <w:numId w:val="2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我方自愿按照招标文件规定的各项要求向采购人提供所需服务，投标总价为人民币</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元(大写：人民币</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)，我方将严格履行合同规定的责任和义务，服务期限为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p>
    <w:p>
      <w:pPr>
        <w:pStyle w:val="41"/>
        <w:numPr>
          <w:ilvl w:val="2"/>
          <w:numId w:val="2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我方承诺：投标有效期为提交投标文件的截止之日起90日。</w:t>
      </w:r>
    </w:p>
    <w:p>
      <w:pPr>
        <w:pStyle w:val="41"/>
        <w:numPr>
          <w:ilvl w:val="2"/>
          <w:numId w:val="2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我方完全理解采购人不一定将合同授予最低报价的投标人的行为。</w:t>
      </w:r>
    </w:p>
    <w:p>
      <w:pPr>
        <w:pStyle w:val="41"/>
        <w:numPr>
          <w:ilvl w:val="2"/>
          <w:numId w:val="2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一旦我方中标：</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我方承诺在收到中标通知书后，在规定的期限内与采购人签订合同。</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我方将严格履行政府采购合同规定的责任和义务。</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我方愿意提供与投标报价有关的文件资料，并保证我方已提供和将要提供的文件资料是真实、准确的。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我方自愿按照招标文件规定的各项要求完成采购项目，接受采购人按照政府采购合同约定金额支付采购资金。</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我方在参与本项目履约过程中涉及国家相关强制标准的，均按照该标准执行。</w:t>
      </w:r>
    </w:p>
    <w:p>
      <w:pPr>
        <w:pStyle w:val="41"/>
        <w:numPr>
          <w:ilvl w:val="2"/>
          <w:numId w:val="2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(盖章)</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通讯地址：</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邮政编码：</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联系电话：</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传    真：</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 xml:space="preserve">     </w:t>
      </w:r>
    </w:p>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0"/>
        <w:numPr>
          <w:ilvl w:val="0"/>
          <w:numId w:val="23"/>
        </w:numPr>
        <w:spacing w:before="120" w:after="120"/>
        <w:ind w:firstLine="0"/>
        <w:rPr>
          <w:rFonts w:cs="宋体" w:asciiTheme="minorEastAsia" w:hAnsiTheme="minorEastAsia" w:eastAsiaTheme="minorEastAsia"/>
          <w:color w:val="auto"/>
          <w:highlight w:val="none"/>
        </w:rPr>
      </w:pPr>
      <w:bookmarkStart w:id="911" w:name="_Toc18775"/>
      <w:r>
        <w:rPr>
          <w:rFonts w:hint="eastAsia" w:cs="宋体" w:asciiTheme="minorEastAsia" w:hAnsiTheme="minorEastAsia" w:eastAsiaTheme="minorEastAsia"/>
          <w:color w:val="auto"/>
          <w:highlight w:val="none"/>
        </w:rPr>
        <w:t>实质性要求承诺</w:t>
      </w:r>
      <w:bookmarkEnd w:id="911"/>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(采购代理机构名称)：</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我方作为本次采购项目的投标人，根据招标文件要求，现郑重承诺及声明如下：</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我方已认真阅读并接受本项目采购文件的全部实质性要求。</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我方参加本次采购活动，不存在与单位负责人为同一人或者存在直接控股、管理关系的其他供应商参与同一合同项下的政府采购活动的行为。与我方存在直接控股关系的单位为：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；存在管理关系的单位为：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(如不存在直接控股、管理关系的相关供应商填“无”)。</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我方参加本次采购活动前本单位未对本次采购项目提供过整体设计、规范编制或者项目管理、监理、检测等服务。</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我方参加本次采购活动，不存在我单位实际控制人或者中高级管理人员是本项目采购代理机构的工作人员的情形。</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我方参加本次采购活动，不存在同一母公司的两家以上的子公司以不同供应商身份同时参加本项目同一合同项下的采购活动的情形。</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我方参加本次采购活动，与采购代理机构不存在关联关系，不为采购代理机构的母公司或子公司。</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我方参加本次采购活动，不存在和其他供应商在同一合同项下的采购项目中，同时委托同一个自然人、同一家庭的人员、同一单位的人员作为代理人的行为。</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我方投标文件中提供的任何资料和技术、服务、商务等响应承诺情况都是真实的、有效的、合法的。</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我方参加本次采购活动，我方完全同意招标文件中关于“投标费用”</w:t>
      </w:r>
      <w:r>
        <w:rPr>
          <w:rFonts w:hint="eastAsia" w:cs="宋体" w:asciiTheme="minorEastAsia" w:hAnsiTheme="minorEastAsia" w:eastAsiaTheme="minorEastAsia"/>
          <w:color w:val="000000" w:themeColor="text1"/>
          <w:highlight w:val="none"/>
          <w14:textFill>
            <w14:solidFill>
              <w14:schemeClr w14:val="tx1"/>
            </w14:solidFill>
          </w14:textFill>
        </w:rPr>
        <w:t>、</w:t>
      </w:r>
      <w:r>
        <w:rPr>
          <w:rFonts w:hint="eastAsia" w:cs="宋体" w:asciiTheme="minorEastAsia" w:hAnsiTheme="minorEastAsia" w:eastAsiaTheme="minorEastAsia"/>
          <w:color w:val="auto"/>
          <w:highlight w:val="none"/>
        </w:rPr>
        <w:t>“合同转包”、“履约保证金”等实质性要求，并承诺严格按照招标文件要求履行。</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41"/>
        <w:numPr>
          <w:ilvl w:val="2"/>
          <w:numId w:val="2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本项目如涉及3C认证产品的，我方参加投标所提供的产品均满足相关要求，承诺在中标后签订采购合同时向采购人提供加盖供应商公章的3C证书复印件。</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本公司对上述承诺的内容事项真实性、合法性负责。如经查实上述承诺的内容事项存在虚假，我公司自愿接受以提供虚假材料谋取中标所带来的所有法律责任。</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0"/>
        <w:numPr>
          <w:ilvl w:val="0"/>
          <w:numId w:val="23"/>
        </w:numPr>
        <w:spacing w:before="120" w:after="120"/>
        <w:ind w:firstLine="0"/>
        <w:rPr>
          <w:rFonts w:cs="宋体" w:asciiTheme="minorEastAsia" w:hAnsiTheme="minorEastAsia" w:eastAsiaTheme="minorEastAsia"/>
          <w:color w:val="auto"/>
          <w:highlight w:val="none"/>
        </w:rPr>
      </w:pPr>
      <w:bookmarkStart w:id="912" w:name="_Toc5912"/>
      <w:bookmarkStart w:id="913" w:name="_Toc3690"/>
      <w:bookmarkStart w:id="914" w:name="_Toc11854"/>
      <w:bookmarkStart w:id="915" w:name="_Toc6982"/>
      <w:bookmarkStart w:id="916" w:name="_Toc439161752"/>
      <w:bookmarkStart w:id="917" w:name="_Toc302997926"/>
      <w:bookmarkStart w:id="918" w:name="_Toc10493"/>
      <w:r>
        <w:rPr>
          <w:rFonts w:hint="eastAsia" w:cs="宋体" w:asciiTheme="minorEastAsia" w:hAnsiTheme="minorEastAsia" w:eastAsiaTheme="minorEastAsia"/>
          <w:color w:val="auto"/>
          <w:highlight w:val="none"/>
        </w:rPr>
        <w:t>投标人基本情况表</w:t>
      </w:r>
      <w:bookmarkEnd w:id="912"/>
      <w:bookmarkEnd w:id="913"/>
      <w:bookmarkEnd w:id="914"/>
      <w:bookmarkEnd w:id="915"/>
      <w:bookmarkEnd w:id="916"/>
      <w:bookmarkEnd w:id="917"/>
      <w:bookmarkEnd w:id="918"/>
    </w:p>
    <w:tbl>
      <w:tblPr>
        <w:tblStyle w:val="26"/>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p>
        </w:tc>
        <w:tc>
          <w:tcPr>
            <w:tcW w:w="8000" w:type="dxa"/>
            <w:gridSpan w:val="7"/>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注册地址</w:t>
            </w:r>
          </w:p>
        </w:tc>
        <w:tc>
          <w:tcPr>
            <w:tcW w:w="3826" w:type="dxa"/>
            <w:gridSpan w:val="3"/>
            <w:vAlign w:val="center"/>
          </w:tcPr>
          <w:p>
            <w:pPr>
              <w:pStyle w:val="51"/>
              <w:spacing w:line="480" w:lineRule="exact"/>
              <w:rPr>
                <w:rFonts w:cs="宋体" w:asciiTheme="minorEastAsia" w:hAnsiTheme="minorEastAsia" w:eastAsiaTheme="minorEastAsia"/>
                <w:color w:val="auto"/>
                <w:highlight w:val="none"/>
              </w:rPr>
            </w:pPr>
          </w:p>
        </w:tc>
        <w:tc>
          <w:tcPr>
            <w:tcW w:w="1548"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邮政编码</w:t>
            </w:r>
          </w:p>
        </w:tc>
        <w:tc>
          <w:tcPr>
            <w:tcW w:w="2626" w:type="dxa"/>
            <w:gridSpan w:val="3"/>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联系方式</w:t>
            </w:r>
          </w:p>
        </w:tc>
        <w:tc>
          <w:tcPr>
            <w:tcW w:w="939"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联系人</w:t>
            </w:r>
          </w:p>
        </w:tc>
        <w:tc>
          <w:tcPr>
            <w:tcW w:w="2887" w:type="dxa"/>
            <w:gridSpan w:val="2"/>
            <w:vAlign w:val="center"/>
          </w:tcPr>
          <w:p>
            <w:pPr>
              <w:pStyle w:val="51"/>
              <w:spacing w:line="480" w:lineRule="exact"/>
              <w:rPr>
                <w:rFonts w:cs="宋体" w:asciiTheme="minorEastAsia" w:hAnsiTheme="minorEastAsia" w:eastAsiaTheme="minorEastAsia"/>
                <w:color w:val="auto"/>
                <w:highlight w:val="none"/>
              </w:rPr>
            </w:pPr>
          </w:p>
        </w:tc>
        <w:tc>
          <w:tcPr>
            <w:tcW w:w="1548"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电话</w:t>
            </w:r>
          </w:p>
        </w:tc>
        <w:tc>
          <w:tcPr>
            <w:tcW w:w="2626" w:type="dxa"/>
            <w:gridSpan w:val="3"/>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51"/>
              <w:spacing w:line="480" w:lineRule="exact"/>
              <w:rPr>
                <w:rFonts w:cs="宋体" w:asciiTheme="minorEastAsia" w:hAnsiTheme="minorEastAsia" w:eastAsiaTheme="minorEastAsia"/>
                <w:color w:val="auto"/>
                <w:highlight w:val="none"/>
              </w:rPr>
            </w:pPr>
          </w:p>
        </w:tc>
        <w:tc>
          <w:tcPr>
            <w:tcW w:w="939"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传真</w:t>
            </w:r>
          </w:p>
        </w:tc>
        <w:tc>
          <w:tcPr>
            <w:tcW w:w="2887" w:type="dxa"/>
            <w:gridSpan w:val="2"/>
            <w:vAlign w:val="center"/>
          </w:tcPr>
          <w:p>
            <w:pPr>
              <w:pStyle w:val="51"/>
              <w:spacing w:line="480" w:lineRule="exact"/>
              <w:rPr>
                <w:rFonts w:cs="宋体" w:asciiTheme="minorEastAsia" w:hAnsiTheme="minorEastAsia" w:eastAsiaTheme="minorEastAsia"/>
                <w:color w:val="auto"/>
                <w:highlight w:val="none"/>
              </w:rPr>
            </w:pPr>
          </w:p>
        </w:tc>
        <w:tc>
          <w:tcPr>
            <w:tcW w:w="1548"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网址</w:t>
            </w:r>
          </w:p>
        </w:tc>
        <w:tc>
          <w:tcPr>
            <w:tcW w:w="2626" w:type="dxa"/>
            <w:gridSpan w:val="3"/>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w:t>
            </w:r>
          </w:p>
        </w:tc>
        <w:tc>
          <w:tcPr>
            <w:tcW w:w="939"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姓名</w:t>
            </w:r>
          </w:p>
        </w:tc>
        <w:tc>
          <w:tcPr>
            <w:tcW w:w="1432" w:type="dxa"/>
            <w:vAlign w:val="center"/>
          </w:tcPr>
          <w:p>
            <w:pPr>
              <w:pStyle w:val="51"/>
              <w:spacing w:line="480" w:lineRule="exact"/>
              <w:rPr>
                <w:rFonts w:cs="宋体" w:asciiTheme="minorEastAsia" w:hAnsiTheme="minorEastAsia" w:eastAsiaTheme="minorEastAsia"/>
                <w:color w:val="auto"/>
                <w:highlight w:val="none"/>
              </w:rPr>
            </w:pPr>
          </w:p>
        </w:tc>
        <w:tc>
          <w:tcPr>
            <w:tcW w:w="1455"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技术职称</w:t>
            </w:r>
          </w:p>
        </w:tc>
        <w:tc>
          <w:tcPr>
            <w:tcW w:w="1548" w:type="dxa"/>
            <w:vAlign w:val="center"/>
          </w:tcPr>
          <w:p>
            <w:pPr>
              <w:pStyle w:val="51"/>
              <w:spacing w:line="480" w:lineRule="exact"/>
              <w:rPr>
                <w:rFonts w:cs="宋体" w:asciiTheme="minorEastAsia" w:hAnsiTheme="minorEastAsia" w:eastAsiaTheme="minorEastAsia"/>
                <w:color w:val="auto"/>
                <w:highlight w:val="none"/>
              </w:rPr>
            </w:pPr>
          </w:p>
        </w:tc>
        <w:tc>
          <w:tcPr>
            <w:tcW w:w="1364" w:type="dxa"/>
            <w:gridSpan w:val="2"/>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电话</w:t>
            </w:r>
          </w:p>
        </w:tc>
        <w:tc>
          <w:tcPr>
            <w:tcW w:w="1262" w:type="dxa"/>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技术负责人</w:t>
            </w:r>
          </w:p>
        </w:tc>
        <w:tc>
          <w:tcPr>
            <w:tcW w:w="939"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姓名</w:t>
            </w:r>
          </w:p>
        </w:tc>
        <w:tc>
          <w:tcPr>
            <w:tcW w:w="1432" w:type="dxa"/>
            <w:vAlign w:val="center"/>
          </w:tcPr>
          <w:p>
            <w:pPr>
              <w:pStyle w:val="51"/>
              <w:spacing w:line="480" w:lineRule="exact"/>
              <w:rPr>
                <w:rFonts w:cs="宋体" w:asciiTheme="minorEastAsia" w:hAnsiTheme="minorEastAsia" w:eastAsiaTheme="minorEastAsia"/>
                <w:color w:val="auto"/>
                <w:highlight w:val="none"/>
              </w:rPr>
            </w:pPr>
          </w:p>
        </w:tc>
        <w:tc>
          <w:tcPr>
            <w:tcW w:w="1455"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技术职称</w:t>
            </w:r>
          </w:p>
        </w:tc>
        <w:tc>
          <w:tcPr>
            <w:tcW w:w="1548" w:type="dxa"/>
            <w:vAlign w:val="center"/>
          </w:tcPr>
          <w:p>
            <w:pPr>
              <w:pStyle w:val="51"/>
              <w:spacing w:line="480" w:lineRule="exact"/>
              <w:rPr>
                <w:rFonts w:cs="宋体" w:asciiTheme="minorEastAsia" w:hAnsiTheme="minorEastAsia" w:eastAsiaTheme="minorEastAsia"/>
                <w:color w:val="auto"/>
                <w:highlight w:val="none"/>
              </w:rPr>
            </w:pPr>
          </w:p>
        </w:tc>
        <w:tc>
          <w:tcPr>
            <w:tcW w:w="1364" w:type="dxa"/>
            <w:gridSpan w:val="2"/>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电话</w:t>
            </w:r>
          </w:p>
        </w:tc>
        <w:tc>
          <w:tcPr>
            <w:tcW w:w="1262" w:type="dxa"/>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成立时间</w:t>
            </w:r>
          </w:p>
        </w:tc>
        <w:tc>
          <w:tcPr>
            <w:tcW w:w="2371" w:type="dxa"/>
            <w:gridSpan w:val="2"/>
            <w:vAlign w:val="center"/>
          </w:tcPr>
          <w:p>
            <w:pPr>
              <w:pStyle w:val="51"/>
              <w:spacing w:line="480" w:lineRule="exact"/>
              <w:rPr>
                <w:rFonts w:cs="宋体" w:asciiTheme="minorEastAsia" w:hAnsiTheme="minorEastAsia" w:eastAsiaTheme="minorEastAsia"/>
                <w:color w:val="auto"/>
                <w:highlight w:val="none"/>
              </w:rPr>
            </w:pPr>
          </w:p>
        </w:tc>
        <w:tc>
          <w:tcPr>
            <w:tcW w:w="5629" w:type="dxa"/>
            <w:gridSpan w:val="5"/>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企业资质等级</w:t>
            </w:r>
          </w:p>
        </w:tc>
        <w:tc>
          <w:tcPr>
            <w:tcW w:w="2371" w:type="dxa"/>
            <w:gridSpan w:val="2"/>
            <w:vAlign w:val="center"/>
          </w:tcPr>
          <w:p>
            <w:pPr>
              <w:pStyle w:val="51"/>
              <w:spacing w:line="480" w:lineRule="exact"/>
              <w:rPr>
                <w:rFonts w:cs="宋体" w:asciiTheme="minorEastAsia" w:hAnsiTheme="minorEastAsia" w:eastAsiaTheme="minorEastAsia"/>
                <w:color w:val="auto"/>
                <w:highlight w:val="none"/>
              </w:rPr>
            </w:pPr>
          </w:p>
        </w:tc>
        <w:tc>
          <w:tcPr>
            <w:tcW w:w="1455" w:type="dxa"/>
            <w:vMerge w:val="restart"/>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其中</w:t>
            </w:r>
          </w:p>
        </w:tc>
        <w:tc>
          <w:tcPr>
            <w:tcW w:w="1734" w:type="dxa"/>
            <w:gridSpan w:val="2"/>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项目经理</w:t>
            </w:r>
          </w:p>
        </w:tc>
        <w:tc>
          <w:tcPr>
            <w:tcW w:w="2440" w:type="dxa"/>
            <w:gridSpan w:val="2"/>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营业执照号/统一社会信用代码</w:t>
            </w:r>
          </w:p>
        </w:tc>
        <w:tc>
          <w:tcPr>
            <w:tcW w:w="2371" w:type="dxa"/>
            <w:gridSpan w:val="2"/>
            <w:vAlign w:val="center"/>
          </w:tcPr>
          <w:p>
            <w:pPr>
              <w:pStyle w:val="51"/>
              <w:spacing w:line="480" w:lineRule="exact"/>
              <w:rPr>
                <w:rFonts w:cs="宋体" w:asciiTheme="minorEastAsia" w:hAnsiTheme="minorEastAsia" w:eastAsiaTheme="minorEastAsia"/>
                <w:color w:val="auto"/>
                <w:highlight w:val="none"/>
              </w:rPr>
            </w:pPr>
          </w:p>
        </w:tc>
        <w:tc>
          <w:tcPr>
            <w:tcW w:w="1455" w:type="dxa"/>
            <w:vMerge w:val="continue"/>
            <w:vAlign w:val="center"/>
          </w:tcPr>
          <w:p>
            <w:pPr>
              <w:pStyle w:val="51"/>
              <w:spacing w:line="480" w:lineRule="exact"/>
              <w:rPr>
                <w:rFonts w:cs="宋体" w:asciiTheme="minorEastAsia" w:hAnsiTheme="minorEastAsia" w:eastAsiaTheme="minorEastAsia"/>
                <w:color w:val="auto"/>
                <w:highlight w:val="none"/>
              </w:rPr>
            </w:pPr>
          </w:p>
        </w:tc>
        <w:tc>
          <w:tcPr>
            <w:tcW w:w="1734" w:type="dxa"/>
            <w:gridSpan w:val="2"/>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高级职称人员</w:t>
            </w:r>
          </w:p>
        </w:tc>
        <w:tc>
          <w:tcPr>
            <w:tcW w:w="2440" w:type="dxa"/>
            <w:gridSpan w:val="2"/>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注册资金</w:t>
            </w:r>
          </w:p>
        </w:tc>
        <w:tc>
          <w:tcPr>
            <w:tcW w:w="2371" w:type="dxa"/>
            <w:gridSpan w:val="2"/>
            <w:vAlign w:val="center"/>
          </w:tcPr>
          <w:p>
            <w:pPr>
              <w:pStyle w:val="51"/>
              <w:spacing w:line="480" w:lineRule="exact"/>
              <w:rPr>
                <w:rFonts w:cs="宋体" w:asciiTheme="minorEastAsia" w:hAnsiTheme="minorEastAsia" w:eastAsiaTheme="minorEastAsia"/>
                <w:color w:val="auto"/>
                <w:highlight w:val="none"/>
              </w:rPr>
            </w:pPr>
          </w:p>
        </w:tc>
        <w:tc>
          <w:tcPr>
            <w:tcW w:w="1455" w:type="dxa"/>
            <w:vMerge w:val="continue"/>
            <w:vAlign w:val="center"/>
          </w:tcPr>
          <w:p>
            <w:pPr>
              <w:pStyle w:val="51"/>
              <w:spacing w:line="480" w:lineRule="exact"/>
              <w:rPr>
                <w:rFonts w:cs="宋体" w:asciiTheme="minorEastAsia" w:hAnsiTheme="minorEastAsia" w:eastAsiaTheme="minorEastAsia"/>
                <w:color w:val="auto"/>
                <w:highlight w:val="none"/>
              </w:rPr>
            </w:pPr>
          </w:p>
        </w:tc>
        <w:tc>
          <w:tcPr>
            <w:tcW w:w="1734" w:type="dxa"/>
            <w:gridSpan w:val="2"/>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中级职称人员</w:t>
            </w:r>
          </w:p>
        </w:tc>
        <w:tc>
          <w:tcPr>
            <w:tcW w:w="2440" w:type="dxa"/>
            <w:gridSpan w:val="2"/>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开户银行</w:t>
            </w:r>
          </w:p>
        </w:tc>
        <w:tc>
          <w:tcPr>
            <w:tcW w:w="2371" w:type="dxa"/>
            <w:gridSpan w:val="2"/>
            <w:vAlign w:val="center"/>
          </w:tcPr>
          <w:p>
            <w:pPr>
              <w:pStyle w:val="51"/>
              <w:spacing w:line="480" w:lineRule="exact"/>
              <w:rPr>
                <w:rFonts w:cs="宋体" w:asciiTheme="minorEastAsia" w:hAnsiTheme="minorEastAsia" w:eastAsiaTheme="minorEastAsia"/>
                <w:color w:val="auto"/>
                <w:highlight w:val="none"/>
              </w:rPr>
            </w:pPr>
          </w:p>
        </w:tc>
        <w:tc>
          <w:tcPr>
            <w:tcW w:w="1455" w:type="dxa"/>
            <w:vMerge w:val="continue"/>
            <w:vAlign w:val="center"/>
          </w:tcPr>
          <w:p>
            <w:pPr>
              <w:pStyle w:val="51"/>
              <w:spacing w:line="480" w:lineRule="exact"/>
              <w:rPr>
                <w:rFonts w:cs="宋体" w:asciiTheme="minorEastAsia" w:hAnsiTheme="minorEastAsia" w:eastAsiaTheme="minorEastAsia"/>
                <w:color w:val="auto"/>
                <w:highlight w:val="none"/>
              </w:rPr>
            </w:pPr>
          </w:p>
        </w:tc>
        <w:tc>
          <w:tcPr>
            <w:tcW w:w="1734" w:type="dxa"/>
            <w:gridSpan w:val="2"/>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初级职称人员</w:t>
            </w:r>
          </w:p>
        </w:tc>
        <w:tc>
          <w:tcPr>
            <w:tcW w:w="2440" w:type="dxa"/>
            <w:gridSpan w:val="2"/>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账号</w:t>
            </w:r>
          </w:p>
        </w:tc>
        <w:tc>
          <w:tcPr>
            <w:tcW w:w="2371" w:type="dxa"/>
            <w:gridSpan w:val="2"/>
            <w:vAlign w:val="center"/>
          </w:tcPr>
          <w:p>
            <w:pPr>
              <w:pStyle w:val="51"/>
              <w:spacing w:line="480" w:lineRule="exact"/>
              <w:rPr>
                <w:rFonts w:cs="宋体" w:asciiTheme="minorEastAsia" w:hAnsiTheme="minorEastAsia" w:eastAsiaTheme="minorEastAsia"/>
                <w:color w:val="auto"/>
                <w:highlight w:val="none"/>
              </w:rPr>
            </w:pPr>
          </w:p>
        </w:tc>
        <w:tc>
          <w:tcPr>
            <w:tcW w:w="1455" w:type="dxa"/>
            <w:vMerge w:val="continue"/>
            <w:vAlign w:val="center"/>
          </w:tcPr>
          <w:p>
            <w:pPr>
              <w:pStyle w:val="51"/>
              <w:spacing w:line="480" w:lineRule="exact"/>
              <w:rPr>
                <w:rFonts w:cs="宋体" w:asciiTheme="minorEastAsia" w:hAnsiTheme="minorEastAsia" w:eastAsiaTheme="minorEastAsia"/>
                <w:color w:val="auto"/>
                <w:highlight w:val="none"/>
              </w:rPr>
            </w:pPr>
          </w:p>
        </w:tc>
        <w:tc>
          <w:tcPr>
            <w:tcW w:w="1734" w:type="dxa"/>
            <w:gridSpan w:val="2"/>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技工</w:t>
            </w:r>
          </w:p>
        </w:tc>
        <w:tc>
          <w:tcPr>
            <w:tcW w:w="2440" w:type="dxa"/>
            <w:gridSpan w:val="2"/>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营业收入</w:t>
            </w:r>
          </w:p>
        </w:tc>
        <w:tc>
          <w:tcPr>
            <w:tcW w:w="2371" w:type="dxa"/>
            <w:gridSpan w:val="2"/>
            <w:vAlign w:val="center"/>
          </w:tcPr>
          <w:p>
            <w:pPr>
              <w:pStyle w:val="51"/>
              <w:spacing w:line="480" w:lineRule="exact"/>
              <w:rPr>
                <w:rFonts w:cs="宋体" w:asciiTheme="minorEastAsia" w:hAnsiTheme="minorEastAsia" w:eastAsiaTheme="minorEastAsia"/>
                <w:color w:val="auto"/>
                <w:highlight w:val="none"/>
              </w:rPr>
            </w:pPr>
          </w:p>
        </w:tc>
        <w:tc>
          <w:tcPr>
            <w:tcW w:w="1455"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资产总额</w:t>
            </w:r>
          </w:p>
        </w:tc>
        <w:tc>
          <w:tcPr>
            <w:tcW w:w="4174" w:type="dxa"/>
            <w:gridSpan w:val="4"/>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经营范围</w:t>
            </w:r>
          </w:p>
        </w:tc>
        <w:tc>
          <w:tcPr>
            <w:tcW w:w="8000" w:type="dxa"/>
            <w:gridSpan w:val="7"/>
            <w:vAlign w:val="center"/>
          </w:tcPr>
          <w:p>
            <w:pPr>
              <w:pStyle w:val="51"/>
              <w:spacing w:line="480" w:lineRule="exact"/>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51"/>
              <w:spacing w:line="48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备注</w:t>
            </w:r>
          </w:p>
        </w:tc>
        <w:tc>
          <w:tcPr>
            <w:tcW w:w="8000" w:type="dxa"/>
            <w:gridSpan w:val="7"/>
          </w:tcPr>
          <w:p>
            <w:pPr>
              <w:pStyle w:val="51"/>
              <w:spacing w:line="480" w:lineRule="exact"/>
              <w:rPr>
                <w:rFonts w:cs="宋体" w:asciiTheme="minorEastAsia" w:hAnsiTheme="minorEastAsia" w:eastAsiaTheme="minorEastAsia"/>
                <w:color w:val="auto"/>
                <w:highlight w:val="none"/>
              </w:rPr>
            </w:pPr>
          </w:p>
        </w:tc>
      </w:tr>
    </w:tbl>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注：①投标人根据自身实际情况填写，对不涉及的内容可填写“/”，不影响投标资质及效力。</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②从业人员、营业收入、资产总额填报上一年度数据，无上一年度数据的新成立企业可不填报。</w:t>
      </w:r>
    </w:p>
    <w:p>
      <w:pPr>
        <w:pStyle w:val="52"/>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50"/>
        <w:numPr>
          <w:ilvl w:val="0"/>
          <w:numId w:val="23"/>
        </w:numPr>
        <w:spacing w:before="120" w:after="120"/>
        <w:ind w:firstLine="0"/>
        <w:rPr>
          <w:rFonts w:cs="宋体" w:asciiTheme="minorEastAsia" w:hAnsiTheme="minorEastAsia" w:eastAsiaTheme="minorEastAsia"/>
          <w:color w:val="auto"/>
          <w:highlight w:val="none"/>
        </w:rPr>
      </w:pPr>
      <w:bookmarkStart w:id="919" w:name="_Toc4856"/>
      <w:r>
        <w:rPr>
          <w:rFonts w:hint="eastAsia" w:cs="宋体" w:asciiTheme="minorEastAsia" w:hAnsiTheme="minorEastAsia" w:eastAsiaTheme="minorEastAsia"/>
          <w:color w:val="auto"/>
          <w:highlight w:val="none"/>
        </w:rPr>
        <w:t>开标一览表</w:t>
      </w:r>
      <w:bookmarkEnd w:id="907"/>
      <w:bookmarkEnd w:id="908"/>
      <w:bookmarkEnd w:id="909"/>
      <w:bookmarkEnd w:id="910"/>
      <w:bookmarkEnd w:id="919"/>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包号：第一包</w:t>
      </w:r>
    </w:p>
    <w:tbl>
      <w:tblPr>
        <w:tblStyle w:val="26"/>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2130"/>
        <w:gridCol w:w="2893"/>
        <w:gridCol w:w="3522"/>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9"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序号</w:t>
            </w:r>
          </w:p>
        </w:tc>
        <w:tc>
          <w:tcPr>
            <w:tcW w:w="1074"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采购内容</w:t>
            </w:r>
          </w:p>
        </w:tc>
        <w:tc>
          <w:tcPr>
            <w:tcW w:w="1459"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投标报价(元)</w:t>
            </w:r>
          </w:p>
        </w:tc>
        <w:tc>
          <w:tcPr>
            <w:tcW w:w="1776"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服务期限</w:t>
            </w:r>
          </w:p>
        </w:tc>
        <w:tc>
          <w:tcPr>
            <w:tcW w:w="409"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279" w:type="pct"/>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w:t>
            </w:r>
          </w:p>
        </w:tc>
        <w:tc>
          <w:tcPr>
            <w:tcW w:w="1074" w:type="pct"/>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地理实体数据生产与更新</w:t>
            </w:r>
          </w:p>
        </w:tc>
        <w:tc>
          <w:tcPr>
            <w:tcW w:w="1459" w:type="pct"/>
            <w:vAlign w:val="center"/>
          </w:tcPr>
          <w:p>
            <w:pPr>
              <w:pStyle w:val="48"/>
              <w:rPr>
                <w:rFonts w:cs="宋体" w:asciiTheme="minorEastAsia" w:hAnsiTheme="minorEastAsia" w:eastAsiaTheme="minorEastAsia"/>
                <w:color w:val="auto"/>
                <w:highlight w:val="none"/>
              </w:rPr>
            </w:pPr>
          </w:p>
        </w:tc>
        <w:tc>
          <w:tcPr>
            <w:tcW w:w="1776" w:type="pct"/>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2022年3月20日前完成全部生产工作，分批提交合格成果至甲方指定的质量检验单位进行质量检验并按质检意见进行整改完善；2022年5月31日前配合甲方完成项目验收及资料归档工作。</w:t>
            </w:r>
          </w:p>
        </w:tc>
        <w:tc>
          <w:tcPr>
            <w:tcW w:w="409" w:type="pct"/>
            <w:vAlign w:val="center"/>
          </w:tcPr>
          <w:p>
            <w:pPr>
              <w:pStyle w:val="48"/>
              <w:jc w:val="center"/>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5000" w:type="pct"/>
            <w:gridSpan w:val="5"/>
          </w:tcPr>
          <w:p>
            <w:pPr>
              <w:pStyle w:val="48"/>
              <w:rPr>
                <w:rFonts w:cs="宋体" w:asciiTheme="minorEastAsia" w:hAnsiTheme="minorEastAsia" w:eastAsiaTheme="minorEastAsia"/>
                <w:b/>
                <w:bCs/>
                <w:color w:val="auto"/>
                <w:highlight w:val="none"/>
              </w:rPr>
            </w:pP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b/>
                <w:bCs/>
                <w:color w:val="auto"/>
                <w:highlight w:val="none"/>
              </w:rPr>
              <w:t>投标总价：</w:t>
            </w:r>
            <w:r>
              <w:rPr>
                <w:rFonts w:hint="eastAsia" w:cs="宋体" w:asciiTheme="minorEastAsia" w:hAnsiTheme="minorEastAsia" w:eastAsiaTheme="minorEastAsia"/>
                <w:color w:val="auto"/>
                <w:highlight w:val="none"/>
              </w:rPr>
              <w:t xml:space="preserve">(小写) </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大写：</w:t>
            </w:r>
            <w:r>
              <w:rPr>
                <w:rFonts w:hint="eastAsia" w:cs="宋体" w:asciiTheme="minorEastAsia" w:hAnsiTheme="minorEastAsia" w:eastAsiaTheme="minorEastAsia"/>
                <w:color w:val="auto"/>
                <w:highlight w:val="none"/>
                <w:u w:val="single"/>
              </w:rPr>
              <w:t xml:space="preserve">                             ;</w:t>
            </w:r>
          </w:p>
        </w:tc>
      </w:tr>
    </w:tbl>
    <w:p>
      <w:pPr>
        <w:pStyle w:val="53"/>
        <w:ind w:firstLine="482"/>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color w:val="auto"/>
          <w:highlight w:val="none"/>
        </w:rPr>
        <w:t>注：</w:t>
      </w:r>
      <w:r>
        <w:rPr>
          <w:rFonts w:hint="eastAsia" w:cs="宋体" w:asciiTheme="minorEastAsia" w:hAnsiTheme="minorEastAsia" w:eastAsiaTheme="minorEastAsia"/>
          <w:b w:val="0"/>
          <w:bCs/>
          <w:color w:val="auto"/>
          <w:highlight w:val="none"/>
        </w:rPr>
        <w:t>①报价应是投标人响应招标项目要求的全部工作内容的价格体现，包含完成本项目所涉及</w:t>
      </w:r>
      <w:r>
        <w:rPr>
          <w:rFonts w:hint="eastAsia" w:cs="宋体" w:asciiTheme="minorEastAsia" w:hAnsiTheme="minorEastAsia" w:eastAsiaTheme="minorEastAsia"/>
          <w:bCs/>
          <w:color w:val="auto"/>
          <w:highlight w:val="none"/>
        </w:rPr>
        <w:t>人员劳务、交通、食宿、差旅、专家指导、设备投入、数据生产、更新、成果、利润、保险、风险、税金、招标代理服务费以及招标文件规定的合格交付使用之前的一切费用</w:t>
      </w:r>
      <w:r>
        <w:rPr>
          <w:rFonts w:hint="eastAsia" w:cs="宋体" w:asciiTheme="minorEastAsia" w:hAnsiTheme="minorEastAsia" w:eastAsiaTheme="minorEastAsia"/>
          <w:b w:val="0"/>
          <w:bCs/>
          <w:color w:val="auto"/>
          <w:highlight w:val="none"/>
        </w:rPr>
        <w:t>。</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②“开标一览表”为多页的，每页均需由法定代表人/单位负责人或授权代表签字并盖投标人印章，否则作无效投标处理。</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③“开标一览表”以包为单位填写，除了单独密封递交外，其他投标文件(正副本)中也应当提供，如有遗漏，将视为无效投标。</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(盖章)</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bookmarkStart w:id="920" w:name="_Toc7728"/>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br w:type="page"/>
      </w:r>
    </w:p>
    <w:p>
      <w:pPr>
        <w:pStyle w:val="50"/>
        <w:spacing w:before="120" w:after="120"/>
        <w:rPr>
          <w:rFonts w:cs="宋体" w:asciiTheme="minorEastAsia" w:hAnsiTheme="minorEastAsia" w:eastAsiaTheme="minorEastAsia"/>
          <w:color w:val="auto"/>
          <w:highlight w:val="none"/>
        </w:rPr>
      </w:pPr>
      <w:bookmarkStart w:id="921" w:name="_Toc23866"/>
      <w:bookmarkStart w:id="922" w:name="_Toc23742"/>
      <w:bookmarkStart w:id="923" w:name="_Toc19101"/>
      <w:r>
        <w:rPr>
          <w:rFonts w:hint="eastAsia" w:cs="宋体" w:asciiTheme="minorEastAsia" w:hAnsiTheme="minorEastAsia" w:eastAsiaTheme="minorEastAsia"/>
          <w:color w:val="auto"/>
          <w:highlight w:val="none"/>
        </w:rPr>
        <w:t>四、开标一览表</w:t>
      </w:r>
      <w:bookmarkEnd w:id="921"/>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包号：第二包</w:t>
      </w:r>
    </w:p>
    <w:tbl>
      <w:tblPr>
        <w:tblStyle w:val="26"/>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427"/>
        <w:gridCol w:w="2914"/>
        <w:gridCol w:w="4190"/>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6"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序号</w:t>
            </w:r>
          </w:p>
        </w:tc>
        <w:tc>
          <w:tcPr>
            <w:tcW w:w="720"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采购内容</w:t>
            </w:r>
          </w:p>
        </w:tc>
        <w:tc>
          <w:tcPr>
            <w:tcW w:w="1470"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投标报价(元)</w:t>
            </w:r>
          </w:p>
        </w:tc>
        <w:tc>
          <w:tcPr>
            <w:tcW w:w="2114"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服务期限</w:t>
            </w:r>
          </w:p>
        </w:tc>
        <w:tc>
          <w:tcPr>
            <w:tcW w:w="417" w:type="pc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jc w:val="center"/>
        </w:trPr>
        <w:tc>
          <w:tcPr>
            <w:tcW w:w="276" w:type="pct"/>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w:t>
            </w:r>
          </w:p>
        </w:tc>
        <w:tc>
          <w:tcPr>
            <w:tcW w:w="720" w:type="pct"/>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地理实体成果检验入库及天地图融合</w:t>
            </w:r>
          </w:p>
        </w:tc>
        <w:tc>
          <w:tcPr>
            <w:tcW w:w="1470" w:type="pct"/>
            <w:vAlign w:val="center"/>
          </w:tcPr>
          <w:p>
            <w:pPr>
              <w:pStyle w:val="48"/>
              <w:rPr>
                <w:rFonts w:cs="宋体" w:asciiTheme="minorEastAsia" w:hAnsiTheme="minorEastAsia" w:eastAsiaTheme="minorEastAsia"/>
                <w:color w:val="auto"/>
                <w:highlight w:val="none"/>
              </w:rPr>
            </w:pPr>
          </w:p>
        </w:tc>
        <w:tc>
          <w:tcPr>
            <w:tcW w:w="2114" w:type="pct"/>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2021年12月10日前完成天地图数据融合并提交融合成果，数据提交时间及内容若与省级主管部门要求发生冲突，中标方通过与采购方签订补充协议的形式重新确定数据提交时间及内容。2022年4月30日前分批完成二三维地理实体成果数据检验工作，并出具检验报告，将质检合格的成果录入对应的成果库，同时出具入库通知单。2022年5月31日前配合采购人完成项目验收及资料归档工作。</w:t>
            </w:r>
          </w:p>
        </w:tc>
        <w:tc>
          <w:tcPr>
            <w:tcW w:w="417" w:type="pct"/>
            <w:vAlign w:val="center"/>
          </w:tcPr>
          <w:p>
            <w:pPr>
              <w:pStyle w:val="48"/>
              <w:jc w:val="center"/>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5000" w:type="pct"/>
            <w:gridSpan w:val="5"/>
          </w:tcPr>
          <w:p>
            <w:pPr>
              <w:pStyle w:val="48"/>
              <w:rPr>
                <w:rFonts w:cs="宋体" w:asciiTheme="minorEastAsia" w:hAnsiTheme="minorEastAsia" w:eastAsiaTheme="minorEastAsia"/>
                <w:b/>
                <w:bCs/>
                <w:color w:val="auto"/>
                <w:highlight w:val="none"/>
              </w:rPr>
            </w:pP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b/>
                <w:bCs/>
                <w:color w:val="auto"/>
                <w:highlight w:val="none"/>
              </w:rPr>
              <w:t>投标总价：</w:t>
            </w:r>
            <w:r>
              <w:rPr>
                <w:rFonts w:hint="eastAsia" w:cs="宋体" w:asciiTheme="minorEastAsia" w:hAnsiTheme="minorEastAsia" w:eastAsiaTheme="minorEastAsia"/>
                <w:color w:val="auto"/>
                <w:highlight w:val="none"/>
              </w:rPr>
              <w:t xml:space="preserve">(小写) </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大写：</w:t>
            </w:r>
            <w:r>
              <w:rPr>
                <w:rFonts w:hint="eastAsia" w:cs="宋体" w:asciiTheme="minorEastAsia" w:hAnsiTheme="minorEastAsia" w:eastAsiaTheme="minorEastAsia"/>
                <w:color w:val="auto"/>
                <w:highlight w:val="none"/>
                <w:u w:val="single"/>
              </w:rPr>
              <w:t xml:space="preserve">                             ;</w:t>
            </w:r>
          </w:p>
        </w:tc>
      </w:tr>
    </w:tbl>
    <w:p>
      <w:pPr>
        <w:pStyle w:val="53"/>
        <w:ind w:firstLine="482"/>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color w:val="auto"/>
          <w:highlight w:val="none"/>
        </w:rPr>
        <w:t>注：</w:t>
      </w:r>
      <w:r>
        <w:rPr>
          <w:rFonts w:hint="eastAsia" w:cs="宋体" w:asciiTheme="minorEastAsia" w:hAnsiTheme="minorEastAsia" w:eastAsiaTheme="minorEastAsia"/>
          <w:b w:val="0"/>
          <w:bCs/>
          <w:color w:val="auto"/>
          <w:highlight w:val="none"/>
        </w:rPr>
        <w:t>①报价应是投标人响应招标项目要求的全部工作内容的价格体现，包含完成本项目所涉及</w:t>
      </w:r>
      <w:r>
        <w:rPr>
          <w:rFonts w:hint="eastAsia" w:cs="宋体" w:asciiTheme="minorEastAsia" w:hAnsiTheme="minorEastAsia" w:eastAsiaTheme="minorEastAsia"/>
          <w:bCs/>
          <w:color w:val="auto"/>
          <w:highlight w:val="none"/>
        </w:rPr>
        <w:t>人员劳务、交通、食宿、差旅、专家指导、设备投入、检验入库、成果融合、利润、保险、风险、税金、招标代理服务费以及招标文件规定的合格交付使用之前的一切费用</w:t>
      </w:r>
      <w:r>
        <w:rPr>
          <w:rFonts w:hint="eastAsia" w:cs="宋体" w:asciiTheme="minorEastAsia" w:hAnsiTheme="minorEastAsia" w:eastAsiaTheme="minorEastAsia"/>
          <w:b w:val="0"/>
          <w:bCs/>
          <w:color w:val="auto"/>
          <w:highlight w:val="none"/>
        </w:rPr>
        <w:t>。</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②“开标一览表”为多页的，每页均需由法定代表人/单位负责人或授权代表签字并盖投标人印章，否则作无效投标处理。</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③“开标一览表”以包为单位填写，除了单独密封递交外，其他投标文件(正副本)中也应当提供，如有遗漏，将视为无效投标。</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(盖章)</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bCs/>
          <w:color w:val="auto"/>
          <w:highlight w:val="none"/>
          <w:u w:val="single"/>
        </w:rPr>
        <w:t xml:space="preserve">                 </w:t>
      </w:r>
    </w:p>
    <w:p>
      <w:pPr>
        <w:pStyle w:val="50"/>
        <w:spacing w:before="120" w:after="120"/>
        <w:rPr>
          <w:rFonts w:cs="宋体" w:asciiTheme="minorEastAsia" w:hAnsiTheme="minorEastAsia" w:eastAsiaTheme="minorEastAsia"/>
          <w:color w:val="auto"/>
          <w:highlight w:val="none"/>
        </w:rPr>
      </w:pPr>
      <w:bookmarkStart w:id="924" w:name="_Toc15588"/>
      <w:r>
        <w:rPr>
          <w:rFonts w:hint="eastAsia" w:cs="宋体" w:asciiTheme="minorEastAsia" w:hAnsiTheme="minorEastAsia" w:eastAsiaTheme="minorEastAsia"/>
          <w:color w:val="auto"/>
          <w:highlight w:val="none"/>
        </w:rPr>
        <w:t>五、分项报价明细表</w:t>
      </w:r>
      <w:bookmarkEnd w:id="920"/>
      <w:bookmarkEnd w:id="922"/>
      <w:bookmarkEnd w:id="923"/>
      <w:bookmarkEnd w:id="924"/>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包号：第一包</w:t>
      </w:r>
    </w:p>
    <w:tbl>
      <w:tblPr>
        <w:tblStyle w:val="26"/>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5693"/>
        <w:gridCol w:w="260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930" w:type="dxa"/>
            <w:vAlign w:val="center"/>
          </w:tcPr>
          <w:p>
            <w:pPr>
              <w:pStyle w:val="51"/>
              <w:rPr>
                <w:rFonts w:cs="宋体" w:asciiTheme="minorEastAsia" w:hAnsiTheme="minorEastAsia" w:eastAsiaTheme="minorEastAsia"/>
                <w:b/>
                <w:bCs/>
                <w:color w:val="auto"/>
                <w:highlight w:val="none"/>
              </w:rPr>
            </w:pPr>
            <w:bookmarkStart w:id="925" w:name="_Toc24396"/>
            <w:r>
              <w:rPr>
                <w:rFonts w:hint="eastAsia" w:cs="宋体" w:asciiTheme="minorEastAsia" w:hAnsiTheme="minorEastAsia" w:eastAsiaTheme="minorEastAsia"/>
                <w:b/>
                <w:bCs/>
                <w:color w:val="auto"/>
                <w:highlight w:val="none"/>
              </w:rPr>
              <w:t>序号</w:t>
            </w:r>
            <w:bookmarkEnd w:id="925"/>
          </w:p>
        </w:tc>
        <w:tc>
          <w:tcPr>
            <w:tcW w:w="5693"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服务内容</w:t>
            </w:r>
          </w:p>
        </w:tc>
        <w:tc>
          <w:tcPr>
            <w:tcW w:w="2600" w:type="dxa"/>
            <w:vAlign w:val="center"/>
          </w:tcPr>
          <w:p>
            <w:pPr>
              <w:pStyle w:val="51"/>
              <w:rPr>
                <w:rFonts w:cs="宋体" w:asciiTheme="minorEastAsia" w:hAnsiTheme="minorEastAsia" w:eastAsiaTheme="minorEastAsia"/>
                <w:b/>
                <w:bCs/>
                <w:color w:val="auto"/>
                <w:highlight w:val="none"/>
              </w:rPr>
            </w:pPr>
            <w:bookmarkStart w:id="926" w:name="_Toc19484"/>
            <w:r>
              <w:rPr>
                <w:rFonts w:hint="eastAsia" w:cs="宋体" w:asciiTheme="minorEastAsia" w:hAnsiTheme="minorEastAsia" w:eastAsiaTheme="minorEastAsia"/>
                <w:b/>
                <w:bCs/>
                <w:color w:val="auto"/>
                <w:highlight w:val="none"/>
              </w:rPr>
              <w:t>单项价格(单位：元)</w:t>
            </w:r>
          </w:p>
        </w:tc>
        <w:tc>
          <w:tcPr>
            <w:tcW w:w="733"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备注</w:t>
            </w:r>
            <w:bookmarkEnd w:id="9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1</w:t>
            </w:r>
          </w:p>
        </w:tc>
        <w:tc>
          <w:tcPr>
            <w:tcW w:w="5693" w:type="dxa"/>
            <w:vAlign w:val="center"/>
          </w:tcPr>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二维地理实体数据更新</w:t>
            </w:r>
          </w:p>
        </w:tc>
        <w:tc>
          <w:tcPr>
            <w:tcW w:w="2600" w:type="dxa"/>
            <w:vAlign w:val="center"/>
          </w:tcPr>
          <w:p>
            <w:pPr>
              <w:pStyle w:val="51"/>
              <w:rPr>
                <w:rFonts w:cs="宋体" w:asciiTheme="minorEastAsia" w:hAnsiTheme="minorEastAsia" w:eastAsiaTheme="minorEastAsia"/>
                <w:b/>
                <w:bCs/>
                <w:color w:val="auto"/>
                <w:highlight w:val="none"/>
              </w:rPr>
            </w:pPr>
          </w:p>
        </w:tc>
        <w:tc>
          <w:tcPr>
            <w:tcW w:w="733" w:type="dxa"/>
            <w:vAlign w:val="center"/>
          </w:tcPr>
          <w:p>
            <w:pPr>
              <w:pStyle w:val="51"/>
              <w:rPr>
                <w:rFonts w:cs="宋体" w:asciiTheme="minorEastAsia" w:hAnsiTheme="minorEastAsia" w:eastAsiaTheme="minor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w:t>
            </w:r>
          </w:p>
        </w:tc>
        <w:tc>
          <w:tcPr>
            <w:tcW w:w="5693" w:type="dxa"/>
            <w:vAlign w:val="center"/>
          </w:tcPr>
          <w:p>
            <w:pPr>
              <w:pStyle w:val="48"/>
              <w:rPr>
                <w:rFonts w:cs="宋体" w:asciiTheme="minorEastAsia" w:hAnsiTheme="minorEastAsia" w:eastAsiaTheme="minorEastAsia"/>
                <w:snapToGrid/>
                <w:color w:val="auto"/>
                <w:sz w:val="21"/>
                <w:highlight w:val="none"/>
              </w:rPr>
            </w:pPr>
            <w:r>
              <w:rPr>
                <w:rFonts w:hint="eastAsia" w:cs="宋体" w:asciiTheme="minorEastAsia" w:hAnsiTheme="minorEastAsia" w:eastAsiaTheme="minorEastAsia"/>
                <w:snapToGrid/>
                <w:color w:val="auto"/>
                <w:sz w:val="21"/>
                <w:highlight w:val="none"/>
              </w:rPr>
              <w:t>三维地理实体数据生产</w:t>
            </w: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48"/>
              <w:rPr>
                <w:rFonts w:asciiTheme="minorEastAsia" w:hAnsiTheme="minorEastAsia" w:eastAsiaTheme="minorEastAsia" w:cstheme="minorEastAsia"/>
                <w:color w:val="auto"/>
                <w:highlight w:val="none"/>
              </w:rPr>
            </w:pPr>
            <w:r>
              <w:rPr>
                <w:rFonts w:ascii="Arial" w:hAnsi="Arial" w:cs="Arial" w:eastAsiaTheme="minorEastAsia"/>
                <w:color w:val="auto"/>
                <w:highlight w:val="none"/>
              </w:rPr>
              <w:t>……</w:t>
            </w:r>
          </w:p>
        </w:tc>
        <w:tc>
          <w:tcPr>
            <w:tcW w:w="5693" w:type="dxa"/>
            <w:vAlign w:val="center"/>
          </w:tcPr>
          <w:p>
            <w:pPr>
              <w:pStyle w:val="48"/>
              <w:rPr>
                <w:rFonts w:cs="宋体" w:asciiTheme="minorEastAsia" w:hAnsiTheme="minorEastAsia" w:eastAsiaTheme="minorEastAsia"/>
                <w:color w:val="auto"/>
                <w:highlight w:val="none"/>
              </w:rPr>
            </w:pP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tcBorders>
              <w:left w:val="single" w:color="auto" w:sz="4" w:space="0"/>
            </w:tcBorders>
            <w:vAlign w:val="center"/>
          </w:tcPr>
          <w:p>
            <w:pPr>
              <w:pStyle w:val="48"/>
              <w:rPr>
                <w:rFonts w:cs="宋体" w:asciiTheme="minorEastAsia" w:hAnsiTheme="minorEastAsia" w:eastAsiaTheme="minorEastAsia"/>
                <w:color w:val="auto"/>
                <w:highlight w:val="none"/>
              </w:rPr>
            </w:pPr>
            <w:r>
              <w:rPr>
                <w:rFonts w:ascii="Arial" w:hAnsi="Arial" w:cs="Arial" w:eastAsiaTheme="minorEastAsia"/>
                <w:color w:val="auto"/>
                <w:highlight w:val="none"/>
              </w:rPr>
              <w:t>……</w:t>
            </w:r>
          </w:p>
        </w:tc>
        <w:tc>
          <w:tcPr>
            <w:tcW w:w="5693" w:type="dxa"/>
            <w:vAlign w:val="center"/>
          </w:tcPr>
          <w:p>
            <w:pPr>
              <w:pStyle w:val="48"/>
              <w:rPr>
                <w:rFonts w:cs="宋体" w:asciiTheme="minorEastAsia" w:hAnsiTheme="minorEastAsia" w:eastAsiaTheme="minorEastAsia"/>
                <w:color w:val="auto"/>
                <w:highlight w:val="none"/>
              </w:rPr>
            </w:pP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48"/>
              <w:rPr>
                <w:rFonts w:cs="宋体" w:asciiTheme="minorEastAsia" w:hAnsiTheme="minorEastAsia" w:eastAsiaTheme="minorEastAsia"/>
                <w:color w:val="auto"/>
                <w:highlight w:val="none"/>
              </w:rPr>
            </w:pPr>
          </w:p>
        </w:tc>
        <w:tc>
          <w:tcPr>
            <w:tcW w:w="5693" w:type="dxa"/>
            <w:vAlign w:val="center"/>
          </w:tcPr>
          <w:p>
            <w:pPr>
              <w:pStyle w:val="48"/>
              <w:rPr>
                <w:rFonts w:cs="宋体" w:asciiTheme="minorEastAsia" w:hAnsiTheme="minorEastAsia" w:eastAsiaTheme="minorEastAsia"/>
                <w:color w:val="auto"/>
                <w:highlight w:val="none"/>
              </w:rPr>
            </w:pP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48"/>
              <w:rPr>
                <w:rFonts w:cs="宋体" w:asciiTheme="minorEastAsia" w:hAnsiTheme="minorEastAsia" w:eastAsiaTheme="minorEastAsia"/>
                <w:color w:val="auto"/>
                <w:highlight w:val="none"/>
              </w:rPr>
            </w:pPr>
          </w:p>
        </w:tc>
        <w:tc>
          <w:tcPr>
            <w:tcW w:w="5693" w:type="dxa"/>
            <w:vAlign w:val="center"/>
          </w:tcPr>
          <w:p>
            <w:pPr>
              <w:pStyle w:val="48"/>
              <w:rPr>
                <w:rFonts w:cs="宋体" w:asciiTheme="minorEastAsia" w:hAnsiTheme="minorEastAsia" w:eastAsiaTheme="minorEastAsia"/>
                <w:color w:val="auto"/>
                <w:highlight w:val="none"/>
              </w:rPr>
            </w:pP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956" w:type="dxa"/>
            <w:gridSpan w:val="4"/>
            <w:vAlign w:val="center"/>
          </w:tcPr>
          <w:p>
            <w:pPr>
              <w:pStyle w:val="47"/>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分项报价合计金额：</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(大写：</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p>
        </w:tc>
      </w:tr>
    </w:tbl>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注：①投标人必须按“分项报价明细表”的格式详细报出投标总价的各个组成部分的报价，否则作无效投标处理。</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②“分项报价明细表”各分项报价合计应当与“开标一览表”报价合计相等。</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bCs/>
          <w:color w:val="auto"/>
          <w:highlight w:val="none"/>
          <w:u w:val="single"/>
        </w:rPr>
        <w:t xml:space="preserve">                 </w:t>
      </w:r>
    </w:p>
    <w:p>
      <w:pPr>
        <w:pStyle w:val="50"/>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五、分项报价明细表</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包号：第二包</w:t>
      </w:r>
    </w:p>
    <w:tbl>
      <w:tblPr>
        <w:tblStyle w:val="26"/>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5693"/>
        <w:gridCol w:w="260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930"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序号</w:t>
            </w:r>
          </w:p>
        </w:tc>
        <w:tc>
          <w:tcPr>
            <w:tcW w:w="5693"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服务内容</w:t>
            </w:r>
          </w:p>
        </w:tc>
        <w:tc>
          <w:tcPr>
            <w:tcW w:w="2600"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单项价格(单位：元)</w:t>
            </w:r>
          </w:p>
        </w:tc>
        <w:tc>
          <w:tcPr>
            <w:tcW w:w="733"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1</w:t>
            </w:r>
          </w:p>
        </w:tc>
        <w:tc>
          <w:tcPr>
            <w:tcW w:w="5693" w:type="dxa"/>
            <w:vAlign w:val="center"/>
          </w:tcPr>
          <w:p>
            <w:pPr>
              <w:pStyle w:val="48"/>
              <w:rPr>
                <w:rFonts w:cs="宋体" w:asciiTheme="minorEastAsia" w:hAnsiTheme="minorEastAsia" w:eastAsiaTheme="minorEastAsia"/>
                <w:b/>
                <w:bCs/>
                <w:color w:val="auto"/>
                <w:highlight w:val="none"/>
              </w:rPr>
            </w:pPr>
            <w:r>
              <w:rPr>
                <w:rFonts w:hint="eastAsia" w:cs="宋体" w:asciiTheme="minorEastAsia" w:hAnsiTheme="minorEastAsia" w:eastAsiaTheme="minorEastAsia"/>
                <w:color w:val="auto"/>
                <w:highlight w:val="none"/>
              </w:rPr>
              <w:t>天地图融合</w:t>
            </w:r>
          </w:p>
        </w:tc>
        <w:tc>
          <w:tcPr>
            <w:tcW w:w="2600" w:type="dxa"/>
            <w:vAlign w:val="center"/>
          </w:tcPr>
          <w:p>
            <w:pPr>
              <w:pStyle w:val="51"/>
              <w:rPr>
                <w:rFonts w:cs="宋体" w:asciiTheme="minorEastAsia" w:hAnsiTheme="minorEastAsia" w:eastAsiaTheme="minorEastAsia"/>
                <w:b/>
                <w:bCs/>
                <w:color w:val="auto"/>
                <w:highlight w:val="none"/>
              </w:rPr>
            </w:pPr>
          </w:p>
        </w:tc>
        <w:tc>
          <w:tcPr>
            <w:tcW w:w="733" w:type="dxa"/>
            <w:vAlign w:val="center"/>
          </w:tcPr>
          <w:p>
            <w:pPr>
              <w:pStyle w:val="51"/>
              <w:rPr>
                <w:rFonts w:cs="宋体" w:asciiTheme="minorEastAsia" w:hAnsiTheme="minorEastAsia" w:eastAsiaTheme="minor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48"/>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w:t>
            </w:r>
          </w:p>
        </w:tc>
        <w:tc>
          <w:tcPr>
            <w:tcW w:w="5693"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000000" w:themeColor="text1"/>
                <w:highlight w:val="none"/>
                <w14:textFill>
                  <w14:solidFill>
                    <w14:schemeClr w14:val="tx1"/>
                  </w14:solidFill>
                </w14:textFill>
              </w:rPr>
              <w:t>地理实体</w:t>
            </w:r>
            <w:r>
              <w:rPr>
                <w:rFonts w:cs="宋体" w:asciiTheme="minorEastAsia" w:hAnsiTheme="minorEastAsia" w:eastAsiaTheme="minorEastAsia"/>
                <w:color w:val="000000" w:themeColor="text1"/>
                <w:highlight w:val="none"/>
                <w14:textFill>
                  <w14:solidFill>
                    <w14:schemeClr w14:val="tx1"/>
                  </w14:solidFill>
                </w14:textFill>
              </w:rPr>
              <w:t>数据成果质量检验及</w:t>
            </w:r>
            <w:r>
              <w:rPr>
                <w:rFonts w:hint="eastAsia" w:cs="宋体" w:asciiTheme="minorEastAsia" w:hAnsiTheme="minorEastAsia" w:eastAsiaTheme="minorEastAsia"/>
                <w:color w:val="000000" w:themeColor="text1"/>
                <w:highlight w:val="none"/>
                <w14:textFill>
                  <w14:solidFill>
                    <w14:schemeClr w14:val="tx1"/>
                  </w14:solidFill>
                </w14:textFill>
              </w:rPr>
              <w:t>入库</w:t>
            </w: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48"/>
              <w:rPr>
                <w:rFonts w:cs="宋体" w:asciiTheme="minorEastAsia" w:hAnsiTheme="minorEastAsia" w:eastAsiaTheme="minorEastAsia"/>
                <w:color w:val="auto"/>
                <w:highlight w:val="none"/>
              </w:rPr>
            </w:pPr>
            <w:r>
              <w:rPr>
                <w:rFonts w:ascii="Arial" w:hAnsi="Arial" w:cs="Arial" w:eastAsiaTheme="minorEastAsia"/>
                <w:color w:val="auto"/>
                <w:highlight w:val="none"/>
              </w:rPr>
              <w:t>……</w:t>
            </w:r>
          </w:p>
        </w:tc>
        <w:tc>
          <w:tcPr>
            <w:tcW w:w="5693" w:type="dxa"/>
            <w:vAlign w:val="center"/>
          </w:tcPr>
          <w:p>
            <w:pPr>
              <w:pStyle w:val="48"/>
              <w:rPr>
                <w:rFonts w:cs="宋体" w:asciiTheme="minorEastAsia" w:hAnsiTheme="minorEastAsia" w:eastAsiaTheme="minorEastAsia"/>
                <w:color w:val="auto"/>
                <w:highlight w:val="none"/>
              </w:rPr>
            </w:pP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tcBorders>
              <w:left w:val="single" w:color="auto" w:sz="4" w:space="0"/>
            </w:tcBorders>
            <w:vAlign w:val="center"/>
          </w:tcPr>
          <w:p>
            <w:pPr>
              <w:pStyle w:val="48"/>
              <w:rPr>
                <w:rFonts w:cs="宋体" w:asciiTheme="minorEastAsia" w:hAnsiTheme="minorEastAsia" w:eastAsiaTheme="minorEastAsia"/>
                <w:color w:val="auto"/>
                <w:highlight w:val="none"/>
              </w:rPr>
            </w:pPr>
            <w:r>
              <w:rPr>
                <w:rFonts w:ascii="Arial" w:hAnsi="Arial" w:cs="Arial" w:eastAsiaTheme="minorEastAsia"/>
                <w:color w:val="auto"/>
                <w:highlight w:val="none"/>
              </w:rPr>
              <w:t>……</w:t>
            </w:r>
          </w:p>
        </w:tc>
        <w:tc>
          <w:tcPr>
            <w:tcW w:w="5693" w:type="dxa"/>
            <w:vAlign w:val="center"/>
          </w:tcPr>
          <w:p>
            <w:pPr>
              <w:pStyle w:val="48"/>
              <w:rPr>
                <w:rFonts w:cs="宋体" w:asciiTheme="minorEastAsia" w:hAnsiTheme="minorEastAsia" w:eastAsiaTheme="minorEastAsia"/>
                <w:color w:val="auto"/>
                <w:highlight w:val="none"/>
              </w:rPr>
            </w:pP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48"/>
              <w:rPr>
                <w:rFonts w:cs="宋体" w:asciiTheme="minorEastAsia" w:hAnsiTheme="minorEastAsia" w:eastAsiaTheme="minorEastAsia"/>
                <w:color w:val="auto"/>
                <w:highlight w:val="none"/>
              </w:rPr>
            </w:pPr>
          </w:p>
        </w:tc>
        <w:tc>
          <w:tcPr>
            <w:tcW w:w="5693" w:type="dxa"/>
            <w:vAlign w:val="center"/>
          </w:tcPr>
          <w:p>
            <w:pPr>
              <w:pStyle w:val="48"/>
              <w:rPr>
                <w:rFonts w:cs="宋体" w:asciiTheme="minorEastAsia" w:hAnsiTheme="minorEastAsia" w:eastAsiaTheme="minorEastAsia"/>
                <w:color w:val="auto"/>
                <w:highlight w:val="none"/>
              </w:rPr>
            </w:pP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30" w:type="dxa"/>
            <w:vAlign w:val="center"/>
          </w:tcPr>
          <w:p>
            <w:pPr>
              <w:pStyle w:val="48"/>
              <w:rPr>
                <w:rFonts w:cs="宋体" w:asciiTheme="minorEastAsia" w:hAnsiTheme="minorEastAsia" w:eastAsiaTheme="minorEastAsia"/>
                <w:color w:val="auto"/>
                <w:highlight w:val="none"/>
              </w:rPr>
            </w:pPr>
          </w:p>
        </w:tc>
        <w:tc>
          <w:tcPr>
            <w:tcW w:w="5693" w:type="dxa"/>
            <w:vAlign w:val="center"/>
          </w:tcPr>
          <w:p>
            <w:pPr>
              <w:pStyle w:val="48"/>
              <w:rPr>
                <w:rFonts w:cs="宋体" w:asciiTheme="minorEastAsia" w:hAnsiTheme="minorEastAsia" w:eastAsiaTheme="minorEastAsia"/>
                <w:color w:val="auto"/>
                <w:highlight w:val="none"/>
              </w:rPr>
            </w:pPr>
          </w:p>
        </w:tc>
        <w:tc>
          <w:tcPr>
            <w:tcW w:w="2600" w:type="dxa"/>
            <w:vAlign w:val="center"/>
          </w:tcPr>
          <w:p>
            <w:pPr>
              <w:pStyle w:val="48"/>
              <w:rPr>
                <w:rFonts w:cs="宋体" w:asciiTheme="minorEastAsia" w:hAnsiTheme="minorEastAsia" w:eastAsiaTheme="minorEastAsia"/>
                <w:color w:val="auto"/>
                <w:highlight w:val="none"/>
              </w:rPr>
            </w:pPr>
          </w:p>
        </w:tc>
        <w:tc>
          <w:tcPr>
            <w:tcW w:w="733" w:type="dxa"/>
            <w:vAlign w:val="center"/>
          </w:tcPr>
          <w:p>
            <w:pPr>
              <w:pStyle w:val="48"/>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956" w:type="dxa"/>
            <w:gridSpan w:val="4"/>
            <w:vAlign w:val="center"/>
          </w:tcPr>
          <w:p>
            <w:pPr>
              <w:pStyle w:val="47"/>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分项报价合计金额：</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(大写：</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p>
        </w:tc>
      </w:tr>
    </w:tbl>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注：①投标人必须按“分项报价明细表”的格式详细报出投标总价的各个组成部分的报价，否则作无效投标处理。</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②“分项报价明细表”各分项报价合计应当与“开标一览表”报价合计相等。</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bCs/>
          <w:color w:val="auto"/>
          <w:highlight w:val="none"/>
          <w:u w:val="single"/>
        </w:rPr>
        <w:t xml:space="preserve">                 </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0"/>
        <w:spacing w:before="120" w:after="120"/>
        <w:rPr>
          <w:rFonts w:cs="宋体" w:asciiTheme="minorEastAsia" w:hAnsiTheme="minorEastAsia" w:eastAsiaTheme="minorEastAsia"/>
          <w:color w:val="auto"/>
          <w:highlight w:val="none"/>
        </w:rPr>
      </w:pPr>
      <w:bookmarkStart w:id="927" w:name="_Toc11525"/>
      <w:bookmarkStart w:id="928" w:name="_Toc307501130"/>
      <w:bookmarkStart w:id="929" w:name="_Toc327196310"/>
      <w:bookmarkStart w:id="930" w:name="_Toc11461"/>
      <w:bookmarkStart w:id="931" w:name="_Toc7835"/>
      <w:bookmarkStart w:id="932" w:name="_Toc25577"/>
      <w:bookmarkStart w:id="933" w:name="_Toc21006"/>
      <w:bookmarkStart w:id="934" w:name="_Toc307564875"/>
      <w:bookmarkStart w:id="935" w:name="_Toc319440166"/>
      <w:bookmarkStart w:id="936" w:name="_Toc217446087"/>
      <w:bookmarkStart w:id="937" w:name="_Toc319440168"/>
      <w:bookmarkStart w:id="938" w:name="_Toc26124"/>
      <w:bookmarkStart w:id="939" w:name="_Toc327196312"/>
      <w:bookmarkStart w:id="940" w:name="_Toc24507"/>
      <w:r>
        <w:rPr>
          <w:rFonts w:hint="eastAsia" w:cs="宋体" w:asciiTheme="minorEastAsia" w:hAnsiTheme="minorEastAsia" w:eastAsiaTheme="minorEastAsia"/>
          <w:color w:val="auto"/>
          <w:highlight w:val="none"/>
        </w:rPr>
        <w:t>六、商务应答表</w:t>
      </w:r>
      <w:bookmarkEnd w:id="927"/>
      <w:bookmarkEnd w:id="928"/>
      <w:bookmarkEnd w:id="929"/>
      <w:bookmarkEnd w:id="930"/>
      <w:bookmarkEnd w:id="931"/>
      <w:bookmarkEnd w:id="932"/>
      <w:bookmarkEnd w:id="933"/>
      <w:bookmarkEnd w:id="934"/>
      <w:bookmarkEnd w:id="935"/>
      <w:bookmarkEnd w:id="936"/>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包号：</w:t>
      </w:r>
      <w:r>
        <w:rPr>
          <w:rFonts w:hint="eastAsia" w:cs="宋体" w:asciiTheme="minorEastAsia" w:hAnsiTheme="minorEastAsia" w:eastAsiaTheme="minorEastAsia"/>
          <w:color w:val="auto"/>
          <w:highlight w:val="none"/>
          <w:u w:val="single"/>
        </w:rPr>
        <w:t xml:space="preserve">      </w:t>
      </w:r>
    </w:p>
    <w:tbl>
      <w:tblPr>
        <w:tblStyle w:val="26"/>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3" w:hRule="atLeast"/>
        </w:trPr>
        <w:tc>
          <w:tcPr>
            <w:tcW w:w="721"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序号</w:t>
            </w:r>
          </w:p>
        </w:tc>
        <w:tc>
          <w:tcPr>
            <w:tcW w:w="3880"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招标文件商务要求</w:t>
            </w:r>
          </w:p>
        </w:tc>
        <w:tc>
          <w:tcPr>
            <w:tcW w:w="3673"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投标应答</w:t>
            </w:r>
          </w:p>
        </w:tc>
        <w:tc>
          <w:tcPr>
            <w:tcW w:w="1631"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pStyle w:val="51"/>
              <w:rPr>
                <w:rFonts w:cs="宋体" w:asciiTheme="minorEastAsia" w:hAnsiTheme="minorEastAsia" w:eastAsiaTheme="minorEastAsia"/>
                <w:b/>
                <w:bCs/>
                <w:color w:val="auto"/>
                <w:highlight w:val="none"/>
              </w:rPr>
            </w:pPr>
          </w:p>
        </w:tc>
        <w:tc>
          <w:tcPr>
            <w:tcW w:w="3880" w:type="dxa"/>
          </w:tcPr>
          <w:p>
            <w:pPr>
              <w:pStyle w:val="51"/>
              <w:rPr>
                <w:rFonts w:cs="宋体" w:asciiTheme="minorEastAsia" w:hAnsiTheme="minorEastAsia" w:eastAsiaTheme="minorEastAsia"/>
                <w:b/>
                <w:bCs/>
                <w:color w:val="auto"/>
                <w:highlight w:val="none"/>
              </w:rPr>
            </w:pPr>
          </w:p>
        </w:tc>
        <w:tc>
          <w:tcPr>
            <w:tcW w:w="3673" w:type="dxa"/>
          </w:tcPr>
          <w:p>
            <w:pPr>
              <w:pStyle w:val="51"/>
              <w:rPr>
                <w:rFonts w:cs="宋体" w:asciiTheme="minorEastAsia" w:hAnsiTheme="minorEastAsia" w:eastAsiaTheme="minorEastAsia"/>
                <w:b/>
                <w:bCs/>
                <w:color w:val="auto"/>
                <w:highlight w:val="none"/>
              </w:rPr>
            </w:pPr>
          </w:p>
        </w:tc>
        <w:tc>
          <w:tcPr>
            <w:tcW w:w="1631" w:type="dxa"/>
          </w:tcPr>
          <w:p>
            <w:pPr>
              <w:pStyle w:val="51"/>
              <w:rPr>
                <w:rFonts w:cs="宋体" w:asciiTheme="minorEastAsia" w:hAnsiTheme="minorEastAsia" w:eastAsiaTheme="minor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1"/>
              <w:rPr>
                <w:rFonts w:cs="宋体" w:asciiTheme="minorEastAsia" w:hAnsiTheme="minorEastAsia" w:eastAsiaTheme="minorEastAsia"/>
                <w:b/>
                <w:bCs/>
                <w:color w:val="auto"/>
                <w:highlight w:val="none"/>
              </w:rPr>
            </w:pPr>
          </w:p>
        </w:tc>
        <w:tc>
          <w:tcPr>
            <w:tcW w:w="3880" w:type="dxa"/>
          </w:tcPr>
          <w:p>
            <w:pPr>
              <w:pStyle w:val="51"/>
              <w:rPr>
                <w:rFonts w:cs="宋体" w:asciiTheme="minorEastAsia" w:hAnsiTheme="minorEastAsia" w:eastAsiaTheme="minorEastAsia"/>
                <w:b/>
                <w:bCs/>
                <w:color w:val="auto"/>
                <w:highlight w:val="none"/>
              </w:rPr>
            </w:pPr>
          </w:p>
        </w:tc>
        <w:tc>
          <w:tcPr>
            <w:tcW w:w="3673" w:type="dxa"/>
          </w:tcPr>
          <w:p>
            <w:pPr>
              <w:pStyle w:val="51"/>
              <w:rPr>
                <w:rFonts w:cs="宋体" w:asciiTheme="minorEastAsia" w:hAnsiTheme="minorEastAsia" w:eastAsiaTheme="minorEastAsia"/>
                <w:b/>
                <w:bCs/>
                <w:color w:val="auto"/>
                <w:highlight w:val="none"/>
              </w:rPr>
            </w:pPr>
          </w:p>
        </w:tc>
        <w:tc>
          <w:tcPr>
            <w:tcW w:w="1631" w:type="dxa"/>
          </w:tcPr>
          <w:p>
            <w:pPr>
              <w:pStyle w:val="51"/>
              <w:rPr>
                <w:rFonts w:cs="宋体" w:asciiTheme="minorEastAsia" w:hAnsiTheme="minorEastAsia" w:eastAsiaTheme="minor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1"/>
              <w:rPr>
                <w:rFonts w:cs="宋体" w:asciiTheme="minorEastAsia" w:hAnsiTheme="minorEastAsia" w:eastAsiaTheme="minorEastAsia"/>
                <w:b/>
                <w:bCs/>
                <w:color w:val="auto"/>
                <w:highlight w:val="none"/>
              </w:rPr>
            </w:pPr>
          </w:p>
        </w:tc>
        <w:tc>
          <w:tcPr>
            <w:tcW w:w="3880" w:type="dxa"/>
          </w:tcPr>
          <w:p>
            <w:pPr>
              <w:pStyle w:val="51"/>
              <w:rPr>
                <w:rFonts w:cs="宋体" w:asciiTheme="minorEastAsia" w:hAnsiTheme="minorEastAsia" w:eastAsiaTheme="minorEastAsia"/>
                <w:b/>
                <w:bCs/>
                <w:color w:val="auto"/>
                <w:highlight w:val="none"/>
              </w:rPr>
            </w:pPr>
          </w:p>
        </w:tc>
        <w:tc>
          <w:tcPr>
            <w:tcW w:w="3673" w:type="dxa"/>
          </w:tcPr>
          <w:p>
            <w:pPr>
              <w:pStyle w:val="51"/>
              <w:rPr>
                <w:rFonts w:cs="宋体" w:asciiTheme="minorEastAsia" w:hAnsiTheme="minorEastAsia" w:eastAsiaTheme="minorEastAsia"/>
                <w:b/>
                <w:bCs/>
                <w:color w:val="auto"/>
                <w:highlight w:val="none"/>
              </w:rPr>
            </w:pPr>
          </w:p>
        </w:tc>
        <w:tc>
          <w:tcPr>
            <w:tcW w:w="1631" w:type="dxa"/>
          </w:tcPr>
          <w:p>
            <w:pPr>
              <w:pStyle w:val="51"/>
              <w:rPr>
                <w:rFonts w:cs="宋体" w:asciiTheme="minorEastAsia" w:hAnsiTheme="minorEastAsia" w:eastAsiaTheme="minor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1"/>
              <w:rPr>
                <w:rFonts w:cs="宋体" w:asciiTheme="minorEastAsia" w:hAnsiTheme="minorEastAsia" w:eastAsiaTheme="minorEastAsia"/>
                <w:b/>
                <w:bCs/>
                <w:color w:val="auto"/>
                <w:highlight w:val="none"/>
              </w:rPr>
            </w:pPr>
          </w:p>
        </w:tc>
        <w:tc>
          <w:tcPr>
            <w:tcW w:w="3880" w:type="dxa"/>
          </w:tcPr>
          <w:p>
            <w:pPr>
              <w:pStyle w:val="51"/>
              <w:rPr>
                <w:rFonts w:cs="宋体" w:asciiTheme="minorEastAsia" w:hAnsiTheme="minorEastAsia" w:eastAsiaTheme="minorEastAsia"/>
                <w:b/>
                <w:bCs/>
                <w:color w:val="auto"/>
                <w:highlight w:val="none"/>
              </w:rPr>
            </w:pPr>
          </w:p>
        </w:tc>
        <w:tc>
          <w:tcPr>
            <w:tcW w:w="3673" w:type="dxa"/>
          </w:tcPr>
          <w:p>
            <w:pPr>
              <w:pStyle w:val="51"/>
              <w:rPr>
                <w:rFonts w:cs="宋体" w:asciiTheme="minorEastAsia" w:hAnsiTheme="minorEastAsia" w:eastAsiaTheme="minorEastAsia"/>
                <w:b/>
                <w:bCs/>
                <w:color w:val="auto"/>
                <w:highlight w:val="none"/>
              </w:rPr>
            </w:pPr>
          </w:p>
        </w:tc>
        <w:tc>
          <w:tcPr>
            <w:tcW w:w="1631" w:type="dxa"/>
          </w:tcPr>
          <w:p>
            <w:pPr>
              <w:pStyle w:val="51"/>
              <w:rPr>
                <w:rFonts w:cs="宋体" w:asciiTheme="minorEastAsia" w:hAnsiTheme="minorEastAsia" w:eastAsiaTheme="minorEastAsia"/>
                <w:b/>
                <w:bCs/>
                <w:color w:val="auto"/>
                <w:highlight w:val="none"/>
              </w:rPr>
            </w:pPr>
          </w:p>
        </w:tc>
      </w:tr>
    </w:tbl>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w:t>
      </w:r>
      <w:r>
        <w:rPr>
          <w:rFonts w:hint="eastAsia" w:cs="宋体" w:asciiTheme="minorEastAsia" w:hAnsiTheme="minorEastAsia" w:eastAsiaTheme="minorEastAsia"/>
          <w:color w:val="000000" w:themeColor="text1"/>
          <w:highlight w:val="none"/>
          <w14:textFill>
            <w14:solidFill>
              <w14:schemeClr w14:val="tx1"/>
            </w14:solidFill>
          </w14:textFill>
        </w:rPr>
        <w:t>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w:t>
      </w:r>
      <w:r>
        <w:rPr>
          <w:rFonts w:hint="eastAsia" w:cs="宋体" w:asciiTheme="minorEastAsia" w:hAnsiTheme="minorEastAsia" w:eastAsiaTheme="minorEastAsia"/>
          <w:color w:val="auto"/>
          <w:highlight w:val="none"/>
        </w:rPr>
        <w:t>。供</w:t>
      </w:r>
      <w:r>
        <w:rPr>
          <w:rFonts w:hint="eastAsia" w:cs="宋体" w:asciiTheme="minorEastAsia" w:hAnsiTheme="minorEastAsia" w:eastAsiaTheme="minorEastAsia"/>
          <w:color w:val="000000" w:themeColor="text1"/>
          <w:highlight w:val="none"/>
          <w14:textFill>
            <w14:solidFill>
              <w14:schemeClr w14:val="tx1"/>
            </w14:solidFill>
          </w14:textFill>
        </w:rPr>
        <w:t>应商必须据实填写，不得虚假应答，否则将取消其中标资格。要求提供承诺函的应单独提供承诺函。</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0"/>
        <w:spacing w:before="120" w:after="120"/>
        <w:rPr>
          <w:rFonts w:cs="宋体" w:asciiTheme="minorEastAsia" w:hAnsiTheme="minorEastAsia" w:eastAsiaTheme="minorEastAsia"/>
          <w:color w:val="auto"/>
          <w:highlight w:val="none"/>
        </w:rPr>
      </w:pPr>
      <w:bookmarkStart w:id="941" w:name="_Toc25122"/>
      <w:bookmarkStart w:id="942" w:name="_Toc23376"/>
      <w:bookmarkStart w:id="943" w:name="_Toc4082"/>
      <w:bookmarkStart w:id="944" w:name="_Toc3995"/>
      <w:r>
        <w:rPr>
          <w:rFonts w:hint="eastAsia" w:cs="宋体" w:asciiTheme="minorEastAsia" w:hAnsiTheme="minorEastAsia" w:eastAsiaTheme="minorEastAsia"/>
          <w:color w:val="auto"/>
          <w:highlight w:val="none"/>
        </w:rPr>
        <w:t>七、服务应答表</w:t>
      </w:r>
      <w:bookmarkEnd w:id="941"/>
      <w:bookmarkEnd w:id="942"/>
      <w:bookmarkEnd w:id="943"/>
      <w:bookmarkEnd w:id="944"/>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包号：</w:t>
      </w:r>
      <w:r>
        <w:rPr>
          <w:rFonts w:hint="eastAsia" w:cs="宋体" w:asciiTheme="minorEastAsia" w:hAnsiTheme="minorEastAsia" w:eastAsiaTheme="minorEastAsia"/>
          <w:color w:val="auto"/>
          <w:highlight w:val="none"/>
          <w:u w:val="single"/>
        </w:rPr>
        <w:t xml:space="preserve">     </w:t>
      </w:r>
    </w:p>
    <w:tbl>
      <w:tblPr>
        <w:tblStyle w:val="26"/>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序号</w:t>
            </w:r>
          </w:p>
        </w:tc>
        <w:tc>
          <w:tcPr>
            <w:tcW w:w="3880"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招标文件</w:t>
            </w:r>
            <w:r>
              <w:rPr>
                <w:rFonts w:hint="eastAsia" w:cs="宋体" w:asciiTheme="minorEastAsia" w:hAnsiTheme="minorEastAsia" w:eastAsiaTheme="minorEastAsia"/>
                <w:b/>
                <w:bCs/>
                <w:color w:val="000000" w:themeColor="text1"/>
                <w:highlight w:val="none"/>
                <w14:textFill>
                  <w14:solidFill>
                    <w14:schemeClr w14:val="tx1"/>
                  </w14:solidFill>
                </w14:textFill>
              </w:rPr>
              <w:t>技术、</w:t>
            </w:r>
            <w:r>
              <w:rPr>
                <w:rFonts w:hint="eastAsia" w:cs="宋体" w:asciiTheme="minorEastAsia" w:hAnsiTheme="minorEastAsia" w:eastAsiaTheme="minorEastAsia"/>
                <w:b/>
                <w:bCs/>
                <w:color w:val="auto"/>
                <w:highlight w:val="none"/>
              </w:rPr>
              <w:t>服务要求</w:t>
            </w:r>
          </w:p>
        </w:tc>
        <w:tc>
          <w:tcPr>
            <w:tcW w:w="3673"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投标应答</w:t>
            </w:r>
          </w:p>
        </w:tc>
        <w:tc>
          <w:tcPr>
            <w:tcW w:w="1631"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pStyle w:val="51"/>
              <w:rPr>
                <w:rFonts w:cs="宋体" w:asciiTheme="minorEastAsia" w:hAnsiTheme="minorEastAsia" w:eastAsiaTheme="minorEastAsia"/>
                <w:b/>
                <w:bCs/>
                <w:color w:val="auto"/>
                <w:highlight w:val="none"/>
              </w:rPr>
            </w:pPr>
          </w:p>
        </w:tc>
        <w:tc>
          <w:tcPr>
            <w:tcW w:w="3880" w:type="dxa"/>
          </w:tcPr>
          <w:p>
            <w:pPr>
              <w:pStyle w:val="51"/>
              <w:rPr>
                <w:rFonts w:cs="宋体" w:asciiTheme="minorEastAsia" w:hAnsiTheme="minorEastAsia" w:eastAsiaTheme="minorEastAsia"/>
                <w:b/>
                <w:bCs/>
                <w:color w:val="auto"/>
                <w:highlight w:val="none"/>
              </w:rPr>
            </w:pPr>
          </w:p>
        </w:tc>
        <w:tc>
          <w:tcPr>
            <w:tcW w:w="3673" w:type="dxa"/>
          </w:tcPr>
          <w:p>
            <w:pPr>
              <w:pStyle w:val="51"/>
              <w:rPr>
                <w:rFonts w:cs="宋体" w:asciiTheme="minorEastAsia" w:hAnsiTheme="minorEastAsia" w:eastAsiaTheme="minorEastAsia"/>
                <w:b/>
                <w:bCs/>
                <w:color w:val="auto"/>
                <w:highlight w:val="none"/>
              </w:rPr>
            </w:pPr>
          </w:p>
        </w:tc>
        <w:tc>
          <w:tcPr>
            <w:tcW w:w="1631" w:type="dxa"/>
          </w:tcPr>
          <w:p>
            <w:pPr>
              <w:pStyle w:val="51"/>
              <w:rPr>
                <w:rFonts w:cs="宋体" w:asciiTheme="minorEastAsia" w:hAnsiTheme="minorEastAsia" w:eastAsiaTheme="minor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1"/>
              <w:rPr>
                <w:rFonts w:cs="宋体" w:asciiTheme="minorEastAsia" w:hAnsiTheme="minorEastAsia" w:eastAsiaTheme="minorEastAsia"/>
                <w:b/>
                <w:bCs/>
                <w:color w:val="auto"/>
                <w:highlight w:val="none"/>
              </w:rPr>
            </w:pPr>
          </w:p>
        </w:tc>
        <w:tc>
          <w:tcPr>
            <w:tcW w:w="3880" w:type="dxa"/>
          </w:tcPr>
          <w:p>
            <w:pPr>
              <w:pStyle w:val="51"/>
              <w:rPr>
                <w:rFonts w:cs="宋体" w:asciiTheme="minorEastAsia" w:hAnsiTheme="minorEastAsia" w:eastAsiaTheme="minorEastAsia"/>
                <w:b/>
                <w:bCs/>
                <w:color w:val="auto"/>
                <w:highlight w:val="none"/>
              </w:rPr>
            </w:pPr>
          </w:p>
        </w:tc>
        <w:tc>
          <w:tcPr>
            <w:tcW w:w="3673" w:type="dxa"/>
          </w:tcPr>
          <w:p>
            <w:pPr>
              <w:pStyle w:val="51"/>
              <w:rPr>
                <w:rFonts w:cs="宋体" w:asciiTheme="minorEastAsia" w:hAnsiTheme="minorEastAsia" w:eastAsiaTheme="minorEastAsia"/>
                <w:b/>
                <w:bCs/>
                <w:color w:val="auto"/>
                <w:highlight w:val="none"/>
              </w:rPr>
            </w:pPr>
          </w:p>
        </w:tc>
        <w:tc>
          <w:tcPr>
            <w:tcW w:w="1631" w:type="dxa"/>
          </w:tcPr>
          <w:p>
            <w:pPr>
              <w:pStyle w:val="51"/>
              <w:rPr>
                <w:rFonts w:cs="宋体" w:asciiTheme="minorEastAsia" w:hAnsiTheme="minorEastAsia" w:eastAsiaTheme="minor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1"/>
              <w:rPr>
                <w:rFonts w:cs="宋体" w:asciiTheme="minorEastAsia" w:hAnsiTheme="minorEastAsia" w:eastAsiaTheme="minorEastAsia"/>
                <w:b/>
                <w:bCs/>
                <w:color w:val="auto"/>
                <w:highlight w:val="none"/>
              </w:rPr>
            </w:pPr>
          </w:p>
        </w:tc>
        <w:tc>
          <w:tcPr>
            <w:tcW w:w="3880" w:type="dxa"/>
          </w:tcPr>
          <w:p>
            <w:pPr>
              <w:pStyle w:val="51"/>
              <w:rPr>
                <w:rFonts w:cs="宋体" w:asciiTheme="minorEastAsia" w:hAnsiTheme="minorEastAsia" w:eastAsiaTheme="minorEastAsia"/>
                <w:b/>
                <w:bCs/>
                <w:color w:val="auto"/>
                <w:highlight w:val="none"/>
              </w:rPr>
            </w:pPr>
          </w:p>
        </w:tc>
        <w:tc>
          <w:tcPr>
            <w:tcW w:w="3673" w:type="dxa"/>
          </w:tcPr>
          <w:p>
            <w:pPr>
              <w:pStyle w:val="51"/>
              <w:rPr>
                <w:rFonts w:cs="宋体" w:asciiTheme="minorEastAsia" w:hAnsiTheme="minorEastAsia" w:eastAsiaTheme="minorEastAsia"/>
                <w:b/>
                <w:bCs/>
                <w:color w:val="auto"/>
                <w:highlight w:val="none"/>
              </w:rPr>
            </w:pPr>
          </w:p>
        </w:tc>
        <w:tc>
          <w:tcPr>
            <w:tcW w:w="1631" w:type="dxa"/>
          </w:tcPr>
          <w:p>
            <w:pPr>
              <w:pStyle w:val="51"/>
              <w:rPr>
                <w:rFonts w:cs="宋体" w:asciiTheme="minorEastAsia" w:hAnsiTheme="minorEastAsia" w:eastAsiaTheme="minor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1"/>
              <w:rPr>
                <w:rFonts w:cs="宋体" w:asciiTheme="minorEastAsia" w:hAnsiTheme="minorEastAsia" w:eastAsiaTheme="minorEastAsia"/>
                <w:b/>
                <w:bCs/>
                <w:color w:val="auto"/>
                <w:highlight w:val="none"/>
              </w:rPr>
            </w:pPr>
          </w:p>
        </w:tc>
        <w:tc>
          <w:tcPr>
            <w:tcW w:w="3880" w:type="dxa"/>
          </w:tcPr>
          <w:p>
            <w:pPr>
              <w:pStyle w:val="51"/>
              <w:rPr>
                <w:rFonts w:cs="宋体" w:asciiTheme="minorEastAsia" w:hAnsiTheme="minorEastAsia" w:eastAsiaTheme="minorEastAsia"/>
                <w:b/>
                <w:bCs/>
                <w:color w:val="auto"/>
                <w:highlight w:val="none"/>
              </w:rPr>
            </w:pPr>
          </w:p>
        </w:tc>
        <w:tc>
          <w:tcPr>
            <w:tcW w:w="3673" w:type="dxa"/>
          </w:tcPr>
          <w:p>
            <w:pPr>
              <w:pStyle w:val="51"/>
              <w:rPr>
                <w:rFonts w:cs="宋体" w:asciiTheme="minorEastAsia" w:hAnsiTheme="minorEastAsia" w:eastAsiaTheme="minorEastAsia"/>
                <w:b/>
                <w:bCs/>
                <w:color w:val="auto"/>
                <w:highlight w:val="none"/>
              </w:rPr>
            </w:pPr>
          </w:p>
        </w:tc>
        <w:tc>
          <w:tcPr>
            <w:tcW w:w="1631" w:type="dxa"/>
          </w:tcPr>
          <w:p>
            <w:pPr>
              <w:pStyle w:val="51"/>
              <w:rPr>
                <w:rFonts w:cs="宋体" w:asciiTheme="minorEastAsia" w:hAnsiTheme="minorEastAsia" w:eastAsiaTheme="minorEastAsia"/>
                <w:b/>
                <w:bCs/>
                <w:color w:val="auto"/>
                <w:highlight w:val="none"/>
              </w:rPr>
            </w:pPr>
          </w:p>
        </w:tc>
      </w:tr>
    </w:tbl>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w:t>
      </w:r>
      <w:r>
        <w:rPr>
          <w:rFonts w:hint="eastAsia" w:cs="宋体" w:asciiTheme="minorEastAsia" w:hAnsiTheme="minorEastAsia" w:eastAsiaTheme="minorEastAsia"/>
          <w:color w:val="000000" w:themeColor="text1"/>
          <w:highlight w:val="none"/>
          <w14:textFill>
            <w14:solidFill>
              <w14:schemeClr w14:val="tx1"/>
            </w14:solidFill>
          </w14:textFill>
        </w:rPr>
        <w:t>如与招标文件第六章技术、服务要求的内容有偏离(包括正偏离和负偏离)，请将偏离条款逐条应答。如与招标文件第六章技术、服务要求的所有条款无偏离，则无须在此表中应答，视为默认完全响应和接受招标文件第六章技术、服务要求所有的内容，供应商不得以未作应答而拒不接受</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000000" w:themeColor="text1"/>
          <w:highlight w:val="none"/>
          <w14:textFill>
            <w14:solidFill>
              <w14:schemeClr w14:val="tx1"/>
            </w14:solidFill>
          </w14:textFill>
        </w:rPr>
        <w:t>供应商必须据实填写，不得虚假应答，否则将取消其中标资格。</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bCs/>
          <w:color w:val="auto"/>
          <w:highlight w:val="none"/>
          <w:u w:val="single"/>
        </w:rPr>
        <w:t xml:space="preserve">                 </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bookmarkEnd w:id="937"/>
    <w:bookmarkEnd w:id="938"/>
    <w:bookmarkEnd w:id="939"/>
    <w:p>
      <w:pPr>
        <w:pStyle w:val="50"/>
        <w:spacing w:before="120" w:after="120"/>
        <w:rPr>
          <w:rFonts w:cs="宋体" w:asciiTheme="minorEastAsia" w:hAnsiTheme="minorEastAsia" w:eastAsiaTheme="minorEastAsia"/>
          <w:color w:val="auto"/>
          <w:highlight w:val="none"/>
        </w:rPr>
      </w:pPr>
      <w:bookmarkStart w:id="945" w:name="_Toc28539"/>
      <w:bookmarkStart w:id="946" w:name="_Toc27439"/>
      <w:r>
        <w:rPr>
          <w:rFonts w:hint="eastAsia" w:cs="宋体" w:asciiTheme="minorEastAsia" w:hAnsiTheme="minorEastAsia" w:eastAsiaTheme="minorEastAsia"/>
          <w:color w:val="auto"/>
          <w:highlight w:val="none"/>
        </w:rPr>
        <w:t>八、履约能力及相关证明</w:t>
      </w:r>
      <w:bookmarkEnd w:id="945"/>
      <w:bookmarkEnd w:id="946"/>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注：格式自拟。</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bookmarkEnd w:id="940"/>
    <w:p>
      <w:pPr>
        <w:pStyle w:val="50"/>
        <w:spacing w:before="120" w:after="120"/>
        <w:rPr>
          <w:rFonts w:cs="宋体" w:asciiTheme="minorEastAsia" w:hAnsiTheme="minorEastAsia" w:eastAsiaTheme="minorEastAsia"/>
          <w:color w:val="auto"/>
          <w:highlight w:val="none"/>
        </w:rPr>
      </w:pPr>
      <w:bookmarkStart w:id="947" w:name="_Toc13361"/>
      <w:bookmarkStart w:id="948" w:name="_Toc13211"/>
      <w:bookmarkStart w:id="949" w:name="_Toc19240"/>
      <w:bookmarkStart w:id="950" w:name="_Toc2450"/>
      <w:bookmarkStart w:id="951" w:name="_Toc122"/>
      <w:bookmarkStart w:id="952" w:name="_Toc8563"/>
      <w:r>
        <w:rPr>
          <w:rFonts w:hint="eastAsia" w:cs="宋体" w:asciiTheme="minorEastAsia" w:hAnsiTheme="minorEastAsia" w:eastAsiaTheme="minorEastAsia"/>
          <w:color w:val="auto"/>
          <w:highlight w:val="none"/>
        </w:rPr>
        <w:t>九、投标人针对本项目人员配置情况表</w:t>
      </w:r>
      <w:bookmarkEnd w:id="947"/>
      <w:bookmarkEnd w:id="948"/>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包号：</w:t>
      </w:r>
      <w:r>
        <w:rPr>
          <w:rFonts w:hint="eastAsia" w:cs="宋体" w:asciiTheme="minorEastAsia" w:hAnsiTheme="minorEastAsia" w:eastAsiaTheme="minorEastAsia"/>
          <w:color w:val="auto"/>
          <w:highlight w:val="none"/>
          <w:u w:val="single"/>
        </w:rPr>
        <w:t xml:space="preserve">     </w:t>
      </w:r>
    </w:p>
    <w:tbl>
      <w:tblPr>
        <w:tblStyle w:val="26"/>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类别</w:t>
            </w:r>
          </w:p>
        </w:tc>
        <w:tc>
          <w:tcPr>
            <w:tcW w:w="923" w:type="dxa"/>
            <w:vMerge w:val="restar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职务(岗位)</w:t>
            </w:r>
          </w:p>
        </w:tc>
        <w:tc>
          <w:tcPr>
            <w:tcW w:w="921" w:type="dxa"/>
            <w:vMerge w:val="restar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姓名</w:t>
            </w:r>
          </w:p>
        </w:tc>
        <w:tc>
          <w:tcPr>
            <w:tcW w:w="923" w:type="dxa"/>
            <w:vMerge w:val="restar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职称</w:t>
            </w:r>
          </w:p>
        </w:tc>
        <w:tc>
          <w:tcPr>
            <w:tcW w:w="922" w:type="dxa"/>
            <w:vMerge w:val="restart"/>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常住地</w:t>
            </w:r>
          </w:p>
        </w:tc>
        <w:tc>
          <w:tcPr>
            <w:tcW w:w="4919" w:type="dxa"/>
            <w:gridSpan w:val="4"/>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51"/>
              <w:rPr>
                <w:rFonts w:cs="宋体" w:asciiTheme="minorEastAsia" w:hAnsiTheme="minorEastAsia" w:eastAsiaTheme="minorEastAsia"/>
                <w:b/>
                <w:bCs/>
                <w:color w:val="auto"/>
                <w:highlight w:val="none"/>
              </w:rPr>
            </w:pPr>
          </w:p>
        </w:tc>
        <w:tc>
          <w:tcPr>
            <w:tcW w:w="923" w:type="dxa"/>
            <w:vMerge w:val="continue"/>
            <w:vAlign w:val="center"/>
          </w:tcPr>
          <w:p>
            <w:pPr>
              <w:pStyle w:val="51"/>
              <w:rPr>
                <w:rFonts w:cs="宋体" w:asciiTheme="minorEastAsia" w:hAnsiTheme="minorEastAsia" w:eastAsiaTheme="minorEastAsia"/>
                <w:b/>
                <w:bCs/>
                <w:color w:val="auto"/>
                <w:highlight w:val="none"/>
              </w:rPr>
            </w:pPr>
          </w:p>
        </w:tc>
        <w:tc>
          <w:tcPr>
            <w:tcW w:w="921" w:type="dxa"/>
            <w:vMerge w:val="continue"/>
            <w:vAlign w:val="center"/>
          </w:tcPr>
          <w:p>
            <w:pPr>
              <w:pStyle w:val="51"/>
              <w:rPr>
                <w:rFonts w:cs="宋体" w:asciiTheme="minorEastAsia" w:hAnsiTheme="minorEastAsia" w:eastAsiaTheme="minorEastAsia"/>
                <w:b/>
                <w:bCs/>
                <w:color w:val="auto"/>
                <w:highlight w:val="none"/>
              </w:rPr>
            </w:pPr>
          </w:p>
        </w:tc>
        <w:tc>
          <w:tcPr>
            <w:tcW w:w="923" w:type="dxa"/>
            <w:vMerge w:val="continue"/>
            <w:vAlign w:val="center"/>
          </w:tcPr>
          <w:p>
            <w:pPr>
              <w:pStyle w:val="51"/>
              <w:rPr>
                <w:rFonts w:cs="宋体" w:asciiTheme="minorEastAsia" w:hAnsiTheme="minorEastAsia" w:eastAsiaTheme="minorEastAsia"/>
                <w:b/>
                <w:bCs/>
                <w:color w:val="auto"/>
                <w:highlight w:val="none"/>
              </w:rPr>
            </w:pPr>
          </w:p>
        </w:tc>
        <w:tc>
          <w:tcPr>
            <w:tcW w:w="922" w:type="dxa"/>
            <w:vMerge w:val="continue"/>
            <w:vAlign w:val="center"/>
          </w:tcPr>
          <w:p>
            <w:pPr>
              <w:pStyle w:val="51"/>
              <w:rPr>
                <w:rFonts w:cs="宋体" w:asciiTheme="minorEastAsia" w:hAnsiTheme="minorEastAsia" w:eastAsiaTheme="minorEastAsia"/>
                <w:b/>
                <w:bCs/>
                <w:color w:val="auto"/>
                <w:highlight w:val="none"/>
              </w:rPr>
            </w:pPr>
          </w:p>
        </w:tc>
        <w:tc>
          <w:tcPr>
            <w:tcW w:w="1436"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证书名称</w:t>
            </w:r>
          </w:p>
        </w:tc>
        <w:tc>
          <w:tcPr>
            <w:tcW w:w="1022"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级别</w:t>
            </w:r>
          </w:p>
        </w:tc>
        <w:tc>
          <w:tcPr>
            <w:tcW w:w="1232"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证号</w:t>
            </w:r>
          </w:p>
        </w:tc>
        <w:tc>
          <w:tcPr>
            <w:tcW w:w="1229"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管理人员(可根据项目实际情况调整)</w:t>
            </w: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技术人员(可根据项目实际情况调整)</w:t>
            </w: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后期服务人员(可根据项目实际情况调整)</w:t>
            </w: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1" w:type="dxa"/>
          </w:tcPr>
          <w:p>
            <w:pPr>
              <w:pStyle w:val="51"/>
              <w:rPr>
                <w:rFonts w:cs="宋体" w:asciiTheme="minorEastAsia" w:hAnsiTheme="minorEastAsia" w:eastAsiaTheme="minorEastAsia"/>
                <w:color w:val="auto"/>
                <w:highlight w:val="none"/>
              </w:rPr>
            </w:pPr>
          </w:p>
        </w:tc>
        <w:tc>
          <w:tcPr>
            <w:tcW w:w="923" w:type="dxa"/>
          </w:tcPr>
          <w:p>
            <w:pPr>
              <w:pStyle w:val="51"/>
              <w:rPr>
                <w:rFonts w:cs="宋体" w:asciiTheme="minorEastAsia" w:hAnsiTheme="minorEastAsia" w:eastAsiaTheme="minorEastAsia"/>
                <w:color w:val="auto"/>
                <w:highlight w:val="none"/>
              </w:rPr>
            </w:pPr>
          </w:p>
        </w:tc>
        <w:tc>
          <w:tcPr>
            <w:tcW w:w="922" w:type="dxa"/>
          </w:tcPr>
          <w:p>
            <w:pPr>
              <w:pStyle w:val="51"/>
              <w:rPr>
                <w:rFonts w:cs="宋体" w:asciiTheme="minorEastAsia" w:hAnsiTheme="minorEastAsia" w:eastAsiaTheme="minorEastAsia"/>
                <w:color w:val="auto"/>
                <w:highlight w:val="none"/>
              </w:rPr>
            </w:pPr>
          </w:p>
        </w:tc>
        <w:tc>
          <w:tcPr>
            <w:tcW w:w="1436" w:type="dxa"/>
          </w:tcPr>
          <w:p>
            <w:pPr>
              <w:pStyle w:val="51"/>
              <w:rPr>
                <w:rFonts w:cs="宋体" w:asciiTheme="minorEastAsia" w:hAnsiTheme="minorEastAsia" w:eastAsiaTheme="minorEastAsia"/>
                <w:color w:val="auto"/>
                <w:highlight w:val="none"/>
              </w:rPr>
            </w:pPr>
          </w:p>
        </w:tc>
        <w:tc>
          <w:tcPr>
            <w:tcW w:w="1022" w:type="dxa"/>
          </w:tcPr>
          <w:p>
            <w:pPr>
              <w:pStyle w:val="51"/>
              <w:rPr>
                <w:rFonts w:cs="宋体" w:asciiTheme="minorEastAsia" w:hAnsiTheme="minorEastAsia" w:eastAsiaTheme="minorEastAsia"/>
                <w:color w:val="auto"/>
                <w:highlight w:val="none"/>
              </w:rPr>
            </w:pPr>
          </w:p>
        </w:tc>
        <w:tc>
          <w:tcPr>
            <w:tcW w:w="1232" w:type="dxa"/>
          </w:tcPr>
          <w:p>
            <w:pPr>
              <w:pStyle w:val="51"/>
              <w:rPr>
                <w:rFonts w:cs="宋体" w:asciiTheme="minorEastAsia" w:hAnsiTheme="minorEastAsia" w:eastAsiaTheme="minorEastAsia"/>
                <w:color w:val="auto"/>
                <w:highlight w:val="none"/>
              </w:rPr>
            </w:pPr>
          </w:p>
        </w:tc>
        <w:tc>
          <w:tcPr>
            <w:tcW w:w="1229" w:type="dxa"/>
          </w:tcPr>
          <w:p>
            <w:pPr>
              <w:pStyle w:val="51"/>
              <w:rPr>
                <w:rFonts w:cs="宋体" w:asciiTheme="minorEastAsia" w:hAnsiTheme="minorEastAsia" w:eastAsiaTheme="minorEastAsia"/>
                <w:color w:val="auto"/>
                <w:highlight w:val="none"/>
              </w:rPr>
            </w:pPr>
          </w:p>
        </w:tc>
      </w:tr>
    </w:tbl>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注：①投标人根据自身实际情况填写，对不涉及的内容可填写“/”。②本表所列项目管理成员信息将作为主管部门监督管理是否属于串通投标的情形。</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End w:id="949"/>
    </w:p>
    <w:p>
      <w:pPr>
        <w:pStyle w:val="50"/>
        <w:spacing w:before="120" w:after="120"/>
        <w:rPr>
          <w:rFonts w:cs="宋体" w:asciiTheme="minorEastAsia" w:hAnsiTheme="minorEastAsia" w:eastAsiaTheme="minorEastAsia"/>
          <w:color w:val="auto"/>
          <w:highlight w:val="none"/>
        </w:rPr>
      </w:pPr>
      <w:bookmarkStart w:id="953" w:name="_Toc22874"/>
      <w:r>
        <w:rPr>
          <w:rFonts w:hint="eastAsia" w:cs="宋体" w:asciiTheme="minorEastAsia" w:hAnsiTheme="minorEastAsia" w:eastAsiaTheme="minorEastAsia"/>
          <w:color w:val="auto"/>
          <w:highlight w:val="none"/>
        </w:rPr>
        <w:t>十、中小企业声明函(如涉及</w:t>
      </w:r>
      <w:bookmarkEnd w:id="950"/>
      <w:r>
        <w:rPr>
          <w:rFonts w:hint="eastAsia" w:cs="宋体" w:asciiTheme="minorEastAsia" w:hAnsiTheme="minorEastAsia" w:eastAsiaTheme="minorEastAsia"/>
          <w:color w:val="auto"/>
          <w:highlight w:val="none"/>
        </w:rPr>
        <w:t>)</w:t>
      </w:r>
      <w:bookmarkEnd w:id="951"/>
      <w:bookmarkEnd w:id="952"/>
      <w:bookmarkEnd w:id="953"/>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本公司(</w:t>
      </w:r>
      <w:r>
        <w:rPr>
          <w:rFonts w:hint="eastAsia" w:cs="宋体" w:asciiTheme="minorEastAsia" w:hAnsiTheme="minorEastAsia" w:eastAsiaTheme="minorEastAsia"/>
          <w:b w:val="0"/>
          <w:bCs/>
          <w:i/>
          <w:iCs/>
          <w:color w:val="auto"/>
          <w:highlight w:val="none"/>
          <w:u w:val="single"/>
        </w:rPr>
        <w:t xml:space="preserve">    </w:t>
      </w:r>
      <w:r>
        <w:rPr>
          <w:rFonts w:hint="eastAsia" w:cs="宋体" w:asciiTheme="minorEastAsia" w:hAnsiTheme="minorEastAsia" w:eastAsiaTheme="minorEastAsia"/>
          <w:b w:val="0"/>
          <w:bCs/>
          <w:color w:val="auto"/>
          <w:highlight w:val="none"/>
        </w:rPr>
        <w:t>)郑重声明，根据《政府采购促进中小企业发展管理办法》(财库﹝2020﹞46号)的规定，本公司(</w:t>
      </w:r>
      <w:r>
        <w:rPr>
          <w:rFonts w:hint="eastAsia" w:cs="宋体" w:asciiTheme="minorEastAsia" w:hAnsiTheme="minorEastAsia" w:eastAsiaTheme="minorEastAsia"/>
          <w:b w:val="0"/>
          <w:bCs/>
          <w:i/>
          <w:iCs/>
          <w:color w:val="auto"/>
          <w:highlight w:val="none"/>
          <w:u w:val="single"/>
        </w:rPr>
        <w:t xml:space="preserve">     </w:t>
      </w:r>
      <w:r>
        <w:rPr>
          <w:rFonts w:hint="eastAsia" w:cs="宋体" w:asciiTheme="minorEastAsia" w:hAnsiTheme="minorEastAsia" w:eastAsiaTheme="minorEastAsia"/>
          <w:b w:val="0"/>
          <w:bCs/>
          <w:color w:val="auto"/>
          <w:highlight w:val="none"/>
        </w:rPr>
        <w:t>)参加</w:t>
      </w:r>
      <w:r>
        <w:rPr>
          <w:rFonts w:hint="eastAsia" w:cs="宋体" w:asciiTheme="minorEastAsia" w:hAnsiTheme="minorEastAsia" w:eastAsiaTheme="minorEastAsia"/>
          <w:b w:val="0"/>
          <w:bCs/>
          <w:i/>
          <w:iCs/>
          <w:color w:val="auto"/>
          <w:highlight w:val="none"/>
          <w:u w:val="single"/>
        </w:rPr>
        <w:t>(单位名称)</w:t>
      </w:r>
      <w:r>
        <w:rPr>
          <w:rFonts w:hint="eastAsia" w:cs="宋体" w:asciiTheme="minorEastAsia" w:hAnsiTheme="minorEastAsia" w:eastAsiaTheme="minorEastAsia"/>
          <w:b w:val="0"/>
          <w:bCs/>
          <w:color w:val="auto"/>
          <w:highlight w:val="none"/>
        </w:rPr>
        <w:t>的</w:t>
      </w:r>
      <w:r>
        <w:rPr>
          <w:rFonts w:hint="eastAsia" w:cs="宋体" w:asciiTheme="minorEastAsia" w:hAnsiTheme="minorEastAsia" w:eastAsiaTheme="minorEastAsia"/>
          <w:b w:val="0"/>
          <w:bCs/>
          <w:i/>
          <w:iCs/>
          <w:color w:val="auto"/>
          <w:highlight w:val="none"/>
          <w:u w:val="single"/>
        </w:rPr>
        <w:t>(项目名称</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color w:val="auto"/>
          <w:highlight w:val="none"/>
        </w:rPr>
        <w:t>采购活动，服务全部由符合政策要求的中小企业承接。相关企业(含联合体中的中小企业、签订分包意向协议的中小企业)的具体情况如下：</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i/>
          <w:iCs/>
          <w:color w:val="auto"/>
          <w:highlight w:val="none"/>
          <w:u w:val="single"/>
        </w:rPr>
        <w:t>(标的名称)</w:t>
      </w:r>
      <w:r>
        <w:rPr>
          <w:rFonts w:hint="eastAsia" w:cs="宋体" w:asciiTheme="minorEastAsia" w:hAnsiTheme="minorEastAsia" w:eastAsiaTheme="minorEastAsia"/>
          <w:b w:val="0"/>
          <w:bCs/>
          <w:color w:val="auto"/>
          <w:highlight w:val="none"/>
        </w:rPr>
        <w:t>，属于</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i/>
          <w:iCs/>
          <w:color w:val="auto"/>
          <w:highlight w:val="none"/>
          <w:u w:val="single"/>
        </w:rPr>
        <w:t>采购文件中明确的所属行业</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color w:val="auto"/>
          <w:highlight w:val="none"/>
        </w:rPr>
        <w:t>；承接企业为</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i/>
          <w:iCs/>
          <w:color w:val="auto"/>
          <w:highlight w:val="none"/>
          <w:u w:val="single"/>
        </w:rPr>
        <w:t>企业名称</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color w:val="auto"/>
          <w:highlight w:val="none"/>
        </w:rPr>
        <w:t>，从业人员</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人，营业收入为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万元，资产总额为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万元，属于</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i/>
          <w:iCs/>
          <w:color w:val="auto"/>
          <w:highlight w:val="none"/>
          <w:u w:val="single"/>
        </w:rPr>
        <w:t>中型企业、小型企业、微型企业</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color w:val="auto"/>
          <w:highlight w:val="none"/>
        </w:rPr>
        <w:t>；</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i/>
          <w:iCs/>
          <w:color w:val="auto"/>
          <w:highlight w:val="none"/>
          <w:u w:val="single"/>
        </w:rPr>
        <w:t>标的名称</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color w:val="auto"/>
          <w:highlight w:val="none"/>
        </w:rPr>
        <w:t>，属于</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i/>
          <w:iCs/>
          <w:color w:val="auto"/>
          <w:highlight w:val="none"/>
          <w:u w:val="single"/>
        </w:rPr>
        <w:t>采购文件中明确的所属行业</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color w:val="auto"/>
          <w:highlight w:val="none"/>
        </w:rPr>
        <w:t>；承接企业为</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i/>
          <w:iCs/>
          <w:color w:val="auto"/>
          <w:highlight w:val="none"/>
          <w:u w:val="single"/>
        </w:rPr>
        <w:t>企业名称</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color w:val="auto"/>
          <w:highlight w:val="none"/>
        </w:rPr>
        <w:t>，从业人员</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人，营业收入为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万元，资产总额为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万元，属于</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i/>
          <w:iCs/>
          <w:color w:val="auto"/>
          <w:highlight w:val="none"/>
          <w:u w:val="single"/>
        </w:rPr>
        <w:t>中型企业、小型企业、微型企业</w:t>
      </w:r>
      <w:r>
        <w:rPr>
          <w:rFonts w:hint="eastAsia" w:cs="宋体" w:asciiTheme="minorEastAsia" w:hAnsiTheme="minorEastAsia" w:eastAsiaTheme="minorEastAsia"/>
          <w:b w:val="0"/>
          <w:bCs/>
          <w:color w:val="auto"/>
          <w:highlight w:val="none"/>
          <w:u w:val="single"/>
        </w:rPr>
        <w:t>)</w:t>
      </w:r>
      <w:r>
        <w:rPr>
          <w:rFonts w:hint="eastAsia" w:cs="宋体" w:asciiTheme="minorEastAsia" w:hAnsiTheme="minorEastAsia" w:eastAsiaTheme="minorEastAsia"/>
          <w:b w:val="0"/>
          <w:bCs/>
          <w:color w:val="auto"/>
          <w:highlight w:val="none"/>
        </w:rPr>
        <w:t>；</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以上企业，不属于大企业的分支机构，不存在控股股东为大企业的情形，也不存在与大企业的负责人为同一人的情形。</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本企业对上述声明内容的真实性负责。如有虚假，将依法承担相应责任。</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企业名称(盖章)：</w:t>
      </w:r>
      <w:r>
        <w:rPr>
          <w:rFonts w:hint="eastAsia" w:cs="宋体" w:asciiTheme="minorEastAsia" w:hAnsiTheme="minorEastAsia" w:eastAsiaTheme="minorEastAsia"/>
          <w:color w:val="auto"/>
          <w:highlight w:val="none"/>
          <w:u w:val="single"/>
        </w:rPr>
        <w:t xml:space="preserve">        </w:t>
      </w:r>
    </w:p>
    <w:p>
      <w:pPr>
        <w:pStyle w:val="48"/>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bookmarkStart w:id="954" w:name="_Toc8055"/>
      <w:bookmarkStart w:id="955" w:name="_Toc417911732"/>
      <w:bookmarkStart w:id="956" w:name="_Toc413748654"/>
      <w:bookmarkStart w:id="957" w:name="_Toc387658050"/>
      <w:bookmarkStart w:id="958" w:name="_Toc419811733"/>
      <w:bookmarkStart w:id="959" w:name="_Toc387147344"/>
    </w:p>
    <w:p>
      <w:pPr>
        <w:pStyle w:val="53"/>
        <w:ind w:firstLine="482"/>
        <w:rPr>
          <w:rFonts w:cs="宋体" w:asciiTheme="minorEastAsia" w:hAnsiTheme="minorEastAsia" w:eastAsiaTheme="minorEastAsia"/>
          <w:color w:val="auto"/>
          <w:highlight w:val="none"/>
        </w:rPr>
      </w:pP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注：从业人员、营业收入、资产总额填报上一年度数据，无上一年度数据的新成立企业可不填报。</w:t>
      </w:r>
    </w:p>
    <w:p>
      <w:pPr>
        <w:pStyle w:val="50"/>
        <w:spacing w:before="120" w:after="120"/>
        <w:rPr>
          <w:rFonts w:cs="宋体" w:asciiTheme="minorEastAsia" w:hAnsiTheme="minorEastAsia" w:eastAsiaTheme="minorEastAsia"/>
          <w:color w:val="auto"/>
          <w:highlight w:val="none"/>
        </w:rPr>
      </w:pPr>
      <w:bookmarkStart w:id="960" w:name="_Toc11278"/>
      <w:bookmarkStart w:id="961" w:name="_Toc26771"/>
      <w:bookmarkStart w:id="962" w:name="_Toc710"/>
      <w:bookmarkStart w:id="963" w:name="_Toc30256"/>
      <w:r>
        <w:rPr>
          <w:rFonts w:hint="eastAsia" w:cs="宋体" w:asciiTheme="minorEastAsia" w:hAnsiTheme="minorEastAsia" w:eastAsiaTheme="minorEastAsia"/>
          <w:color w:val="auto"/>
          <w:highlight w:val="none"/>
        </w:rPr>
        <w:t>十一、监狱企业相关证明材料</w:t>
      </w:r>
      <w:bookmarkEnd w:id="954"/>
      <w:r>
        <w:rPr>
          <w:rFonts w:hint="eastAsia" w:cs="宋体" w:asciiTheme="minorEastAsia" w:hAnsiTheme="minorEastAsia" w:eastAsiaTheme="minorEastAsia"/>
          <w:color w:val="auto"/>
          <w:highlight w:val="none"/>
        </w:rPr>
        <w:t>(如涉及</w:t>
      </w:r>
      <w:bookmarkEnd w:id="960"/>
      <w:r>
        <w:rPr>
          <w:rFonts w:hint="eastAsia" w:cs="宋体" w:asciiTheme="minorEastAsia" w:hAnsiTheme="minorEastAsia" w:eastAsiaTheme="minorEastAsia"/>
          <w:color w:val="auto"/>
          <w:highlight w:val="none"/>
        </w:rPr>
        <w:t>)</w:t>
      </w:r>
      <w:bookmarkEnd w:id="961"/>
      <w:bookmarkEnd w:id="962"/>
      <w:bookmarkEnd w:id="963"/>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说明：</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①监狱企业参加政府采购活动时，应当提供由省级以上监狱管理局、戒毒管理局(含新疆生产建设兵团)出具的属于监狱企业的证明文件。</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②投标人参加本项目投标，如未提供监狱企业相关证明材料的，则其评审中的监狱企业不能享受招标文件规定的价格扣除，但不影响投标文件的有效性。</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③非监狱企业无需提供证明材料。</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0"/>
        <w:spacing w:before="120" w:after="120"/>
        <w:rPr>
          <w:rFonts w:cs="宋体" w:asciiTheme="minorEastAsia" w:hAnsiTheme="minorEastAsia" w:eastAsiaTheme="minorEastAsia"/>
          <w:color w:val="auto"/>
          <w:highlight w:val="none"/>
        </w:rPr>
      </w:pPr>
      <w:bookmarkStart w:id="964" w:name="_Toc7140"/>
      <w:bookmarkStart w:id="965" w:name="_Toc27384"/>
      <w:bookmarkStart w:id="966" w:name="_Toc12150"/>
      <w:bookmarkStart w:id="967" w:name="_Toc30301"/>
      <w:r>
        <w:rPr>
          <w:rFonts w:hint="eastAsia" w:cs="宋体" w:asciiTheme="minorEastAsia" w:hAnsiTheme="minorEastAsia" w:eastAsiaTheme="minorEastAsia"/>
          <w:color w:val="auto"/>
          <w:highlight w:val="none"/>
        </w:rPr>
        <w:t>十二、残疾人福利性单位声明函(如涉及</w:t>
      </w:r>
      <w:bookmarkEnd w:id="964"/>
      <w:r>
        <w:rPr>
          <w:rFonts w:hint="eastAsia" w:cs="宋体" w:asciiTheme="minorEastAsia" w:hAnsiTheme="minorEastAsia" w:eastAsiaTheme="minorEastAsia"/>
          <w:color w:val="auto"/>
          <w:highlight w:val="none"/>
        </w:rPr>
        <w:t>)</w:t>
      </w:r>
      <w:bookmarkEnd w:id="965"/>
      <w:bookmarkEnd w:id="966"/>
      <w:bookmarkEnd w:id="967"/>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单位的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项目采购活动由本单位提供服务。</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本单位对上述声明的真实性负责。如有虚假，将依法承担相应责任。</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pStyle w:val="48"/>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(盖章)</w:t>
      </w:r>
    </w:p>
    <w:p>
      <w:pPr>
        <w:pStyle w:val="48"/>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    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bookmarkEnd w:id="955"/>
      <w:bookmarkEnd w:id="956"/>
      <w:bookmarkEnd w:id="957"/>
      <w:bookmarkEnd w:id="958"/>
      <w:bookmarkEnd w:id="959"/>
    </w:p>
    <w:p>
      <w:pPr>
        <w:pStyle w:val="48"/>
        <w:ind w:left="4800" w:leftChars="2000"/>
        <w:rPr>
          <w:rFonts w:cs="宋体" w:asciiTheme="minorEastAsia" w:hAnsiTheme="minorEastAsia" w:eastAsiaTheme="minorEastAsia"/>
          <w:color w:val="auto"/>
          <w:highlight w:val="none"/>
        </w:rPr>
      </w:pPr>
    </w:p>
    <w:p>
      <w:pPr>
        <w:pStyle w:val="53"/>
        <w:ind w:firstLine="482"/>
        <w:rPr>
          <w:rFonts w:cs="宋体" w:asciiTheme="minorEastAsia" w:hAnsiTheme="minorEastAsia" w:eastAsiaTheme="minorEastAsia"/>
          <w:color w:val="auto"/>
          <w:highlight w:val="none"/>
        </w:rPr>
      </w:pP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说明：</w:t>
      </w:r>
      <w:r>
        <w:rPr>
          <w:rFonts w:hint="eastAsia" w:cs="宋体" w:asciiTheme="minorEastAsia" w:hAnsiTheme="minorEastAsia" w:eastAsiaTheme="minorEastAsia"/>
          <w:color w:val="auto"/>
          <w:highlight w:val="none"/>
        </w:rPr>
        <w:fldChar w:fldCharType="begin"/>
      </w:r>
      <w:r>
        <w:rPr>
          <w:rFonts w:hint="eastAsia" w:cs="宋体" w:asciiTheme="minorEastAsia" w:hAnsiTheme="minorEastAsia" w:eastAsiaTheme="minorEastAsia"/>
          <w:color w:val="auto"/>
          <w:highlight w:val="none"/>
        </w:rPr>
        <w:instrText xml:space="preserve"> = 1 \* GB3 \* MERGEFORMAT </w:instrText>
      </w:r>
      <w:r>
        <w:rPr>
          <w:rFonts w:hint="eastAsia" w:cs="宋体" w:asciiTheme="minorEastAsia" w:hAnsiTheme="minorEastAsia" w:eastAsiaTheme="minorEastAsia"/>
          <w:color w:val="auto"/>
          <w:highlight w:val="none"/>
        </w:rPr>
        <w:fldChar w:fldCharType="separate"/>
      </w:r>
      <w:r>
        <w:rPr>
          <w:rFonts w:hint="eastAsia" w:cs="宋体" w:asciiTheme="minorEastAsia" w:hAnsiTheme="minorEastAsia" w:eastAsiaTheme="minorEastAsia"/>
          <w:color w:val="auto"/>
          <w:highlight w:val="none"/>
        </w:rPr>
        <w:t>①</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如未提供残疾人福利性单位声明函的，则其评审中的残疾人福利性单位不能享受招标文件规定的价格扣除。非残疾人福利性单位，不需提供此声明函，不影响投标文件的有效性。</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fldChar w:fldCharType="begin"/>
      </w:r>
      <w:r>
        <w:rPr>
          <w:rFonts w:hint="eastAsia" w:cs="宋体" w:asciiTheme="minorEastAsia" w:hAnsiTheme="minorEastAsia" w:eastAsiaTheme="minorEastAsia"/>
          <w:color w:val="auto"/>
          <w:highlight w:val="none"/>
        </w:rPr>
        <w:instrText xml:space="preserve"> = 2 \* GB3 \* MERGEFORMAT </w:instrText>
      </w:r>
      <w:r>
        <w:rPr>
          <w:rFonts w:hint="eastAsia" w:cs="宋体" w:asciiTheme="minorEastAsia" w:hAnsiTheme="minorEastAsia" w:eastAsiaTheme="minorEastAsia"/>
          <w:color w:val="auto"/>
          <w:highlight w:val="none"/>
        </w:rPr>
        <w:fldChar w:fldCharType="separate"/>
      </w:r>
      <w:r>
        <w:rPr>
          <w:rFonts w:hint="eastAsia" w:cs="宋体" w:asciiTheme="minorEastAsia" w:hAnsiTheme="minorEastAsia" w:eastAsiaTheme="minorEastAsia"/>
          <w:color w:val="auto"/>
          <w:highlight w:val="none"/>
        </w:rPr>
        <w:t>②</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投标人参加政府采购活动时，提供虚假残疾人福利性单位声明函的，以提供虚假材料谋取中标处理。</w:t>
      </w:r>
    </w:p>
    <w:p>
      <w:pPr>
        <w:pStyle w:val="48"/>
        <w:ind w:left="4800" w:leftChars="2000"/>
        <w:rPr>
          <w:rFonts w:cs="宋体" w:asciiTheme="minorEastAsia" w:hAnsiTheme="minorEastAsia" w:eastAsiaTheme="minorEastAsia"/>
          <w:color w:val="auto"/>
          <w:highlight w:val="none"/>
        </w:rPr>
      </w:pPr>
    </w:p>
    <w:p>
      <w:pPr>
        <w:pStyle w:val="50"/>
        <w:spacing w:before="120" w:after="120"/>
        <w:rPr>
          <w:rFonts w:cs="宋体" w:asciiTheme="minorEastAsia" w:hAnsiTheme="minorEastAsia" w:eastAsiaTheme="minorEastAsia"/>
          <w:color w:val="auto"/>
          <w:highlight w:val="none"/>
        </w:rPr>
      </w:pPr>
      <w:bookmarkStart w:id="968" w:name="_Toc20002"/>
      <w:bookmarkStart w:id="969" w:name="_Toc16092"/>
      <w:bookmarkStart w:id="970" w:name="_Toc954"/>
      <w:bookmarkStart w:id="971" w:name="_Toc881"/>
      <w:bookmarkStart w:id="972" w:name="_Toc18724"/>
      <w:r>
        <w:rPr>
          <w:rFonts w:hint="eastAsia" w:cs="宋体" w:asciiTheme="minorEastAsia" w:hAnsiTheme="minorEastAsia" w:eastAsiaTheme="minorEastAsia"/>
          <w:color w:val="auto"/>
          <w:highlight w:val="none"/>
        </w:rPr>
        <w:t>十三、技术方案</w:t>
      </w:r>
      <w:bookmarkEnd w:id="968"/>
      <w:bookmarkEnd w:id="969"/>
      <w:r>
        <w:rPr>
          <w:rFonts w:hint="eastAsia" w:cs="宋体" w:asciiTheme="minorEastAsia" w:hAnsiTheme="minorEastAsia" w:eastAsiaTheme="minorEastAsia"/>
          <w:color w:val="auto"/>
          <w:highlight w:val="none"/>
        </w:rPr>
        <w:t>、实施方案</w:t>
      </w:r>
      <w:bookmarkEnd w:id="970"/>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注：格式自拟。</w:t>
      </w:r>
    </w:p>
    <w:p>
      <w:pPr>
        <w:pStyle w:val="48"/>
        <w:rPr>
          <w:rFonts w:cs="宋体" w:asciiTheme="minorEastAsia" w:hAnsiTheme="minorEastAsia" w:eastAsiaTheme="minorEastAsia"/>
          <w:color w:val="auto"/>
          <w:highlight w:val="none"/>
        </w:rPr>
      </w:pPr>
    </w:p>
    <w:p>
      <w:pPr>
        <w:pStyle w:val="50"/>
        <w:spacing w:before="120" w:after="120"/>
        <w:rPr>
          <w:rFonts w:cs="宋体" w:asciiTheme="minorEastAsia" w:hAnsiTheme="minorEastAsia" w:eastAsiaTheme="minorEastAsia"/>
          <w:color w:val="auto"/>
          <w:highlight w:val="none"/>
        </w:rPr>
      </w:pPr>
      <w:bookmarkStart w:id="973" w:name="_Toc14431"/>
      <w:bookmarkStart w:id="974" w:name="_Toc32188"/>
      <w:r>
        <w:rPr>
          <w:rFonts w:hint="eastAsia" w:cs="宋体" w:asciiTheme="minorEastAsia" w:hAnsiTheme="minorEastAsia" w:eastAsiaTheme="minorEastAsia"/>
          <w:color w:val="auto"/>
          <w:highlight w:val="none"/>
        </w:rPr>
        <w:t>十四、招标代理服务费承诺函</w:t>
      </w:r>
      <w:bookmarkEnd w:id="973"/>
      <w:bookmarkEnd w:id="974"/>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四川乾新招投标代理有限公司：</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我公司在贵公司代理的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项目(项目编号：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)公开招标中若获中标，我们保证在收到中标通知后2个工作日内按</w:t>
      </w:r>
      <w:r>
        <w:rPr>
          <w:rFonts w:hint="eastAsia" w:cs="宋体" w:asciiTheme="minorEastAsia" w:hAnsiTheme="minorEastAsia" w:eastAsiaTheme="minorEastAsia"/>
          <w:color w:val="auto"/>
          <w:highlight w:val="none"/>
          <w:lang w:val="zh-CN"/>
        </w:rPr>
        <w:t>招标文件</w:t>
      </w:r>
      <w:r>
        <w:rPr>
          <w:rFonts w:hint="eastAsia" w:cs="宋体" w:asciiTheme="minorEastAsia" w:hAnsiTheme="minorEastAsia" w:eastAsiaTheme="minorEastAsia"/>
          <w:color w:val="auto"/>
          <w:highlight w:val="none"/>
        </w:rPr>
        <w:t>的规定，以支票、银行汇票、电汇、现金或经贵公司认可的一种方式，向贵公司即四川乾新招投标代理有限公司指定的银行账号，按照</w:t>
      </w:r>
      <w:r>
        <w:rPr>
          <w:rFonts w:hint="eastAsia" w:cs="宋体" w:asciiTheme="minorEastAsia" w:hAnsiTheme="minorEastAsia" w:eastAsiaTheme="minorEastAsia"/>
          <w:color w:val="auto"/>
          <w:highlight w:val="none"/>
          <w:lang w:val="zh-CN"/>
        </w:rPr>
        <w:t>招标文件中</w:t>
      </w:r>
      <w:r>
        <w:rPr>
          <w:rFonts w:hint="eastAsia" w:cs="宋体" w:asciiTheme="minorEastAsia" w:hAnsiTheme="minorEastAsia" w:eastAsiaTheme="minorEastAsia"/>
          <w:color w:val="auto"/>
          <w:highlight w:val="none"/>
        </w:rPr>
        <w:t>招标代理服务费收取标准一次性支付招标代理服务费。</w:t>
      </w:r>
      <w:r>
        <w:rPr>
          <w:rFonts w:hint="eastAsia" w:cs="宋体" w:asciiTheme="minorEastAsia" w:hAnsiTheme="minorEastAsia" w:eastAsiaTheme="minorEastAsia"/>
          <w:b/>
          <w:bCs/>
          <w:color w:val="auto"/>
          <w:highlight w:val="none"/>
        </w:rPr>
        <w:t>如因我公司自身原因造成取消中标资格或自愿放弃中标资格的，我司支付的招标代理服务费不予退还，由此造成的损失由我方自行承担。</w:t>
      </w:r>
    </w:p>
    <w:p>
      <w:pPr>
        <w:pStyle w:val="52"/>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特此承诺。</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(盖章)</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  址：</w:t>
      </w:r>
      <w:r>
        <w:rPr>
          <w:rFonts w:hint="eastAsia" w:cs="宋体" w:asciiTheme="minorEastAsia" w:hAnsiTheme="minorEastAsia" w:eastAsiaTheme="minorEastAsia"/>
          <w:bCs/>
          <w:color w:val="auto"/>
          <w:highlight w:val="none"/>
          <w:u w:val="single"/>
        </w:rPr>
        <w:t xml:space="preserve">                </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电  话：</w:t>
      </w:r>
      <w:r>
        <w:rPr>
          <w:rFonts w:hint="eastAsia" w:cs="宋体" w:asciiTheme="minorEastAsia" w:hAnsiTheme="minorEastAsia" w:eastAsiaTheme="minorEastAsia"/>
          <w:bCs/>
          <w:color w:val="auto"/>
          <w:highlight w:val="none"/>
          <w:u w:val="single"/>
        </w:rPr>
        <w:t xml:space="preserve">                </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传  真：</w:t>
      </w:r>
      <w:r>
        <w:rPr>
          <w:rFonts w:hint="eastAsia" w:cs="宋体" w:asciiTheme="minorEastAsia" w:hAnsiTheme="minorEastAsia" w:eastAsiaTheme="minorEastAsia"/>
          <w:bCs/>
          <w:color w:val="auto"/>
          <w:highlight w:val="none"/>
          <w:u w:val="single"/>
        </w:rPr>
        <w:t xml:space="preserve">                </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邮  编：</w:t>
      </w:r>
      <w:r>
        <w:rPr>
          <w:rFonts w:hint="eastAsia" w:cs="宋体" w:asciiTheme="minorEastAsia" w:hAnsiTheme="minorEastAsia" w:eastAsiaTheme="minorEastAsia"/>
          <w:bCs/>
          <w:color w:val="auto"/>
          <w:highlight w:val="none"/>
          <w:u w:val="single"/>
        </w:rPr>
        <w:t xml:space="preserve">                </w:t>
      </w:r>
    </w:p>
    <w:p>
      <w:pPr>
        <w:pStyle w:val="48"/>
        <w:spacing w:line="52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法定代表人/单位负责人或授权代表：</w:t>
      </w:r>
      <w:r>
        <w:rPr>
          <w:rFonts w:hint="eastAsia" w:cs="宋体" w:asciiTheme="minorEastAsia" w:hAnsiTheme="minorEastAsia" w:eastAsiaTheme="minorEastAsia"/>
          <w:bCs/>
          <w:color w:val="auto"/>
          <w:highlight w:val="none"/>
          <w:u w:val="single"/>
        </w:rPr>
        <w:t xml:space="preserve">               </w:t>
      </w:r>
      <w:r>
        <w:rPr>
          <w:rFonts w:hint="eastAsia" w:cs="宋体" w:asciiTheme="minorEastAsia" w:hAnsiTheme="minorEastAsia" w:eastAsiaTheme="minorEastAsia"/>
          <w:color w:val="auto"/>
          <w:highlight w:val="none"/>
        </w:rPr>
        <w:t>(签字或盖章)</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承诺日期：</w:t>
      </w:r>
      <w:r>
        <w:rPr>
          <w:rFonts w:hint="eastAsia" w:cs="宋体" w:asciiTheme="minorEastAsia" w:hAnsiTheme="minorEastAsia" w:eastAsiaTheme="minorEastAsia"/>
          <w:bCs/>
          <w:color w:val="auto"/>
          <w:highlight w:val="none"/>
          <w:u w:val="single"/>
        </w:rPr>
        <w:t xml:space="preserve">                </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                </w:t>
      </w:r>
    </w:p>
    <w:p>
      <w:pPr>
        <w:pStyle w:val="48"/>
        <w:rPr>
          <w:rFonts w:cs="宋体" w:asciiTheme="minorEastAsia" w:hAnsiTheme="minorEastAsia" w:eastAsiaTheme="minorEastAsia"/>
          <w:color w:val="auto"/>
          <w:highlight w:val="none"/>
        </w:rPr>
      </w:pP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bookmarkEnd w:id="971"/>
    <w:bookmarkEnd w:id="972"/>
    <w:p>
      <w:pPr>
        <w:pStyle w:val="54"/>
        <w:numPr>
          <w:ilvl w:val="0"/>
          <w:numId w:val="11"/>
        </w:numPr>
        <w:spacing w:before="120" w:after="120"/>
        <w:rPr>
          <w:rFonts w:cs="宋体" w:asciiTheme="minorEastAsia" w:hAnsiTheme="minorEastAsia" w:eastAsiaTheme="minorEastAsia"/>
          <w:color w:val="auto"/>
          <w:w w:val="95"/>
          <w:highlight w:val="none"/>
        </w:rPr>
      </w:pPr>
      <w:bookmarkStart w:id="975" w:name="_Toc1234"/>
      <w:bookmarkStart w:id="976" w:name="_Toc17786"/>
      <w:bookmarkStart w:id="977" w:name="_Toc23987"/>
      <w:bookmarkStart w:id="978" w:name="_Toc1941"/>
      <w:bookmarkStart w:id="979" w:name="_Toc24042"/>
      <w:bookmarkStart w:id="980" w:name="_Toc8502"/>
      <w:bookmarkStart w:id="981" w:name="_Toc10576"/>
      <w:r>
        <w:rPr>
          <w:rFonts w:hint="eastAsia" w:cs="宋体" w:asciiTheme="minorEastAsia" w:hAnsiTheme="minorEastAsia" w:eastAsiaTheme="minorEastAsia"/>
          <w:color w:val="auto"/>
          <w:w w:val="95"/>
          <w:highlight w:val="none"/>
        </w:rPr>
        <w:t>投标人和投标产品的资格、资质性</w:t>
      </w:r>
      <w:bookmarkStart w:id="982" w:name="_Toc319439931"/>
      <w:bookmarkStart w:id="983" w:name="_Toc307564882"/>
      <w:bookmarkStart w:id="984" w:name="_Toc307501136"/>
      <w:bookmarkStart w:id="985" w:name="_Toc327196317"/>
      <w:bookmarkStart w:id="986" w:name="_Toc17884"/>
      <w:bookmarkStart w:id="987" w:name="_Toc21759"/>
      <w:r>
        <w:rPr>
          <w:rFonts w:hint="eastAsia" w:cs="宋体" w:asciiTheme="minorEastAsia" w:hAnsiTheme="minorEastAsia" w:eastAsiaTheme="minorEastAsia"/>
          <w:color w:val="auto"/>
          <w:w w:val="95"/>
          <w:highlight w:val="none"/>
        </w:rPr>
        <w:t>及其他类似效力要求</w:t>
      </w:r>
      <w:bookmarkEnd w:id="975"/>
      <w:bookmarkEnd w:id="976"/>
      <w:bookmarkEnd w:id="977"/>
      <w:bookmarkEnd w:id="978"/>
      <w:bookmarkEnd w:id="982"/>
      <w:bookmarkEnd w:id="983"/>
      <w:bookmarkEnd w:id="984"/>
      <w:bookmarkEnd w:id="985"/>
      <w:bookmarkEnd w:id="986"/>
      <w:bookmarkEnd w:id="987"/>
    </w:p>
    <w:bookmarkEnd w:id="979"/>
    <w:bookmarkEnd w:id="980"/>
    <w:bookmarkEnd w:id="981"/>
    <w:p>
      <w:pPr>
        <w:pStyle w:val="40"/>
        <w:numPr>
          <w:ilvl w:val="1"/>
          <w:numId w:val="11"/>
        </w:numPr>
        <w:ind w:left="0" w:firstLine="482"/>
        <w:rPr>
          <w:rFonts w:cs="宋体" w:asciiTheme="minorEastAsia" w:hAnsiTheme="minorEastAsia" w:eastAsiaTheme="minorEastAsia"/>
          <w:color w:val="auto"/>
          <w:highlight w:val="none"/>
          <w:lang w:val="zh-CN"/>
        </w:rPr>
      </w:pPr>
      <w:bookmarkStart w:id="988" w:name="_Toc9287"/>
      <w:bookmarkStart w:id="989" w:name="_Toc30456"/>
      <w:bookmarkStart w:id="990" w:name="_Toc18335"/>
      <w:bookmarkStart w:id="991" w:name="_Toc5268"/>
      <w:bookmarkStart w:id="992" w:name="_Toc14656"/>
      <w:bookmarkStart w:id="993" w:name="_Toc4824"/>
      <w:r>
        <w:rPr>
          <w:rFonts w:hint="eastAsia" w:cs="宋体" w:asciiTheme="minorEastAsia" w:hAnsiTheme="minorEastAsia" w:eastAsiaTheme="minorEastAsia"/>
          <w:color w:val="auto"/>
          <w:highlight w:val="none"/>
        </w:rPr>
        <w:t>投标人资格、资质性及其他类似效力要求</w:t>
      </w:r>
      <w:bookmarkEnd w:id="988"/>
      <w:bookmarkEnd w:id="989"/>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(一)</w:t>
      </w:r>
      <w:r>
        <w:rPr>
          <w:rFonts w:hint="eastAsia" w:cs="宋体" w:asciiTheme="minorEastAsia" w:hAnsiTheme="minorEastAsia" w:eastAsiaTheme="minorEastAsia"/>
          <w:color w:val="auto"/>
          <w:highlight w:val="none"/>
          <w:lang w:val="zh-CN"/>
        </w:rPr>
        <w:t>符合《中华人民共和国政府采购法》第二十二条规定的条件：</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s="宋体" w:asciiTheme="minorEastAsia" w:hAnsiTheme="minorEastAsia" w:eastAsiaTheme="minorEastAsia"/>
          <w:color w:val="auto"/>
          <w:highlight w:val="none"/>
        </w:rPr>
        <w:t>民事责任</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的能力；</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2.具有良好的商业信誉和健全的财务会计制度；</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3.具有履行合同所必需的设备和专业技术能力；</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s="宋体" w:asciiTheme="minorEastAsia" w:hAnsiTheme="minorEastAsia" w:eastAsiaTheme="minorEastAsia"/>
          <w:color w:val="auto"/>
          <w:highlight w:val="none"/>
        </w:rPr>
        <w:t>社会保障</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资金的良好记录；</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5.参加政府采购活动前三年内，在经营活动中没有重大违法记录；</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s="宋体" w:asciiTheme="minorEastAsia" w:hAnsiTheme="minorEastAsia" w:eastAsiaTheme="minorEastAsia"/>
          <w:color w:val="auto"/>
          <w:highlight w:val="none"/>
        </w:rPr>
        <w:t>行政法</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规规定的其他条件；</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w:t>
      </w:r>
      <w:r>
        <w:rPr>
          <w:rFonts w:hint="eastAsia" w:cs="宋体" w:asciiTheme="minorEastAsia" w:hAnsiTheme="minorEastAsia" w:eastAsiaTheme="minorEastAsia"/>
          <w:color w:val="auto"/>
          <w:highlight w:val="none"/>
          <w:lang w:val="zh-CN"/>
        </w:rPr>
        <w:t>落实政府采购政策需满足的资格要求：</w:t>
      </w:r>
    </w:p>
    <w:p>
      <w:pPr>
        <w:pStyle w:val="48"/>
        <w:spacing w:line="46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第一包：本项目投标人应以合同分包形式进行投标，且接受分包合同的中小企业承接的服务份额不低于采购项目预算总额的30%(且小微企业承接的服务份额比例不低于60%)。(中小企业投标除外)</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(三)</w:t>
      </w:r>
      <w:r>
        <w:rPr>
          <w:rFonts w:hint="eastAsia" w:cs="宋体" w:asciiTheme="minorEastAsia" w:hAnsiTheme="minorEastAsia" w:eastAsiaTheme="minorEastAsia"/>
          <w:color w:val="auto"/>
          <w:highlight w:val="none"/>
          <w:lang w:val="zh-CN"/>
        </w:rPr>
        <w:t>本项目的特定资格要求：</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lang w:val="zh-CN"/>
        </w:rPr>
        <w:t>第一包：投标人应具有国家测绘地理信息主管部门颁发的且在有效期内的甲级资质(专业范围需包含:①地理信息系统工程②摄影测量与遥感③地图编制。以上专业范围子项不限定)；</w:t>
      </w:r>
      <w:r>
        <w:rPr>
          <w:rFonts w:hint="eastAsia" w:cs="宋体" w:asciiTheme="minorEastAsia" w:hAnsiTheme="minorEastAsia" w:eastAsiaTheme="minorEastAsia"/>
          <w:color w:val="auto"/>
          <w:highlight w:val="none"/>
        </w:rPr>
        <w:t xml:space="preserve">    2、</w:t>
      </w:r>
      <w:r>
        <w:rPr>
          <w:rFonts w:hint="eastAsia" w:cs="宋体" w:asciiTheme="minorEastAsia" w:hAnsiTheme="minorEastAsia" w:eastAsiaTheme="minorEastAsia"/>
          <w:color w:val="auto"/>
          <w:highlight w:val="none"/>
          <w:lang w:val="zh-CN"/>
        </w:rPr>
        <w:t>第二包：</w:t>
      </w:r>
      <w:r>
        <w:rPr>
          <w:rFonts w:hint="eastAsia"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lang w:val="zh-CN"/>
        </w:rPr>
        <w:t>投标人应具有国家测绘地理信息主管部门颁发的且在有效期内的乙级</w:t>
      </w:r>
      <w:r>
        <w:rPr>
          <w:rFonts w:hint="eastAsia" w:cs="宋体" w:asciiTheme="minorEastAsia" w:hAnsiTheme="minorEastAsia" w:eastAsiaTheme="minorEastAsia"/>
          <w:color w:val="auto"/>
          <w:highlight w:val="none"/>
        </w:rPr>
        <w:t>及</w:t>
      </w:r>
      <w:r>
        <w:rPr>
          <w:rFonts w:hint="eastAsia" w:cs="宋体" w:asciiTheme="minorEastAsia" w:hAnsiTheme="minorEastAsia" w:eastAsiaTheme="minorEastAsia"/>
          <w:color w:val="auto"/>
          <w:highlight w:val="none"/>
          <w:lang w:val="zh-CN"/>
        </w:rPr>
        <w:t>以上资质(专业范围需包含:①地理信息系统工程②互联网地图服务③地图编制。以上专业范围子项不限定)；</w:t>
      </w: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供应商应具有省级及以上质量主管部门颁发的检验检测机构资质认定证书</w:t>
      </w:r>
      <w:r>
        <w:rPr>
          <w:rFonts w:hint="eastAsia" w:cs="仿宋" w:asciiTheme="minorEastAsia" w:hAnsiTheme="minorEastAsia" w:eastAsiaTheme="minorEastAsia"/>
          <w:bCs/>
          <w:color w:val="000000"/>
          <w:kern w:val="0"/>
          <w:highlight w:val="none"/>
        </w:rPr>
        <w:t>(</w:t>
      </w:r>
      <w:r>
        <w:rPr>
          <w:rFonts w:hint="eastAsia" w:cs="仿宋" w:asciiTheme="minorEastAsia" w:hAnsiTheme="minorEastAsia" w:eastAsiaTheme="minorEastAsia"/>
          <w:color w:val="000000"/>
          <w:kern w:val="0"/>
          <w:highlight w:val="none"/>
        </w:rPr>
        <w:t>证书附表</w:t>
      </w:r>
      <w:r>
        <w:rPr>
          <w:rFonts w:hint="eastAsia" w:cs="仿宋" w:asciiTheme="minorEastAsia" w:hAnsiTheme="minorEastAsia" w:eastAsiaTheme="minorEastAsia"/>
          <w:bCs/>
          <w:color w:val="000000"/>
          <w:kern w:val="0"/>
          <w:highlight w:val="none"/>
        </w:rPr>
        <w:t>需包含测绘类)</w:t>
      </w:r>
      <w:r>
        <w:rPr>
          <w:rFonts w:hint="eastAsia" w:cs="宋体" w:asciiTheme="minorEastAsia" w:hAnsiTheme="minorEastAsia" w:eastAsiaTheme="minorEastAsia"/>
          <w:color w:val="auto"/>
          <w:highlight w:val="none"/>
          <w:lang w:val="zh-CN"/>
        </w:rPr>
        <w:t>。</w:t>
      </w:r>
    </w:p>
    <w:p>
      <w:pPr>
        <w:pStyle w:val="48"/>
        <w:spacing w:line="460" w:lineRule="exact"/>
        <w:ind w:firstLine="480" w:firstLineChars="20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lang w:val="zh-CN"/>
        </w:rPr>
        <w:t>本项目不接受联合体投标</w:t>
      </w:r>
      <w:r>
        <w:rPr>
          <w:rFonts w:hint="eastAsia" w:cs="宋体" w:asciiTheme="minorEastAsia" w:hAnsiTheme="minorEastAsia" w:eastAsiaTheme="minorEastAsia"/>
          <w:color w:val="auto"/>
          <w:highlight w:val="none"/>
        </w:rPr>
        <w:t>。</w:t>
      </w:r>
    </w:p>
    <w:p>
      <w:pPr>
        <w:pStyle w:val="40"/>
        <w:numPr>
          <w:ilvl w:val="1"/>
          <w:numId w:val="11"/>
        </w:numPr>
        <w:ind w:left="0" w:firstLine="482"/>
        <w:rPr>
          <w:rFonts w:cs="宋体" w:asciiTheme="minorEastAsia" w:hAnsiTheme="minorEastAsia" w:eastAsiaTheme="minorEastAsia"/>
          <w:color w:val="auto"/>
          <w:highlight w:val="none"/>
        </w:rPr>
      </w:pPr>
      <w:bookmarkStart w:id="994" w:name="_Toc11178"/>
      <w:r>
        <w:rPr>
          <w:rFonts w:hint="eastAsia" w:cs="宋体" w:asciiTheme="minorEastAsia" w:hAnsiTheme="minorEastAsia" w:eastAsiaTheme="minorEastAsia"/>
          <w:color w:val="auto"/>
          <w:highlight w:val="none"/>
        </w:rPr>
        <w:t>投标产品的资格、资质性及其他类似效力要求</w:t>
      </w:r>
      <w:bookmarkEnd w:id="990"/>
      <w:bookmarkEnd w:id="991"/>
      <w:bookmarkEnd w:id="992"/>
      <w:bookmarkEnd w:id="993"/>
      <w:bookmarkEnd w:id="994"/>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无。</w:t>
      </w:r>
    </w:p>
    <w:p>
      <w:pPr>
        <w:pStyle w:val="40"/>
        <w:numPr>
          <w:ilvl w:val="1"/>
          <w:numId w:val="11"/>
        </w:numPr>
        <w:ind w:left="0" w:firstLine="482"/>
        <w:rPr>
          <w:rFonts w:cs="宋体" w:asciiTheme="minorEastAsia" w:hAnsiTheme="minorEastAsia" w:eastAsiaTheme="minorEastAsia"/>
          <w:color w:val="auto"/>
          <w:highlight w:val="none"/>
        </w:rPr>
      </w:pPr>
      <w:bookmarkStart w:id="995" w:name="_Toc18346"/>
      <w:bookmarkStart w:id="996" w:name="_Toc3740"/>
      <w:r>
        <w:rPr>
          <w:rFonts w:hint="eastAsia" w:cs="宋体" w:asciiTheme="minorEastAsia" w:hAnsiTheme="minorEastAsia" w:eastAsiaTheme="minorEastAsia"/>
          <w:color w:val="auto"/>
          <w:highlight w:val="none"/>
        </w:rPr>
        <w:t>其他类似效力要求</w:t>
      </w:r>
      <w:bookmarkEnd w:id="995"/>
      <w:bookmarkEnd w:id="996"/>
    </w:p>
    <w:p>
      <w:pPr>
        <w:pStyle w:val="38"/>
        <w:numPr>
          <w:ilvl w:val="1"/>
          <w:numId w:val="26"/>
        </w:numPr>
        <w:ind w:firstLine="48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投标供应商单位及其现任法定代表人、主要负责人不得具有行贿犯罪记录；</w:t>
      </w:r>
    </w:p>
    <w:p>
      <w:pPr>
        <w:pStyle w:val="38"/>
        <w:numPr>
          <w:ilvl w:val="1"/>
          <w:numId w:val="26"/>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lang w:val="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38"/>
        <w:numPr>
          <w:ilvl w:val="1"/>
          <w:numId w:val="26"/>
        </w:numPr>
        <w:ind w:firstLine="48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lang w:val="zh-CN"/>
        </w:rPr>
        <w:t>投标人代表不是法定代表人</w:t>
      </w:r>
      <w:r>
        <w:rPr>
          <w:rFonts w:hint="eastAsia" w:cs="宋体" w:asciiTheme="minorEastAsia" w:hAnsiTheme="minorEastAsia" w:eastAsiaTheme="minorEastAsia"/>
          <w:color w:val="auto"/>
          <w:highlight w:val="none"/>
        </w:rPr>
        <w:t>/单位负责人</w:t>
      </w:r>
      <w:r>
        <w:rPr>
          <w:rFonts w:hint="eastAsia" w:cs="宋体" w:asciiTheme="minorEastAsia" w:hAnsiTheme="minorEastAsia" w:eastAsiaTheme="minorEastAsia"/>
          <w:color w:val="auto"/>
          <w:highlight w:val="none"/>
          <w:lang w:val="zh-CN"/>
        </w:rPr>
        <w:t>时提供针对本次投标的法定代表人</w:t>
      </w:r>
      <w:r>
        <w:rPr>
          <w:rFonts w:hint="eastAsia" w:cs="宋体" w:asciiTheme="minorEastAsia" w:hAnsiTheme="minorEastAsia" w:eastAsiaTheme="minorEastAsia"/>
          <w:color w:val="auto"/>
          <w:highlight w:val="none"/>
        </w:rPr>
        <w:t>/单位负责人</w:t>
      </w:r>
      <w:r>
        <w:rPr>
          <w:rFonts w:hint="eastAsia" w:cs="宋体" w:asciiTheme="minorEastAsia" w:hAnsiTheme="minorEastAsia" w:eastAsiaTheme="minorEastAsia"/>
          <w:color w:val="auto"/>
          <w:highlight w:val="none"/>
          <w:lang w:val="zh-CN"/>
        </w:rPr>
        <w:t>授权书原件；</w:t>
      </w:r>
    </w:p>
    <w:p>
      <w:pPr>
        <w:pStyle w:val="38"/>
        <w:numPr>
          <w:ilvl w:val="1"/>
          <w:numId w:val="26"/>
        </w:numPr>
        <w:ind w:firstLine="480"/>
        <w:rPr>
          <w:rFonts w:cs="宋体" w:asciiTheme="minorEastAsia" w:hAnsiTheme="minorEastAsia" w:eastAsiaTheme="minorEastAsia"/>
          <w:color w:val="auto"/>
          <w:highlight w:val="none"/>
          <w:lang w:val="zh-CN"/>
        </w:rPr>
      </w:pPr>
      <w:r>
        <w:rPr>
          <w:rFonts w:hint="eastAsia" w:cs="宋体" w:asciiTheme="minorEastAsia" w:hAnsiTheme="minorEastAsia" w:eastAsiaTheme="minorEastAsia"/>
          <w:color w:val="auto"/>
          <w:highlight w:val="none"/>
        </w:rPr>
        <w:t>投标人代表是法定</w:t>
      </w:r>
      <w:r>
        <w:rPr>
          <w:rFonts w:hint="eastAsia" w:cs="宋体" w:asciiTheme="minorEastAsia" w:hAnsiTheme="minorEastAsia" w:eastAsiaTheme="minorEastAsia"/>
          <w:color w:val="auto"/>
          <w:highlight w:val="none"/>
          <w:lang w:val="zh-CN"/>
        </w:rPr>
        <w:t>代表人</w:t>
      </w:r>
      <w:r>
        <w:rPr>
          <w:rFonts w:hint="eastAsia" w:cs="宋体" w:asciiTheme="minorEastAsia" w:hAnsiTheme="minorEastAsia" w:eastAsiaTheme="minorEastAsia"/>
          <w:color w:val="auto"/>
          <w:highlight w:val="none"/>
        </w:rPr>
        <w:t>/单位负责人</w:t>
      </w:r>
      <w:r>
        <w:rPr>
          <w:rFonts w:hint="eastAsia" w:cs="宋体" w:asciiTheme="minorEastAsia" w:hAnsiTheme="minorEastAsia" w:eastAsiaTheme="minorEastAsia"/>
          <w:color w:val="auto"/>
          <w:highlight w:val="none"/>
          <w:lang w:val="zh-CN"/>
        </w:rPr>
        <w:t>时，</w:t>
      </w:r>
      <w:r>
        <w:rPr>
          <w:rFonts w:hint="eastAsia" w:cs="宋体" w:asciiTheme="minorEastAsia" w:hAnsiTheme="minorEastAsia" w:eastAsiaTheme="minorEastAsia"/>
          <w:color w:val="auto"/>
          <w:highlight w:val="none"/>
        </w:rPr>
        <w:t>提供法定代表人/单位负责人证明书原件。</w:t>
      </w:r>
    </w:p>
    <w:p>
      <w:pPr>
        <w:pStyle w:val="52"/>
        <w:ind w:firstLine="482"/>
        <w:rPr>
          <w:rFonts w:cs="宋体" w:asciiTheme="minorEastAsia" w:hAnsiTheme="minorEastAsia" w:eastAsiaTheme="minorEastAsia"/>
          <w:b/>
          <w:bCs/>
          <w:color w:val="auto"/>
          <w:highlight w:val="none"/>
        </w:rPr>
      </w:pPr>
      <w:bookmarkStart w:id="997" w:name="_Toc24888"/>
      <w:r>
        <w:rPr>
          <w:rFonts w:hint="eastAsia" w:cs="宋体" w:asciiTheme="minorEastAsia" w:hAnsiTheme="minorEastAsia" w:eastAsiaTheme="minorEastAsia"/>
          <w:b/>
          <w:bCs/>
          <w:color w:val="auto"/>
          <w:highlight w:val="none"/>
        </w:rPr>
        <w:t>注：供应商在前三年政府采购合同履约过程中及其他经营活动履约过程中未依法履约被有关部门处理的，本项目不认定其具有良好的商业信誉。若虚假响应，取消中标资格。</w:t>
      </w:r>
    </w:p>
    <w:p>
      <w:pPr>
        <w:pStyle w:val="52"/>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53"/>
        <w:ind w:firstLine="482"/>
        <w:rPr>
          <w:rFonts w:cs="宋体" w:asciiTheme="minorEastAsia" w:hAnsiTheme="minorEastAsia" w:eastAsiaTheme="minorEastAsia"/>
          <w:color w:val="auto"/>
          <w:highlight w:val="none"/>
        </w:rPr>
      </w:pPr>
    </w:p>
    <w:p>
      <w:pPr>
        <w:pStyle w:val="54"/>
        <w:numPr>
          <w:ilvl w:val="0"/>
          <w:numId w:val="11"/>
        </w:numPr>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End w:id="997"/>
      <w:bookmarkStart w:id="998" w:name="_Toc18196"/>
      <w:bookmarkStart w:id="999" w:name="_Toc22998"/>
      <w:bookmarkStart w:id="1000" w:name="_Toc29406"/>
      <w:r>
        <w:rPr>
          <w:rFonts w:hint="eastAsia" w:cs="宋体" w:asciiTheme="minorEastAsia" w:hAnsiTheme="minorEastAsia" w:eastAsiaTheme="minorEastAsia"/>
          <w:color w:val="auto"/>
          <w:highlight w:val="none"/>
        </w:rPr>
        <w:t>资格性审查</w:t>
      </w:r>
      <w:bookmarkEnd w:id="998"/>
      <w:r>
        <w:rPr>
          <w:rFonts w:hint="eastAsia" w:cs="宋体" w:asciiTheme="minorEastAsia" w:hAnsiTheme="minorEastAsia" w:eastAsiaTheme="minorEastAsia"/>
          <w:color w:val="auto"/>
          <w:highlight w:val="none"/>
        </w:rPr>
        <w:t>内容</w:t>
      </w:r>
      <w:bookmarkEnd w:id="999"/>
      <w:bookmarkEnd w:id="1000"/>
    </w:p>
    <w:p>
      <w:pPr>
        <w:pStyle w:val="40"/>
        <w:numPr>
          <w:ilvl w:val="1"/>
          <w:numId w:val="11"/>
        </w:numPr>
        <w:ind w:left="0" w:firstLine="482"/>
        <w:rPr>
          <w:rFonts w:cs="宋体" w:asciiTheme="minorEastAsia" w:hAnsiTheme="minorEastAsia" w:eastAsiaTheme="minorEastAsia"/>
          <w:color w:val="auto"/>
          <w:highlight w:val="none"/>
        </w:rPr>
      </w:pPr>
      <w:bookmarkStart w:id="1001" w:name="_Toc28265"/>
      <w:bookmarkStart w:id="1002" w:name="_Toc29338"/>
      <w:bookmarkStart w:id="1003" w:name="_Toc17175"/>
      <w:bookmarkStart w:id="1004" w:name="_Toc30344"/>
      <w:bookmarkStart w:id="1005" w:name="_Toc17621"/>
      <w:bookmarkStart w:id="1006" w:name="_Toc3107"/>
      <w:bookmarkStart w:id="1007" w:name="_Toc141"/>
      <w:bookmarkStart w:id="1008" w:name="_Toc10631"/>
      <w:bookmarkStart w:id="1009" w:name="_Toc20678"/>
      <w:bookmarkStart w:id="1010" w:name="_Toc32482"/>
      <w:r>
        <w:rPr>
          <w:rFonts w:hint="eastAsia" w:cs="宋体" w:asciiTheme="minorEastAsia" w:hAnsiTheme="minorEastAsia" w:eastAsiaTheme="minorEastAsia"/>
          <w:color w:val="auto"/>
          <w:highlight w:val="none"/>
        </w:rPr>
        <w:t>应当提供的投标人及投标产品资格、资质性及其他类似效力要求的相关证明材料</w:t>
      </w:r>
      <w:bookmarkEnd w:id="1001"/>
      <w:bookmarkEnd w:id="1002"/>
      <w:bookmarkEnd w:id="1003"/>
      <w:bookmarkEnd w:id="1004"/>
      <w:bookmarkEnd w:id="1005"/>
      <w:bookmarkEnd w:id="1006"/>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投标人具有独立承担民事责任的能力的证明材料；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注：1.以上证明材料应满足此条要求①发证机关有年检要求的，应按规定通过年检；②在有效期内；③复印件加盖投标人公章；</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3.根据国务院办公厅关于加快推进“多证合一”改革的指导意见(国办发〔2017〕41号)等政策要求，若资格要求涉及的登记、备案等有关事项和各类证照已实行多证合一提供多证合一证照副本复印件。</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投标人具有良好的商业信誉和健全的财务会计制度的证明材料；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1.投标人具有良好商业信誉的证明材料；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提供具有良好的商业信誉的承诺函。</w:t>
      </w:r>
    </w:p>
    <w:p>
      <w:pPr>
        <w:pStyle w:val="52"/>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2.投标人具有健全的财务会计制度的证明材料；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(1)投标人提供2019年度或2020年度经过会计师事务所审计的财务报告复印件(经审计的有效财务报告应包括报告及报告中所附的完整内容，并由注册会计师签名、盖章以及会计师事务所盖章)；</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(2)投标人提供2020年度投标人内部的财务报表复印件(至少包含资产负债表)；</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(3)投标人提供投标文件递交截止日前一年内银行为其出具的资信证明复印件；</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(4)投标人注册时间截至投标文件递交截止日不足一年的，可提供公司章程复印件；</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(5)投标人为事业单位或其他组织(不具备法人条件的组织，如合伙组织、个体工商户、农村承包经营户等)或自然人时，可提供承诺函；</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(6)提供具有健全的财务会计制度的承诺函。</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bCs/>
          <w:color w:val="auto"/>
          <w:highlight w:val="none"/>
        </w:rPr>
        <w:t>注：具有健全的财务会计制度的证明材料中第(1)-(6)项具有同等的投标效力，投标人可根据自身实际情况选择提供其中任意一项。</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投标人具有履行合同所必需的设备和专业技术能力证明材料；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提供具有履行合同所必需的设备和专业技术能力的承诺函。</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注：格式自拟，或参照《符合&lt;中华人民共和国政府采购法&gt;第二十二条规定的条件的承诺及声明函》的格式提供承诺函。</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投标人具有依法缴纳税收和社会保障资金的良好记录的证明材料；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w:t>
      </w:r>
      <w:r>
        <w:rPr>
          <w:rFonts w:hint="eastAsia" w:cs="宋体" w:asciiTheme="minorEastAsia" w:hAnsiTheme="minorEastAsia" w:eastAsiaTheme="minorEastAsia"/>
          <w:color w:val="auto"/>
          <w:highlight w:val="none"/>
          <w:lang w:val="zh-CN"/>
        </w:rPr>
        <w:t>依法缴纳税收和社会保障资金的良好记录</w:t>
      </w:r>
      <w:r>
        <w:rPr>
          <w:rFonts w:hint="eastAsia" w:cs="宋体" w:asciiTheme="minorEastAsia" w:hAnsiTheme="minorEastAsia" w:eastAsiaTheme="minorEastAsia"/>
          <w:color w:val="auto"/>
          <w:highlight w:val="none"/>
        </w:rPr>
        <w:t>的承诺函。</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注：格式自拟，或参照《符合&lt;中华人民共和国政府采购法&gt;第二十二条规定的条件的承诺及声明函》的格式提供承诺函。</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投标人参加政府采购活动前三年内，在经营活动中没有重大违法记录的证明材料；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提供参加本次政府采购活动前三年内，在经营活动中没有重大违法记录的书面声明(成立不足三年的，从成立之日起计算)。</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投标人</w:t>
      </w:r>
      <w:r>
        <w:rPr>
          <w:rFonts w:hint="eastAsia" w:cs="宋体" w:asciiTheme="minorEastAsia" w:hAnsiTheme="minorEastAsia" w:eastAsiaTheme="minorEastAsia"/>
          <w:b/>
          <w:bCs/>
          <w:color w:val="auto"/>
          <w:highlight w:val="none"/>
          <w:lang w:val="zh-CN"/>
        </w:rPr>
        <w:t>及其现任法定代表人、主要负责人不得具有行贿犯罪记录</w:t>
      </w:r>
      <w:r>
        <w:rPr>
          <w:rFonts w:hint="eastAsia" w:cs="宋体" w:asciiTheme="minorEastAsia" w:hAnsiTheme="minorEastAsia" w:eastAsiaTheme="minorEastAsia"/>
          <w:b/>
          <w:bCs/>
          <w:color w:val="auto"/>
          <w:highlight w:val="none"/>
        </w:rPr>
        <w:t>的证明材料</w:t>
      </w:r>
      <w:r>
        <w:rPr>
          <w:rFonts w:hint="eastAsia" w:cs="宋体" w:asciiTheme="minorEastAsia" w:hAnsiTheme="minorEastAsia" w:eastAsiaTheme="minorEastAsia"/>
          <w:b/>
          <w:bCs/>
          <w:color w:val="auto"/>
          <w:highlight w:val="none"/>
          <w:lang w:val="zh-CN"/>
        </w:rPr>
        <w:t>；</w:t>
      </w:r>
    </w:p>
    <w:p>
      <w:pPr>
        <w:pStyle w:val="53"/>
        <w:jc w:val="both"/>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1.在投标文件中作出投标人及其现任法定代表人(姓名和身份证号码)、主要负责人(姓名和身份证号码)10年内(</w:t>
      </w:r>
      <w:r>
        <w:rPr>
          <w:rFonts w:hint="eastAsia" w:cs="宋体" w:asciiTheme="minorEastAsia" w:hAnsiTheme="minorEastAsia" w:eastAsiaTheme="minorEastAsia"/>
          <w:b w:val="0"/>
          <w:bCs/>
          <w:color w:val="auto"/>
          <w:highlight w:val="none"/>
          <w:lang w:val="zh-CN"/>
        </w:rPr>
        <w:t>若</w:t>
      </w:r>
      <w:r>
        <w:rPr>
          <w:rFonts w:hint="eastAsia" w:cs="宋体" w:asciiTheme="minorEastAsia" w:hAnsiTheme="minorEastAsia" w:eastAsiaTheme="minorEastAsia"/>
          <w:b w:val="0"/>
          <w:bCs/>
          <w:color w:val="auto"/>
          <w:highlight w:val="none"/>
        </w:rPr>
        <w:t>供应商</w:t>
      </w:r>
      <w:r>
        <w:rPr>
          <w:rFonts w:hint="eastAsia" w:cs="宋体" w:asciiTheme="minorEastAsia" w:hAnsiTheme="minorEastAsia" w:eastAsiaTheme="minorEastAsia"/>
          <w:b w:val="0"/>
          <w:bCs/>
          <w:color w:val="auto"/>
          <w:highlight w:val="none"/>
          <w:lang w:val="zh-CN"/>
        </w:rPr>
        <w:t>成立不足10年的，</w:t>
      </w:r>
      <w:r>
        <w:rPr>
          <w:rFonts w:hint="eastAsia" w:cs="宋体" w:asciiTheme="minorEastAsia" w:hAnsiTheme="minorEastAsia" w:eastAsiaTheme="minorEastAsia"/>
          <w:b w:val="0"/>
          <w:bCs/>
          <w:color w:val="auto"/>
          <w:highlight w:val="none"/>
        </w:rPr>
        <w:t>承诺期限为</w:t>
      </w:r>
      <w:r>
        <w:rPr>
          <w:rFonts w:hint="eastAsia" w:cs="宋体" w:asciiTheme="minorEastAsia" w:hAnsiTheme="minorEastAsia" w:eastAsiaTheme="minorEastAsia"/>
          <w:b w:val="0"/>
          <w:bCs/>
          <w:color w:val="auto"/>
          <w:highlight w:val="none"/>
          <w:lang w:val="zh-CN"/>
        </w:rPr>
        <w:t>成立之日起</w:t>
      </w:r>
      <w:r>
        <w:rPr>
          <w:rFonts w:hint="eastAsia" w:cs="宋体" w:asciiTheme="minorEastAsia" w:hAnsiTheme="minorEastAsia" w:eastAsiaTheme="minorEastAsia"/>
          <w:b w:val="0"/>
          <w:bCs/>
          <w:color w:val="auto"/>
          <w:highlight w:val="none"/>
        </w:rPr>
        <w:t>至今)无行贿犯罪记录的承诺；</w:t>
      </w:r>
    </w:p>
    <w:p>
      <w:pPr>
        <w:pStyle w:val="53"/>
        <w:jc w:val="both"/>
        <w:rPr>
          <w:rFonts w:cs="宋体" w:asciiTheme="minorEastAsia" w:hAnsiTheme="minorEastAsia" w:eastAsiaTheme="minorEastAsia"/>
          <w:b w:val="0"/>
          <w:bCs/>
          <w:color w:val="auto"/>
          <w:highlight w:val="none"/>
          <w:lang w:val="zh-CN"/>
        </w:rPr>
      </w:pPr>
      <w:r>
        <w:rPr>
          <w:rFonts w:hint="eastAsia" w:cs="宋体" w:asciiTheme="minorEastAsia" w:hAnsiTheme="minorEastAsia" w:eastAsiaTheme="minorEastAsia"/>
          <w:b w:val="0"/>
          <w:bCs/>
          <w:color w:val="auto"/>
          <w:highlight w:val="none"/>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cs="宋体" w:asciiTheme="minorEastAsia" w:hAnsiTheme="minorEastAsia" w:eastAsiaTheme="minorEastAsia"/>
          <w:b w:val="0"/>
          <w:bCs/>
          <w:color w:val="auto"/>
          <w:highlight w:val="none"/>
          <w:lang w:val="zh-CN"/>
        </w:rPr>
        <w:t>。</w:t>
      </w:r>
    </w:p>
    <w:p>
      <w:pPr>
        <w:pStyle w:val="69"/>
        <w:numPr>
          <w:ilvl w:val="3"/>
          <w:numId w:val="0"/>
        </w:numPr>
        <w:ind w:firstLine="48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注：①投标人采用提供承诺函方式响应的，其内容必须符合上述第1款的要求，否则将视为无效承诺；②如投标人未提供有效承诺函，且未</w:t>
      </w:r>
      <w:r>
        <w:rPr>
          <w:rFonts w:hint="eastAsia" w:cs="宋体" w:asciiTheme="minorEastAsia" w:hAnsiTheme="minorEastAsia" w:eastAsiaTheme="minorEastAsia"/>
          <w:b/>
          <w:color w:val="auto"/>
          <w:highlight w:val="none"/>
        </w:rPr>
        <w:t>在投标文件中书面载明</w:t>
      </w:r>
      <w:r>
        <w:rPr>
          <w:rFonts w:hint="eastAsia" w:cs="宋体" w:asciiTheme="minorEastAsia" w:hAnsiTheme="minorEastAsia" w:eastAsiaTheme="minorEastAsia"/>
          <w:b/>
          <w:bCs/>
          <w:color w:val="auto"/>
          <w:highlight w:val="none"/>
        </w:rPr>
        <w:t>其“现任法定代表人”(姓名和身份证号码)、“主要负责人”(姓名和身份证号码)信息的，将被视为无效投标。</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 xml:space="preserve">投标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 </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通过“信用中国”网站、“中国政府采购网”等渠道对供应商进行信用记录查询，并将查询记录存档。凡被列入失信被执行人、重大税收违法案件当事人名单、政府采购严重违法失信行为记录名单的，视为存在不良信用记录，参与本项目的将被拒绝；</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注：投标人参与投标时无需对此条进行响应。</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法定代表人/单位负责人授权书原件；</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注：①附法定代表人/单位负责人和被授权人身份证正反面复印件；②法定代表人/单位负责人亲自参与投标时不需要提供。</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法定代表人/单位负责人证明书；</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注：①附法定代表人/单位负责人身份证正反面复印件；②法定代表人/单位负责人亲自参加投标时提供本证明书。</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s="宋体" w:asciiTheme="minorEastAsia" w:hAnsiTheme="minorEastAsia" w:eastAsiaTheme="minorEastAsia"/>
          <w:b/>
          <w:bCs/>
          <w:color w:val="auto"/>
          <w:highlight w:val="none"/>
        </w:rPr>
        <w:t>行政法</w:t>
      </w:r>
      <w:r>
        <w:rPr>
          <w:rFonts w:hint="eastAsia" w:cs="宋体" w:asciiTheme="minorEastAsia" w:hAnsiTheme="minorEastAsia" w:eastAsiaTheme="minorEastAsia"/>
          <w:b/>
          <w:bCs/>
          <w:color w:val="auto"/>
          <w:highlight w:val="none"/>
        </w:rPr>
        <w:fldChar w:fldCharType="end"/>
      </w:r>
      <w:r>
        <w:rPr>
          <w:rFonts w:hint="eastAsia" w:cs="宋体" w:asciiTheme="minorEastAsia" w:hAnsiTheme="minorEastAsia" w:eastAsiaTheme="minorEastAsia"/>
          <w:b/>
          <w:bCs/>
          <w:color w:val="auto"/>
          <w:highlight w:val="none"/>
        </w:rPr>
        <w:t>规规定的其他条件的证明材料；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提供符合法律、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s="宋体" w:asciiTheme="minorEastAsia" w:hAnsiTheme="minorEastAsia" w:eastAsiaTheme="minorEastAsia"/>
          <w:color w:val="auto"/>
          <w:highlight w:val="none"/>
        </w:rPr>
        <w:t>行政法</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规规定的其他条件的承诺函。</w:t>
      </w:r>
    </w:p>
    <w:p>
      <w:pPr>
        <w:pStyle w:val="38"/>
        <w:numPr>
          <w:ilvl w:val="1"/>
          <w:numId w:val="27"/>
        </w:numPr>
        <w:ind w:firstLine="48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根据采购项目的特殊要求，规定供应商的特定条件的证明材料；</w:t>
      </w:r>
    </w:p>
    <w:p>
      <w:pPr>
        <w:pStyle w:val="48"/>
        <w:spacing w:line="460" w:lineRule="exact"/>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1、</w:t>
      </w:r>
      <w:r>
        <w:rPr>
          <w:rFonts w:hint="eastAsia" w:cs="宋体" w:asciiTheme="minorEastAsia" w:hAnsiTheme="minorEastAsia" w:eastAsiaTheme="minorEastAsia"/>
          <w:color w:val="000000" w:themeColor="text1"/>
          <w:highlight w:val="none"/>
          <w:lang w:val="zh-CN"/>
          <w14:textFill>
            <w14:solidFill>
              <w14:schemeClr w14:val="tx1"/>
            </w14:solidFill>
          </w14:textFill>
        </w:rPr>
        <w:t>第一包：投标人</w:t>
      </w:r>
      <w:r>
        <w:rPr>
          <w:rFonts w:hint="eastAsia" w:cs="宋体" w:asciiTheme="minorEastAsia" w:hAnsiTheme="minorEastAsia" w:eastAsiaTheme="minorEastAsia"/>
          <w:color w:val="000000" w:themeColor="text1"/>
          <w:highlight w:val="none"/>
          <w14:textFill>
            <w14:solidFill>
              <w14:schemeClr w14:val="tx1"/>
            </w14:solidFill>
          </w14:textFill>
        </w:rPr>
        <w:t>提供</w:t>
      </w:r>
      <w:r>
        <w:rPr>
          <w:rFonts w:hint="eastAsia" w:cs="宋体" w:asciiTheme="minorEastAsia" w:hAnsiTheme="minorEastAsia" w:eastAsiaTheme="minorEastAsia"/>
          <w:color w:val="000000" w:themeColor="text1"/>
          <w:highlight w:val="none"/>
          <w:lang w:val="zh-CN"/>
          <w14:textFill>
            <w14:solidFill>
              <w14:schemeClr w14:val="tx1"/>
            </w14:solidFill>
          </w14:textFill>
        </w:rPr>
        <w:t>国家测绘地理信息主管部门颁发的且在有效期内的甲级资质</w:t>
      </w:r>
      <w:r>
        <w:rPr>
          <w:rFonts w:hint="eastAsia" w:cs="宋体" w:asciiTheme="minorEastAsia" w:hAnsiTheme="minorEastAsia" w:eastAsiaTheme="minorEastAsia"/>
          <w:color w:val="000000" w:themeColor="text1"/>
          <w:highlight w:val="none"/>
          <w14:textFill>
            <w14:solidFill>
              <w14:schemeClr w14:val="tx1"/>
            </w14:solidFill>
          </w14:textFill>
        </w:rPr>
        <w:t>证书复印件</w:t>
      </w:r>
      <w:r>
        <w:rPr>
          <w:rFonts w:hint="eastAsia" w:cs="宋体" w:asciiTheme="minorEastAsia" w:hAnsiTheme="minorEastAsia" w:eastAsiaTheme="minorEastAsia"/>
          <w:color w:val="000000" w:themeColor="text1"/>
          <w:highlight w:val="none"/>
          <w:lang w:val="zh-CN"/>
          <w14:textFill>
            <w14:solidFill>
              <w14:schemeClr w14:val="tx1"/>
            </w14:solidFill>
          </w14:textFill>
        </w:rPr>
        <w:t>(专业范围需包含:①地理信息系统工程②摄影测量与遥感③地图编制。以上专业范围子项不限定)；</w:t>
      </w:r>
      <w:r>
        <w:rPr>
          <w:rFonts w:hint="eastAsia" w:cs="宋体" w:asciiTheme="minorEastAsia" w:hAnsiTheme="minorEastAsia" w:eastAsiaTheme="minorEastAsia"/>
          <w:color w:val="000000" w:themeColor="text1"/>
          <w:highlight w:val="none"/>
          <w14:textFill>
            <w14:solidFill>
              <w14:schemeClr w14:val="tx1"/>
            </w14:solidFill>
          </w14:textFill>
        </w:rPr>
        <w:t xml:space="preserve"> </w:t>
      </w:r>
    </w:p>
    <w:p>
      <w:pPr>
        <w:pStyle w:val="48"/>
        <w:spacing w:line="460" w:lineRule="exact"/>
        <w:ind w:firstLine="480" w:firstLineChars="200"/>
        <w:rPr>
          <w:rFonts w:cs="仿宋" w:asciiTheme="minorEastAsia" w:hAnsiTheme="minorEastAsia" w:eastAsiaTheme="minorEastAsia"/>
          <w:bCs/>
          <w:color w:val="000000" w:themeColor="text1"/>
          <w:kern w:val="0"/>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w:t>
      </w:r>
      <w:r>
        <w:rPr>
          <w:rFonts w:hint="eastAsia" w:cs="宋体" w:asciiTheme="minorEastAsia" w:hAnsiTheme="minorEastAsia" w:eastAsiaTheme="minorEastAsia"/>
          <w:color w:val="000000" w:themeColor="text1"/>
          <w:highlight w:val="none"/>
          <w:lang w:val="zh-CN"/>
          <w14:textFill>
            <w14:solidFill>
              <w14:schemeClr w14:val="tx1"/>
            </w14:solidFill>
          </w14:textFill>
        </w:rPr>
        <w:t>第二包：</w:t>
      </w:r>
      <w:r>
        <w:rPr>
          <w:rFonts w:hint="eastAsia" w:cs="宋体" w:asciiTheme="minorEastAsia" w:hAnsiTheme="minorEastAsia" w:eastAsiaTheme="minorEastAsia"/>
          <w:color w:val="000000" w:themeColor="text1"/>
          <w:highlight w:val="none"/>
          <w14:textFill>
            <w14:solidFill>
              <w14:schemeClr w14:val="tx1"/>
            </w14:solidFill>
          </w14:textFill>
        </w:rPr>
        <w:t>(1)</w:t>
      </w:r>
      <w:r>
        <w:rPr>
          <w:rFonts w:hint="eastAsia" w:cs="宋体" w:asciiTheme="minorEastAsia" w:hAnsiTheme="minorEastAsia" w:eastAsiaTheme="minorEastAsia"/>
          <w:color w:val="000000" w:themeColor="text1"/>
          <w:highlight w:val="none"/>
          <w:lang w:val="zh-CN"/>
          <w14:textFill>
            <w14:solidFill>
              <w14:schemeClr w14:val="tx1"/>
            </w14:solidFill>
          </w14:textFill>
        </w:rPr>
        <w:t>投标人</w:t>
      </w:r>
      <w:r>
        <w:rPr>
          <w:rFonts w:hint="eastAsia" w:cs="宋体" w:asciiTheme="minorEastAsia" w:hAnsiTheme="minorEastAsia" w:eastAsiaTheme="minorEastAsia"/>
          <w:color w:val="000000" w:themeColor="text1"/>
          <w:highlight w:val="none"/>
          <w14:textFill>
            <w14:solidFill>
              <w14:schemeClr w14:val="tx1"/>
            </w14:solidFill>
          </w14:textFill>
        </w:rPr>
        <w:t>提供</w:t>
      </w:r>
      <w:r>
        <w:rPr>
          <w:rFonts w:hint="eastAsia" w:cs="宋体" w:asciiTheme="minorEastAsia" w:hAnsiTheme="minorEastAsia" w:eastAsiaTheme="minorEastAsia"/>
          <w:color w:val="000000" w:themeColor="text1"/>
          <w:highlight w:val="none"/>
          <w:lang w:val="zh-CN"/>
          <w14:textFill>
            <w14:solidFill>
              <w14:schemeClr w14:val="tx1"/>
            </w14:solidFill>
          </w14:textFill>
        </w:rPr>
        <w:t>国家测绘地理信息主管部门颁发的且在有效期内的乙级</w:t>
      </w:r>
      <w:r>
        <w:rPr>
          <w:rFonts w:hint="eastAsia" w:cs="宋体" w:asciiTheme="minorEastAsia" w:hAnsiTheme="minorEastAsia" w:eastAsiaTheme="minorEastAsia"/>
          <w:color w:val="000000" w:themeColor="text1"/>
          <w:highlight w:val="none"/>
          <w14:textFill>
            <w14:solidFill>
              <w14:schemeClr w14:val="tx1"/>
            </w14:solidFill>
          </w14:textFill>
        </w:rPr>
        <w:t>及</w:t>
      </w:r>
      <w:r>
        <w:rPr>
          <w:rFonts w:hint="eastAsia" w:cs="宋体" w:asciiTheme="minorEastAsia" w:hAnsiTheme="minorEastAsia" w:eastAsiaTheme="minorEastAsia"/>
          <w:color w:val="000000" w:themeColor="text1"/>
          <w:highlight w:val="none"/>
          <w:lang w:val="zh-CN"/>
          <w14:textFill>
            <w14:solidFill>
              <w14:schemeClr w14:val="tx1"/>
            </w14:solidFill>
          </w14:textFill>
        </w:rPr>
        <w:t>以上资质</w:t>
      </w:r>
      <w:r>
        <w:rPr>
          <w:rFonts w:hint="eastAsia" w:cs="宋体" w:asciiTheme="minorEastAsia" w:hAnsiTheme="minorEastAsia" w:eastAsiaTheme="minorEastAsia"/>
          <w:color w:val="000000" w:themeColor="text1"/>
          <w:highlight w:val="none"/>
          <w14:textFill>
            <w14:solidFill>
              <w14:schemeClr w14:val="tx1"/>
            </w14:solidFill>
          </w14:textFill>
        </w:rPr>
        <w:t>证书复印件</w:t>
      </w:r>
      <w:r>
        <w:rPr>
          <w:rFonts w:hint="eastAsia" w:cs="宋体" w:asciiTheme="minorEastAsia" w:hAnsiTheme="minorEastAsia" w:eastAsiaTheme="minorEastAsia"/>
          <w:color w:val="000000" w:themeColor="text1"/>
          <w:highlight w:val="none"/>
          <w:lang w:val="zh-CN"/>
          <w14:textFill>
            <w14:solidFill>
              <w14:schemeClr w14:val="tx1"/>
            </w14:solidFill>
          </w14:textFill>
        </w:rPr>
        <w:t>(专业范围需包含:①地理信息系统工程②互联网地图服务③地图编制。以上专业范围子项不限定)；</w:t>
      </w:r>
      <w:r>
        <w:rPr>
          <w:rFonts w:hint="eastAsia" w:cs="宋体" w:asciiTheme="minorEastAsia" w:hAnsiTheme="minorEastAsia" w:eastAsiaTheme="minorEastAsia"/>
          <w:color w:val="000000" w:themeColor="text1"/>
          <w:highlight w:val="none"/>
          <w14:textFill>
            <w14:solidFill>
              <w14:schemeClr w14:val="tx1"/>
            </w14:solidFill>
          </w14:textFill>
        </w:rPr>
        <w:t>(2)</w:t>
      </w:r>
      <w:r>
        <w:rPr>
          <w:rFonts w:hint="eastAsia" w:cs="宋体" w:asciiTheme="minorEastAsia" w:hAnsiTheme="minorEastAsia" w:eastAsiaTheme="minorEastAsia"/>
          <w:color w:val="000000" w:themeColor="text1"/>
          <w:highlight w:val="none"/>
          <w:lang w:val="zh-CN"/>
          <w14:textFill>
            <w14:solidFill>
              <w14:schemeClr w14:val="tx1"/>
            </w14:solidFill>
          </w14:textFill>
        </w:rPr>
        <w:t>供应商应具有省级及以上质量主管部门颁发的检验检测机构资质认定证书</w:t>
      </w:r>
      <w:r>
        <w:rPr>
          <w:rFonts w:hint="eastAsia" w:cs="宋体" w:asciiTheme="minorEastAsia" w:hAnsiTheme="minorEastAsia" w:eastAsiaTheme="minorEastAsia"/>
          <w:color w:val="000000" w:themeColor="text1"/>
          <w:highlight w:val="none"/>
          <w14:textFill>
            <w14:solidFill>
              <w14:schemeClr w14:val="tx1"/>
            </w14:solidFill>
          </w14:textFill>
        </w:rPr>
        <w:t>复印件</w:t>
      </w:r>
      <w:r>
        <w:rPr>
          <w:rFonts w:hint="eastAsia" w:cs="仿宋" w:asciiTheme="minorEastAsia" w:hAnsiTheme="minorEastAsia" w:eastAsiaTheme="minorEastAsia"/>
          <w:bCs/>
          <w:color w:val="000000" w:themeColor="text1"/>
          <w:kern w:val="0"/>
          <w:highlight w:val="none"/>
          <w14:textFill>
            <w14:solidFill>
              <w14:schemeClr w14:val="tx1"/>
            </w14:solidFill>
          </w14:textFill>
        </w:rPr>
        <w:t>(</w:t>
      </w:r>
      <w:r>
        <w:rPr>
          <w:rFonts w:hint="eastAsia" w:cs="仿宋" w:asciiTheme="minorEastAsia" w:hAnsiTheme="minorEastAsia" w:eastAsiaTheme="minorEastAsia"/>
          <w:color w:val="000000" w:themeColor="text1"/>
          <w:kern w:val="0"/>
          <w:highlight w:val="none"/>
          <w14:textFill>
            <w14:solidFill>
              <w14:schemeClr w14:val="tx1"/>
            </w14:solidFill>
          </w14:textFill>
        </w:rPr>
        <w:t>证书附表</w:t>
      </w:r>
      <w:r>
        <w:rPr>
          <w:rFonts w:hint="eastAsia" w:cs="仿宋" w:asciiTheme="minorEastAsia" w:hAnsiTheme="minorEastAsia" w:eastAsiaTheme="minorEastAsia"/>
          <w:bCs/>
          <w:color w:val="000000" w:themeColor="text1"/>
          <w:kern w:val="0"/>
          <w:highlight w:val="none"/>
          <w14:textFill>
            <w14:solidFill>
              <w14:schemeClr w14:val="tx1"/>
            </w14:solidFill>
          </w14:textFill>
        </w:rPr>
        <w:t>需包含测绘类)。</w:t>
      </w:r>
    </w:p>
    <w:p>
      <w:pPr>
        <w:pStyle w:val="48"/>
        <w:spacing w:line="460" w:lineRule="exact"/>
        <w:ind w:firstLine="480" w:firstLineChars="200"/>
        <w:rPr>
          <w:rFonts w:cs="仿宋" w:asciiTheme="minorEastAsia" w:hAnsiTheme="minorEastAsia" w:eastAsiaTheme="minorEastAsia"/>
          <w:bCs/>
          <w:color w:val="000000" w:themeColor="text1"/>
          <w:kern w:val="0"/>
          <w:highlight w:val="none"/>
          <w14:textFill>
            <w14:solidFill>
              <w14:schemeClr w14:val="tx1"/>
            </w14:solidFill>
          </w14:textFill>
        </w:rPr>
      </w:pPr>
      <w:r>
        <w:rPr>
          <w:rFonts w:hint="eastAsia" w:cs="仿宋" w:asciiTheme="minorEastAsia" w:hAnsiTheme="minorEastAsia" w:eastAsiaTheme="minorEastAsia"/>
          <w:bCs/>
          <w:color w:val="000000" w:themeColor="text1"/>
          <w:kern w:val="0"/>
          <w:highlight w:val="none"/>
          <w14:textFill>
            <w14:solidFill>
              <w14:schemeClr w14:val="tx1"/>
            </w14:solidFill>
          </w14:textFill>
        </w:rPr>
        <w:t>3、</w:t>
      </w:r>
      <w:r>
        <w:rPr>
          <w:rFonts w:hint="eastAsia" w:cs="宋体" w:asciiTheme="minorEastAsia" w:hAnsiTheme="minorEastAsia" w:eastAsiaTheme="minorEastAsia"/>
          <w:color w:val="auto"/>
          <w:highlight w:val="none"/>
        </w:rPr>
        <w:t>提供未与其他投标人组成联合体参与本项目投标的承诺函。</w:t>
      </w:r>
    </w:p>
    <w:p>
      <w:pPr>
        <w:pStyle w:val="39"/>
        <w:ind w:firstLine="482" w:firstLineChars="200"/>
        <w:rPr>
          <w:rFonts w:cs="宋体" w:asciiTheme="minorEastAsia" w:hAnsiTheme="minorEastAsia" w:eastAsiaTheme="minorEastAsia"/>
          <w:b/>
          <w:bCs/>
          <w:color w:val="000000" w:themeColor="text1"/>
          <w:highlight w:val="none"/>
          <w:lang w:val="zh-CN"/>
          <w14:textFill>
            <w14:solidFill>
              <w14:schemeClr w14:val="tx1"/>
            </w14:solidFill>
          </w14:textFill>
        </w:rPr>
      </w:pPr>
      <w:r>
        <w:rPr>
          <w:rFonts w:hint="eastAsia" w:cs="宋体" w:asciiTheme="minorEastAsia" w:hAnsiTheme="minorEastAsia" w:eastAsiaTheme="minorEastAsia"/>
          <w:b/>
          <w:bCs/>
          <w:color w:val="000000" w:themeColor="text1"/>
          <w:highlight w:val="none"/>
          <w14:textFill>
            <w14:solidFill>
              <w14:schemeClr w14:val="tx1"/>
            </w14:solidFill>
          </w14:textFill>
        </w:rPr>
        <w:t>(十二)</w:t>
      </w:r>
      <w:r>
        <w:rPr>
          <w:rFonts w:hint="eastAsia" w:cs="宋体" w:asciiTheme="minorEastAsia" w:hAnsiTheme="minorEastAsia" w:eastAsiaTheme="minorEastAsia"/>
          <w:b/>
          <w:bCs/>
          <w:color w:val="000000" w:themeColor="text1"/>
          <w:highlight w:val="none"/>
          <w:lang w:val="zh-CN"/>
          <w14:textFill>
            <w14:solidFill>
              <w14:schemeClr w14:val="tx1"/>
            </w14:solidFill>
          </w14:textFill>
        </w:rPr>
        <w:t>落实政府采购政策需满足的资格要求：</w:t>
      </w:r>
    </w:p>
    <w:p>
      <w:pPr>
        <w:pStyle w:val="39"/>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第一包：本项目投标人应以合同分包形式进行投标，且接受分包合同的中小企业承接的服务份额不低于采购项目预算总额的30%(且小微企业承接的服务份额比例不低于60%)，投标人提供分包意向协议原件。注：第一包投标供应商为中小企业的，根据自身实际情况按照第三章投标文件格式第一部分格式10至12自行选择提供，其效力与此条相同。</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备注：①以上承诺及声明函可参照第三章投标文件格式中相关格式或自拟格式填写均有效。</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②以上要求提供的相关证明材料须加盖投标人公章，否则其资格审查作未通过处理。</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③本项目资格审查仅限于本章涉及的所有内容，若供应商未按照以上要求提供齐全，其资格审查作未通过处理。</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④投标人应对其所提供的资格证明材料来源的合法性、真实性承担法律责任。</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⑤以上要求提供的相关证明材料应当结合采购项目具体情况和投标人的组织机构性质确定，不得一概而论。</w:t>
      </w:r>
    </w:p>
    <w:p>
      <w:pPr>
        <w:pStyle w:val="40"/>
        <w:numPr>
          <w:ilvl w:val="1"/>
          <w:numId w:val="11"/>
        </w:numPr>
        <w:ind w:left="0" w:firstLine="482"/>
        <w:rPr>
          <w:rFonts w:cs="宋体" w:asciiTheme="minorEastAsia" w:hAnsiTheme="minorEastAsia" w:eastAsiaTheme="minorEastAsia"/>
          <w:color w:val="auto"/>
          <w:highlight w:val="none"/>
        </w:rPr>
      </w:pPr>
      <w:bookmarkStart w:id="1011" w:name="_Toc12943"/>
      <w:bookmarkStart w:id="1012" w:name="_Toc14213"/>
      <w:r>
        <w:rPr>
          <w:rFonts w:hint="eastAsia" w:cs="宋体" w:asciiTheme="minorEastAsia" w:hAnsiTheme="minorEastAsia" w:eastAsiaTheme="minorEastAsia"/>
          <w:color w:val="auto"/>
          <w:highlight w:val="none"/>
        </w:rPr>
        <w:t>审查程序</w:t>
      </w:r>
      <w:bookmarkEnd w:id="1007"/>
      <w:bookmarkEnd w:id="1008"/>
      <w:bookmarkEnd w:id="1009"/>
      <w:bookmarkEnd w:id="1011"/>
      <w:bookmarkEnd w:id="1012"/>
    </w:p>
    <w:p>
      <w:pPr>
        <w:pStyle w:val="38"/>
        <w:numPr>
          <w:ilvl w:val="1"/>
          <w:numId w:val="2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根据《政府采购货物和服务招标投标管理办法》(财政部令第87号)第四十四条对投标人的资格进行审查。</w:t>
      </w:r>
    </w:p>
    <w:p>
      <w:pPr>
        <w:pStyle w:val="38"/>
        <w:numPr>
          <w:ilvl w:val="1"/>
          <w:numId w:val="2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本项目由采购人或者采购代理机构依法对投标人的资格进行审查，并出具书面的资格性审查结果。</w:t>
      </w:r>
    </w:p>
    <w:p>
      <w:pPr>
        <w:pStyle w:val="38"/>
        <w:numPr>
          <w:ilvl w:val="1"/>
          <w:numId w:val="2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合格投标人不足3家的，不得评标。</w:t>
      </w:r>
    </w:p>
    <w:p>
      <w:pPr>
        <w:pStyle w:val="48"/>
        <w:rPr>
          <w:rFonts w:cs="宋体" w:asciiTheme="minorEastAsia" w:hAnsiTheme="minorEastAsia" w:eastAsiaTheme="minorEastAsia"/>
          <w:color w:val="auto"/>
          <w:highlight w:val="none"/>
        </w:rPr>
      </w:pPr>
    </w:p>
    <w:p>
      <w:pPr>
        <w:pStyle w:val="54"/>
        <w:numPr>
          <w:ilvl w:val="0"/>
          <w:numId w:val="11"/>
        </w:numPr>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End w:id="1010"/>
      <w:bookmarkStart w:id="1013" w:name="_Toc5955"/>
      <w:bookmarkStart w:id="1014" w:name="_Toc14530"/>
      <w:bookmarkStart w:id="1015" w:name="_Toc11168"/>
      <w:r>
        <w:rPr>
          <w:rFonts w:hint="eastAsia" w:cs="宋体" w:asciiTheme="minorEastAsia" w:hAnsiTheme="minorEastAsia" w:eastAsiaTheme="minorEastAsia"/>
          <w:color w:val="auto"/>
          <w:highlight w:val="none"/>
        </w:rPr>
        <w:t>招标项目技术、服务、政府采购合同内容条款及其他商务要求</w:t>
      </w:r>
      <w:bookmarkEnd w:id="1013"/>
      <w:bookmarkEnd w:id="1014"/>
      <w:bookmarkEnd w:id="1015"/>
    </w:p>
    <w:p>
      <w:pPr>
        <w:pStyle w:val="2"/>
        <w:spacing w:line="520" w:lineRule="exact"/>
        <w:rPr>
          <w:rFonts w:cs="宋体" w:asciiTheme="minorEastAsia" w:hAnsiTheme="minorEastAsia" w:eastAsiaTheme="minorEastAsia"/>
          <w:color w:val="auto"/>
          <w:sz w:val="24"/>
          <w:highlight w:val="none"/>
        </w:rPr>
      </w:pPr>
      <w:bookmarkStart w:id="1016" w:name="_Toc29262"/>
      <w:bookmarkStart w:id="1017" w:name="_Toc1684"/>
      <w:bookmarkStart w:id="1018" w:name="_Toc27469"/>
      <w:bookmarkStart w:id="1019" w:name="_Toc28932"/>
      <w:bookmarkStart w:id="1020" w:name="_Toc308188201"/>
      <w:bookmarkStart w:id="1021" w:name="_Toc32159"/>
      <w:bookmarkStart w:id="1022" w:name="_Toc307501157"/>
      <w:bookmarkStart w:id="1023" w:name="_Toc307564899"/>
      <w:bookmarkStart w:id="1024" w:name="_Toc319439948"/>
      <w:bookmarkStart w:id="1025" w:name="_Toc319440192"/>
      <w:bookmarkStart w:id="1026" w:name="_Toc327196343"/>
      <w:bookmarkStart w:id="1027" w:name="_Toc23360"/>
      <w:bookmarkStart w:id="1028" w:name="_Toc308084648"/>
      <w:bookmarkStart w:id="1029" w:name="_Toc309897566"/>
      <w:bookmarkStart w:id="1030" w:name="_Toc12025"/>
      <w:bookmarkStart w:id="1031" w:name="_Toc29864"/>
      <w:bookmarkStart w:id="1032" w:name="_Toc1839"/>
      <w:bookmarkStart w:id="1033" w:name="_Toc1541"/>
      <w:bookmarkStart w:id="1034" w:name="_Toc217446060"/>
      <w:bookmarkStart w:id="1035" w:name="_Toc217446099"/>
      <w:r>
        <w:rPr>
          <w:rFonts w:hint="eastAsia" w:cs="宋体" w:asciiTheme="minorEastAsia" w:hAnsiTheme="minorEastAsia" w:eastAsiaTheme="minorEastAsia"/>
          <w:color w:val="auto"/>
          <w:sz w:val="24"/>
          <w:highlight w:val="none"/>
        </w:rPr>
        <w:t>一、项目概述</w:t>
      </w:r>
      <w:bookmarkEnd w:id="1016"/>
    </w:p>
    <w:p>
      <w:pPr>
        <w:pStyle w:val="14"/>
        <w:spacing w:after="0"/>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(一)工作背景</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2020年，为满足机构改革后经济社会发展和自然资源管理需求，提升地理实体和地理国情数据库应用价值，避免重复建设，成都市规划和自然资源局在已有各类基础地理数据资源基础上，对地理国情数据和地理实体数据进行了融合改造，并结合民政部门、交通部门、水务部门专题信息扩充实体类型、完善实体结构、深化实体应用，建成了二维地理实体数据库。</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为顺应新型基础测绘发展形势，实现成都市二维地理实体数据库的持续更新，以及探索构建三维地理实体数据和全要素地理信息服务模式，实现天地图省市级节点的对接和融合，同时对数据成果进行质量控制，成都市规划和自然资源局拟采购地理实体数据和电子地图数据生产更新及检验入库服务，以实现地理实体数据持续生产更新需求，从而为成都市域自然资源管理与应用、城市规划、建设及管理等各类应用提供基础数据支持。</w:t>
      </w:r>
    </w:p>
    <w:p>
      <w:pPr>
        <w:pStyle w:val="14"/>
        <w:spacing w:after="0"/>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(二)工作目标</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2021年,完善地理实体数据标准规范,利用DLG、DOM等多源数据对二维地理实体数据进行更新,在现有实景三维模型基础上开展成都三维地理实体试点建设,并深化成都市地理实体产品体系、分级分类、数据组织、应用方向等方面的研究，推动现有地理实体数据库向“一库多能、按需组装”的地理实体数据库转型，探索实现二三维一体化、地上地下一体化、空间属性一体化的全要素地理信息服务模式，并支撑省市天地图一体化建设，不断提升地理信息公共服务能力和水平。</w:t>
      </w:r>
    </w:p>
    <w:p>
      <w:pPr>
        <w:pStyle w:val="2"/>
        <w:spacing w:line="520" w:lineRule="exact"/>
        <w:rPr>
          <w:rFonts w:cs="宋体" w:asciiTheme="minorEastAsia" w:hAnsiTheme="minorEastAsia" w:eastAsiaTheme="minorEastAsia"/>
          <w:color w:val="auto"/>
          <w:sz w:val="24"/>
          <w:highlight w:val="none"/>
        </w:rPr>
      </w:pPr>
      <w:bookmarkStart w:id="1036" w:name="_Toc30493"/>
      <w:r>
        <w:rPr>
          <w:rFonts w:hint="eastAsia" w:cs="宋体" w:asciiTheme="minorEastAsia" w:hAnsiTheme="minorEastAsia" w:eastAsiaTheme="minorEastAsia"/>
          <w:color w:val="auto"/>
          <w:sz w:val="24"/>
          <w:highlight w:val="none"/>
        </w:rPr>
        <w:t>※二、技术、服务要求</w:t>
      </w:r>
      <w:bookmarkEnd w:id="1036"/>
    </w:p>
    <w:p>
      <w:pPr>
        <w:ind w:firstLine="482" w:firstLineChars="200"/>
        <w:outlineLvl w:val="2"/>
        <w:rPr>
          <w:rFonts w:cs="宋体" w:asciiTheme="minorEastAsia" w:hAnsiTheme="minorEastAsia" w:eastAsiaTheme="minorEastAsia"/>
          <w:b/>
          <w:color w:val="auto"/>
          <w:highlight w:val="none"/>
        </w:rPr>
      </w:pPr>
      <w:bookmarkStart w:id="1037" w:name="_Toc4852"/>
      <w:r>
        <w:rPr>
          <w:rFonts w:hint="eastAsia" w:cs="宋体" w:asciiTheme="minorEastAsia" w:hAnsiTheme="minorEastAsia" w:eastAsiaTheme="minorEastAsia"/>
          <w:b/>
          <w:color w:val="auto"/>
          <w:highlight w:val="none"/>
        </w:rPr>
        <w:t>第一包：地理实体数据生产与更新</w:t>
      </w:r>
      <w:bookmarkEnd w:id="1037"/>
    </w:p>
    <w:p>
      <w:pPr>
        <w:ind w:firstLine="482" w:firstLineChars="200"/>
        <w:outlineLvl w:val="2"/>
        <w:rPr>
          <w:rFonts w:cs="宋体" w:asciiTheme="minorEastAsia" w:hAnsiTheme="minorEastAsia" w:eastAsiaTheme="minorEastAsia"/>
          <w:b/>
          <w:color w:val="auto"/>
          <w:highlight w:val="none"/>
        </w:rPr>
      </w:pPr>
      <w:bookmarkStart w:id="1038" w:name="_Toc22172"/>
      <w:r>
        <w:rPr>
          <w:rFonts w:cs="宋体" w:asciiTheme="minorEastAsia" w:hAnsiTheme="minorEastAsia" w:eastAsiaTheme="minorEastAsia"/>
          <w:b/>
          <w:color w:val="auto"/>
          <w:highlight w:val="none"/>
        </w:rPr>
        <w:t>1</w:t>
      </w:r>
      <w:r>
        <w:rPr>
          <w:rFonts w:hint="eastAsia" w:cs="宋体" w:asciiTheme="minorEastAsia" w:hAnsiTheme="minorEastAsia" w:eastAsiaTheme="minorEastAsia"/>
          <w:b/>
          <w:color w:val="auto"/>
          <w:highlight w:val="none"/>
        </w:rPr>
        <w:t>、工作依据</w:t>
      </w:r>
      <w:bookmarkEnd w:id="1038"/>
    </w:p>
    <w:p>
      <w:pPr>
        <w:ind w:firstLine="482" w:firstLineChars="200"/>
        <w:rPr>
          <w:rFonts w:cs="宋体" w:asciiTheme="minorEastAsia" w:hAnsiTheme="minorEastAsia" w:eastAsiaTheme="minorEastAsia"/>
          <w:b/>
          <w:bCs/>
          <w:color w:val="auto"/>
          <w:highlight w:val="none"/>
        </w:rPr>
      </w:pPr>
      <w:bookmarkStart w:id="1039" w:name="_Toc70603811"/>
      <w:r>
        <w:rPr>
          <w:rFonts w:hint="eastAsia" w:cs="宋体" w:asciiTheme="minorEastAsia" w:hAnsiTheme="minorEastAsia" w:eastAsiaTheme="minorEastAsia"/>
          <w:b/>
          <w:bCs/>
          <w:color w:val="auto"/>
          <w:highlight w:val="none"/>
        </w:rPr>
        <w:t>(1)二维地理实体数据</w:t>
      </w:r>
      <w:bookmarkEnd w:id="1039"/>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37118-2018地理实体空间数据规范》</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35648-2017地理信息兴趣点分类与代码》</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23705-2009数字城市地理信息公共平台 地名/地址编码规则》</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13923-2006基础地理信息要素分类与代码》</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18521-2001地名分类与类别代码编制规则》</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39609-2020地名地址地理编码规则》</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2260-2017中华人民共和国行政区划代码》</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10114县以下行政区域代码编制规则》</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25334-2010中华人民共和国铁路线路名称代码》</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917-2017公路路线标示规则和国道编码》</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21381-2008交通管理地理信息实体标识编码规则城市道路》</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《CH/Z 9010-2011地理信息公共服务平台 地理实体与地名地址数据规范》</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《GQJC 01-2017基础性地理国情监测数据数据标准》</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《GQJC 02-2017基础性地理国情监测生产元数据数据标准》</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《GQJC 03-2017基础性地理国情监测内容与指标》</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《城市地理国情监测内容与指标》</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《成都市县级以下行政区域及社区代码》</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《成都市基础性地理国情监测内容与指标(2018)》</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《成都市基础性地理国情普查技术规程(2019)》</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《成都市地理国情数据库建库技术规定(2019)》</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《成都市1：500DLG建库技术规定(2020)》</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《成都市1：2000DLG建库技术规定(2020)》</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《成都市1:500 1:2000基础地理信息要素分类与编码表(2020)》</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《智慧城市时空大数据与云平台地名地址采集建库规范(2020)》</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《成都市二维地理实体生产与更新技术要求》</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《成都市二维地理实体数据建库规定》</w:t>
      </w:r>
    </w:p>
    <w:p>
      <w:pPr>
        <w:ind w:firstLine="482" w:firstLineChars="200"/>
        <w:rPr>
          <w:rFonts w:asciiTheme="minorEastAsia" w:hAnsiTheme="minorEastAsia" w:eastAsiaTheme="minorEastAsia"/>
          <w:color w:val="auto"/>
          <w:highlight w:val="none"/>
        </w:rPr>
      </w:pPr>
      <w:bookmarkStart w:id="1040" w:name="_Toc70603812"/>
      <w:r>
        <w:rPr>
          <w:rFonts w:hint="eastAsia" w:cs="宋体" w:asciiTheme="minorEastAsia" w:hAnsiTheme="minorEastAsia" w:eastAsiaTheme="minorEastAsia"/>
          <w:b/>
          <w:bCs/>
          <w:color w:val="auto"/>
          <w:highlight w:val="none"/>
        </w:rPr>
        <w:t>(2)三维地理实体</w:t>
      </w:r>
      <w:bookmarkEnd w:id="1040"/>
      <w:r>
        <w:rPr>
          <w:rFonts w:hint="eastAsia" w:cs="宋体" w:asciiTheme="minorEastAsia" w:hAnsiTheme="minorEastAsia" w:eastAsiaTheme="minorEastAsia"/>
          <w:b/>
          <w:bCs/>
          <w:color w:val="auto"/>
          <w:highlight w:val="none"/>
        </w:rPr>
        <w:t>数据</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《CH/Z 3017-2015地面三维激光扫描作业技术规程》</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《CH/T 6004-2016车载移动测量技术规程》</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《CH/T 6003-2016车载移动测量数据规范》</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《CH/Z 1002-2009可量测实景影像》</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 xml:space="preserve">《CH/T 3020-2018实景三维地理信息数据激光雷达测量技术规程》 </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《CH/T 9017-2012三维地理信息模型数据库规范》</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《CH/T 9024-2014三维地理信息模型数据产品质量检查与验收》</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《CJJ/T 157-2010城市三维建模技术规范》</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《成都市实景三维数据生产技术规定(2020)》</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《成都市三维地理实体生产技术要求》</w:t>
      </w:r>
    </w:p>
    <w:p>
      <w:pPr>
        <w:ind w:firstLine="482" w:firstLineChars="200"/>
        <w:rPr>
          <w:rFonts w:cs="宋体" w:asciiTheme="minorEastAsia" w:hAnsiTheme="minorEastAsia" w:eastAsiaTheme="minorEastAsia"/>
          <w:b/>
          <w:bCs/>
          <w:color w:val="auto"/>
          <w:highlight w:val="none"/>
        </w:rPr>
      </w:pPr>
      <w:bookmarkStart w:id="1041" w:name="_Toc70603814"/>
      <w:r>
        <w:rPr>
          <w:rFonts w:hint="eastAsia" w:cs="宋体" w:asciiTheme="minorEastAsia" w:hAnsiTheme="minorEastAsia" w:eastAsiaTheme="minorEastAsia"/>
          <w:b/>
          <w:bCs/>
          <w:color w:val="auto"/>
          <w:highlight w:val="none"/>
        </w:rPr>
        <w:t>(3)其他</w:t>
      </w:r>
      <w:bookmarkEnd w:id="1041"/>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18316-2008数字测绘成果质量检查与验收》</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24356-2009测绘成果质量检查与验收》</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《成都市1:5</w:t>
      </w:r>
      <w:r>
        <w:rPr>
          <w:rFonts w:cs="宋体" w:asciiTheme="minorEastAsia" w:hAnsiTheme="minorEastAsia" w:eastAsiaTheme="minorEastAsia"/>
          <w:color w:val="auto"/>
          <w:highlight w:val="none"/>
          <w:u w:val="none"/>
        </w:rPr>
        <w:t>00 1</w:t>
      </w:r>
      <w:r>
        <w:rPr>
          <w:rFonts w:hint="eastAsia" w:cs="宋体" w:asciiTheme="minorEastAsia" w:hAnsiTheme="minorEastAsia" w:eastAsiaTheme="minorEastAsia"/>
          <w:color w:val="auto"/>
          <w:highlight w:val="none"/>
          <w:u w:val="none"/>
        </w:rPr>
        <w:t>:2</w:t>
      </w:r>
      <w:r>
        <w:rPr>
          <w:rFonts w:cs="宋体" w:asciiTheme="minorEastAsia" w:hAnsiTheme="minorEastAsia" w:eastAsiaTheme="minorEastAsia"/>
          <w:color w:val="auto"/>
          <w:highlight w:val="none"/>
          <w:u w:val="none"/>
        </w:rPr>
        <w:t>000</w:t>
      </w:r>
      <w:r>
        <w:rPr>
          <w:rFonts w:hint="eastAsia" w:cs="宋体" w:asciiTheme="minorEastAsia" w:hAnsiTheme="minorEastAsia" w:eastAsiaTheme="minorEastAsia"/>
          <w:color w:val="auto"/>
          <w:highlight w:val="none"/>
          <w:u w:val="none"/>
        </w:rPr>
        <w:t>基础地理信息要素分类与编码表(2</w:t>
      </w:r>
      <w:r>
        <w:rPr>
          <w:rFonts w:cs="宋体" w:asciiTheme="minorEastAsia" w:hAnsiTheme="minorEastAsia" w:eastAsiaTheme="minorEastAsia"/>
          <w:color w:val="auto"/>
          <w:highlight w:val="none"/>
          <w:u w:val="none"/>
        </w:rPr>
        <w:t>020</w:t>
      </w:r>
      <w:r>
        <w:rPr>
          <w:rFonts w:hint="eastAsia" w:cs="宋体" w:asciiTheme="minorEastAsia" w:hAnsiTheme="minorEastAsia" w:eastAsiaTheme="minorEastAsia"/>
          <w:color w:val="auto"/>
          <w:highlight w:val="none"/>
          <w:u w:val="none"/>
        </w:rPr>
        <w:t>)》</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《成都市影像变化图斑生产技术规定(2</w:t>
      </w:r>
      <w:r>
        <w:rPr>
          <w:rFonts w:cs="宋体" w:asciiTheme="minorEastAsia" w:hAnsiTheme="minorEastAsia" w:eastAsiaTheme="minorEastAsia"/>
          <w:color w:val="auto"/>
          <w:highlight w:val="none"/>
          <w:u w:val="none"/>
        </w:rPr>
        <w:t>020</w:t>
      </w:r>
      <w:r>
        <w:rPr>
          <w:rFonts w:hint="eastAsia" w:cs="宋体" w:asciiTheme="minorEastAsia" w:hAnsiTheme="minorEastAsia" w:eastAsiaTheme="minorEastAsia"/>
          <w:color w:val="auto"/>
          <w:highlight w:val="none"/>
          <w:u w:val="none"/>
        </w:rPr>
        <w:t>)》</w:t>
      </w:r>
    </w:p>
    <w:p>
      <w:pPr>
        <w:pStyle w:val="80"/>
        <w:numPr>
          <w:ilvl w:val="0"/>
          <w:numId w:val="29"/>
        </w:numPr>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《成都市影像变化图斑建库规定(2</w:t>
      </w:r>
      <w:r>
        <w:rPr>
          <w:rFonts w:cs="宋体" w:asciiTheme="minorEastAsia" w:hAnsiTheme="minorEastAsia" w:eastAsiaTheme="minorEastAsia"/>
          <w:color w:val="auto"/>
          <w:highlight w:val="none"/>
          <w:u w:val="none"/>
        </w:rPr>
        <w:t>020</w:t>
      </w:r>
      <w:r>
        <w:rPr>
          <w:rFonts w:hint="eastAsia" w:cs="宋体" w:asciiTheme="minorEastAsia" w:hAnsiTheme="minorEastAsia" w:eastAsiaTheme="minorEastAsia"/>
          <w:color w:val="auto"/>
          <w:highlight w:val="none"/>
          <w:u w:val="none"/>
        </w:rPr>
        <w:t>)》</w:t>
      </w:r>
    </w:p>
    <w:p>
      <w:pPr>
        <w:ind w:firstLine="482" w:firstLineChars="200"/>
        <w:outlineLvl w:val="2"/>
        <w:rPr>
          <w:rFonts w:cs="宋体" w:asciiTheme="minorEastAsia" w:hAnsiTheme="minorEastAsia" w:eastAsiaTheme="minorEastAsia"/>
          <w:b/>
          <w:color w:val="auto"/>
          <w:highlight w:val="none"/>
        </w:rPr>
      </w:pPr>
      <w:bookmarkStart w:id="1042" w:name="_Toc2828"/>
      <w:r>
        <w:rPr>
          <w:rFonts w:hint="eastAsia" w:cs="宋体" w:asciiTheme="minorEastAsia" w:hAnsiTheme="minorEastAsia" w:eastAsiaTheme="minorEastAsia"/>
          <w:b/>
          <w:color w:val="auto"/>
          <w:highlight w:val="none"/>
        </w:rPr>
        <w:t>2、主要任务</w:t>
      </w:r>
      <w:bookmarkEnd w:id="1042"/>
    </w:p>
    <w:p>
      <w:pPr>
        <w:ind w:firstLine="482" w:firstLineChars="200"/>
        <w:rPr>
          <w:rFonts w:asciiTheme="minorEastAsia" w:hAnsiTheme="minorEastAsia" w:eastAsiaTheme="minorEastAsia"/>
          <w:color w:val="auto"/>
          <w:highlight w:val="none"/>
        </w:rPr>
      </w:pPr>
      <w:bookmarkStart w:id="1043" w:name="_Toc70603797"/>
      <w:r>
        <w:rPr>
          <w:rFonts w:hint="eastAsia" w:cs="宋体" w:asciiTheme="minorEastAsia" w:hAnsiTheme="minorEastAsia" w:eastAsiaTheme="minorEastAsia"/>
          <w:b/>
          <w:bCs/>
          <w:color w:val="auto"/>
          <w:highlight w:val="none"/>
        </w:rPr>
        <w:t>(1)</w:t>
      </w:r>
      <w:r>
        <w:rPr>
          <w:rFonts w:cs="宋体" w:asciiTheme="minorEastAsia" w:hAnsiTheme="minorEastAsia" w:eastAsiaTheme="minorEastAsia"/>
          <w:b/>
          <w:bCs/>
          <w:color w:val="auto"/>
          <w:highlight w:val="none"/>
        </w:rPr>
        <w:t>二维地理实体数据更新</w:t>
      </w:r>
      <w:bookmarkEnd w:id="1043"/>
    </w:p>
    <w:p>
      <w:pPr>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利用2020年1:500DLG、1:2000DLG，卫星影像,竣工成果及</w:t>
      </w:r>
      <w:r>
        <w:rPr>
          <w:rFonts w:asciiTheme="minorEastAsia" w:hAnsiTheme="minorEastAsia" w:eastAsiaTheme="minorEastAsia"/>
          <w:color w:val="auto"/>
          <w:highlight w:val="none"/>
        </w:rPr>
        <w:t>地名地址</w:t>
      </w:r>
      <w:r>
        <w:rPr>
          <w:rFonts w:hint="eastAsia" w:asciiTheme="minorEastAsia" w:hAnsiTheme="minorEastAsia" w:eastAsiaTheme="minorEastAsia"/>
          <w:color w:val="auto"/>
          <w:highlight w:val="none"/>
        </w:rPr>
        <w:t>等多种数据源对二维地理实体数据库进行更新。各种数据源的类型、分布、预计面积见表</w:t>
      </w: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w:t>
      </w:r>
    </w:p>
    <w:p>
      <w:pPr>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实际工作量以卫星影像有效覆盖面积、DLG和规划竣工实际提供面积计算。</w:t>
      </w:r>
    </w:p>
    <w:p>
      <w:pPr>
        <w:widowControl/>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表</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 xml:space="preserve"> 2021年度二维地理实体数据更新工作内容</w:t>
      </w:r>
    </w:p>
    <w:tbl>
      <w:tblPr>
        <w:tblStyle w:val="27"/>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1941"/>
        <w:gridCol w:w="1254"/>
        <w:gridCol w:w="826"/>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5" w:type="dxa"/>
            <w:vAlign w:val="center"/>
          </w:tcPr>
          <w:p>
            <w:pPr>
              <w:pStyle w:val="82"/>
              <w:spacing w:line="440" w:lineRule="exact"/>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序号</w:t>
            </w:r>
          </w:p>
        </w:tc>
        <w:tc>
          <w:tcPr>
            <w:tcW w:w="2268" w:type="dxa"/>
            <w:vAlign w:val="center"/>
          </w:tcPr>
          <w:p>
            <w:pPr>
              <w:pStyle w:val="82"/>
              <w:spacing w:line="440" w:lineRule="exact"/>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更新数据源</w:t>
            </w:r>
          </w:p>
        </w:tc>
        <w:tc>
          <w:tcPr>
            <w:tcW w:w="1941" w:type="dxa"/>
            <w:vAlign w:val="center"/>
          </w:tcPr>
          <w:p>
            <w:pPr>
              <w:pStyle w:val="82"/>
              <w:spacing w:line="440" w:lineRule="exact"/>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更新范围</w:t>
            </w:r>
          </w:p>
        </w:tc>
        <w:tc>
          <w:tcPr>
            <w:tcW w:w="1254" w:type="dxa"/>
            <w:vAlign w:val="center"/>
          </w:tcPr>
          <w:p>
            <w:pPr>
              <w:pStyle w:val="82"/>
              <w:spacing w:line="440" w:lineRule="exact"/>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更新面积</w:t>
            </w:r>
          </w:p>
          <w:p>
            <w:pPr>
              <w:pStyle w:val="82"/>
              <w:spacing w:line="440" w:lineRule="exact"/>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(平方公里)</w:t>
            </w:r>
          </w:p>
        </w:tc>
        <w:tc>
          <w:tcPr>
            <w:tcW w:w="826" w:type="dxa"/>
            <w:vAlign w:val="center"/>
          </w:tcPr>
          <w:p>
            <w:pPr>
              <w:pStyle w:val="82"/>
              <w:spacing w:line="440" w:lineRule="exact"/>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更新次数</w:t>
            </w:r>
          </w:p>
        </w:tc>
        <w:tc>
          <w:tcPr>
            <w:tcW w:w="2429" w:type="dxa"/>
            <w:vAlign w:val="center"/>
          </w:tcPr>
          <w:p>
            <w:pPr>
              <w:pStyle w:val="82"/>
              <w:spacing w:line="440" w:lineRule="exact"/>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更新要素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75" w:type="dxa"/>
            <w:vAlign w:val="center"/>
          </w:tcPr>
          <w:p>
            <w:pPr>
              <w:pStyle w:val="82"/>
              <w:spacing w:line="440" w:lineRule="exact"/>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1</w:t>
            </w:r>
          </w:p>
        </w:tc>
        <w:tc>
          <w:tcPr>
            <w:tcW w:w="2268"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r>
              <w:rPr>
                <w:rFonts w:asciiTheme="minorEastAsia" w:hAnsiTheme="minorEastAsia" w:eastAsiaTheme="minorEastAsia"/>
                <w:color w:val="auto"/>
                <w:sz w:val="21"/>
                <w:szCs w:val="21"/>
                <w:highlight w:val="none"/>
              </w:rPr>
              <w:t>020年</w:t>
            </w:r>
            <w:r>
              <w:rPr>
                <w:rFonts w:hint="eastAsia" w:asciiTheme="minorEastAsia" w:hAnsiTheme="minorEastAsia" w:eastAsiaTheme="minorEastAsia"/>
                <w:color w:val="auto"/>
                <w:sz w:val="21"/>
                <w:szCs w:val="21"/>
                <w:highlight w:val="none"/>
              </w:rPr>
              <w:t>1:500DLG</w:t>
            </w:r>
          </w:p>
        </w:tc>
        <w:tc>
          <w:tcPr>
            <w:tcW w:w="1941"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五城区及其他区(市)县部分区域</w:t>
            </w:r>
          </w:p>
        </w:tc>
        <w:tc>
          <w:tcPr>
            <w:tcW w:w="1254" w:type="dxa"/>
            <w:vAlign w:val="center"/>
          </w:tcPr>
          <w:p>
            <w:pPr>
              <w:pStyle w:val="82"/>
              <w:spacing w:line="440" w:lineRule="exact"/>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748</w:t>
            </w:r>
          </w:p>
        </w:tc>
        <w:tc>
          <w:tcPr>
            <w:tcW w:w="826"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1次</w:t>
            </w:r>
          </w:p>
        </w:tc>
        <w:tc>
          <w:tcPr>
            <w:tcW w:w="2429" w:type="dxa"/>
            <w:vMerge w:val="restart"/>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全要素(管理单元除外)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5"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2268"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r>
              <w:rPr>
                <w:rFonts w:asciiTheme="minorEastAsia" w:hAnsiTheme="minorEastAsia" w:eastAsiaTheme="minorEastAsia"/>
                <w:color w:val="auto"/>
                <w:sz w:val="21"/>
                <w:szCs w:val="21"/>
                <w:highlight w:val="none"/>
              </w:rPr>
              <w:t>020年</w:t>
            </w:r>
            <w:r>
              <w:rPr>
                <w:rFonts w:hint="eastAsia" w:asciiTheme="minorEastAsia" w:hAnsiTheme="minorEastAsia" w:eastAsiaTheme="minorEastAsia"/>
                <w:color w:val="auto"/>
                <w:sz w:val="21"/>
                <w:szCs w:val="21"/>
                <w:highlight w:val="none"/>
              </w:rPr>
              <w:t>1:</w:t>
            </w:r>
            <w:r>
              <w:rPr>
                <w:rFonts w:asciiTheme="minorEastAsia" w:hAnsiTheme="minorEastAsia" w:eastAsiaTheme="minorEastAsia"/>
                <w:color w:val="auto"/>
                <w:sz w:val="21"/>
                <w:szCs w:val="21"/>
                <w:highlight w:val="none"/>
              </w:rPr>
              <w:t>20</w:t>
            </w:r>
            <w:r>
              <w:rPr>
                <w:rFonts w:hint="eastAsia" w:asciiTheme="minorEastAsia" w:hAnsiTheme="minorEastAsia" w:eastAsiaTheme="minorEastAsia"/>
                <w:color w:val="auto"/>
                <w:sz w:val="21"/>
                <w:szCs w:val="21"/>
                <w:highlight w:val="none"/>
              </w:rPr>
              <w:t>00DLG</w:t>
            </w:r>
          </w:p>
        </w:tc>
        <w:tc>
          <w:tcPr>
            <w:tcW w:w="1941"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市域各区县</w:t>
            </w:r>
          </w:p>
        </w:tc>
        <w:tc>
          <w:tcPr>
            <w:tcW w:w="1254"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3</w:t>
            </w:r>
            <w:r>
              <w:rPr>
                <w:rFonts w:asciiTheme="minorEastAsia" w:hAnsiTheme="minorEastAsia" w:eastAsiaTheme="minorEastAsia"/>
                <w:color w:val="auto"/>
                <w:sz w:val="21"/>
                <w:szCs w:val="21"/>
                <w:highlight w:val="none"/>
              </w:rPr>
              <w:t>800</w:t>
            </w:r>
          </w:p>
        </w:tc>
        <w:tc>
          <w:tcPr>
            <w:tcW w:w="826"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1次</w:t>
            </w:r>
          </w:p>
        </w:tc>
        <w:tc>
          <w:tcPr>
            <w:tcW w:w="2429" w:type="dxa"/>
            <w:vMerge w:val="continue"/>
            <w:vAlign w:val="center"/>
          </w:tcPr>
          <w:p>
            <w:pPr>
              <w:pStyle w:val="82"/>
              <w:spacing w:line="440" w:lineRule="exact"/>
              <w:rPr>
                <w:rFonts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5"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3</w:t>
            </w:r>
          </w:p>
        </w:tc>
        <w:tc>
          <w:tcPr>
            <w:tcW w:w="2268"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r>
              <w:rPr>
                <w:rFonts w:asciiTheme="minorEastAsia" w:hAnsiTheme="minorEastAsia" w:eastAsiaTheme="minorEastAsia"/>
                <w:color w:val="auto"/>
                <w:sz w:val="21"/>
                <w:szCs w:val="21"/>
                <w:highlight w:val="none"/>
              </w:rPr>
              <w:t>021年</w:t>
            </w:r>
            <w:r>
              <w:rPr>
                <w:rFonts w:hint="eastAsia" w:asciiTheme="minorEastAsia" w:hAnsiTheme="minorEastAsia" w:eastAsiaTheme="minorEastAsia"/>
                <w:color w:val="auto"/>
                <w:sz w:val="21"/>
                <w:szCs w:val="21"/>
                <w:highlight w:val="none"/>
              </w:rPr>
              <w:t>季度卫星影像</w:t>
            </w:r>
          </w:p>
        </w:tc>
        <w:tc>
          <w:tcPr>
            <w:tcW w:w="1941"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重点区域</w:t>
            </w:r>
          </w:p>
        </w:tc>
        <w:tc>
          <w:tcPr>
            <w:tcW w:w="1254"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4</w:t>
            </w:r>
            <w:r>
              <w:rPr>
                <w:rFonts w:asciiTheme="minorEastAsia" w:hAnsiTheme="minorEastAsia" w:eastAsiaTheme="minorEastAsia"/>
                <w:color w:val="auto"/>
                <w:sz w:val="21"/>
                <w:szCs w:val="21"/>
                <w:highlight w:val="none"/>
              </w:rPr>
              <w:t>874</w:t>
            </w:r>
            <w:r>
              <w:rPr>
                <w:rFonts w:hint="eastAsia" w:asciiTheme="minorEastAsia" w:hAnsiTheme="minorEastAsia" w:eastAsiaTheme="minorEastAsia"/>
                <w:color w:val="auto"/>
                <w:sz w:val="21"/>
                <w:szCs w:val="21"/>
                <w:highlight w:val="none"/>
              </w:rPr>
              <w:t>/季度</w:t>
            </w:r>
          </w:p>
        </w:tc>
        <w:tc>
          <w:tcPr>
            <w:tcW w:w="826"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4次</w:t>
            </w:r>
          </w:p>
        </w:tc>
        <w:tc>
          <w:tcPr>
            <w:tcW w:w="2429" w:type="dxa"/>
            <w:vMerge w:val="restart"/>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重要要素：交通、水系、居民地等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5"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4</w:t>
            </w:r>
          </w:p>
        </w:tc>
        <w:tc>
          <w:tcPr>
            <w:tcW w:w="2268"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r>
              <w:rPr>
                <w:rFonts w:asciiTheme="minorEastAsia" w:hAnsiTheme="minorEastAsia" w:eastAsiaTheme="minorEastAsia"/>
                <w:color w:val="auto"/>
                <w:sz w:val="21"/>
                <w:szCs w:val="21"/>
                <w:highlight w:val="none"/>
              </w:rPr>
              <w:t>021年度</w:t>
            </w:r>
            <w:r>
              <w:rPr>
                <w:rFonts w:hint="eastAsia" w:asciiTheme="minorEastAsia" w:hAnsiTheme="minorEastAsia" w:eastAsiaTheme="minorEastAsia"/>
                <w:color w:val="auto"/>
                <w:sz w:val="21"/>
                <w:szCs w:val="21"/>
                <w:highlight w:val="none"/>
              </w:rPr>
              <w:t>卫星影像</w:t>
            </w:r>
          </w:p>
        </w:tc>
        <w:tc>
          <w:tcPr>
            <w:tcW w:w="1941"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市域各区县</w:t>
            </w:r>
          </w:p>
        </w:tc>
        <w:tc>
          <w:tcPr>
            <w:tcW w:w="1254"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r>
              <w:rPr>
                <w:rFonts w:asciiTheme="minorEastAsia" w:hAnsiTheme="minorEastAsia" w:eastAsiaTheme="minorEastAsia"/>
                <w:color w:val="auto"/>
                <w:sz w:val="21"/>
                <w:szCs w:val="21"/>
                <w:highlight w:val="none"/>
              </w:rPr>
              <w:t>2000</w:t>
            </w:r>
          </w:p>
        </w:tc>
        <w:tc>
          <w:tcPr>
            <w:tcW w:w="826"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1次</w:t>
            </w:r>
          </w:p>
        </w:tc>
        <w:tc>
          <w:tcPr>
            <w:tcW w:w="2429" w:type="dxa"/>
            <w:vMerge w:val="continue"/>
            <w:vAlign w:val="center"/>
          </w:tcPr>
          <w:p>
            <w:pPr>
              <w:pStyle w:val="82"/>
              <w:spacing w:line="440" w:lineRule="exact"/>
              <w:rPr>
                <w:rFonts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75"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5</w:t>
            </w:r>
          </w:p>
        </w:tc>
        <w:tc>
          <w:tcPr>
            <w:tcW w:w="2268"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规划竣工成果</w:t>
            </w:r>
          </w:p>
        </w:tc>
        <w:tc>
          <w:tcPr>
            <w:tcW w:w="1941"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市域各区县竣工范围</w:t>
            </w:r>
          </w:p>
        </w:tc>
        <w:tc>
          <w:tcPr>
            <w:tcW w:w="1254" w:type="dxa"/>
            <w:vAlign w:val="center"/>
          </w:tcPr>
          <w:p>
            <w:pPr>
              <w:pStyle w:val="82"/>
              <w:spacing w:line="440" w:lineRule="exact"/>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10</w:t>
            </w:r>
            <w:r>
              <w:rPr>
                <w:rFonts w:hint="eastAsia" w:asciiTheme="minorEastAsia" w:hAnsiTheme="minorEastAsia" w:eastAsiaTheme="minorEastAsia"/>
                <w:color w:val="auto"/>
                <w:sz w:val="21"/>
                <w:szCs w:val="21"/>
                <w:highlight w:val="none"/>
              </w:rPr>
              <w:t>/季度</w:t>
            </w:r>
          </w:p>
        </w:tc>
        <w:tc>
          <w:tcPr>
            <w:tcW w:w="826"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4次</w:t>
            </w:r>
          </w:p>
        </w:tc>
        <w:tc>
          <w:tcPr>
            <w:tcW w:w="2429" w:type="dxa"/>
            <w:vAlign w:val="center"/>
          </w:tcPr>
          <w:p>
            <w:pPr>
              <w:pStyle w:val="82"/>
              <w:spacing w:line="440" w:lineRule="exac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全要素(管理单元除外)</w:t>
            </w:r>
          </w:p>
        </w:tc>
      </w:tr>
    </w:tbl>
    <w:p>
      <w:pPr>
        <w:ind w:firstLine="482" w:firstLineChars="200"/>
        <w:rPr>
          <w:rFonts w:asciiTheme="minorEastAsia" w:hAnsiTheme="minorEastAsia" w:eastAsiaTheme="minorEastAsia"/>
          <w:color w:val="auto"/>
          <w:highlight w:val="none"/>
        </w:rPr>
      </w:pPr>
      <w:bookmarkStart w:id="1044" w:name="_Toc70603798"/>
      <w:r>
        <w:rPr>
          <w:rFonts w:hint="eastAsia" w:cs="宋体" w:asciiTheme="minorEastAsia" w:hAnsiTheme="minorEastAsia" w:eastAsiaTheme="minorEastAsia"/>
          <w:b/>
          <w:bCs/>
          <w:color w:val="auto"/>
          <w:highlight w:val="none"/>
        </w:rPr>
        <w:t>(2)</w:t>
      </w:r>
      <w:r>
        <w:rPr>
          <w:rFonts w:cs="宋体" w:asciiTheme="minorEastAsia" w:hAnsiTheme="minorEastAsia" w:eastAsiaTheme="minorEastAsia"/>
          <w:b/>
          <w:bCs/>
          <w:color w:val="auto"/>
          <w:highlight w:val="none"/>
        </w:rPr>
        <w:t>三维地理实体数据生产</w:t>
      </w:r>
      <w:bookmarkEnd w:id="1044"/>
    </w:p>
    <w:p>
      <w:pPr>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一是完成现有实景</w:t>
      </w:r>
      <w:r>
        <w:rPr>
          <w:rFonts w:asciiTheme="minorEastAsia" w:hAnsiTheme="minorEastAsia" w:eastAsiaTheme="minorEastAsia"/>
          <w:color w:val="auto"/>
          <w:highlight w:val="none"/>
        </w:rPr>
        <w:t>三维产品的实体化改造</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对</w:t>
      </w:r>
      <w:r>
        <w:rPr>
          <w:rFonts w:hint="eastAsia" w:asciiTheme="minorEastAsia" w:hAnsiTheme="minorEastAsia" w:eastAsiaTheme="minorEastAsia"/>
          <w:color w:val="auto"/>
          <w:highlight w:val="none"/>
        </w:rPr>
        <w:t>五城区区域(面积约</w:t>
      </w:r>
      <w:r>
        <w:rPr>
          <w:rFonts w:asciiTheme="minorEastAsia" w:hAnsiTheme="minorEastAsia" w:eastAsiaTheme="minorEastAsia"/>
          <w:color w:val="auto"/>
          <w:highlight w:val="none"/>
        </w:rPr>
        <w:t>420平方公里</w:t>
      </w:r>
      <w:r>
        <w:rPr>
          <w:rFonts w:hint="eastAsia" w:asciiTheme="minorEastAsia" w:hAnsiTheme="minorEastAsia" w:eastAsiaTheme="minorEastAsia"/>
          <w:color w:val="auto"/>
          <w:highlight w:val="none"/>
        </w:rPr>
        <w:t>，下图中黄色填充区域)现有</w:t>
      </w:r>
      <w:r>
        <w:rPr>
          <w:rFonts w:asciiTheme="minorEastAsia" w:hAnsiTheme="minorEastAsia" w:eastAsiaTheme="minorEastAsia"/>
          <w:color w:val="auto"/>
          <w:highlight w:val="none"/>
        </w:rPr>
        <w:t>实景三维中的</w:t>
      </w:r>
      <w:r>
        <w:rPr>
          <w:rFonts w:hint="eastAsia" w:asciiTheme="minorEastAsia" w:hAnsiTheme="minorEastAsia" w:eastAsiaTheme="minorEastAsia"/>
          <w:color w:val="auto"/>
          <w:highlight w:val="none"/>
        </w:rPr>
        <w:t>建筑物、道路、植被等要素</w:t>
      </w:r>
      <w:r>
        <w:rPr>
          <w:rFonts w:asciiTheme="minorEastAsia" w:hAnsiTheme="minorEastAsia" w:eastAsiaTheme="minorEastAsia"/>
          <w:color w:val="auto"/>
          <w:highlight w:val="none"/>
        </w:rPr>
        <w:t>进行实体化表达，</w:t>
      </w:r>
      <w:r>
        <w:rPr>
          <w:rFonts w:hint="eastAsia" w:asciiTheme="minorEastAsia" w:hAnsiTheme="minorEastAsia" w:eastAsiaTheme="minorEastAsia"/>
          <w:color w:val="auto"/>
          <w:highlight w:val="none"/>
        </w:rPr>
        <w:t>并</w:t>
      </w:r>
      <w:r>
        <w:rPr>
          <w:rFonts w:asciiTheme="minorEastAsia" w:hAnsiTheme="minorEastAsia" w:eastAsiaTheme="minorEastAsia"/>
          <w:color w:val="auto"/>
          <w:highlight w:val="none"/>
        </w:rPr>
        <w:t>实现和二维</w:t>
      </w:r>
      <w:r>
        <w:rPr>
          <w:rFonts w:hint="eastAsia" w:asciiTheme="minorEastAsia" w:hAnsiTheme="minorEastAsia" w:eastAsiaTheme="minorEastAsia"/>
          <w:color w:val="auto"/>
          <w:highlight w:val="none"/>
        </w:rPr>
        <w:t>地理</w:t>
      </w:r>
      <w:r>
        <w:rPr>
          <w:rFonts w:asciiTheme="minorEastAsia" w:hAnsiTheme="minorEastAsia" w:eastAsiaTheme="minorEastAsia"/>
          <w:color w:val="auto"/>
          <w:highlight w:val="none"/>
        </w:rPr>
        <w:t>实体数据的关联</w:t>
      </w:r>
      <w:r>
        <w:rPr>
          <w:rFonts w:hint="eastAsia" w:asciiTheme="minorEastAsia" w:hAnsiTheme="minorEastAsia" w:eastAsiaTheme="minorEastAsia"/>
          <w:color w:val="auto"/>
          <w:highlight w:val="none"/>
        </w:rPr>
        <w:t>，形成4</w:t>
      </w:r>
      <w:r>
        <w:rPr>
          <w:rFonts w:asciiTheme="minorEastAsia" w:hAnsiTheme="minorEastAsia" w:eastAsiaTheme="minorEastAsia"/>
          <w:color w:val="auto"/>
          <w:highlight w:val="none"/>
        </w:rPr>
        <w:t>20平方公里三维</w:t>
      </w:r>
      <w:r>
        <w:rPr>
          <w:rFonts w:hint="eastAsia" w:asciiTheme="minorEastAsia" w:hAnsiTheme="minorEastAsia" w:eastAsiaTheme="minorEastAsia"/>
          <w:color w:val="auto"/>
          <w:highlight w:val="none"/>
        </w:rPr>
        <w:t>地理实体数据成果。二是开展道路全要素三维地理实体数据生产试点</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综合利用车载、地面等采集手段，开展成都中轴线(人民北路-人民中路-人民南路，北二环至火车南站，约1</w:t>
      </w:r>
      <w:r>
        <w:rPr>
          <w:rFonts w:asciiTheme="minorEastAsia" w:hAnsiTheme="minorEastAsia" w:eastAsiaTheme="minorEastAsia"/>
          <w:color w:val="auto"/>
          <w:highlight w:val="none"/>
        </w:rPr>
        <w:t>0.8公里</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道路</w:t>
      </w:r>
      <w:r>
        <w:rPr>
          <w:rFonts w:hint="eastAsia" w:asciiTheme="minorEastAsia" w:hAnsiTheme="minorEastAsia" w:eastAsiaTheme="minorEastAsia"/>
          <w:color w:val="auto"/>
          <w:highlight w:val="none"/>
        </w:rPr>
        <w:t>全要素</w:t>
      </w:r>
      <w:r>
        <w:rPr>
          <w:rFonts w:asciiTheme="minorEastAsia" w:hAnsiTheme="minorEastAsia" w:eastAsiaTheme="minorEastAsia"/>
          <w:color w:val="auto"/>
          <w:highlight w:val="none"/>
        </w:rPr>
        <w:t>三维</w:t>
      </w:r>
      <w:r>
        <w:rPr>
          <w:rFonts w:hint="eastAsia" w:asciiTheme="minorEastAsia" w:hAnsiTheme="minorEastAsia" w:eastAsiaTheme="minorEastAsia"/>
          <w:color w:val="auto"/>
          <w:highlight w:val="none"/>
        </w:rPr>
        <w:t>地理实体试点数据生产，探索二三维一体化、空间属性一体化的全息地理信息服务模式。三维地理实体数据生产</w:t>
      </w:r>
      <w:r>
        <w:rPr>
          <w:rFonts w:asciiTheme="minorEastAsia" w:hAnsiTheme="minorEastAsia" w:eastAsiaTheme="minorEastAsia"/>
          <w:color w:val="auto"/>
          <w:highlight w:val="none"/>
        </w:rPr>
        <w:t>分布示意图见下</w:t>
      </w:r>
      <w:r>
        <w:rPr>
          <w:rFonts w:hint="eastAsia" w:asciiTheme="minorEastAsia" w:hAnsiTheme="minorEastAsia" w:eastAsiaTheme="minorEastAsia"/>
          <w:color w:val="auto"/>
          <w:highlight w:val="none"/>
        </w:rPr>
        <w:t>图。</w:t>
      </w:r>
      <w:r>
        <w:rPr>
          <w:rFonts w:asciiTheme="minorEastAsia" w:hAnsiTheme="minorEastAsia" w:eastAsiaTheme="minorEastAsia"/>
          <w:color w:val="auto"/>
          <w:highlight w:val="none"/>
        </w:rPr>
        <w:t xml:space="preserve"> </w:t>
      </w:r>
    </w:p>
    <w:p>
      <w:pPr>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drawing>
          <wp:inline distT="0" distB="0" distL="0" distR="0">
            <wp:extent cx="5274310" cy="457517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4575175"/>
                    </a:xfrm>
                    <a:prstGeom prst="rect">
                      <a:avLst/>
                    </a:prstGeom>
                  </pic:spPr>
                </pic:pic>
              </a:graphicData>
            </a:graphic>
          </wp:inline>
        </w:drawing>
      </w:r>
    </w:p>
    <w:p>
      <w:pPr>
        <w:spacing w:line="360" w:lineRule="auto"/>
        <w:ind w:firstLine="480"/>
        <w:jc w:val="center"/>
        <w:rPr>
          <w:rFonts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图1</w:t>
      </w:r>
      <w:r>
        <w:rPr>
          <w:rFonts w:hint="eastAsia" w:cs="宋体" w:asciiTheme="minorEastAsia" w:hAnsiTheme="minorEastAsia" w:eastAsiaTheme="minorEastAsia"/>
          <w:color w:val="auto"/>
          <w:highlight w:val="none"/>
        </w:rPr>
        <w:t xml:space="preserve"> 三维地理实体数据生产</w:t>
      </w:r>
      <w:r>
        <w:rPr>
          <w:rFonts w:cs="宋体" w:asciiTheme="minorEastAsia" w:hAnsiTheme="minorEastAsia" w:eastAsiaTheme="minorEastAsia"/>
          <w:color w:val="auto"/>
          <w:highlight w:val="none"/>
        </w:rPr>
        <w:t>分布示意图</w:t>
      </w:r>
    </w:p>
    <w:p>
      <w:pPr>
        <w:ind w:firstLine="482" w:firstLineChars="200"/>
        <w:rPr>
          <w:rFonts w:cs="宋体" w:asciiTheme="minorEastAsia" w:hAnsiTheme="minorEastAsia" w:eastAsiaTheme="minorEastAsia"/>
          <w:b/>
          <w:bCs/>
          <w:color w:val="auto"/>
          <w:highlight w:val="none"/>
        </w:rPr>
      </w:pPr>
      <w:bookmarkStart w:id="1045" w:name="_Toc70603800"/>
      <w:r>
        <w:rPr>
          <w:rFonts w:hint="eastAsia" w:cs="宋体" w:asciiTheme="minorEastAsia" w:hAnsiTheme="minorEastAsia" w:eastAsiaTheme="minorEastAsia"/>
          <w:b/>
          <w:bCs/>
          <w:color w:val="auto"/>
          <w:highlight w:val="none"/>
        </w:rPr>
        <w:t>(3)</w:t>
      </w:r>
      <w:r>
        <w:rPr>
          <w:rFonts w:cs="宋体" w:asciiTheme="minorEastAsia" w:hAnsiTheme="minorEastAsia" w:eastAsiaTheme="minorEastAsia"/>
          <w:b/>
          <w:bCs/>
          <w:color w:val="auto"/>
          <w:highlight w:val="none"/>
        </w:rPr>
        <w:t>完善技术标准</w:t>
      </w:r>
      <w:bookmarkEnd w:id="1045"/>
    </w:p>
    <w:p>
      <w:pPr>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在现有标准的基础上结合地理实体数据生产更新及地理信息公共服务平台应用需求，编制完善二维、三维地理实体数据库生产技术规定和建库规定。</w:t>
      </w:r>
    </w:p>
    <w:p>
      <w:pPr>
        <w:ind w:firstLine="482" w:firstLineChars="200"/>
        <w:rPr>
          <w:rFonts w:cs="宋体" w:asciiTheme="minorEastAsia" w:hAnsiTheme="minorEastAsia" w:eastAsiaTheme="minorEastAsia"/>
          <w:b/>
          <w:color w:val="auto"/>
          <w:highlight w:val="none"/>
        </w:rPr>
      </w:pPr>
      <w:bookmarkStart w:id="1046" w:name="_Toc70603802"/>
      <w:r>
        <w:rPr>
          <w:rFonts w:hint="eastAsia" w:cs="宋体" w:asciiTheme="minorEastAsia" w:hAnsiTheme="minorEastAsia" w:eastAsiaTheme="minorEastAsia"/>
          <w:b/>
          <w:color w:val="auto"/>
          <w:highlight w:val="none"/>
        </w:rPr>
        <w:t>(4)</w:t>
      </w:r>
      <w:r>
        <w:rPr>
          <w:rFonts w:cs="宋体" w:asciiTheme="minorEastAsia" w:hAnsiTheme="minorEastAsia" w:eastAsiaTheme="minorEastAsia"/>
          <w:b/>
          <w:color w:val="auto"/>
          <w:highlight w:val="none"/>
        </w:rPr>
        <w:t>项目验收归档</w:t>
      </w:r>
      <w:bookmarkEnd w:id="1046"/>
    </w:p>
    <w:p>
      <w:pPr>
        <w:ind w:firstLine="480" w:firstLineChars="200"/>
        <w:rPr>
          <w:rFonts w:cs="宋体" w:asciiTheme="minorEastAsia" w:hAnsiTheme="minorEastAsia" w:eastAsiaTheme="minorEastAsia"/>
          <w:b/>
          <w:color w:val="auto"/>
          <w:highlight w:val="none"/>
        </w:rPr>
      </w:pPr>
      <w:r>
        <w:rPr>
          <w:rFonts w:hint="eastAsia" w:asciiTheme="minorEastAsia" w:hAnsiTheme="minorEastAsia" w:eastAsiaTheme="minorEastAsia"/>
          <w:color w:val="auto"/>
          <w:highlight w:val="none"/>
        </w:rPr>
        <w:t>所有成果完成数据生产、质检和入库后，按政府采购的相关规定组织技术专家、财务、法务等相关人员开展履约验收，验收合格后按归档要求向档案馆移交项目资料，完成项目的归档工作。</w:t>
      </w:r>
    </w:p>
    <w:p>
      <w:pPr>
        <w:ind w:firstLine="482" w:firstLineChars="200"/>
        <w:outlineLvl w:val="2"/>
        <w:rPr>
          <w:rFonts w:asciiTheme="minorEastAsia" w:hAnsiTheme="minorEastAsia" w:eastAsiaTheme="minorEastAsia"/>
          <w:color w:val="auto"/>
          <w:highlight w:val="none"/>
        </w:rPr>
      </w:pPr>
      <w:bookmarkStart w:id="1047" w:name="_Toc24749"/>
      <w:bookmarkStart w:id="1048" w:name="_Toc70603803"/>
      <w:r>
        <w:rPr>
          <w:rFonts w:hint="eastAsia" w:cs="宋体" w:asciiTheme="minorEastAsia" w:hAnsiTheme="minorEastAsia" w:eastAsiaTheme="minorEastAsia"/>
          <w:b/>
          <w:color w:val="auto"/>
          <w:highlight w:val="none"/>
        </w:rPr>
        <w:t>3、作业区概况和已有资料情况</w:t>
      </w:r>
      <w:bookmarkEnd w:id="1047"/>
      <w:bookmarkEnd w:id="1048"/>
    </w:p>
    <w:p>
      <w:pPr>
        <w:ind w:firstLine="482" w:firstLineChars="200"/>
        <w:rPr>
          <w:rFonts w:asciiTheme="minorEastAsia" w:hAnsiTheme="minorEastAsia" w:eastAsiaTheme="minorEastAsia"/>
          <w:b/>
          <w:bCs/>
          <w:color w:val="auto"/>
          <w:highlight w:val="none"/>
        </w:rPr>
      </w:pPr>
      <w:bookmarkStart w:id="1049" w:name="_Toc70603804"/>
      <w:r>
        <w:rPr>
          <w:rFonts w:hint="eastAsia" w:asciiTheme="minorEastAsia" w:hAnsiTheme="minorEastAsia" w:eastAsiaTheme="minorEastAsia"/>
          <w:b/>
          <w:bCs/>
          <w:color w:val="auto"/>
          <w:highlight w:val="none"/>
        </w:rPr>
        <w:t>(1)作业区概况</w:t>
      </w:r>
      <w:bookmarkEnd w:id="1049"/>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成都市位于中国西南，四川盆地西部，成都平原腹地，介于东经102度59分至104度54分、北纬30度05分至31度27分之间，辖区面积14335平方公里。成都市东北与德阳市、东南与资阳市毗邻，西南与雅安市、西北与阿坝藏族羌族自治州接壤，南面与眉山市相连。</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成都市地势差异显著，西北高，东南低。西部属于四川盆地边缘地区，以深丘和山地为主，海拔大多在1000-3000米之间，最高处海拔为5364米；东部属于四川盆地平原，是成都平原的腹心地带，主要由平原、台地和部分低山丘陵组成，地势平坦。成都境内河网稠密，西南部为岷江水系，东北部为沱江水系，全市有大小河流40余条，水域面积700多平方公里。成都市属于亚热带湿润季风气候区，热量丰富、雨量充沛、四季分明；年平均气温在15.2℃-16.6℃左右，年平均降水量873-1265毫米。</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成都市下辖1</w:t>
      </w: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区5县级市3县</w:t>
      </w: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新区，常住人口约1</w:t>
      </w:r>
      <w:r>
        <w:rPr>
          <w:rFonts w:asciiTheme="minorEastAsia" w:hAnsiTheme="minorEastAsia" w:eastAsiaTheme="minorEastAsia"/>
          <w:color w:val="auto"/>
          <w:highlight w:val="none"/>
        </w:rPr>
        <w:t>658</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10</w:t>
      </w:r>
      <w:r>
        <w:rPr>
          <w:rFonts w:hint="eastAsia" w:asciiTheme="minorEastAsia" w:hAnsiTheme="minorEastAsia" w:eastAsiaTheme="minorEastAsia"/>
          <w:color w:val="auto"/>
          <w:highlight w:val="none"/>
        </w:rPr>
        <w:t>万人(来源于2</w:t>
      </w:r>
      <w:r>
        <w:rPr>
          <w:rFonts w:asciiTheme="minorEastAsia" w:hAnsiTheme="minorEastAsia" w:eastAsiaTheme="minorEastAsia"/>
          <w:color w:val="auto"/>
          <w:highlight w:val="none"/>
        </w:rPr>
        <w:t>019年成都市国民经济和社会发展统计公报</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区有锦江区、青羊区、金牛区、武侯区、成华区、龙泉驿区、青白江区、新都区、温江区、双流区、郫都区、新津区，5市有简阳市、都江堰市、彭州市、邛崃市、崇州市，</w:t>
      </w: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县有金堂县、大邑县、蒲江县，</w:t>
      </w: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新区有高新区、天府新区成都直管区和东部新区。</w:t>
      </w:r>
    </w:p>
    <w:p>
      <w:pPr>
        <w:spacing w:line="360" w:lineRule="auto"/>
        <w:jc w:val="center"/>
        <w:rPr>
          <w:rFonts w:asciiTheme="minorEastAsia" w:hAnsiTheme="minorEastAsia" w:eastAsiaTheme="minorEastAsia"/>
          <w:b/>
          <w:color w:val="auto"/>
          <w:highlight w:val="none"/>
        </w:rPr>
      </w:pPr>
      <w:r>
        <w:rPr>
          <w:rFonts w:asciiTheme="minorEastAsia" w:hAnsiTheme="minorEastAsia" w:eastAsiaTheme="minorEastAsia"/>
          <w:color w:val="auto"/>
          <w:highlight w:val="none"/>
        </w:rPr>
        <w:drawing>
          <wp:inline distT="0" distB="0" distL="0" distR="0">
            <wp:extent cx="5274310" cy="43840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stretch>
                      <a:fillRect/>
                    </a:stretch>
                  </pic:blipFill>
                  <pic:spPr>
                    <a:xfrm>
                      <a:off x="0" y="0"/>
                      <a:ext cx="5274310" cy="4384040"/>
                    </a:xfrm>
                    <a:prstGeom prst="rect">
                      <a:avLst/>
                    </a:prstGeom>
                  </pic:spPr>
                </pic:pic>
              </a:graphicData>
            </a:graphic>
          </wp:inline>
        </w:drawing>
      </w:r>
    </w:p>
    <w:p>
      <w:pPr>
        <w:spacing w:line="360" w:lineRule="auto"/>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图2</w:t>
      </w:r>
      <w:r>
        <w:rPr>
          <w:rFonts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rPr>
        <w:t>成都市地理位置图</w:t>
      </w:r>
    </w:p>
    <w:p>
      <w:pPr>
        <w:ind w:firstLine="482" w:firstLineChars="200"/>
        <w:rPr>
          <w:rFonts w:asciiTheme="minorEastAsia" w:hAnsiTheme="minorEastAsia" w:eastAsiaTheme="minorEastAsia"/>
          <w:b/>
          <w:bCs/>
          <w:color w:val="auto"/>
          <w:highlight w:val="none"/>
        </w:rPr>
      </w:pPr>
      <w:bookmarkStart w:id="1050" w:name="_Toc70603805"/>
      <w:r>
        <w:rPr>
          <w:rFonts w:hint="eastAsia" w:asciiTheme="minorEastAsia" w:hAnsiTheme="minorEastAsia" w:eastAsiaTheme="minorEastAsia"/>
          <w:b/>
          <w:bCs/>
          <w:color w:val="auto"/>
          <w:highlight w:val="none"/>
        </w:rPr>
        <w:t>(2)已有资料情况</w:t>
      </w:r>
      <w:bookmarkEnd w:id="1050"/>
    </w:p>
    <w:p>
      <w:pPr>
        <w:ind w:firstLine="482" w:firstLineChars="200"/>
        <w:rPr>
          <w:rFonts w:asciiTheme="minorEastAsia" w:hAnsiTheme="minorEastAsia" w:eastAsiaTheme="minorEastAsia"/>
          <w:b/>
          <w:bCs/>
          <w:color w:val="auto"/>
          <w:highlight w:val="none"/>
        </w:rPr>
      </w:pPr>
      <w:bookmarkStart w:id="1051" w:name="_Toc70603806"/>
      <w:r>
        <w:rPr>
          <w:rFonts w:hint="eastAsia" w:asciiTheme="minorEastAsia" w:hAnsiTheme="minorEastAsia" w:eastAsiaTheme="minorEastAsia"/>
          <w:b/>
          <w:bCs/>
          <w:color w:val="auto"/>
          <w:highlight w:val="none"/>
        </w:rPr>
        <w:t>1)</w:t>
      </w:r>
      <w:r>
        <w:rPr>
          <w:rFonts w:asciiTheme="minorEastAsia" w:hAnsiTheme="minorEastAsia" w:eastAsiaTheme="minorEastAsia"/>
          <w:b/>
          <w:bCs/>
          <w:color w:val="auto"/>
          <w:highlight w:val="none"/>
        </w:rPr>
        <w:t>二维地理实体数据</w:t>
      </w:r>
      <w:bookmarkEnd w:id="1051"/>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成都市地理实体数据库为2012-2013年生产的</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2013年-</w:t>
      </w:r>
      <w:r>
        <w:rPr>
          <w:rFonts w:asciiTheme="minorEastAsia" w:hAnsiTheme="minorEastAsia" w:eastAsiaTheme="minorEastAsia"/>
          <w:color w:val="auto"/>
          <w:highlight w:val="none"/>
        </w:rPr>
        <w:t>2020年</w:t>
      </w:r>
      <w:r>
        <w:rPr>
          <w:rFonts w:hint="eastAsia" w:asciiTheme="minorEastAsia" w:hAnsiTheme="minorEastAsia" w:eastAsiaTheme="minorEastAsia"/>
          <w:color w:val="auto"/>
          <w:highlight w:val="none"/>
        </w:rPr>
        <w:t>每年度利用</w:t>
      </w:r>
      <w:r>
        <w:rPr>
          <w:rFonts w:asciiTheme="minorEastAsia" w:hAnsiTheme="minorEastAsia" w:eastAsiaTheme="minorEastAsia"/>
          <w:color w:val="auto"/>
          <w:highlight w:val="none"/>
        </w:rPr>
        <w:t>高分辨率遥感影像</w:t>
      </w:r>
      <w:r>
        <w:rPr>
          <w:rFonts w:hint="eastAsia" w:asciiTheme="minorEastAsia" w:hAnsiTheme="minorEastAsia" w:eastAsiaTheme="minorEastAsia"/>
          <w:color w:val="auto"/>
          <w:highlight w:val="none"/>
        </w:rPr>
        <w:t>、每季度</w:t>
      </w:r>
      <w:r>
        <w:rPr>
          <w:rFonts w:asciiTheme="minorEastAsia" w:hAnsiTheme="minorEastAsia" w:eastAsiaTheme="minorEastAsia"/>
          <w:color w:val="auto"/>
          <w:highlight w:val="none"/>
        </w:rPr>
        <w:t>利用规划竣工成果</w:t>
      </w:r>
      <w:r>
        <w:rPr>
          <w:rFonts w:hint="eastAsia" w:asciiTheme="minorEastAsia" w:hAnsiTheme="minorEastAsia" w:eastAsiaTheme="minorEastAsia"/>
          <w:color w:val="auto"/>
          <w:highlight w:val="none"/>
        </w:rPr>
        <w:t>以及</w:t>
      </w:r>
      <w:r>
        <w:rPr>
          <w:rFonts w:asciiTheme="minorEastAsia" w:hAnsiTheme="minorEastAsia" w:eastAsiaTheme="minorEastAsia"/>
          <w:color w:val="auto"/>
          <w:highlight w:val="none"/>
        </w:rPr>
        <w:t>不定期利用</w:t>
      </w:r>
      <w:r>
        <w:rPr>
          <w:rFonts w:hint="eastAsia" w:asciiTheme="minorEastAsia" w:hAnsiTheme="minorEastAsia" w:eastAsiaTheme="minorEastAsia"/>
          <w:color w:val="auto"/>
          <w:highlight w:val="none"/>
        </w:rPr>
        <w:t>数字线</w:t>
      </w:r>
      <w:r>
        <w:rPr>
          <w:rFonts w:asciiTheme="minorEastAsia" w:hAnsiTheme="minorEastAsia" w:eastAsiaTheme="minorEastAsia"/>
          <w:color w:val="auto"/>
          <w:highlight w:val="none"/>
        </w:rPr>
        <w:t>划图等基础测绘成果进行更新</w:t>
      </w:r>
      <w:r>
        <w:rPr>
          <w:rFonts w:hint="eastAsia" w:asciiTheme="minorEastAsia" w:hAnsiTheme="minorEastAsia" w:eastAsiaTheme="minorEastAsia"/>
          <w:color w:val="auto"/>
          <w:highlight w:val="none"/>
        </w:rPr>
        <w:t>。其中，平原丘陵区域是基于1:2</w:t>
      </w:r>
      <w:r>
        <w:rPr>
          <w:rFonts w:asciiTheme="minorEastAsia" w:hAnsiTheme="minorEastAsia" w:eastAsiaTheme="minorEastAsia"/>
          <w:color w:val="auto"/>
          <w:highlight w:val="none"/>
        </w:rPr>
        <w:t>000DLG生产</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局部利用了规划竣工和卫星影像进行过更新</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西部山区是基于</w:t>
      </w:r>
      <w:r>
        <w:rPr>
          <w:rFonts w:hint="eastAsia" w:asciiTheme="minorEastAsia" w:hAnsiTheme="minorEastAsia" w:eastAsiaTheme="minorEastAsia"/>
          <w:color w:val="auto"/>
          <w:highlight w:val="none"/>
        </w:rPr>
        <w:t>1:1万DLG生产，局部利用历年度卫星影像进行过更新</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020年</w:t>
      </w:r>
      <w:r>
        <w:rPr>
          <w:rFonts w:hint="eastAsia" w:asciiTheme="minorEastAsia" w:hAnsiTheme="minorEastAsia" w:eastAsiaTheme="minorEastAsia"/>
          <w:color w:val="auto"/>
          <w:highlight w:val="none"/>
        </w:rPr>
        <w:t>，将</w:t>
      </w:r>
      <w:r>
        <w:rPr>
          <w:rFonts w:asciiTheme="minorEastAsia" w:hAnsiTheme="minorEastAsia" w:eastAsiaTheme="minorEastAsia"/>
          <w:color w:val="auto"/>
          <w:highlight w:val="none"/>
        </w:rPr>
        <w:t>地理实体数据库与地理国情库</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电子地图库进行</w:t>
      </w:r>
      <w:r>
        <w:rPr>
          <w:rFonts w:hint="eastAsia" w:asciiTheme="minorEastAsia" w:hAnsiTheme="minorEastAsia" w:eastAsiaTheme="minorEastAsia"/>
          <w:color w:val="auto"/>
          <w:highlight w:val="none"/>
        </w:rPr>
        <w:t>了</w:t>
      </w:r>
      <w:r>
        <w:rPr>
          <w:rFonts w:asciiTheme="minorEastAsia" w:hAnsiTheme="minorEastAsia" w:eastAsiaTheme="minorEastAsia"/>
          <w:color w:val="auto"/>
          <w:highlight w:val="none"/>
        </w:rPr>
        <w:t>融合</w:t>
      </w:r>
      <w:r>
        <w:rPr>
          <w:rFonts w:hint="eastAsia" w:asciiTheme="minorEastAsia" w:hAnsiTheme="minorEastAsia" w:eastAsiaTheme="minorEastAsia"/>
          <w:color w:val="auto"/>
          <w:highlight w:val="none"/>
        </w:rPr>
        <w:t>和</w:t>
      </w:r>
      <w:r>
        <w:rPr>
          <w:rFonts w:asciiTheme="minorEastAsia" w:hAnsiTheme="minorEastAsia" w:eastAsiaTheme="minorEastAsia"/>
          <w:color w:val="auto"/>
          <w:highlight w:val="none"/>
        </w:rPr>
        <w:t>升级</w:t>
      </w:r>
      <w:r>
        <w:rPr>
          <w:rFonts w:hint="eastAsia" w:asciiTheme="minorEastAsia" w:hAnsiTheme="minorEastAsia" w:eastAsiaTheme="minorEastAsia"/>
          <w:color w:val="auto"/>
          <w:highlight w:val="none"/>
        </w:rPr>
        <w:t>改造，</w:t>
      </w:r>
      <w:r>
        <w:rPr>
          <w:rFonts w:asciiTheme="minorEastAsia" w:hAnsiTheme="minorEastAsia" w:eastAsiaTheme="minorEastAsia"/>
          <w:color w:val="auto"/>
          <w:highlight w:val="none"/>
        </w:rPr>
        <w:t>形成了现有的二维地理实体数据库</w:t>
      </w:r>
      <w:r>
        <w:rPr>
          <w:rFonts w:hint="eastAsia" w:asciiTheme="minorEastAsia" w:hAnsiTheme="minorEastAsia" w:eastAsiaTheme="minorEastAsia"/>
          <w:color w:val="auto"/>
          <w:highlight w:val="none"/>
        </w:rPr>
        <w:t>。现有的二维地理实体数据库依据现势性最优、表达最精细、几何精度最高、属性精度最准确的原则对原有</w:t>
      </w:r>
      <w:r>
        <w:rPr>
          <w:rFonts w:asciiTheme="minorEastAsia" w:hAnsiTheme="minorEastAsia" w:eastAsiaTheme="minorEastAsia"/>
          <w:color w:val="auto"/>
          <w:highlight w:val="none"/>
        </w:rPr>
        <w:t>地理实体</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地理国情</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电子地图数据库进行了合并和融合处理</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内容上包括</w:t>
      </w:r>
      <w:r>
        <w:rPr>
          <w:rFonts w:hint="eastAsia" w:asciiTheme="minorEastAsia" w:hAnsiTheme="minorEastAsia" w:eastAsiaTheme="minorEastAsia"/>
          <w:color w:val="auto"/>
          <w:highlight w:val="none"/>
        </w:rPr>
        <w:t>政区</w:t>
      </w:r>
      <w:r>
        <w:rPr>
          <w:rFonts w:asciiTheme="minorEastAsia" w:hAnsiTheme="minorEastAsia" w:eastAsiaTheme="minorEastAsia"/>
          <w:color w:val="auto"/>
          <w:highlight w:val="none"/>
        </w:rPr>
        <w:t>与境界、</w:t>
      </w:r>
      <w:r>
        <w:rPr>
          <w:rFonts w:hint="eastAsia" w:asciiTheme="minorEastAsia" w:hAnsiTheme="minorEastAsia" w:eastAsiaTheme="minorEastAsia"/>
          <w:color w:val="auto"/>
          <w:highlight w:val="none"/>
        </w:rPr>
        <w:t>交通</w:t>
      </w:r>
      <w:r>
        <w:rPr>
          <w:rFonts w:asciiTheme="minorEastAsia" w:hAnsiTheme="minorEastAsia" w:eastAsiaTheme="minorEastAsia"/>
          <w:color w:val="auto"/>
          <w:highlight w:val="none"/>
        </w:rPr>
        <w:t>、水系、</w:t>
      </w:r>
      <w:r>
        <w:rPr>
          <w:rFonts w:hint="eastAsia" w:asciiTheme="minorEastAsia" w:hAnsiTheme="minorEastAsia" w:eastAsiaTheme="minorEastAsia"/>
          <w:color w:val="auto"/>
          <w:highlight w:val="none"/>
        </w:rPr>
        <w:t>居民地、POI</w:t>
      </w:r>
      <w:r>
        <w:rPr>
          <w:rFonts w:asciiTheme="minorEastAsia" w:hAnsiTheme="minorEastAsia" w:eastAsiaTheme="minorEastAsia"/>
          <w:color w:val="auto"/>
          <w:highlight w:val="none"/>
        </w:rPr>
        <w:t>地名以及</w:t>
      </w:r>
      <w:r>
        <w:rPr>
          <w:rFonts w:hint="eastAsia" w:asciiTheme="minorEastAsia" w:hAnsiTheme="minorEastAsia" w:eastAsiaTheme="minorEastAsia"/>
          <w:color w:val="auto"/>
          <w:highlight w:val="none"/>
        </w:rPr>
        <w:t>部分</w:t>
      </w:r>
      <w:r>
        <w:rPr>
          <w:rFonts w:asciiTheme="minorEastAsia" w:hAnsiTheme="minorEastAsia" w:eastAsiaTheme="minorEastAsia"/>
          <w:color w:val="auto"/>
          <w:highlight w:val="none"/>
        </w:rPr>
        <w:t>区域的</w:t>
      </w:r>
      <w:r>
        <w:rPr>
          <w:rFonts w:hint="eastAsia" w:asciiTheme="minorEastAsia" w:hAnsiTheme="minorEastAsia" w:eastAsiaTheme="minorEastAsia"/>
          <w:color w:val="auto"/>
          <w:highlight w:val="none"/>
        </w:rPr>
        <w:t>院落</w:t>
      </w:r>
      <w:r>
        <w:rPr>
          <w:rFonts w:asciiTheme="minorEastAsia" w:hAnsiTheme="minorEastAsia" w:eastAsiaTheme="minorEastAsia"/>
          <w:color w:val="auto"/>
          <w:highlight w:val="none"/>
        </w:rPr>
        <w:t>、门楼址</w:t>
      </w:r>
      <w:r>
        <w:rPr>
          <w:rFonts w:hint="eastAsia" w:asciiTheme="minorEastAsia" w:hAnsiTheme="minorEastAsia" w:eastAsiaTheme="minorEastAsia"/>
          <w:color w:val="auto"/>
          <w:highlight w:val="none"/>
        </w:rPr>
        <w:t>等要素。</w:t>
      </w:r>
      <w:r>
        <w:rPr>
          <w:rFonts w:asciiTheme="minorEastAsia" w:hAnsiTheme="minorEastAsia" w:eastAsiaTheme="minorEastAsia"/>
          <w:color w:val="auto"/>
          <w:highlight w:val="none"/>
        </w:rPr>
        <w:t xml:space="preserve"> </w:t>
      </w:r>
    </w:p>
    <w:p>
      <w:pPr>
        <w:ind w:firstLine="482" w:firstLineChars="200"/>
        <w:rPr>
          <w:rFonts w:asciiTheme="minorEastAsia" w:hAnsiTheme="minorEastAsia" w:eastAsiaTheme="minorEastAsia"/>
          <w:b/>
          <w:bCs/>
          <w:color w:val="auto"/>
          <w:highlight w:val="none"/>
        </w:rPr>
      </w:pPr>
      <w:bookmarkStart w:id="1052" w:name="_Toc70603807"/>
      <w:r>
        <w:rPr>
          <w:rFonts w:hint="eastAsia" w:asciiTheme="minorEastAsia" w:hAnsiTheme="minorEastAsia" w:eastAsiaTheme="minorEastAsia"/>
          <w:b/>
          <w:bCs/>
          <w:color w:val="auto"/>
          <w:highlight w:val="none"/>
        </w:rPr>
        <w:t>2)</w:t>
      </w:r>
      <w:r>
        <w:rPr>
          <w:rFonts w:asciiTheme="minorEastAsia" w:hAnsiTheme="minorEastAsia" w:eastAsiaTheme="minorEastAsia"/>
          <w:b/>
          <w:bCs/>
          <w:color w:val="auto"/>
          <w:highlight w:val="none"/>
        </w:rPr>
        <w:t>实景三维</w:t>
      </w:r>
      <w:bookmarkEnd w:id="1052"/>
      <w:r>
        <w:rPr>
          <w:rFonts w:asciiTheme="minorEastAsia" w:hAnsiTheme="minorEastAsia" w:eastAsiaTheme="minorEastAsia"/>
          <w:b/>
          <w:bCs/>
          <w:color w:val="auto"/>
          <w:highlight w:val="none"/>
        </w:rPr>
        <w:t>数据</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成都市现有的实景三维成果为2</w:t>
      </w:r>
      <w:r>
        <w:rPr>
          <w:rFonts w:asciiTheme="minorEastAsia" w:hAnsiTheme="minorEastAsia" w:eastAsiaTheme="minorEastAsia"/>
          <w:color w:val="auto"/>
          <w:highlight w:val="none"/>
        </w:rPr>
        <w:t>016-2018年生产的</w:t>
      </w:r>
      <w:r>
        <w:rPr>
          <w:rFonts w:hint="eastAsia" w:asciiTheme="minorEastAsia" w:hAnsiTheme="minorEastAsia" w:eastAsiaTheme="minorEastAsia"/>
          <w:color w:val="auto"/>
          <w:highlight w:val="none"/>
        </w:rPr>
        <w:t>，覆盖成都市中心城五城区420平方公里，采用多角度倾斜摄影与机载激光点云数据相结合的生产工艺，成果的平面精度、结构精度达到0.5米以内，高程精度达到0.3米以内。实景</w:t>
      </w:r>
      <w:r>
        <w:rPr>
          <w:rFonts w:asciiTheme="minorEastAsia" w:hAnsiTheme="minorEastAsia" w:eastAsiaTheme="minorEastAsia"/>
          <w:color w:val="auto"/>
          <w:highlight w:val="none"/>
        </w:rPr>
        <w:t>三维</w:t>
      </w:r>
      <w:r>
        <w:rPr>
          <w:rFonts w:hint="eastAsia" w:asciiTheme="minorEastAsia" w:hAnsiTheme="minorEastAsia" w:eastAsiaTheme="minorEastAsia"/>
          <w:color w:val="auto"/>
          <w:highlight w:val="none"/>
        </w:rPr>
        <w:t>成果实现了每栋建筑的单体化、数据管理分层化，成果整体纹理清晰，真实感强。单体化模型根据地物类型分为建筑、桥梁、其他设施等类别。但由于</w:t>
      </w:r>
      <w:r>
        <w:rPr>
          <w:rFonts w:asciiTheme="minorEastAsia" w:hAnsiTheme="minorEastAsia" w:eastAsiaTheme="minorEastAsia"/>
          <w:color w:val="auto"/>
          <w:highlight w:val="none"/>
        </w:rPr>
        <w:t>当时</w:t>
      </w:r>
      <w:r>
        <w:rPr>
          <w:rFonts w:hint="eastAsia" w:asciiTheme="minorEastAsia" w:hAnsiTheme="minorEastAsia" w:eastAsiaTheme="minorEastAsia"/>
          <w:color w:val="auto"/>
          <w:highlight w:val="none"/>
        </w:rPr>
        <w:t>数据建设</w:t>
      </w:r>
      <w:r>
        <w:rPr>
          <w:rFonts w:asciiTheme="minorEastAsia" w:hAnsiTheme="minorEastAsia" w:eastAsiaTheme="minorEastAsia"/>
          <w:color w:val="auto"/>
          <w:highlight w:val="none"/>
        </w:rPr>
        <w:t>时受技术</w:t>
      </w:r>
      <w:r>
        <w:rPr>
          <w:rFonts w:hint="eastAsia" w:asciiTheme="minorEastAsia" w:hAnsiTheme="minorEastAsia" w:eastAsiaTheme="minorEastAsia"/>
          <w:color w:val="auto"/>
          <w:highlight w:val="none"/>
        </w:rPr>
        <w:t>限制，以及随着实景三维中国建设和新型基础测绘提出更高要求，我市现有的实景三维成果主要存在以下不足：一是仅对建筑进行了单体化建模，但并未按照楼栋实体进行单体化建模；二是未</w:t>
      </w:r>
      <w:r>
        <w:rPr>
          <w:rFonts w:asciiTheme="minorEastAsia" w:hAnsiTheme="minorEastAsia" w:eastAsiaTheme="minorEastAsia"/>
          <w:color w:val="auto"/>
          <w:highlight w:val="none"/>
        </w:rPr>
        <w:t>对道路</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水系等</w:t>
      </w:r>
      <w:r>
        <w:rPr>
          <w:rFonts w:hint="eastAsia" w:asciiTheme="minorEastAsia" w:hAnsiTheme="minorEastAsia" w:eastAsiaTheme="minorEastAsia"/>
          <w:color w:val="auto"/>
          <w:highlight w:val="none"/>
        </w:rPr>
        <w:t>其他要素</w:t>
      </w:r>
      <w:r>
        <w:rPr>
          <w:rFonts w:asciiTheme="minorEastAsia" w:hAnsiTheme="minorEastAsia" w:eastAsiaTheme="minorEastAsia"/>
          <w:color w:val="auto"/>
          <w:highlight w:val="none"/>
        </w:rPr>
        <w:t>进行三维实体化</w:t>
      </w:r>
      <w:r>
        <w:rPr>
          <w:rFonts w:hint="eastAsia" w:asciiTheme="minorEastAsia" w:hAnsiTheme="minorEastAsia" w:eastAsiaTheme="minorEastAsia"/>
          <w:color w:val="auto"/>
          <w:highlight w:val="none"/>
        </w:rPr>
        <w:t>表达；三是仅实现了三维可视化，缺乏</w:t>
      </w:r>
      <w:r>
        <w:rPr>
          <w:rFonts w:asciiTheme="minorEastAsia" w:hAnsiTheme="minorEastAsia" w:eastAsiaTheme="minorEastAsia"/>
          <w:color w:val="auto"/>
          <w:highlight w:val="none"/>
        </w:rPr>
        <w:t>唯一</w:t>
      </w:r>
      <w:r>
        <w:rPr>
          <w:rFonts w:hint="eastAsia" w:asciiTheme="minorEastAsia" w:hAnsiTheme="minorEastAsia" w:eastAsiaTheme="minorEastAsia"/>
          <w:color w:val="auto"/>
          <w:highlight w:val="none"/>
        </w:rPr>
        <w:t>标识</w:t>
      </w:r>
      <w:r>
        <w:rPr>
          <w:rFonts w:asciiTheme="minorEastAsia" w:hAnsiTheme="minorEastAsia" w:eastAsiaTheme="minorEastAsia"/>
          <w:color w:val="auto"/>
          <w:highlight w:val="none"/>
        </w:rPr>
        <w:t>码</w:t>
      </w:r>
      <w:r>
        <w:rPr>
          <w:rFonts w:hint="eastAsia" w:asciiTheme="minorEastAsia" w:hAnsiTheme="minorEastAsia" w:eastAsiaTheme="minorEastAsia"/>
          <w:color w:val="auto"/>
          <w:highlight w:val="none"/>
        </w:rPr>
        <w:t>未能与二维实体相关联，无法形成</w:t>
      </w:r>
      <w:r>
        <w:rPr>
          <w:rFonts w:asciiTheme="minorEastAsia" w:hAnsiTheme="minorEastAsia" w:eastAsiaTheme="minorEastAsia"/>
          <w:color w:val="auto"/>
          <w:highlight w:val="none"/>
        </w:rPr>
        <w:t>数据联动</w:t>
      </w:r>
      <w:r>
        <w:rPr>
          <w:rFonts w:hint="eastAsia" w:asciiTheme="minorEastAsia" w:hAnsiTheme="minorEastAsia" w:eastAsiaTheme="minorEastAsia"/>
          <w:color w:val="auto"/>
          <w:highlight w:val="none"/>
        </w:rPr>
        <w:t>机制，不能对三维实体进行属性查询、分析；四是缺少应用三维场景，导致现有的实际三维模型应用价值不足。</w:t>
      </w:r>
    </w:p>
    <w:p>
      <w:pPr>
        <w:ind w:firstLine="482" w:firstLineChars="200"/>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3</w:t>
      </w: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1:500DLG</w:t>
      </w:r>
    </w:p>
    <w:p>
      <w:pPr>
        <w:ind w:firstLine="480" w:firstLineChars="200"/>
        <w:rPr>
          <w:rFonts w:cs="宋体" w:asciiTheme="minorEastAsia" w:hAnsiTheme="minorEastAsia" w:eastAsiaTheme="minorEastAsia"/>
          <w:color w:val="auto"/>
          <w:highlight w:val="none"/>
        </w:rPr>
      </w:pPr>
      <w:r>
        <w:rPr>
          <w:rFonts w:hint="eastAsia" w:asciiTheme="minorEastAsia" w:hAnsiTheme="minorEastAsia" w:eastAsiaTheme="minorEastAsia"/>
          <w:color w:val="auto"/>
          <w:highlight w:val="none"/>
        </w:rPr>
        <w:t>1:5</w:t>
      </w:r>
      <w:r>
        <w:rPr>
          <w:rFonts w:asciiTheme="minorEastAsia" w:hAnsiTheme="minorEastAsia" w:eastAsiaTheme="minorEastAsia"/>
          <w:color w:val="auto"/>
          <w:highlight w:val="none"/>
        </w:rPr>
        <w:t>00DLG作为二维地理实体数据更新的重要数据源</w:t>
      </w:r>
      <w:r>
        <w:rPr>
          <w:rFonts w:hint="eastAsia" w:asciiTheme="minorEastAsia" w:hAnsiTheme="minorEastAsia" w:eastAsiaTheme="minorEastAsia"/>
          <w:color w:val="auto"/>
          <w:highlight w:val="none"/>
        </w:rPr>
        <w:t>，主要分布范围为中心城五城区约4</w:t>
      </w:r>
      <w:r>
        <w:rPr>
          <w:rFonts w:asciiTheme="minorEastAsia" w:hAnsiTheme="minorEastAsia" w:eastAsiaTheme="minorEastAsia"/>
          <w:color w:val="auto"/>
          <w:highlight w:val="none"/>
        </w:rPr>
        <w:t>20平方公里和其他区</w:t>
      </w:r>
      <w:r>
        <w:rPr>
          <w:rFonts w:hint="eastAsia" w:asciiTheme="minorEastAsia" w:hAnsiTheme="minorEastAsia" w:eastAsiaTheme="minorEastAsia"/>
          <w:color w:val="auto"/>
          <w:highlight w:val="none"/>
        </w:rPr>
        <w:t>(市)</w:t>
      </w:r>
      <w:r>
        <w:rPr>
          <w:rFonts w:asciiTheme="minorEastAsia" w:hAnsiTheme="minorEastAsia" w:eastAsiaTheme="minorEastAsia"/>
          <w:color w:val="auto"/>
          <w:highlight w:val="none"/>
        </w:rPr>
        <w:t>县约328平方公里</w:t>
      </w:r>
      <w:r>
        <w:rPr>
          <w:rFonts w:hint="eastAsia" w:asciiTheme="minorEastAsia" w:hAnsiTheme="minorEastAsia" w:eastAsiaTheme="minorEastAsia"/>
          <w:color w:val="auto"/>
          <w:highlight w:val="none"/>
        </w:rPr>
        <w:t>。其中五城区的1:5</w:t>
      </w:r>
      <w:r>
        <w:rPr>
          <w:rFonts w:asciiTheme="minorEastAsia" w:hAnsiTheme="minorEastAsia" w:eastAsiaTheme="minorEastAsia"/>
          <w:color w:val="auto"/>
          <w:highlight w:val="none"/>
        </w:rPr>
        <w:t>00DLG</w:t>
      </w:r>
      <w:r>
        <w:rPr>
          <w:rFonts w:hint="eastAsia" w:asciiTheme="minorEastAsia" w:hAnsiTheme="minorEastAsia" w:eastAsiaTheme="minorEastAsia"/>
          <w:color w:val="auto"/>
          <w:highlight w:val="none"/>
        </w:rPr>
        <w:t>现势性为2</w:t>
      </w:r>
      <w:r>
        <w:rPr>
          <w:rFonts w:asciiTheme="minorEastAsia" w:hAnsiTheme="minorEastAsia" w:eastAsiaTheme="minorEastAsia"/>
          <w:color w:val="auto"/>
          <w:highlight w:val="none"/>
        </w:rPr>
        <w:t>020年</w:t>
      </w:r>
      <w:r>
        <w:rPr>
          <w:rFonts w:hint="eastAsia" w:asciiTheme="minorEastAsia" w:hAnsiTheme="minorEastAsia" w:eastAsiaTheme="minorEastAsia"/>
          <w:color w:val="auto"/>
          <w:highlight w:val="none"/>
        </w:rPr>
        <w:t>，包括道路(中线和面)、水系(中线和面)、房屋、楼栋、院落、POI等要素，成果符合《成都市1：500DLG建库技术规定(2020)》和《成都市1：500DLG生产技术规定(2020)》。其他区县的数据测制时间</w:t>
      </w:r>
      <w:r>
        <w:rPr>
          <w:rFonts w:asciiTheme="minorEastAsia" w:hAnsiTheme="minorEastAsia" w:eastAsiaTheme="minorEastAsia"/>
          <w:color w:val="auto"/>
          <w:highlight w:val="none"/>
        </w:rPr>
        <w:t>不一，</w:t>
      </w:r>
      <w:r>
        <w:rPr>
          <w:rFonts w:hint="eastAsia" w:asciiTheme="minorEastAsia" w:hAnsiTheme="minorEastAsia" w:eastAsiaTheme="minorEastAsia"/>
          <w:color w:val="auto"/>
          <w:highlight w:val="none"/>
        </w:rPr>
        <w:t>现势性约为2</w:t>
      </w:r>
      <w:r>
        <w:rPr>
          <w:rFonts w:asciiTheme="minorEastAsia" w:hAnsiTheme="minorEastAsia" w:eastAsiaTheme="minorEastAsia"/>
          <w:color w:val="auto"/>
          <w:highlight w:val="none"/>
        </w:rPr>
        <w:t>019-2020年</w:t>
      </w:r>
      <w:r>
        <w:rPr>
          <w:rFonts w:hint="eastAsia" w:asciiTheme="minorEastAsia" w:hAnsiTheme="minorEastAsia" w:eastAsiaTheme="minorEastAsia"/>
          <w:color w:val="auto"/>
          <w:highlight w:val="none"/>
        </w:rPr>
        <w:t>。</w:t>
      </w:r>
    </w:p>
    <w:p>
      <w:pPr>
        <w:ind w:firstLine="482" w:firstLineChars="200"/>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4</w:t>
      </w: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1:2000DLG</w:t>
      </w:r>
    </w:p>
    <w:p>
      <w:pPr>
        <w:ind w:firstLine="48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2020年我市对</w:t>
      </w:r>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800平方公里范围内的</w:t>
      </w:r>
      <w:r>
        <w:rPr>
          <w:rFonts w:hint="eastAsia" w:asciiTheme="minorEastAsia" w:hAnsiTheme="minorEastAsia" w:eastAsiaTheme="minorEastAsia"/>
          <w:color w:val="auto"/>
          <w:highlight w:val="none"/>
        </w:rPr>
        <w:t>1:2</w:t>
      </w:r>
      <w:r>
        <w:rPr>
          <w:rFonts w:asciiTheme="minorEastAsia" w:hAnsiTheme="minorEastAsia" w:eastAsiaTheme="minorEastAsia"/>
          <w:color w:val="auto"/>
          <w:highlight w:val="none"/>
        </w:rPr>
        <w:t>000DLG数据利用数字航空摄影测量方式进行了全要素更新</w:t>
      </w:r>
      <w:r>
        <w:rPr>
          <w:rFonts w:hint="eastAsia" w:asciiTheme="minorEastAsia" w:hAnsiTheme="minorEastAsia" w:eastAsiaTheme="minorEastAsia"/>
          <w:color w:val="auto"/>
          <w:highlight w:val="none"/>
        </w:rPr>
        <w:t>，作为此次二维地理实体数据更新的重要数据源，主要分布在成都市东部区域和天府新区成都直管区范围，包括东部新区、空港新城、简阳城区、简州新城、淮州新城、天府新区成都直管区等重点区域，其分布范围见图</w:t>
      </w: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。包括道路(中线和面)、水系(中线和面)、房屋、楼栋、院落、POI等要素，成果符合《成都市1：500DLG建库技术规定(2020)》和《成都市1：500DLG生产技术规定(2020)》。</w:t>
      </w:r>
    </w:p>
    <w:p>
      <w:pPr>
        <w:ind w:firstLine="482" w:firstLineChars="200"/>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5</w:t>
      </w: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2021年卫星影像</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a</w:t>
      </w:r>
      <w:r>
        <w:rPr>
          <w:rFonts w:hint="eastAsia" w:asciiTheme="minorEastAsia" w:hAnsiTheme="minorEastAsia" w:eastAsiaTheme="minorEastAsia"/>
          <w:b/>
          <w:bCs/>
          <w:color w:val="auto"/>
          <w:highlight w:val="none"/>
        </w:rPr>
        <w:t>)2021年度</w:t>
      </w:r>
      <w:r>
        <w:rPr>
          <w:rFonts w:asciiTheme="minorEastAsia" w:hAnsiTheme="minorEastAsia" w:eastAsiaTheme="minorEastAsia"/>
          <w:b/>
          <w:bCs/>
          <w:color w:val="auto"/>
          <w:highlight w:val="none"/>
        </w:rPr>
        <w:t>卫星影像</w:t>
      </w:r>
    </w:p>
    <w:p>
      <w:pPr>
        <w:ind w:firstLine="48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2021年我市拟</w:t>
      </w:r>
      <w:r>
        <w:rPr>
          <w:rFonts w:hint="eastAsia" w:asciiTheme="minorEastAsia" w:hAnsiTheme="minorEastAsia" w:eastAsiaTheme="minorEastAsia"/>
          <w:color w:val="auto"/>
          <w:highlight w:val="none"/>
        </w:rPr>
        <w:t>采购</w:t>
      </w:r>
      <w:r>
        <w:rPr>
          <w:rFonts w:asciiTheme="minorEastAsia" w:hAnsiTheme="minorEastAsia" w:eastAsiaTheme="minorEastAsia"/>
          <w:color w:val="auto"/>
          <w:highlight w:val="none"/>
        </w:rPr>
        <w:t>市域范围内高分辨率卫星影像</w:t>
      </w:r>
      <w:r>
        <w:rPr>
          <w:rFonts w:hint="eastAsia" w:asciiTheme="minorEastAsia" w:hAnsiTheme="minorEastAsia" w:eastAsiaTheme="minorEastAsia"/>
          <w:color w:val="auto"/>
          <w:highlight w:val="none"/>
        </w:rPr>
        <w:t>，预计总获取</w:t>
      </w:r>
      <w:r>
        <w:rPr>
          <w:rFonts w:asciiTheme="minorEastAsia" w:hAnsiTheme="minorEastAsia" w:eastAsiaTheme="minorEastAsia"/>
          <w:color w:val="auto"/>
          <w:highlight w:val="none"/>
        </w:rPr>
        <w:t>面积12000平方公里</w:t>
      </w:r>
      <w:r>
        <w:rPr>
          <w:rFonts w:hint="eastAsia" w:asciiTheme="minorEastAsia" w:hAnsiTheme="minorEastAsia" w:eastAsiaTheme="minorEastAsia"/>
          <w:color w:val="auto"/>
          <w:highlight w:val="none"/>
        </w:rPr>
        <w:t>(以实际获取的原始影像范围为准)</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其中，平原丘陵区域的卫星影像空间分辨率优于</w:t>
      </w:r>
      <w:r>
        <w:rPr>
          <w:rFonts w:asciiTheme="minorEastAsia" w:hAnsiTheme="minorEastAsia" w:eastAsiaTheme="minorEastAsia"/>
          <w:color w:val="auto"/>
          <w:highlight w:val="none"/>
        </w:rPr>
        <w:t>0.5米</w:t>
      </w:r>
      <w:r>
        <w:rPr>
          <w:rFonts w:hint="eastAsia" w:asciiTheme="minorEastAsia" w:hAnsiTheme="minorEastAsia" w:eastAsiaTheme="minorEastAsia"/>
          <w:color w:val="auto"/>
          <w:highlight w:val="none"/>
        </w:rPr>
        <w:t>(含)，</w:t>
      </w:r>
      <w:r>
        <w:rPr>
          <w:rFonts w:asciiTheme="minorEastAsia" w:hAnsiTheme="minorEastAsia" w:eastAsiaTheme="minorEastAsia"/>
          <w:color w:val="auto"/>
          <w:highlight w:val="none"/>
        </w:rPr>
        <w:t>预计获取面积</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0000平方公里</w:t>
      </w:r>
      <w:r>
        <w:rPr>
          <w:rFonts w:hint="eastAsia" w:asciiTheme="minorEastAsia" w:hAnsiTheme="minorEastAsia" w:eastAsiaTheme="minorEastAsia"/>
          <w:color w:val="auto"/>
          <w:highlight w:val="none"/>
        </w:rPr>
        <w:t>，西部山区的卫星影像空间分辨率优于</w:t>
      </w:r>
      <w:r>
        <w:rPr>
          <w:rFonts w:asciiTheme="minorEastAsia" w:hAnsiTheme="minorEastAsia" w:eastAsiaTheme="minorEastAsia"/>
          <w:color w:val="auto"/>
          <w:highlight w:val="none"/>
        </w:rPr>
        <w:t>0.</w:t>
      </w:r>
      <w:r>
        <w:rPr>
          <w:rFonts w:hint="eastAsia" w:asciiTheme="minorEastAsia" w:hAnsiTheme="minorEastAsia" w:eastAsiaTheme="minorEastAsia"/>
          <w:color w:val="auto"/>
          <w:highlight w:val="none"/>
        </w:rPr>
        <w:t>8</w:t>
      </w:r>
      <w:r>
        <w:rPr>
          <w:rFonts w:asciiTheme="minorEastAsia" w:hAnsiTheme="minorEastAsia" w:eastAsiaTheme="minorEastAsia"/>
          <w:color w:val="auto"/>
          <w:highlight w:val="none"/>
        </w:rPr>
        <w:t>米</w:t>
      </w:r>
      <w:r>
        <w:rPr>
          <w:rFonts w:hint="eastAsia" w:asciiTheme="minorEastAsia" w:hAnsiTheme="minorEastAsia" w:eastAsiaTheme="minorEastAsia"/>
          <w:color w:val="auto"/>
          <w:highlight w:val="none"/>
        </w:rPr>
        <w:t>(含)，</w:t>
      </w:r>
      <w:r>
        <w:rPr>
          <w:rFonts w:asciiTheme="minorEastAsia" w:hAnsiTheme="minorEastAsia" w:eastAsiaTheme="minorEastAsia"/>
          <w:color w:val="auto"/>
          <w:highlight w:val="none"/>
        </w:rPr>
        <w:t>预计获取面积2000平方公里。计划于</w:t>
      </w: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021年7</w:t>
      </w:r>
      <w:r>
        <w:rPr>
          <w:rFonts w:hint="eastAsia" w:asciiTheme="minorEastAsia" w:hAnsiTheme="minorEastAsia" w:eastAsiaTheme="minorEastAsia"/>
          <w:color w:val="auto"/>
          <w:highlight w:val="none"/>
        </w:rPr>
        <w:t>月底完成原始卫星影像获取工作，并</w:t>
      </w:r>
      <w:r>
        <w:rPr>
          <w:rFonts w:asciiTheme="minorEastAsia" w:hAnsiTheme="minorEastAsia" w:eastAsiaTheme="minorEastAsia"/>
          <w:color w:val="auto"/>
          <w:highlight w:val="none"/>
        </w:rPr>
        <w:t>于</w:t>
      </w: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021年</w:t>
      </w:r>
      <w:r>
        <w:rPr>
          <w:rFonts w:hint="eastAsia" w:asciiTheme="minorEastAsia" w:hAnsiTheme="minorEastAsia" w:eastAsiaTheme="minorEastAsia"/>
          <w:color w:val="auto"/>
          <w:highlight w:val="none"/>
        </w:rPr>
        <w:t>9月底完成正射影像加工工作。</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b</w:t>
      </w: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2021年季度</w:t>
      </w:r>
      <w:r>
        <w:rPr>
          <w:rFonts w:hint="eastAsia" w:asciiTheme="minorEastAsia" w:hAnsiTheme="minorEastAsia" w:eastAsiaTheme="minorEastAsia"/>
          <w:b/>
          <w:bCs/>
          <w:color w:val="auto"/>
          <w:highlight w:val="none"/>
        </w:rPr>
        <w:t>卫星</w:t>
      </w:r>
      <w:r>
        <w:rPr>
          <w:rFonts w:asciiTheme="minorEastAsia" w:hAnsiTheme="minorEastAsia" w:eastAsiaTheme="minorEastAsia"/>
          <w:b/>
          <w:bCs/>
          <w:color w:val="auto"/>
          <w:highlight w:val="none"/>
        </w:rPr>
        <w:t>影像</w:t>
      </w:r>
    </w:p>
    <w:p>
      <w:pPr>
        <w:ind w:firstLine="48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2021年我市拟以季度为周期</w:t>
      </w:r>
      <w:r>
        <w:rPr>
          <w:rFonts w:hint="eastAsia" w:asciiTheme="minorEastAsia" w:hAnsiTheme="minorEastAsia" w:eastAsiaTheme="minorEastAsia"/>
          <w:color w:val="auto"/>
          <w:highlight w:val="none"/>
        </w:rPr>
        <w:t>采购</w:t>
      </w:r>
      <w:r>
        <w:rPr>
          <w:rFonts w:asciiTheme="minorEastAsia" w:hAnsiTheme="minorEastAsia" w:eastAsiaTheme="minorEastAsia"/>
          <w:color w:val="auto"/>
          <w:highlight w:val="none"/>
        </w:rPr>
        <w:t>市域重点区域范围内的高分辨率卫星影像</w:t>
      </w:r>
      <w:r>
        <w:rPr>
          <w:rFonts w:hint="eastAsia" w:asciiTheme="minorEastAsia" w:hAnsiTheme="minorEastAsia" w:eastAsiaTheme="minorEastAsia"/>
          <w:color w:val="auto"/>
          <w:highlight w:val="none"/>
        </w:rPr>
        <w:t>，影像空间分辨率优于</w:t>
      </w:r>
      <w:r>
        <w:rPr>
          <w:rFonts w:asciiTheme="minorEastAsia" w:hAnsiTheme="minorEastAsia" w:eastAsiaTheme="minorEastAsia"/>
          <w:color w:val="auto"/>
          <w:highlight w:val="none"/>
        </w:rPr>
        <w:t>0.8米</w:t>
      </w:r>
      <w:r>
        <w:rPr>
          <w:rFonts w:hint="eastAsia" w:asciiTheme="minorEastAsia" w:hAnsiTheme="minorEastAsia" w:eastAsiaTheme="minorEastAsia"/>
          <w:color w:val="auto"/>
          <w:highlight w:val="none"/>
        </w:rPr>
        <w:t>(含)，影像范围主要覆盖“1</w:t>
      </w: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”中心城区、东部新区和新津区，</w:t>
      </w:r>
      <w:r>
        <w:rPr>
          <w:rFonts w:asciiTheme="minorEastAsia" w:hAnsiTheme="minorEastAsia" w:eastAsiaTheme="minorEastAsia"/>
          <w:color w:val="auto"/>
          <w:highlight w:val="none"/>
        </w:rPr>
        <w:t>面积约</w:t>
      </w:r>
      <w:r>
        <w:rPr>
          <w:rFonts w:hint="eastAsia" w:asciiTheme="minorEastAsia" w:hAnsiTheme="minorEastAsia" w:eastAsiaTheme="minorEastAsia"/>
          <w:color w:val="auto"/>
          <w:highlight w:val="none"/>
        </w:rPr>
        <w:t>4874</w:t>
      </w:r>
      <w:r>
        <w:rPr>
          <w:rFonts w:asciiTheme="minorEastAsia" w:hAnsiTheme="minorEastAsia" w:eastAsiaTheme="minorEastAsia"/>
          <w:color w:val="auto"/>
          <w:highlight w:val="none"/>
        </w:rPr>
        <w:t>平方公里</w:t>
      </w:r>
      <w:r>
        <w:rPr>
          <w:rFonts w:hint="eastAsia" w:asciiTheme="minorEastAsia" w:hAnsiTheme="minorEastAsia" w:eastAsiaTheme="minorEastAsia"/>
          <w:color w:val="auto"/>
          <w:highlight w:val="none"/>
        </w:rPr>
        <w:t>(以实际获取的原始影像范围为准)</w:t>
      </w:r>
      <w:r>
        <w:rPr>
          <w:rFonts w:asciiTheme="minorEastAsia" w:hAnsiTheme="minorEastAsia" w:eastAsiaTheme="minorEastAsia"/>
          <w:color w:val="auto"/>
          <w:highlight w:val="none"/>
        </w:rPr>
        <w:t>。计划</w:t>
      </w: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021年</w:t>
      </w:r>
      <w:r>
        <w:rPr>
          <w:rFonts w:hint="eastAsia" w:asciiTheme="minorEastAsia" w:hAnsiTheme="minorEastAsia" w:eastAsiaTheme="minorEastAsia"/>
          <w:color w:val="auto"/>
          <w:highlight w:val="none"/>
        </w:rPr>
        <w:t>起，每季度末期需完成原始影像获取工作，并</w:t>
      </w:r>
      <w:r>
        <w:rPr>
          <w:rFonts w:asciiTheme="minorEastAsia" w:hAnsiTheme="minorEastAsia" w:eastAsiaTheme="minorEastAsia"/>
          <w:color w:val="auto"/>
          <w:highlight w:val="none"/>
        </w:rPr>
        <w:t>于下季度</w:t>
      </w:r>
      <w:r>
        <w:rPr>
          <w:rFonts w:hint="eastAsia" w:asciiTheme="minorEastAsia" w:hAnsiTheme="minorEastAsia" w:eastAsiaTheme="minorEastAsia"/>
          <w:color w:val="auto"/>
          <w:highlight w:val="none"/>
        </w:rPr>
        <w:t>的中期完成正射影像加工工作，下季度末期需完成正射影像更新二维地理实体数据工作。</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6</w:t>
      </w:r>
      <w:r>
        <w:rPr>
          <w:rFonts w:asciiTheme="minorEastAsia" w:hAnsiTheme="minorEastAsia" w:eastAsiaTheme="minorEastAsia"/>
          <w:b/>
          <w:bCs/>
          <w:color w:val="auto"/>
          <w:highlight w:val="none"/>
        </w:rPr>
        <w:t>)规划竣工成果</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我市每季度的规划竣工测绘成果也作为二维地理实体数据更新的重要数据源，分布在市域各区(市)县。规划竣工测绘成果内容上包括道路、水系、房屋、植被等竣工要素信息。</w:t>
      </w:r>
    </w:p>
    <w:p>
      <w:pPr>
        <w:ind w:firstLine="482" w:firstLineChars="200"/>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7</w:t>
      </w: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地名地址数据</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由于新型地理实体的核心是实体化和语义化，需要根据地名和门址、楼址等信息对成都市域范围内的地理实体成果进行升级改造，故时空大数据与云平台的地名地址数据也是重要数据源，一来可以用来更新二维实体数据库中的地名、门楼址数据；二来可以对楼栋面、院落面等实体进行丰富和补充，建立真正面向应用的、经过实体化和语义化的成都市二维地理实体数据，为后期的应用奠定基础。时空大数据与云平台的地名地址数据分布范围为市域范围，内容上包括地名、门牌号、楼栋号等信息，共约</w:t>
      </w:r>
      <w:r>
        <w:rPr>
          <w:rFonts w:asciiTheme="minorEastAsia" w:hAnsiTheme="minorEastAsia" w:eastAsiaTheme="minorEastAsia"/>
          <w:color w:val="auto"/>
          <w:highlight w:val="none"/>
        </w:rPr>
        <w:t>70万条记录</w:t>
      </w:r>
      <w:r>
        <w:rPr>
          <w:rFonts w:hint="eastAsia" w:asciiTheme="minorEastAsia" w:hAnsiTheme="minorEastAsia" w:eastAsiaTheme="minorEastAsia"/>
          <w:color w:val="auto"/>
          <w:highlight w:val="none"/>
        </w:rPr>
        <w:t>。</w:t>
      </w:r>
    </w:p>
    <w:p>
      <w:pPr>
        <w:ind w:firstLine="482" w:firstLineChars="200"/>
        <w:outlineLvl w:val="2"/>
        <w:rPr>
          <w:rFonts w:cs="宋体" w:asciiTheme="minorEastAsia" w:hAnsiTheme="minorEastAsia" w:eastAsiaTheme="minorEastAsia"/>
          <w:b/>
          <w:color w:val="auto"/>
          <w:highlight w:val="none"/>
        </w:rPr>
      </w:pPr>
      <w:bookmarkStart w:id="1053" w:name="_Toc29546"/>
      <w:r>
        <w:rPr>
          <w:rFonts w:cs="宋体" w:asciiTheme="minorEastAsia" w:hAnsiTheme="minorEastAsia" w:eastAsiaTheme="minorEastAsia"/>
          <w:b/>
          <w:color w:val="auto"/>
          <w:highlight w:val="none"/>
        </w:rPr>
        <w:t>4</w:t>
      </w:r>
      <w:r>
        <w:rPr>
          <w:rFonts w:hint="eastAsia" w:cs="宋体" w:asciiTheme="minorEastAsia" w:hAnsiTheme="minorEastAsia" w:eastAsiaTheme="minorEastAsia"/>
          <w:b/>
          <w:color w:val="auto"/>
          <w:highlight w:val="none"/>
        </w:rPr>
        <w:t>、技术与质量要求</w:t>
      </w:r>
      <w:bookmarkEnd w:id="1053"/>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二维地理实体数据更新主要数据源包括2020年生产的1:500DLG、1：2000DLG、2021年每季度获取并生产的高分正射影像(0.8米分辨率)、2021年度获取并生产的高分正射影像(主要是0.5米分辨率)、2021年每季度竣工测量成果、地名地址。</w:t>
      </w:r>
    </w:p>
    <w:p>
      <w:pPr>
        <w:ind w:firstLine="482" w:firstLineChars="200"/>
        <w:rPr>
          <w:rFonts w:asciiTheme="minorEastAsia" w:hAnsiTheme="minorEastAsia" w:eastAsiaTheme="minorEastAsia"/>
          <w:b/>
          <w:bCs/>
          <w:color w:val="auto"/>
          <w:highlight w:val="none"/>
        </w:rPr>
      </w:pPr>
      <w:bookmarkStart w:id="1054" w:name="_Toc70603818"/>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.1</w:t>
      </w:r>
      <w:r>
        <w:rPr>
          <w:rFonts w:hint="eastAsia" w:asciiTheme="minorEastAsia" w:hAnsiTheme="minorEastAsia" w:eastAsiaTheme="minorEastAsia"/>
          <w:b/>
          <w:bCs/>
          <w:color w:val="auto"/>
          <w:highlight w:val="none"/>
        </w:rPr>
        <w:t>二维地理实体数据更新</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.1.1总体要求</w:t>
      </w:r>
      <w:bookmarkEnd w:id="1054"/>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(1)数学基础</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成都市平面坐标系和2000国家大地坐标系。</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(2)精度要求</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与所采用的更新数据源精度一致。</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(3)数据格式</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ESRI Geodatabase格式。</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4</w:t>
      </w:r>
      <w:r>
        <w:rPr>
          <w:rFonts w:hint="eastAsia" w:asciiTheme="minorEastAsia" w:hAnsiTheme="minorEastAsia" w:eastAsiaTheme="minorEastAsia"/>
          <w:b/>
          <w:bCs/>
          <w:color w:val="auto"/>
          <w:highlight w:val="none"/>
        </w:rPr>
        <w:t>)更新总体原则</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1)现势性优先原则：当更新数据源与二维地理实体数据现势性不一致时，以现势性高的数据为准；</w:t>
      </w:r>
    </w:p>
    <w:p>
      <w:pPr>
        <w:ind w:firstLine="48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)平面位置精度最高原则：当更新数据源与二维地理实体数据的平面位置精度不一致时，以平面位置精度高的数据为准；</w:t>
      </w:r>
    </w:p>
    <w:p>
      <w:pPr>
        <w:ind w:firstLine="48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)属性最准确原则：当更新数据源与二维地理实体数据的属性值不一致时，以属性最准确、现势性最优的数据为准；</w:t>
      </w:r>
    </w:p>
    <w:p>
      <w:pPr>
        <w:ind w:firstLine="48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4</w:t>
      </w:r>
      <w:r>
        <w:rPr>
          <w:rFonts w:hint="eastAsia" w:asciiTheme="minorEastAsia" w:hAnsiTheme="minorEastAsia" w:eastAsiaTheme="minorEastAsia"/>
          <w:color w:val="auto"/>
          <w:highlight w:val="none"/>
        </w:rPr>
        <w:t>)空间关系和逻辑一致性：更新后的二维地理实体数据库要素空间关系正确、各类信息逻辑一致。</w:t>
      </w:r>
    </w:p>
    <w:p>
      <w:pPr>
        <w:ind w:firstLine="482" w:firstLineChars="200"/>
        <w:rPr>
          <w:rFonts w:asciiTheme="minorEastAsia" w:hAnsiTheme="minorEastAsia" w:eastAsiaTheme="minorEastAsia"/>
          <w:b/>
          <w:bCs/>
          <w:color w:val="auto"/>
          <w:highlight w:val="none"/>
        </w:rPr>
      </w:pPr>
      <w:bookmarkStart w:id="1055" w:name="_Toc70603819"/>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.1.2利用DLG更新要求</w:t>
      </w:r>
      <w:bookmarkEnd w:id="1055"/>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(1)工作内容</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利用2020年生产的1:500DLG、1:2000DLG对现有二维地理实体数据库进行内业更新，针对数据源范围内的道路、水系、房屋、楼栋、院落、植被、地名地址和兴趣点、附属设施等图层进行全要素内业更新，但政区与境界、管理单元及专题数据图层除外。</w:t>
      </w:r>
    </w:p>
    <w:p>
      <w:pPr>
        <w:ind w:firstLine="482" w:firstLineChars="200"/>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1</w:t>
      </w: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1:500DLG</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利用2020年生产的1:500DLG包括中心城五城区约420平方公里和其他区(市)县约328平方公里，对二维地理实体数据库进行年度更新。通过提取1:500DLG成果中的交通、水系、居民地、植被等相关要素，并进行格式转换、属性重构、数据接边融合、实体化处理等，并通过与现有二维地理实体数据库进行对比分析，对两库体的现势性、几何精度、属性等进行综合判断，对实体要素进行增加、调整或删除，形成现势性最优、几何精度最高、属性最准确的二维实体数据库成果。</w:t>
      </w:r>
    </w:p>
    <w:p>
      <w:pPr>
        <w:ind w:firstLine="482" w:firstLineChars="200"/>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2</w:t>
      </w: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1:2000DLG</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利用2020年3800平方公里范围内的1:2000DLG数据对二维地理实体数据库进行全要素更新。通过提取1:2000DLG成果中的交通、水系、居民地、植被等相关要素，并进行格式转换、属性重构、数据接边融合、实体化处理等，并通过与现有二维地理实体数据库进行对比分析，对两库体的现势性、几何精度、属性等进行综合判断，对实体要素进行增加、调整或删除，形成现势性最优、几何精度最高、属性最准确的二维实体数据库成果。</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(2)更新要素</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基于DLG对现有二维地理实体数据库的更新为包含铁路、道路、水系、居民地、植被等全要素内业更新(管理单元和专题除外)，更新实体图层及包含要素内容见下表。</w:t>
      </w:r>
    </w:p>
    <w:tbl>
      <w:tblPr>
        <w:tblStyle w:val="27"/>
        <w:tblW w:w="988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4"/>
        <w:gridCol w:w="1105"/>
        <w:gridCol w:w="2014"/>
        <w:gridCol w:w="1247"/>
        <w:gridCol w:w="1134"/>
        <w:gridCol w:w="36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2" w:hRule="atLeast"/>
          <w:tblHeader/>
          <w:jc w:val="center"/>
        </w:trPr>
        <w:tc>
          <w:tcPr>
            <w:tcW w:w="704" w:type="dxa"/>
            <w:shd w:val="clear" w:color="auto" w:fill="auto"/>
            <w:vAlign w:val="center"/>
          </w:tcPr>
          <w:p>
            <w:pPr>
              <w:pStyle w:val="82"/>
              <w:rPr>
                <w:rFonts w:asciiTheme="minorEastAsia" w:hAnsiTheme="minorEastAsia" w:eastAsiaTheme="minorEastAsia"/>
                <w:b/>
                <w:bCs/>
                <w:color w:val="auto"/>
                <w:sz w:val="21"/>
                <w:szCs w:val="21"/>
                <w:highlight w:val="none"/>
              </w:rPr>
            </w:pPr>
            <w:r>
              <w:rPr>
                <w:rFonts w:hint="eastAsia" w:asciiTheme="minorEastAsia" w:hAnsiTheme="minorEastAsia" w:eastAsiaTheme="minorEastAsia"/>
                <w:b/>
                <w:bCs/>
                <w:color w:val="auto"/>
                <w:sz w:val="21"/>
                <w:szCs w:val="21"/>
                <w:highlight w:val="none"/>
              </w:rPr>
              <w:t>序号</w:t>
            </w:r>
          </w:p>
        </w:tc>
        <w:tc>
          <w:tcPr>
            <w:tcW w:w="1105" w:type="dxa"/>
            <w:shd w:val="clear" w:color="auto" w:fill="auto"/>
            <w:vAlign w:val="center"/>
          </w:tcPr>
          <w:p>
            <w:pPr>
              <w:pStyle w:val="82"/>
              <w:rPr>
                <w:rFonts w:asciiTheme="minorEastAsia" w:hAnsiTheme="minorEastAsia" w:eastAsiaTheme="minorEastAsia"/>
                <w:b/>
                <w:bCs/>
                <w:color w:val="auto"/>
                <w:sz w:val="21"/>
                <w:szCs w:val="21"/>
                <w:highlight w:val="none"/>
              </w:rPr>
            </w:pPr>
            <w:r>
              <w:rPr>
                <w:rFonts w:hint="eastAsia" w:asciiTheme="minorEastAsia" w:hAnsiTheme="minorEastAsia" w:eastAsiaTheme="minorEastAsia"/>
                <w:b/>
                <w:bCs/>
                <w:color w:val="auto"/>
                <w:sz w:val="21"/>
                <w:szCs w:val="21"/>
                <w:highlight w:val="none"/>
              </w:rPr>
              <w:t>实体类别</w:t>
            </w:r>
          </w:p>
        </w:tc>
        <w:tc>
          <w:tcPr>
            <w:tcW w:w="2014" w:type="dxa"/>
            <w:shd w:val="clear" w:color="auto" w:fill="auto"/>
            <w:vAlign w:val="center"/>
          </w:tcPr>
          <w:p>
            <w:pPr>
              <w:pStyle w:val="82"/>
              <w:rPr>
                <w:rFonts w:asciiTheme="minorEastAsia" w:hAnsiTheme="minorEastAsia" w:eastAsiaTheme="minorEastAsia"/>
                <w:b/>
                <w:bCs/>
                <w:color w:val="auto"/>
                <w:sz w:val="21"/>
                <w:szCs w:val="21"/>
                <w:highlight w:val="none"/>
              </w:rPr>
            </w:pPr>
            <w:r>
              <w:rPr>
                <w:rFonts w:hint="eastAsia" w:asciiTheme="minorEastAsia" w:hAnsiTheme="minorEastAsia" w:eastAsiaTheme="minorEastAsia"/>
                <w:b/>
                <w:bCs/>
                <w:color w:val="auto"/>
                <w:sz w:val="21"/>
                <w:szCs w:val="21"/>
                <w:highlight w:val="none"/>
              </w:rPr>
              <w:t>图层别名</w:t>
            </w:r>
          </w:p>
        </w:tc>
        <w:tc>
          <w:tcPr>
            <w:tcW w:w="1247" w:type="dxa"/>
            <w:shd w:val="clear" w:color="auto" w:fill="auto"/>
            <w:vAlign w:val="center"/>
          </w:tcPr>
          <w:p>
            <w:pPr>
              <w:pStyle w:val="82"/>
              <w:rPr>
                <w:rFonts w:asciiTheme="minorEastAsia" w:hAnsiTheme="minorEastAsia" w:eastAsiaTheme="minorEastAsia"/>
                <w:b/>
                <w:bCs/>
                <w:color w:val="auto"/>
                <w:sz w:val="21"/>
                <w:szCs w:val="21"/>
                <w:highlight w:val="none"/>
              </w:rPr>
            </w:pPr>
            <w:r>
              <w:rPr>
                <w:rFonts w:hint="eastAsia" w:asciiTheme="minorEastAsia" w:hAnsiTheme="minorEastAsia" w:eastAsiaTheme="minorEastAsia"/>
                <w:b/>
                <w:bCs/>
                <w:color w:val="auto"/>
                <w:sz w:val="21"/>
                <w:szCs w:val="21"/>
                <w:highlight w:val="none"/>
              </w:rPr>
              <w:t>图层名称</w:t>
            </w:r>
          </w:p>
        </w:tc>
        <w:tc>
          <w:tcPr>
            <w:tcW w:w="1134" w:type="dxa"/>
            <w:shd w:val="clear" w:color="auto" w:fill="auto"/>
            <w:vAlign w:val="center"/>
          </w:tcPr>
          <w:p>
            <w:pPr>
              <w:pStyle w:val="82"/>
              <w:rPr>
                <w:rFonts w:asciiTheme="minorEastAsia" w:hAnsiTheme="minorEastAsia" w:eastAsiaTheme="minorEastAsia"/>
                <w:b/>
                <w:bCs/>
                <w:color w:val="auto"/>
                <w:sz w:val="21"/>
                <w:szCs w:val="21"/>
                <w:highlight w:val="none"/>
              </w:rPr>
            </w:pPr>
            <w:r>
              <w:rPr>
                <w:rFonts w:hint="eastAsia" w:asciiTheme="minorEastAsia" w:hAnsiTheme="minorEastAsia" w:eastAsiaTheme="minorEastAsia"/>
                <w:b/>
                <w:bCs/>
                <w:color w:val="auto"/>
                <w:sz w:val="21"/>
                <w:szCs w:val="21"/>
                <w:highlight w:val="none"/>
              </w:rPr>
              <w:t>图层类型</w:t>
            </w:r>
          </w:p>
        </w:tc>
        <w:tc>
          <w:tcPr>
            <w:tcW w:w="3685" w:type="dxa"/>
            <w:shd w:val="clear" w:color="auto" w:fill="auto"/>
            <w:vAlign w:val="center"/>
          </w:tcPr>
          <w:p>
            <w:pPr>
              <w:pStyle w:val="82"/>
              <w:rPr>
                <w:rFonts w:asciiTheme="minorEastAsia" w:hAnsiTheme="minorEastAsia" w:eastAsiaTheme="minorEastAsia"/>
                <w:b/>
                <w:bCs/>
                <w:color w:val="auto"/>
                <w:sz w:val="21"/>
                <w:szCs w:val="21"/>
                <w:highlight w:val="none"/>
              </w:rPr>
            </w:pPr>
            <w:r>
              <w:rPr>
                <w:rFonts w:hint="eastAsia" w:asciiTheme="minorEastAsia" w:hAnsiTheme="minorEastAsia" w:eastAsiaTheme="minorEastAsia"/>
                <w:b/>
                <w:bCs/>
                <w:color w:val="auto"/>
                <w:sz w:val="21"/>
                <w:szCs w:val="21"/>
                <w:highlight w:val="none"/>
              </w:rPr>
              <w:t>包含要素内容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交通及设施</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铁路中心线</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RAIL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铁路主线及站内分轨线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铁路面</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RAIA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道路面</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国省县乡、高速路、快速路等公路及城市道路，双线道路构面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道路中心线</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道路边线</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ROAL_BX</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立体交通同时采集边线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交通设施点</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立交桥、隧道、过河桥、人行天桥、码头等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交通设施线</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交通设施面</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水系及设施</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水系中心线</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河流、沟渠、湖泊、水库、池塘等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水系面</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水系设施点</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HYSP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堤坝、水闸、泵站及其他水工构筑物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水系流向点</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HYDP_FX</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水系设施线</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HYSL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水系设施面</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HYSA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建构筑物</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房屋</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HOUA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独立的房屋图元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楼栋</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BUIA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单体建筑，由房屋组合而成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院落</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YARA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院落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构筑物面</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体育场、亭、游泳池、污水处理池、固化池、围墙、栅栏及其他构筑物等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构筑物线</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构筑物点</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植被</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植被占地面</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VESA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城市绿化，如城市绿地、公园、植物园、道路绿化等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地名地址</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门址</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ADDP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门牌号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楼址</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BUIP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楼栋号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0"/>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其他地名</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POIP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兴趣点</w:t>
            </w:r>
          </w:p>
        </w:tc>
      </w:tr>
    </w:tbl>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考虑到数据的权威性，利用DLG的更新方式原则上不对管理单元数据(行政管理单元、社会经济区域单元、地理单元等)、堆掘地与裸露地、轨道交通等进行更新。</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(3)更新技术要求</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从1:500DLG、1:2000DLG提取相关要素进行格式转换和库体重构，依据现势性最优、平面精度最高、属性最准确权威的原则，参考最新的卫星影像与原二维地理实体数据库进行分析对比，并对要素进行相关的几何和属性处理以及接边处理等，形成数学基础正确、数据完整、属性结构和内容规范、数据逻辑一致、拓扑正确、接边正确、现势性最优的符合成都市二维地理实体数据要求的更新后成果。</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每类实体的更新技术要求详见附件1：成都市二维地理实体数据生产与更新技术要求。</w:t>
      </w:r>
    </w:p>
    <w:p>
      <w:pPr>
        <w:ind w:firstLine="482" w:firstLineChars="200"/>
        <w:rPr>
          <w:rFonts w:asciiTheme="minorEastAsia" w:hAnsiTheme="minorEastAsia" w:eastAsiaTheme="minorEastAsia"/>
          <w:b/>
          <w:bCs/>
          <w:color w:val="auto"/>
          <w:highlight w:val="none"/>
        </w:rPr>
      </w:pPr>
      <w:bookmarkStart w:id="1056" w:name="_Toc70603820"/>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.1.3利用卫星影像更新要求</w:t>
      </w:r>
      <w:bookmarkEnd w:id="1056"/>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w:t>
      </w:r>
      <w:r>
        <w:rPr>
          <w:rFonts w:asciiTheme="minorEastAsia" w:hAnsiTheme="minorEastAsia" w:eastAsiaTheme="minorEastAsia"/>
          <w:b/>
          <w:bCs/>
          <w:color w:val="auto"/>
          <w:highlight w:val="none"/>
        </w:rPr>
        <w:t>1</w:t>
      </w:r>
      <w:r>
        <w:rPr>
          <w:rFonts w:hint="eastAsia" w:asciiTheme="minorEastAsia" w:hAnsiTheme="minorEastAsia" w:eastAsiaTheme="minorEastAsia"/>
          <w:b/>
          <w:bCs/>
          <w:color w:val="auto"/>
          <w:highlight w:val="none"/>
        </w:rPr>
        <w:t>)工作内容</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利用新获取的影像对二维地理实体数据库进行更新，主要包括2021年获取生产的市域范围卫星影像(年度卫星影像)、和2021年每季度获取生产的重点区域的卫星影像(季度卫星影像)进行更新。</w:t>
      </w:r>
    </w:p>
    <w:p>
      <w:pPr>
        <w:ind w:firstLine="482" w:firstLineChars="200"/>
        <w:rPr>
          <w:rFonts w:asciiTheme="minorEastAsia" w:hAnsiTheme="minorEastAsia" w:eastAsiaTheme="minorEastAsia"/>
          <w:color w:val="auto"/>
          <w:highlight w:val="none"/>
        </w:rPr>
      </w:pPr>
      <w:r>
        <w:rPr>
          <w:rFonts w:hint="eastAsia" w:asciiTheme="minorEastAsia" w:hAnsiTheme="minorEastAsia" w:eastAsiaTheme="minorEastAsia"/>
          <w:b/>
          <w:bCs/>
          <w:color w:val="auto"/>
          <w:highlight w:val="none"/>
        </w:rPr>
        <w:t>1)年度卫星影像更新</w:t>
      </w:r>
    </w:p>
    <w:p>
      <w:pPr>
        <w:ind w:firstLine="480" w:firstLineChars="200"/>
        <w:rPr>
          <w:rFonts w:cs="华文中宋" w:asciiTheme="minorEastAsia" w:hAnsiTheme="minorEastAsia" w:eastAsiaTheme="minorEastAsia"/>
          <w:color w:val="auto"/>
          <w:highlight w:val="none"/>
        </w:rPr>
      </w:pPr>
      <w:r>
        <w:rPr>
          <w:rFonts w:hint="eastAsia" w:asciiTheme="minorEastAsia" w:hAnsiTheme="minorEastAsia" w:eastAsiaTheme="minorEastAsia"/>
          <w:color w:val="auto"/>
          <w:highlight w:val="none"/>
        </w:rPr>
        <w:t>利用2021年拟采购的市域范围内高分辨率卫星影像，包括10000平方公里的</w:t>
      </w:r>
      <w:r>
        <w:rPr>
          <w:rFonts w:cs="华文中宋" w:asciiTheme="minorEastAsia" w:hAnsiTheme="minorEastAsia" w:eastAsiaTheme="minorEastAsia"/>
          <w:color w:val="auto"/>
          <w:highlight w:val="none"/>
        </w:rPr>
        <w:t>0.5</w:t>
      </w:r>
      <w:r>
        <w:rPr>
          <w:rFonts w:hint="eastAsia" w:cs="华文中宋" w:asciiTheme="minorEastAsia" w:hAnsiTheme="minorEastAsia" w:eastAsiaTheme="minorEastAsia"/>
          <w:color w:val="auto"/>
          <w:highlight w:val="none"/>
        </w:rPr>
        <w:t>米(含)分辨率</w:t>
      </w:r>
      <w:r>
        <w:rPr>
          <w:rFonts w:hint="eastAsia" w:cs="宋体" w:asciiTheme="minorEastAsia" w:hAnsiTheme="minorEastAsia" w:eastAsiaTheme="minorEastAsia"/>
          <w:color w:val="auto"/>
          <w:highlight w:val="none"/>
        </w:rPr>
        <w:t>平原丘陵区域的</w:t>
      </w:r>
      <w:r>
        <w:rPr>
          <w:rFonts w:hint="eastAsia" w:cs="华文中宋" w:asciiTheme="minorEastAsia" w:hAnsiTheme="minorEastAsia" w:eastAsiaTheme="minorEastAsia"/>
          <w:color w:val="auto"/>
          <w:highlight w:val="none"/>
        </w:rPr>
        <w:t>影像和</w:t>
      </w:r>
      <w:r>
        <w:rPr>
          <w:rFonts w:cs="华文中宋" w:asciiTheme="minorEastAsia" w:hAnsiTheme="minorEastAsia" w:eastAsiaTheme="minorEastAsia"/>
          <w:color w:val="auto"/>
          <w:highlight w:val="none"/>
        </w:rPr>
        <w:t>2000</w:t>
      </w:r>
      <w:r>
        <w:rPr>
          <w:rFonts w:hint="eastAsia" w:cs="华文中宋" w:asciiTheme="minorEastAsia" w:hAnsiTheme="minorEastAsia" w:eastAsiaTheme="minorEastAsia"/>
          <w:color w:val="auto"/>
          <w:highlight w:val="none"/>
        </w:rPr>
        <w:t>平方公里的</w:t>
      </w:r>
      <w:r>
        <w:rPr>
          <w:rFonts w:cs="华文中宋" w:asciiTheme="minorEastAsia" w:hAnsiTheme="minorEastAsia" w:eastAsiaTheme="minorEastAsia"/>
          <w:color w:val="auto"/>
          <w:highlight w:val="none"/>
        </w:rPr>
        <w:t>0.8</w:t>
      </w:r>
      <w:r>
        <w:rPr>
          <w:rFonts w:hint="eastAsia" w:cs="华文中宋" w:asciiTheme="minorEastAsia" w:hAnsiTheme="minorEastAsia" w:eastAsiaTheme="minorEastAsia"/>
          <w:color w:val="auto"/>
          <w:highlight w:val="none"/>
        </w:rPr>
        <w:t>米(含)分辨率的西部山区</w:t>
      </w:r>
      <w:r>
        <w:rPr>
          <w:rFonts w:hint="eastAsia" w:cs="宋体" w:asciiTheme="minorEastAsia" w:hAnsiTheme="minorEastAsia" w:eastAsiaTheme="minorEastAsia"/>
          <w:color w:val="auto"/>
          <w:highlight w:val="none"/>
        </w:rPr>
        <w:t>的</w:t>
      </w:r>
      <w:r>
        <w:rPr>
          <w:rFonts w:hint="eastAsia" w:cs="华文中宋" w:asciiTheme="minorEastAsia" w:hAnsiTheme="minorEastAsia" w:eastAsiaTheme="minorEastAsia"/>
          <w:color w:val="auto"/>
          <w:highlight w:val="none"/>
        </w:rPr>
        <w:t>影像，对</w:t>
      </w:r>
      <w:r>
        <w:rPr>
          <w:rFonts w:hint="eastAsia" w:asciiTheme="minorEastAsia" w:hAnsiTheme="minorEastAsia" w:eastAsiaTheme="minorEastAsia"/>
          <w:color w:val="auto"/>
          <w:highlight w:val="none"/>
        </w:rPr>
        <w:t>二维地理实体数据库进行年度更新</w:t>
      </w:r>
      <w:r>
        <w:rPr>
          <w:rFonts w:hint="eastAsia" w:cs="华文中宋" w:asciiTheme="minorEastAsia" w:hAnsiTheme="minorEastAsia" w:eastAsiaTheme="minorEastAsia"/>
          <w:color w:val="auto"/>
          <w:highlight w:val="none"/>
        </w:rPr>
        <w:t>。</w:t>
      </w:r>
      <w:r>
        <w:rPr>
          <w:rFonts w:hint="eastAsia" w:asciiTheme="minorEastAsia" w:hAnsiTheme="minorEastAsia" w:eastAsiaTheme="minorEastAsia"/>
          <w:color w:val="auto"/>
          <w:highlight w:val="none"/>
        </w:rPr>
        <w:t>主要工作是内业基于影像对实体要素几何图形的更新，并对新增的路名、水系名以及城镇范围内新增院落名、门址、楼址等信息进行外业调查。</w:t>
      </w:r>
    </w:p>
    <w:p>
      <w:pPr>
        <w:ind w:firstLine="480" w:firstLineChars="200"/>
        <w:rPr>
          <w:rFonts w:cs="AdobeSongStd-Light" w:asciiTheme="minorEastAsia" w:hAnsiTheme="minorEastAsia" w:eastAsiaTheme="minorEastAsia"/>
          <w:color w:val="auto"/>
          <w:highlight w:val="none"/>
        </w:rPr>
      </w:pPr>
      <w:r>
        <w:rPr>
          <w:rFonts w:hint="eastAsia" w:cs="华文中宋" w:asciiTheme="minorEastAsia" w:hAnsiTheme="minorEastAsia" w:eastAsiaTheme="minorEastAsia"/>
          <w:color w:val="auto"/>
          <w:highlight w:val="none"/>
        </w:rPr>
        <w:t>需同时生产年度影像变化图斑，叠加对比</w:t>
      </w:r>
      <w:r>
        <w:rPr>
          <w:rFonts w:cs="华文中宋" w:asciiTheme="minorEastAsia" w:hAnsiTheme="minorEastAsia" w:eastAsiaTheme="minorEastAsia"/>
          <w:color w:val="auto"/>
          <w:highlight w:val="none"/>
        </w:rPr>
        <w:t>2021</w:t>
      </w:r>
      <w:r>
        <w:rPr>
          <w:rFonts w:hint="eastAsia" w:cs="华文中宋" w:asciiTheme="minorEastAsia" w:hAnsiTheme="minorEastAsia" w:eastAsiaTheme="minorEastAsia"/>
          <w:color w:val="auto"/>
          <w:highlight w:val="none"/>
        </w:rPr>
        <w:t>年度正射影像与</w:t>
      </w:r>
      <w:r>
        <w:rPr>
          <w:rFonts w:cs="华文中宋" w:asciiTheme="minorEastAsia" w:hAnsiTheme="minorEastAsia" w:eastAsiaTheme="minorEastAsia"/>
          <w:color w:val="auto"/>
          <w:highlight w:val="none"/>
        </w:rPr>
        <w:t>2020</w:t>
      </w:r>
      <w:r>
        <w:rPr>
          <w:rFonts w:hint="eastAsia" w:cs="华文中宋" w:asciiTheme="minorEastAsia" w:hAnsiTheme="minorEastAsia" w:eastAsiaTheme="minorEastAsia"/>
          <w:color w:val="auto"/>
          <w:highlight w:val="none"/>
        </w:rPr>
        <w:t>年度正射影像，形成</w:t>
      </w:r>
      <w:r>
        <w:rPr>
          <w:rFonts w:cs="华文中宋" w:asciiTheme="minorEastAsia" w:hAnsiTheme="minorEastAsia" w:eastAsiaTheme="minorEastAsia"/>
          <w:color w:val="auto"/>
          <w:highlight w:val="none"/>
        </w:rPr>
        <w:t xml:space="preserve"> </w:t>
      </w:r>
      <w:r>
        <w:rPr>
          <w:rFonts w:cs="AdobeSongStd-Light" w:asciiTheme="minorEastAsia" w:hAnsiTheme="minorEastAsia" w:eastAsiaTheme="minorEastAsia"/>
          <w:color w:val="auto"/>
          <w:highlight w:val="none"/>
        </w:rPr>
        <w:t>2021</w:t>
      </w:r>
      <w:r>
        <w:rPr>
          <w:rFonts w:hint="eastAsia" w:cs="AdobeSongStd-Light" w:asciiTheme="minorEastAsia" w:hAnsiTheme="minorEastAsia" w:eastAsiaTheme="minorEastAsia"/>
          <w:color w:val="auto"/>
          <w:highlight w:val="none"/>
        </w:rPr>
        <w:t>年影像变化图斑数据库。</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2)季度卫星影像更新</w:t>
      </w:r>
    </w:p>
    <w:p>
      <w:pPr>
        <w:ind w:firstLine="480" w:firstLineChars="200"/>
        <w:rPr>
          <w:rFonts w:cs="华文中宋" w:asciiTheme="minorEastAsia" w:hAnsiTheme="minorEastAsia" w:eastAsiaTheme="minorEastAsia"/>
          <w:color w:val="auto"/>
          <w:highlight w:val="none"/>
        </w:rPr>
      </w:pPr>
      <w:r>
        <w:rPr>
          <w:rFonts w:hint="eastAsia" w:cs="华文中宋" w:asciiTheme="minorEastAsia" w:hAnsiTheme="minorEastAsia" w:eastAsiaTheme="minorEastAsia"/>
          <w:color w:val="auto"/>
          <w:highlight w:val="none"/>
        </w:rPr>
        <w:t>利用</w:t>
      </w:r>
      <w:r>
        <w:rPr>
          <w:rFonts w:cs="华文中宋" w:asciiTheme="minorEastAsia" w:hAnsiTheme="minorEastAsia" w:eastAsiaTheme="minorEastAsia"/>
          <w:color w:val="auto"/>
          <w:highlight w:val="none"/>
        </w:rPr>
        <w:t>2021</w:t>
      </w:r>
      <w:r>
        <w:rPr>
          <w:rFonts w:hint="eastAsia" w:cs="华文中宋" w:asciiTheme="minorEastAsia" w:hAnsiTheme="minorEastAsia" w:eastAsiaTheme="minorEastAsia"/>
          <w:color w:val="auto"/>
          <w:highlight w:val="none"/>
        </w:rPr>
        <w:t>年每季度拟采购的</w:t>
      </w:r>
      <w:r>
        <w:rPr>
          <w:rFonts w:cs="华文中宋" w:asciiTheme="minorEastAsia" w:hAnsiTheme="minorEastAsia" w:eastAsiaTheme="minorEastAsia"/>
          <w:color w:val="auto"/>
          <w:highlight w:val="none"/>
        </w:rPr>
        <w:t>0.8</w:t>
      </w:r>
      <w:r>
        <w:rPr>
          <w:rFonts w:hint="eastAsia" w:cs="华文中宋" w:asciiTheme="minorEastAsia" w:hAnsiTheme="minorEastAsia" w:eastAsiaTheme="minorEastAsia"/>
          <w:color w:val="auto"/>
          <w:highlight w:val="none"/>
        </w:rPr>
        <w:t>米(含)分辨率重点区域的高分辨率卫星影像，每季度对二维地理实体数据库进行更新。主要工作是内业基于影像对实体要素几何图形的更新，并对新增的兴趣点、道路、水系等名称信息先进行标注，外业调查工作可与年度影像更新合并进行。</w:t>
      </w:r>
    </w:p>
    <w:p>
      <w:pPr>
        <w:ind w:firstLine="480" w:firstLineChars="200"/>
        <w:rPr>
          <w:rFonts w:cs="华文中宋" w:asciiTheme="minorEastAsia" w:hAnsiTheme="minorEastAsia" w:eastAsiaTheme="minorEastAsia"/>
          <w:color w:val="auto"/>
          <w:highlight w:val="none"/>
        </w:rPr>
      </w:pPr>
      <w:r>
        <w:rPr>
          <w:rFonts w:hint="eastAsia" w:cs="华文中宋" w:asciiTheme="minorEastAsia" w:hAnsiTheme="minorEastAsia" w:eastAsiaTheme="minorEastAsia"/>
          <w:color w:val="auto"/>
          <w:highlight w:val="none"/>
        </w:rPr>
        <w:t>季度影像更新不需生产影像变化图斑。</w:t>
      </w:r>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(2)更新要素</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基于卫星影像对现有二维地理实体数据库的更新为包含道路、水系、居民地等重要要素更新，对于影像上无法明确判断和识别的要素不需要更新。更新实体图层及包含要素内容见下表。</w:t>
      </w:r>
    </w:p>
    <w:tbl>
      <w:tblPr>
        <w:tblStyle w:val="27"/>
        <w:tblW w:w="97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4"/>
        <w:gridCol w:w="1105"/>
        <w:gridCol w:w="2014"/>
        <w:gridCol w:w="1105"/>
        <w:gridCol w:w="1134"/>
        <w:gridCol w:w="36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2" w:hRule="atLeast"/>
          <w:tblHeader/>
          <w:jc w:val="center"/>
        </w:trPr>
        <w:tc>
          <w:tcPr>
            <w:tcW w:w="70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highlight w:val="none"/>
              </w:rPr>
              <w:br w:type="page"/>
            </w:r>
            <w:r>
              <w:rPr>
                <w:rFonts w:hint="eastAsia" w:asciiTheme="minorEastAsia" w:hAnsiTheme="minorEastAsia" w:eastAsiaTheme="minorEastAsia"/>
                <w:color w:val="auto"/>
                <w:sz w:val="21"/>
                <w:szCs w:val="21"/>
                <w:highlight w:val="none"/>
              </w:rPr>
              <w:t>序号</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实体类别</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图层别名</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图层名称</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图层类型</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更新要素内容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交通及设施</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国省县乡、高速路、快速路等公路及城市道路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道路中心线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道路边线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ROAL_BX</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立体交通同时采集边线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交通设施点</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立交桥、隧道、过河桥等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水系及设施</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水系中心线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河流、沟渠、湖泊、水库、池塘等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水系流向点</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HYDP_FX</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流向点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建构筑物</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房屋</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HOUA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独立的房屋图元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楼栋</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BUIA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单体建筑，由房屋组合而成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院落</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YARA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院落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SFCL</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构筑物点</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植被</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植被占地面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VESA</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城市绿化，如城市绿地、公园、植物园、道路绿化等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地名地址</w:t>
            </w: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门址</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ADDP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门牌号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楼址</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BUIP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楼栋号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1"/>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105"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201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其他地名</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POIP</w:t>
            </w:r>
          </w:p>
        </w:tc>
        <w:tc>
          <w:tcPr>
            <w:tcW w:w="113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68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兴趣点</w:t>
            </w:r>
          </w:p>
        </w:tc>
      </w:tr>
    </w:tbl>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(3)更新技术要求</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利用高分卫星影像对二维地理实体数据更新是</w:t>
      </w:r>
      <w:r>
        <w:rPr>
          <w:rFonts w:hint="eastAsia" w:cs="华文中宋" w:asciiTheme="minorEastAsia" w:hAnsiTheme="minorEastAsia" w:eastAsiaTheme="minorEastAsia"/>
          <w:color w:val="auto"/>
          <w:highlight w:val="none"/>
        </w:rPr>
        <w:t>通过采用矢量和影像叠加技术，发现矢量数据与影</w:t>
      </w:r>
      <w:r>
        <w:rPr>
          <w:rFonts w:hint="eastAsia" w:cs="华文中宋" w:asciiTheme="minorEastAsia" w:hAnsiTheme="minorEastAsia" w:eastAsiaTheme="minorEastAsia"/>
          <w:color w:val="000000"/>
          <w:highlight w:val="none"/>
        </w:rPr>
        <w:t>像之间的变化或不合理有矛盾的要素</w:t>
      </w:r>
      <w:r>
        <w:rPr>
          <w:rFonts w:hint="eastAsia" w:cs="华文中宋" w:asciiTheme="minorEastAsia" w:hAnsiTheme="minorEastAsia" w:eastAsiaTheme="minorEastAsia"/>
          <w:color w:val="auto"/>
          <w:highlight w:val="none"/>
        </w:rPr>
        <w:t>，对实体数据库中的道路、水系、居民地等要素进行内业更新，</w:t>
      </w:r>
      <w:r>
        <w:rPr>
          <w:rFonts w:hint="eastAsia" w:asciiTheme="minorEastAsia" w:hAnsiTheme="minorEastAsia" w:eastAsiaTheme="minorEastAsia"/>
          <w:color w:val="auto"/>
          <w:highlight w:val="none"/>
        </w:rPr>
        <w:t>利用影像进行更新时应综合考虑现势性、几何精度、影像纠正误差及投影差、季节性等因素影响。</w:t>
      </w:r>
      <w:r>
        <w:rPr>
          <w:rFonts w:hint="eastAsia" w:cs="华文中宋" w:asciiTheme="minorEastAsia" w:hAnsiTheme="minorEastAsia" w:eastAsiaTheme="minorEastAsia"/>
          <w:color w:val="auto"/>
          <w:highlight w:val="none"/>
        </w:rPr>
        <w:t>并对新增的兴趣点、道路、水系</w:t>
      </w:r>
      <w:r>
        <w:rPr>
          <w:rFonts w:hint="eastAsia" w:cs="华文中宋" w:asciiTheme="minorEastAsia" w:hAnsiTheme="minorEastAsia" w:eastAsiaTheme="minorEastAsia"/>
          <w:color w:val="000000"/>
          <w:highlight w:val="none"/>
        </w:rPr>
        <w:t>等名</w:t>
      </w:r>
      <w:r>
        <w:rPr>
          <w:rFonts w:hint="eastAsia" w:cs="华文中宋" w:asciiTheme="minorEastAsia" w:hAnsiTheme="minorEastAsia" w:eastAsiaTheme="minorEastAsia"/>
          <w:color w:val="auto"/>
          <w:highlight w:val="none"/>
        </w:rPr>
        <w:t>称信息进行外业调查，形成</w:t>
      </w:r>
      <w:r>
        <w:rPr>
          <w:rFonts w:hint="eastAsia" w:asciiTheme="minorEastAsia" w:hAnsiTheme="minorEastAsia" w:eastAsiaTheme="minorEastAsia"/>
          <w:color w:val="auto"/>
          <w:highlight w:val="none"/>
        </w:rPr>
        <w:t>数学基础正确、数据完整、属性结构和内容规范、数据逻辑一致、拓扑正确、接边正确、现势性最优的符合成都市二维地理实体数据要求的更新后成果。并通过对比该年度新获取影像与上年度获取影像，提取影像变化图斑成果。</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每类实体的更新技术要求见附件1：成都市二维地理实体数据生产与更新技术要求。影像变化图斑提取技术要求见附件4：成都市影像变化图斑生产技术规定。</w:t>
      </w:r>
    </w:p>
    <w:p>
      <w:pPr>
        <w:ind w:firstLine="482" w:firstLineChars="200"/>
        <w:rPr>
          <w:rFonts w:asciiTheme="minorEastAsia" w:hAnsiTheme="minorEastAsia" w:eastAsiaTheme="minorEastAsia"/>
          <w:color w:val="auto"/>
          <w:sz w:val="28"/>
          <w:szCs w:val="30"/>
          <w:highlight w:val="none"/>
        </w:rPr>
      </w:pPr>
      <w:bookmarkStart w:id="1057" w:name="_Toc70603821"/>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.1.4利用竣工成果更新</w:t>
      </w:r>
      <w:bookmarkEnd w:id="1057"/>
    </w:p>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(1)工作内容</w:t>
      </w:r>
    </w:p>
    <w:p>
      <w:pPr>
        <w:ind w:firstLine="480" w:firstLineChars="200"/>
        <w:rPr>
          <w:rFonts w:asciiTheme="minorEastAsia" w:hAnsiTheme="minorEastAsia" w:eastAsiaTheme="minorEastAsia"/>
          <w:b/>
          <w:bCs/>
          <w:color w:val="auto"/>
          <w:highlight w:val="none"/>
        </w:rPr>
      </w:pPr>
      <w:r>
        <w:rPr>
          <w:rFonts w:hint="eastAsia" w:asciiTheme="minorEastAsia" w:hAnsiTheme="minorEastAsia" w:eastAsiaTheme="minorEastAsia"/>
          <w:color w:val="auto"/>
          <w:highlight w:val="none"/>
        </w:rPr>
        <w:t>根据每季度提供的规划竣工测绘或多测合一成果(含</w:t>
      </w:r>
      <w:r>
        <w:rPr>
          <w:rFonts w:hint="eastAsia" w:cs="仿宋_GB2312" w:asciiTheme="minorEastAsia" w:hAnsiTheme="minorEastAsia" w:eastAsiaTheme="minorEastAsia"/>
          <w:color w:val="auto"/>
          <w:kern w:val="0"/>
          <w:highlight w:val="none"/>
        </w:rPr>
        <w:t>房屋、道桥、河道、地铁等</w:t>
      </w:r>
      <w:r>
        <w:rPr>
          <w:rFonts w:hint="eastAsia" w:asciiTheme="minorEastAsia" w:hAnsiTheme="minorEastAsia" w:eastAsiaTheme="minorEastAsia"/>
          <w:color w:val="auto"/>
          <w:highlight w:val="none"/>
        </w:rPr>
        <w:t>)对二维地理实体数据库进行内业更新，针对更新范围内的道路、水系、房屋、楼栋、院落、植被、地名地址和兴趣点、附属设施等图层进行全要素更新，因竣工成果中不含相关信息，故铁路、政区与境界、管理单元及专题数据图层不进行更新。</w:t>
      </w:r>
    </w:p>
    <w:p>
      <w:pPr>
        <w:ind w:firstLine="482" w:firstLineChars="200"/>
        <w:rPr>
          <w:rFonts w:asciiTheme="minorEastAsia" w:hAnsiTheme="minorEastAsia" w:eastAsiaTheme="minorEastAsia"/>
          <w:color w:val="auto"/>
          <w:highlight w:val="none"/>
        </w:rPr>
      </w:pPr>
      <w:r>
        <w:rPr>
          <w:rFonts w:hint="eastAsia" w:asciiTheme="minorEastAsia" w:hAnsiTheme="minorEastAsia" w:eastAsiaTheme="minorEastAsia"/>
          <w:b/>
          <w:bCs/>
          <w:color w:val="auto"/>
          <w:highlight w:val="none"/>
        </w:rPr>
        <w:t>(2)更新要素</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基于竣工或多测合一成果对现有二维地理实体数据库的更新为包含道路、水系、居民地、植被等全要素内业更新(铁路、管理单元和专题除外)，更新实体图层及包含要素内容见下表。</w:t>
      </w:r>
    </w:p>
    <w:tbl>
      <w:tblPr>
        <w:tblStyle w:val="27"/>
        <w:tblW w:w="97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4"/>
        <w:gridCol w:w="1247"/>
        <w:gridCol w:w="1872"/>
        <w:gridCol w:w="1105"/>
        <w:gridCol w:w="1276"/>
        <w:gridCol w:w="354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2" w:hRule="atLeast"/>
          <w:tblHeader/>
          <w:jc w:val="center"/>
        </w:trPr>
        <w:tc>
          <w:tcPr>
            <w:tcW w:w="704"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序号</w:t>
            </w: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实体类别</w:t>
            </w: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图层别名</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图层名称</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图层类型</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包含要素内容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交通及设施</w:t>
            </w: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ROAA</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543"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国省县乡、高速路、快速路等公路及城市道路，双线道路构面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道路中心线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ROAL</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543"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道路边线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ROAL_BX</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立体交通同时采集边线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交通设施点</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LRSP</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543"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立交桥、隧道、过河桥、人行天桥、码头等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LRSL</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543"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交通设施面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LRSA</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543"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轨道交通线</w:t>
            </w:r>
          </w:p>
        </w:tc>
        <w:tc>
          <w:tcPr>
            <w:tcW w:w="1105" w:type="dxa"/>
            <w:shd w:val="clear" w:color="auto" w:fill="auto"/>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SUBL</w:t>
            </w:r>
          </w:p>
        </w:tc>
        <w:tc>
          <w:tcPr>
            <w:tcW w:w="1276" w:type="dxa"/>
            <w:shd w:val="clear" w:color="auto" w:fill="auto"/>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轨道交通点</w:t>
            </w:r>
          </w:p>
        </w:tc>
        <w:tc>
          <w:tcPr>
            <w:tcW w:w="1105" w:type="dxa"/>
            <w:shd w:val="clear" w:color="auto" w:fill="auto"/>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SUBP</w:t>
            </w:r>
          </w:p>
        </w:tc>
        <w:tc>
          <w:tcPr>
            <w:tcW w:w="1276" w:type="dxa"/>
            <w:shd w:val="clear" w:color="auto" w:fill="auto"/>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水系及设施</w:t>
            </w: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水系中心线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HYDL</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543"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河流、沟渠、湖泊、水库、池塘等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HYDA</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543"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水系流向点</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HYDP_FX</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543"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建构筑物</w:t>
            </w: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房屋</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HOUA</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独立的房屋图元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楼栋</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BUIA</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单体建筑，由房屋组合而成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院落</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YARA</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院落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SFCA</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543"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体育场、亭、游泳池、污水处理池、固化池、围墙、栅栏及其他构筑物等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构筑物线</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SFCL</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线</w:t>
            </w:r>
          </w:p>
        </w:tc>
        <w:tc>
          <w:tcPr>
            <w:tcW w:w="3543"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构筑物点</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SFCP</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543"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植被</w:t>
            </w: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植被占地面</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VESA</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面</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城市绿化，如城市绿地、公园、植物园、道路绿化等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地名地址</w:t>
            </w: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门址</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ADDP</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门牌号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楼址</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BUIP</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楼栋号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jc w:val="center"/>
        </w:trPr>
        <w:tc>
          <w:tcPr>
            <w:tcW w:w="704" w:type="dxa"/>
            <w:shd w:val="clear" w:color="auto" w:fill="auto"/>
            <w:vAlign w:val="center"/>
          </w:tcPr>
          <w:p>
            <w:pPr>
              <w:pStyle w:val="82"/>
              <w:widowControl w:val="0"/>
              <w:numPr>
                <w:ilvl w:val="0"/>
                <w:numId w:val="32"/>
              </w:numPr>
              <w:tabs>
                <w:tab w:val="clear" w:pos="0"/>
              </w:tabs>
              <w:adjustRightInd/>
              <w:snapToGrid/>
              <w:spacing w:line="240" w:lineRule="auto"/>
              <w:rPr>
                <w:rFonts w:asciiTheme="minorEastAsia" w:hAnsiTheme="minorEastAsia" w:eastAsiaTheme="minorEastAsia"/>
                <w:color w:val="auto"/>
                <w:sz w:val="21"/>
                <w:szCs w:val="21"/>
                <w:highlight w:val="none"/>
              </w:rPr>
            </w:pPr>
          </w:p>
        </w:tc>
        <w:tc>
          <w:tcPr>
            <w:tcW w:w="1247" w:type="dxa"/>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872"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其他地名</w:t>
            </w:r>
          </w:p>
        </w:tc>
        <w:tc>
          <w:tcPr>
            <w:tcW w:w="1105"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POIP</w:t>
            </w:r>
          </w:p>
        </w:tc>
        <w:tc>
          <w:tcPr>
            <w:tcW w:w="1276"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w:t>
            </w:r>
          </w:p>
        </w:tc>
        <w:tc>
          <w:tcPr>
            <w:tcW w:w="3543" w:type="dxa"/>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兴趣点</w:t>
            </w:r>
          </w:p>
        </w:tc>
      </w:tr>
    </w:tbl>
    <w:p>
      <w:pPr>
        <w:ind w:firstLine="482" w:firstLineChars="200"/>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(3)更新技术要求</w:t>
      </w:r>
    </w:p>
    <w:p>
      <w:pPr>
        <w:ind w:firstLine="480" w:firstLineChars="200"/>
        <w:rPr>
          <w:rFonts w:cs="仿宋_GB2312" w:asciiTheme="minorEastAsia" w:hAnsiTheme="minorEastAsia" w:eastAsiaTheme="minorEastAsia"/>
          <w:color w:val="auto"/>
          <w:kern w:val="0"/>
          <w:highlight w:val="none"/>
        </w:rPr>
      </w:pPr>
      <w:r>
        <w:rPr>
          <w:rFonts w:hint="eastAsia" w:asciiTheme="minorEastAsia" w:hAnsiTheme="minorEastAsia" w:eastAsiaTheme="minorEastAsia"/>
          <w:color w:val="auto"/>
          <w:highlight w:val="none"/>
        </w:rPr>
        <w:t>从规划竣工测绘成果中提取道路、水系、房屋、楼栋、院落、植被等相关要素进行图形和属性规整、格式转换、库体重构。更新范围内的几何精度应与原始竣工资料的几何精度保持一致。需做好竣工区域与相邻区域的接边，当竣工测量成果出现不完整要素导致无法接边时，需参考影像合理处理新旧要素的相互关系，使之合理。</w:t>
      </w:r>
      <w:r>
        <w:rPr>
          <w:rFonts w:hint="eastAsia" w:cs="仿宋_GB2312" w:asciiTheme="minorEastAsia" w:hAnsiTheme="minorEastAsia" w:eastAsiaTheme="minorEastAsia"/>
          <w:color w:val="auto"/>
          <w:kern w:val="0"/>
          <w:highlight w:val="none"/>
        </w:rPr>
        <w:t>应处理好相邻数据的接边，保持更新内容与周边数据关系的协调性及完整性，避免更新内容压盖原内容。</w:t>
      </w:r>
    </w:p>
    <w:p>
      <w:pPr>
        <w:ind w:firstLine="480" w:firstLineChars="200"/>
        <w:rPr>
          <w:rFonts w:cs="仿宋_GB2312" w:asciiTheme="minorEastAsia" w:hAnsiTheme="minorEastAsia" w:eastAsiaTheme="minorEastAsia"/>
          <w:color w:val="auto"/>
          <w:kern w:val="0"/>
          <w:highlight w:val="none"/>
        </w:rPr>
      </w:pPr>
      <w:r>
        <w:rPr>
          <w:rFonts w:hint="eastAsia" w:asciiTheme="minorEastAsia" w:hAnsiTheme="minorEastAsia" w:eastAsiaTheme="minorEastAsia"/>
          <w:color w:val="auto"/>
          <w:highlight w:val="none"/>
        </w:rPr>
        <w:t>每类实体的更新技术要求见附件1：成都市二维地理实体数据生产与更新技术要求。</w:t>
      </w:r>
    </w:p>
    <w:p>
      <w:pPr>
        <w:ind w:firstLine="482" w:firstLineChars="200"/>
        <w:rPr>
          <w:rFonts w:asciiTheme="minorEastAsia" w:hAnsiTheme="minorEastAsia" w:eastAsiaTheme="minorEastAsia"/>
          <w:b/>
          <w:bCs/>
          <w:color w:val="auto"/>
          <w:highlight w:val="none"/>
        </w:rPr>
      </w:pPr>
      <w:bookmarkStart w:id="1058" w:name="_Toc70603822"/>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.1.5地名地址匹配</w:t>
      </w:r>
      <w:bookmarkEnd w:id="1058"/>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利用政务云平台的地名地址数据，参考影像、院落等数据对现有数据库的地名地址数据进行匹配处理，并对现有数据库的楼栋实体进行匹配和融合。并处理好地名地址数据与相关地物的空间关系，特别是与道路、水系的空间关系，应保证地名地址与道路、水系实体的相对关系准确。</w:t>
      </w:r>
    </w:p>
    <w:p>
      <w:pPr>
        <w:ind w:firstLine="482" w:firstLineChars="200"/>
        <w:rPr>
          <w:rFonts w:asciiTheme="minorEastAsia" w:hAnsiTheme="minorEastAsia" w:eastAsiaTheme="minorEastAsia"/>
          <w:b/>
          <w:bCs/>
          <w:color w:val="auto"/>
          <w:highlight w:val="none"/>
        </w:rPr>
      </w:pPr>
      <w:bookmarkStart w:id="1059" w:name="_Toc70603824"/>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.2</w:t>
      </w:r>
      <w:r>
        <w:rPr>
          <w:rFonts w:hint="eastAsia" w:asciiTheme="minorEastAsia" w:hAnsiTheme="minorEastAsia" w:eastAsiaTheme="minorEastAsia"/>
          <w:b/>
          <w:bCs/>
          <w:color w:val="auto"/>
          <w:highlight w:val="none"/>
        </w:rPr>
        <w:t>三维地理实体数据生产</w:t>
      </w:r>
      <w:bookmarkEnd w:id="1059"/>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通过开展成都市三维地理实体建设工作，完成对现有实景三维模型进行实体化改造，以及成都中轴线道路全要素应用三维实体的建设，解决成都市现有实景三维模型应用价值不足、二三维数据孤立无关联等问题，形成二三维一体化、空间属性一体化的地理信息服务新模式，并面向城市规划、城市管理重点应用，构建典型应用产品，扩展三维地理实体数据应用范围。试点区建设成果作为我市三维地理实体数据建设开篇，将为构建服务自然资源调查、交通和城市管理、公园城市建设、不动产权登记、社区管理等应用提供更优质地理信息服务。主要工作内容如下： </w:t>
      </w:r>
      <w:r>
        <w:rPr>
          <w:rFonts w:hint="eastAsia" w:asciiTheme="minorEastAsia" w:hAnsiTheme="minorEastAsia" w:eastAsiaTheme="minorEastAsia"/>
          <w:color w:val="auto"/>
          <w:highlight w:val="none"/>
        </w:rPr>
        <w:br w:type="textWrapping"/>
      </w:r>
      <w:r>
        <w:rPr>
          <w:rFonts w:hint="eastAsia" w:asciiTheme="minorEastAsia" w:hAnsiTheme="minorEastAsia" w:eastAsiaTheme="minorEastAsia"/>
          <w:color w:val="auto"/>
          <w:highlight w:val="none"/>
        </w:rPr>
        <w:t xml:space="preserve">   一是完成现有实景三维产品的实体化改造。对成都市五城区区域现有三维模型进行改造和整体提升，构建三维地理实体数据，包括对建筑物、道路、植被等重要要素进行实体化改造，并通过对二、三维地理实体数据进行一体化编码，实现二三维数据关联，使得三维模型具备信息查询、统计、分析能力，形成成都市五城区420平方公里三维基础地理实体成果。 </w:t>
      </w:r>
      <w:r>
        <w:rPr>
          <w:rFonts w:hint="eastAsia" w:asciiTheme="minorEastAsia" w:hAnsiTheme="minorEastAsia" w:eastAsiaTheme="minorEastAsia"/>
          <w:color w:val="auto"/>
          <w:highlight w:val="none"/>
        </w:rPr>
        <w:br w:type="textWrapping"/>
      </w:r>
      <w:r>
        <w:rPr>
          <w:rFonts w:hint="eastAsia" w:asciiTheme="minorEastAsia" w:hAnsiTheme="minorEastAsia" w:eastAsiaTheme="minorEastAsia"/>
          <w:color w:val="auto"/>
          <w:highlight w:val="none"/>
        </w:rPr>
        <w:t>   二是开展道路全要素应用实体成果建设。利用车载、便携式、固定测站等地面激光扫描获取手段，获取成都中轴线的高精度激光点云和视频街景影像，对道路上交通路面、市政部件和环卫绿化等各类要素进行二维实体数据、三维实体模型一体化建设，实现道路全要素的二、三维实体关联；此外，利用获取的街景影像对道路两侧实景三维模型建筑纹理进行优化更新。</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三是深化成都市新型地理实体产品体系、分级分类、数据组织、应用方向等方面的研究。</w:t>
      </w:r>
    </w:p>
    <w:p>
      <w:pPr>
        <w:ind w:firstLine="482" w:firstLineChars="200"/>
        <w:rPr>
          <w:rFonts w:asciiTheme="minorEastAsia" w:hAnsiTheme="minorEastAsia" w:eastAsiaTheme="minorEastAsia"/>
          <w:b/>
          <w:bCs/>
          <w:color w:val="auto"/>
          <w:highlight w:val="none"/>
        </w:rPr>
      </w:pPr>
      <w:bookmarkStart w:id="1060" w:name="_Toc70603826"/>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.2.1总体要求</w:t>
      </w:r>
      <w:bookmarkEnd w:id="1060"/>
    </w:p>
    <w:p>
      <w:pPr>
        <w:pStyle w:val="80"/>
        <w:numPr>
          <w:ilvl w:val="0"/>
          <w:numId w:val="33"/>
        </w:numPr>
        <w:tabs>
          <w:tab w:val="clear" w:pos="0"/>
        </w:tabs>
        <w:adjustRightInd/>
        <w:snapToGrid/>
        <w:ind w:right="0"/>
        <w:jc w:val="both"/>
        <w:rPr>
          <w:rFonts w:asciiTheme="minorEastAsia" w:hAnsiTheme="minorEastAsia" w:eastAsiaTheme="minorEastAsia"/>
          <w:b/>
          <w:bCs/>
          <w:color w:val="auto"/>
          <w:highlight w:val="none"/>
          <w:u w:val="none"/>
        </w:rPr>
      </w:pPr>
      <w:r>
        <w:rPr>
          <w:rFonts w:hint="eastAsia" w:asciiTheme="minorEastAsia" w:hAnsiTheme="minorEastAsia" w:eastAsiaTheme="minorEastAsia"/>
          <w:b/>
          <w:bCs/>
          <w:color w:val="auto"/>
          <w:highlight w:val="none"/>
          <w:u w:val="none"/>
        </w:rPr>
        <w:t>数学基础</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平面坐标系采用成都市平面坐标系；</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高程基准采用1985国家高程基准。</w:t>
      </w:r>
    </w:p>
    <w:p>
      <w:pPr>
        <w:pStyle w:val="80"/>
        <w:numPr>
          <w:ilvl w:val="0"/>
          <w:numId w:val="33"/>
        </w:numPr>
        <w:tabs>
          <w:tab w:val="clear" w:pos="0"/>
        </w:tabs>
        <w:adjustRightInd/>
        <w:snapToGrid/>
        <w:ind w:right="0"/>
        <w:jc w:val="both"/>
        <w:rPr>
          <w:rFonts w:asciiTheme="minorEastAsia" w:hAnsiTheme="minorEastAsia" w:eastAsiaTheme="minorEastAsia"/>
          <w:b/>
          <w:bCs/>
          <w:color w:val="auto"/>
          <w:highlight w:val="none"/>
          <w:u w:val="none"/>
        </w:rPr>
      </w:pPr>
      <w:r>
        <w:rPr>
          <w:rFonts w:hint="eastAsia" w:asciiTheme="minorEastAsia" w:hAnsiTheme="minorEastAsia" w:eastAsiaTheme="minorEastAsia"/>
          <w:b/>
          <w:bCs/>
          <w:color w:val="auto"/>
          <w:highlight w:val="none"/>
          <w:u w:val="none"/>
        </w:rPr>
        <w:t>成果内容</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三维地理实体数据生产包括如下成果：</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1)现有实景三维产品实体化成果：包括建筑(楼栋)、院落、重要构筑物、交通、植被等地物在内的三维实体化成果；</w:t>
      </w:r>
    </w:p>
    <w:p>
      <w:pPr>
        <w:ind w:firstLine="48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成都中轴线道路全要素应用三维实体成果：包括道路、道路标志线、道路隔离带、交通指示牌、交通信号灯、公交站台/牌、行道树、交通电子眼、监控摄像头、路灯、固定式垃圾桶、井盖、雨水篦子、街边固定式长椅等模型数据。</w:t>
      </w:r>
    </w:p>
    <w:p>
      <w:pPr>
        <w:ind w:firstLine="482" w:firstLineChars="200"/>
        <w:rPr>
          <w:rFonts w:asciiTheme="minorEastAsia" w:hAnsiTheme="minorEastAsia" w:eastAsiaTheme="minorEastAsia"/>
          <w:color w:val="auto"/>
          <w:highlight w:val="none"/>
        </w:rPr>
      </w:pPr>
      <w:bookmarkStart w:id="1061" w:name="_Toc70603827"/>
      <w:r>
        <w:rPr>
          <w:rFonts w:hint="eastAsia" w:asciiTheme="minorEastAsia" w:hAnsiTheme="minorEastAsia" w:eastAsiaTheme="minorEastAsia"/>
          <w:b/>
          <w:bCs/>
          <w:color w:val="auto"/>
          <w:highlight w:val="none"/>
        </w:rPr>
        <w:t>4</w:t>
      </w:r>
      <w:r>
        <w:rPr>
          <w:rFonts w:asciiTheme="minorEastAsia" w:hAnsiTheme="minorEastAsia" w:eastAsiaTheme="minorEastAsia"/>
          <w:b/>
          <w:bCs/>
          <w:color w:val="auto"/>
          <w:highlight w:val="none"/>
        </w:rPr>
        <w:t>.2.2技术要求</w:t>
      </w:r>
      <w:bookmarkEnd w:id="1061"/>
    </w:p>
    <w:p>
      <w:pPr>
        <w:numPr>
          <w:ilvl w:val="0"/>
          <w:numId w:val="34"/>
        </w:numPr>
        <w:tabs>
          <w:tab w:val="clear" w:pos="0"/>
        </w:tabs>
        <w:adjustRightInd/>
        <w:snapToGrid/>
        <w:ind w:firstLine="482" w:firstLineChars="200"/>
        <w:jc w:val="both"/>
        <w:rPr>
          <w:rFonts w:asciiTheme="minorEastAsia" w:hAnsiTheme="minorEastAsia" w:eastAsiaTheme="minorEastAsia"/>
          <w:color w:val="auto"/>
          <w:highlight w:val="none"/>
        </w:rPr>
      </w:pPr>
      <w:r>
        <w:rPr>
          <w:rFonts w:hint="eastAsia" w:asciiTheme="minorEastAsia" w:hAnsiTheme="minorEastAsia" w:eastAsiaTheme="minorEastAsia"/>
          <w:b/>
          <w:color w:val="auto"/>
          <w:highlight w:val="none"/>
        </w:rPr>
        <w:t>现有实景三维产品实体化处理</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实景三维实体化处理是指对现有实景三维数据成果进行包括楼栋切分、交通水系要素单体化、属性挂接等处理。三维实体化处理可分为物理实体化和逻辑实体化。物理实体化是指有独立的、单体化的三维模型。逻辑实体化是指利用矢量面三维贴地或垂直拉升方式实现三维展示效果的实体化处理。对于建筑物、桥梁、道路、面状水系、道路全要素的地物，应以物理实体化方式生产三维地理实体数据。对于线状水系、植被、管理单元等面状地物要素，应以逻辑实体化方式生产三维地理实体数据。</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实景三维实体化处理要求详见附件3：成都市三维地理实体数据生产技术要求。</w:t>
      </w:r>
    </w:p>
    <w:p>
      <w:pPr>
        <w:numPr>
          <w:ilvl w:val="0"/>
          <w:numId w:val="34"/>
        </w:numPr>
        <w:tabs>
          <w:tab w:val="clear" w:pos="0"/>
        </w:tabs>
        <w:adjustRightInd/>
        <w:snapToGrid/>
        <w:ind w:firstLine="482" w:firstLineChars="200"/>
        <w:jc w:val="both"/>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成都中轴线道路全要素应用三维实体</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使用移动测量系统(含三维激光扫描仪和全景相机)获取指定区域的全要素的激光点云和全景影像。在此基础上完成道路全要素地物进行三维矢量采集，完成全要素地物的三维建模工作。</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制作完成道路上所有交通设施和市政部件设施的三维模型包括但不限于：道路标志线、道路隔离带、交通指示牌、交通信号灯、公交站台/牌、行道树、交通电子眼、监控摄像头、路灯、固定式垃圾桶、井盖、雨水篦子、街边固定式长椅等。</w:t>
      </w:r>
    </w:p>
    <w:p>
      <w:pPr>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道路全要素三维实体模型生产技术要求详见附件3：成都市三维地理实体数据生产技术要求。</w:t>
      </w:r>
    </w:p>
    <w:p>
      <w:pPr>
        <w:ind w:firstLine="482" w:firstLineChars="200"/>
        <w:outlineLvl w:val="2"/>
        <w:rPr>
          <w:rFonts w:cs="宋体" w:asciiTheme="minorEastAsia" w:hAnsiTheme="minorEastAsia" w:eastAsiaTheme="minorEastAsia"/>
          <w:b/>
          <w:color w:val="auto"/>
          <w:highlight w:val="none"/>
        </w:rPr>
      </w:pPr>
      <w:bookmarkStart w:id="1062" w:name="_Toc31494"/>
      <w:r>
        <w:rPr>
          <w:rFonts w:cs="宋体" w:asciiTheme="minorEastAsia" w:hAnsiTheme="minorEastAsia" w:eastAsiaTheme="minorEastAsia"/>
          <w:b/>
          <w:color w:val="auto"/>
          <w:highlight w:val="none"/>
        </w:rPr>
        <w:t>5</w:t>
      </w:r>
      <w:r>
        <w:rPr>
          <w:rFonts w:hint="eastAsia" w:cs="宋体" w:asciiTheme="minorEastAsia" w:hAnsiTheme="minorEastAsia" w:eastAsiaTheme="minorEastAsia"/>
          <w:b/>
          <w:color w:val="auto"/>
          <w:highlight w:val="none"/>
        </w:rPr>
        <w:t>、成果提交要求</w:t>
      </w:r>
      <w:bookmarkEnd w:id="1062"/>
    </w:p>
    <w:p>
      <w:pPr>
        <w:ind w:firstLine="482" w:firstLineChars="200"/>
        <w:rPr>
          <w:rFonts w:cs="宋体" w:asciiTheme="minorEastAsia" w:hAnsiTheme="minorEastAsia" w:eastAsiaTheme="minorEastAsia"/>
          <w:b/>
          <w:color w:val="auto"/>
          <w:highlight w:val="none"/>
        </w:rPr>
      </w:pPr>
      <w:r>
        <w:rPr>
          <w:rFonts w:cs="宋体" w:asciiTheme="minorEastAsia" w:hAnsiTheme="minorEastAsia" w:eastAsiaTheme="minorEastAsia"/>
          <w:b/>
          <w:color w:val="auto"/>
          <w:highlight w:val="none"/>
        </w:rPr>
        <w:t>5</w:t>
      </w:r>
      <w:r>
        <w:rPr>
          <w:rFonts w:hint="eastAsia" w:cs="宋体" w:asciiTheme="minorEastAsia" w:hAnsiTheme="minorEastAsia" w:eastAsiaTheme="minorEastAsia"/>
          <w:b/>
          <w:color w:val="auto"/>
          <w:highlight w:val="none"/>
        </w:rPr>
        <w:t>.1提交时间节点</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bCs/>
          <w:color w:val="000000" w:themeColor="text1"/>
          <w:highlight w:val="none"/>
          <w14:textFill>
            <w14:solidFill>
              <w14:schemeClr w14:val="tx1"/>
            </w14:solidFill>
          </w14:textFill>
        </w:rPr>
        <w:t>供应商需在</w:t>
      </w:r>
      <w:r>
        <w:rPr>
          <w:rFonts w:hint="eastAsia" w:cs="宋体" w:asciiTheme="minorEastAsia" w:hAnsiTheme="minorEastAsia" w:eastAsiaTheme="minorEastAsia"/>
          <w:color w:val="000000" w:themeColor="text1"/>
          <w:highlight w:val="none"/>
          <w14:textFill>
            <w14:solidFill>
              <w14:schemeClr w14:val="tx1"/>
            </w14:solidFill>
          </w14:textFill>
        </w:rPr>
        <w:t>2022年3月20日前完成全部生产工作，</w:t>
      </w:r>
      <w:r>
        <w:rPr>
          <w:rFonts w:hint="eastAsia" w:cs="宋体" w:asciiTheme="minorEastAsia" w:hAnsiTheme="minorEastAsia" w:eastAsiaTheme="minorEastAsia"/>
          <w:bCs/>
          <w:color w:val="000000" w:themeColor="text1"/>
          <w:highlight w:val="none"/>
          <w14:textFill>
            <w14:solidFill>
              <w14:schemeClr w14:val="tx1"/>
            </w14:solidFill>
          </w14:textFill>
        </w:rPr>
        <w:t>严格按以下时间节点完成相应工作内容，并提交相应成果，具体提交</w:t>
      </w:r>
      <w:r>
        <w:rPr>
          <w:rFonts w:hint="eastAsia" w:cs="宋体" w:asciiTheme="minorEastAsia" w:hAnsiTheme="minorEastAsia" w:eastAsiaTheme="minorEastAsia"/>
          <w:color w:val="000000" w:themeColor="text1"/>
          <w:highlight w:val="none"/>
          <w14:textFill>
            <w14:solidFill>
              <w14:schemeClr w14:val="tx1"/>
            </w14:solidFill>
          </w14:textFill>
        </w:rPr>
        <w:t>时间节点如下：</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(1)2</w:t>
      </w:r>
      <w:r>
        <w:rPr>
          <w:rFonts w:cs="宋体" w:asciiTheme="minorEastAsia" w:hAnsiTheme="minorEastAsia" w:eastAsiaTheme="minorEastAsia"/>
          <w:color w:val="000000" w:themeColor="text1"/>
          <w:highlight w:val="none"/>
          <w14:textFill>
            <w14:solidFill>
              <w14:schemeClr w14:val="tx1"/>
            </w14:solidFill>
          </w14:textFill>
        </w:rPr>
        <w:t>021</w:t>
      </w:r>
      <w:r>
        <w:rPr>
          <w:rFonts w:hint="eastAsia" w:cs="宋体" w:asciiTheme="minorEastAsia" w:hAnsiTheme="minorEastAsia" w:eastAsiaTheme="minorEastAsia"/>
          <w:color w:val="000000" w:themeColor="text1"/>
          <w:highlight w:val="none"/>
          <w14:textFill>
            <w14:solidFill>
              <w14:schemeClr w14:val="tx1"/>
            </w14:solidFill>
          </w14:textFill>
        </w:rPr>
        <w:t>年7月</w:t>
      </w:r>
      <w:r>
        <w:rPr>
          <w:rFonts w:cs="宋体" w:asciiTheme="minorEastAsia" w:hAnsiTheme="minorEastAsia" w:eastAsiaTheme="minorEastAsia"/>
          <w:color w:val="000000" w:themeColor="text1"/>
          <w:highlight w:val="none"/>
          <w14:textFill>
            <w14:solidFill>
              <w14:schemeClr w14:val="tx1"/>
            </w14:solidFill>
          </w14:textFill>
        </w:rPr>
        <w:t>20</w:t>
      </w:r>
      <w:r>
        <w:rPr>
          <w:rFonts w:hint="eastAsia" w:cs="宋体" w:asciiTheme="minorEastAsia" w:hAnsiTheme="minorEastAsia" w:eastAsiaTheme="minorEastAsia"/>
          <w:color w:val="000000" w:themeColor="text1"/>
          <w:highlight w:val="none"/>
          <w14:textFill>
            <w14:solidFill>
              <w14:schemeClr w14:val="tx1"/>
            </w14:solidFill>
          </w14:textFill>
        </w:rPr>
        <w:t>日前、利用2021年第一季度影像及竣工测量成果，完成二维地理实体数据更新并提交更新成果及变化数据库；</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(2)2021年</w:t>
      </w:r>
      <w:r>
        <w:rPr>
          <w:rFonts w:cs="宋体" w:asciiTheme="minorEastAsia" w:hAnsiTheme="minorEastAsia" w:eastAsiaTheme="minorEastAsia"/>
          <w:color w:val="000000" w:themeColor="text1"/>
          <w:highlight w:val="none"/>
          <w14:textFill>
            <w14:solidFill>
              <w14:schemeClr w14:val="tx1"/>
            </w14:solidFill>
          </w14:textFill>
        </w:rPr>
        <w:t>9</w:t>
      </w:r>
      <w:r>
        <w:rPr>
          <w:rFonts w:hint="eastAsia" w:cs="宋体" w:asciiTheme="minorEastAsia" w:hAnsiTheme="minorEastAsia" w:eastAsiaTheme="minorEastAsia"/>
          <w:color w:val="000000" w:themeColor="text1"/>
          <w:highlight w:val="none"/>
          <w14:textFill>
            <w14:solidFill>
              <w14:schemeClr w14:val="tx1"/>
            </w14:solidFill>
          </w14:textFill>
        </w:rPr>
        <w:t>月20日前、利用2021年第二季度影像及竣工测量成果，完成二维地理实体数据更新并提交更新成果及变化数据库；</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(3)2021年12月10日前、利用 2020年生产的1:500DLG、1:2000DLG、2021年第三季度卫星影像与竣工测量成果、2021年年度卫星影像，完成二维地理实体数据更新并提交更新成果及变化数据库；完成五城区面积约420平方公里区域内现有实景三维产品的实体化改造，以及成都中轴线道路全要素三维地理实体试点数据生产，并提交三维地理实体成果。</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(4)2022年3月20日前、利用2021年第四季度影像及竣工测量成果，完成二维地理实体数据更新并提交更新成果</w:t>
      </w:r>
      <w:r>
        <w:rPr>
          <w:rFonts w:hint="eastAsia" w:cs="宋体" w:asciiTheme="minorEastAsia" w:hAnsiTheme="minorEastAsia" w:eastAsiaTheme="minorEastAsia"/>
          <w:color w:val="000000" w:themeColor="text1"/>
          <w:highlight w:val="none"/>
          <w14:textFill>
            <w14:solidFill>
              <w14:schemeClr w14:val="tx1"/>
            </w14:solidFill>
          </w14:textFill>
        </w:rPr>
        <w:t>及变化数据库</w:t>
      </w:r>
      <w:r>
        <w:rPr>
          <w:rFonts w:hint="eastAsia" w:cs="宋体" w:asciiTheme="minorEastAsia" w:hAnsiTheme="minorEastAsia" w:eastAsiaTheme="minorEastAsia"/>
          <w:color w:val="auto"/>
          <w:highlight w:val="none"/>
        </w:rPr>
        <w:t>。</w:t>
      </w:r>
    </w:p>
    <w:p>
      <w:pPr>
        <w:ind w:firstLine="482" w:firstLineChars="200"/>
        <w:rPr>
          <w:rFonts w:cs="宋体" w:asciiTheme="minorEastAsia" w:hAnsiTheme="minorEastAsia" w:eastAsiaTheme="minorEastAsia"/>
          <w:b/>
          <w:color w:val="auto"/>
          <w:highlight w:val="none"/>
        </w:rPr>
      </w:pPr>
      <w:r>
        <w:rPr>
          <w:rFonts w:cs="宋体" w:asciiTheme="minorEastAsia" w:hAnsiTheme="minorEastAsia" w:eastAsiaTheme="minorEastAsia"/>
          <w:b/>
          <w:color w:val="auto"/>
          <w:highlight w:val="none"/>
        </w:rPr>
        <w:t>5</w:t>
      </w:r>
      <w:r>
        <w:rPr>
          <w:rFonts w:hint="eastAsia" w:cs="宋体" w:asciiTheme="minorEastAsia" w:hAnsiTheme="minorEastAsia" w:eastAsiaTheme="minorEastAsia"/>
          <w:b/>
          <w:color w:val="auto"/>
          <w:highlight w:val="none"/>
        </w:rPr>
        <w:t>.2提交成果内容</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5</w:t>
      </w:r>
      <w:r>
        <w:rPr>
          <w:rFonts w:cs="宋体" w:asciiTheme="minorEastAsia" w:hAnsiTheme="minorEastAsia" w:eastAsiaTheme="minorEastAsia"/>
          <w:b/>
          <w:color w:val="auto"/>
          <w:highlight w:val="none"/>
        </w:rPr>
        <w:t>.2.1</w:t>
      </w:r>
      <w:r>
        <w:rPr>
          <w:rFonts w:hint="eastAsia" w:cs="宋体" w:asciiTheme="minorEastAsia" w:hAnsiTheme="minorEastAsia" w:eastAsiaTheme="minorEastAsia"/>
          <w:b/>
          <w:color w:val="auto"/>
          <w:highlight w:val="none"/>
        </w:rPr>
        <w:t>二维地理实体数据成果提交内容</w:t>
      </w:r>
    </w:p>
    <w:tbl>
      <w:tblPr>
        <w:tblStyle w:val="26"/>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426"/>
        <w:gridCol w:w="2126"/>
        <w:gridCol w:w="1256"/>
        <w:gridCol w:w="941"/>
        <w:gridCol w:w="941"/>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jc w:val="center"/>
        </w:trPr>
        <w:tc>
          <w:tcPr>
            <w:tcW w:w="380"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序号</w:t>
            </w:r>
          </w:p>
        </w:tc>
        <w:tc>
          <w:tcPr>
            <w:tcW w:w="1299" w:type="pct"/>
            <w:gridSpan w:val="2"/>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成果类型</w:t>
            </w:r>
          </w:p>
        </w:tc>
        <w:tc>
          <w:tcPr>
            <w:tcW w:w="640"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数据格式</w:t>
            </w:r>
          </w:p>
        </w:tc>
        <w:tc>
          <w:tcPr>
            <w:tcW w:w="479"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套数</w:t>
            </w:r>
          </w:p>
        </w:tc>
        <w:tc>
          <w:tcPr>
            <w:tcW w:w="479"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介质</w:t>
            </w:r>
          </w:p>
        </w:tc>
        <w:tc>
          <w:tcPr>
            <w:tcW w:w="1723"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数据成果</w:t>
            </w: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成果清单</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479" w:type="pct"/>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电子文档以均以蓝光光盘或U盘提交</w:t>
            </w: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更新后的二维地理实体数据库</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GDB</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000000" w:themeColor="text1"/>
                <w:sz w:val="21"/>
                <w:szCs w:val="21"/>
                <w:highlight w:val="none"/>
                <w14:textFill>
                  <w14:solidFill>
                    <w14:schemeClr w14:val="tx1"/>
                  </w14:solidFill>
                </w14:textFill>
              </w:rPr>
            </w:pPr>
          </w:p>
        </w:tc>
        <w:tc>
          <w:tcPr>
            <w:tcW w:w="216" w:type="pct"/>
            <w:vMerge w:val="continue"/>
            <w:shd w:val="clear" w:color="auto" w:fill="auto"/>
            <w:vAlign w:val="center"/>
          </w:tcPr>
          <w:p>
            <w:pPr>
              <w:widowControl/>
              <w:rPr>
                <w:rFonts w:cs="宋体" w:asciiTheme="minorEastAsia" w:hAnsiTheme="minorEastAsia" w:eastAsiaTheme="minorEastAsia"/>
                <w:bCs/>
                <w:color w:val="000000" w:themeColor="text1"/>
                <w:kern w:val="0"/>
                <w:sz w:val="21"/>
                <w:szCs w:val="21"/>
                <w:highlight w:val="none"/>
                <w14:textFill>
                  <w14:solidFill>
                    <w14:schemeClr w14:val="tx1"/>
                  </w14:solidFill>
                </w14:textFill>
              </w:rPr>
            </w:pPr>
          </w:p>
        </w:tc>
        <w:tc>
          <w:tcPr>
            <w:tcW w:w="1082"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变化数据库</w:t>
            </w:r>
          </w:p>
        </w:tc>
        <w:tc>
          <w:tcPr>
            <w:tcW w:w="640"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GDB</w:t>
            </w:r>
          </w:p>
        </w:tc>
        <w:tc>
          <w:tcPr>
            <w:tcW w:w="479"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1</w:t>
            </w:r>
          </w:p>
        </w:tc>
        <w:tc>
          <w:tcPr>
            <w:tcW w:w="0" w:type="auto"/>
            <w:vMerge w:val="continue"/>
            <w:shd w:val="clear" w:color="auto" w:fill="auto"/>
            <w:vAlign w:val="center"/>
          </w:tcPr>
          <w:p>
            <w:pPr>
              <w:widowControl/>
              <w:rPr>
                <w:rFonts w:cs="宋体" w:asciiTheme="minorEastAsia" w:hAnsiTheme="minorEastAsia" w:eastAsiaTheme="minorEastAsia"/>
                <w:color w:val="000000" w:themeColor="text1"/>
                <w:kern w:val="0"/>
                <w:sz w:val="21"/>
                <w:szCs w:val="21"/>
                <w:highlight w:val="none"/>
                <w14:textFill>
                  <w14:solidFill>
                    <w14:schemeClr w14:val="tx1"/>
                  </w14:solidFill>
                </w14:textFill>
              </w:rPr>
            </w:pPr>
          </w:p>
        </w:tc>
        <w:tc>
          <w:tcPr>
            <w:tcW w:w="1723"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2021年度影像变化图斑数据库</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MDB</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电子文档，仅年度影像更新提交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项目文档</w:t>
            </w: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技术设计</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检查报告</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技术总结</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竣工范围</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SHP</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仅竣工成果更新提交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检验报告</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PDF</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盖章扫描件及纸质文件，由质检方提供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0" w:type="pct"/>
            <w:shd w:val="clear" w:color="auto" w:fill="auto"/>
            <w:vAlign w:val="center"/>
          </w:tcPr>
          <w:p>
            <w:pPr>
              <w:pStyle w:val="82"/>
              <w:widowControl w:val="0"/>
              <w:numPr>
                <w:ilvl w:val="0"/>
                <w:numId w:val="35"/>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6"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其他相关资料</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p>
        </w:tc>
      </w:tr>
    </w:tbl>
    <w:p>
      <w:pPr>
        <w:ind w:firstLine="482" w:firstLineChars="200"/>
        <w:rPr>
          <w:rFonts w:cs="宋体" w:asciiTheme="minorEastAsia" w:hAnsiTheme="minorEastAsia" w:eastAsiaTheme="minorEastAsia"/>
          <w:b/>
          <w:color w:val="auto"/>
          <w:highlight w:val="none"/>
        </w:rPr>
      </w:pPr>
      <w:r>
        <w:rPr>
          <w:rFonts w:cs="宋体" w:asciiTheme="minorEastAsia" w:hAnsiTheme="minorEastAsia" w:eastAsiaTheme="minorEastAsia"/>
          <w:b/>
          <w:color w:val="auto"/>
          <w:highlight w:val="none"/>
        </w:rPr>
        <w:t>5.2.2</w:t>
      </w:r>
      <w:r>
        <w:rPr>
          <w:rFonts w:hint="eastAsia" w:cs="宋体" w:asciiTheme="minorEastAsia" w:hAnsiTheme="minorEastAsia" w:eastAsiaTheme="minorEastAsia"/>
          <w:b/>
          <w:color w:val="auto"/>
          <w:highlight w:val="none"/>
        </w:rPr>
        <w:t>三维地理实体数据成果提交内容</w:t>
      </w:r>
    </w:p>
    <w:tbl>
      <w:tblPr>
        <w:tblStyle w:val="26"/>
        <w:tblW w:w="49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427"/>
        <w:gridCol w:w="2158"/>
        <w:gridCol w:w="1248"/>
        <w:gridCol w:w="940"/>
        <w:gridCol w:w="944"/>
        <w:gridCol w:w="3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366"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序号</w:t>
            </w:r>
          </w:p>
        </w:tc>
        <w:tc>
          <w:tcPr>
            <w:tcW w:w="1319" w:type="pct"/>
            <w:gridSpan w:val="2"/>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成果类型</w:t>
            </w:r>
          </w:p>
        </w:tc>
        <w:tc>
          <w:tcPr>
            <w:tcW w:w="637"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数据格式</w:t>
            </w:r>
          </w:p>
        </w:tc>
        <w:tc>
          <w:tcPr>
            <w:tcW w:w="480"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套数</w:t>
            </w:r>
          </w:p>
        </w:tc>
        <w:tc>
          <w:tcPr>
            <w:tcW w:w="482"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介质</w:t>
            </w:r>
          </w:p>
        </w:tc>
        <w:tc>
          <w:tcPr>
            <w:tcW w:w="1715"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数据成果</w:t>
            </w: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成果清单</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482" w:type="pct"/>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电子文档以均以硬盘、蓝光光盘或U盘提交</w:t>
            </w: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三维地理实体数据成果</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MAX</w:t>
            </w: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矢量数据库</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GDB</w:t>
            </w: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项目文档</w:t>
            </w: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技术设计</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新型地理实体研究报告</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检查报告</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技术总结</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检验报告</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PDF</w:t>
            </w: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盖章扫描件及纸质文件，由质检方提供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66" w:type="pct"/>
            <w:shd w:val="clear" w:color="auto" w:fill="auto"/>
            <w:vAlign w:val="center"/>
          </w:tcPr>
          <w:p>
            <w:pPr>
              <w:pStyle w:val="82"/>
              <w:widowControl w:val="0"/>
              <w:numPr>
                <w:ilvl w:val="0"/>
                <w:numId w:val="36"/>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8"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10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其他相关资料</w:t>
            </w:r>
          </w:p>
        </w:tc>
        <w:tc>
          <w:tcPr>
            <w:tcW w:w="637"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80" w:type="pct"/>
            <w:shd w:val="clear" w:color="auto" w:fill="auto"/>
            <w:vAlign w:val="center"/>
          </w:tcPr>
          <w:p>
            <w:pPr>
              <w:pStyle w:val="82"/>
              <w:rPr>
                <w:rFonts w:asciiTheme="minorEastAsia" w:hAnsiTheme="minorEastAsia" w:eastAsiaTheme="minorEastAsia"/>
                <w:color w:val="auto"/>
                <w:sz w:val="21"/>
                <w:szCs w:val="21"/>
                <w:highlight w:val="none"/>
              </w:rPr>
            </w:pP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15" w:type="pct"/>
            <w:shd w:val="clear" w:color="auto" w:fill="auto"/>
            <w:vAlign w:val="center"/>
          </w:tcPr>
          <w:p>
            <w:pPr>
              <w:pStyle w:val="82"/>
              <w:rPr>
                <w:rFonts w:asciiTheme="minorEastAsia" w:hAnsiTheme="minorEastAsia" w:eastAsiaTheme="minorEastAsia"/>
                <w:color w:val="auto"/>
                <w:sz w:val="21"/>
                <w:szCs w:val="21"/>
                <w:highlight w:val="none"/>
              </w:rPr>
            </w:pPr>
          </w:p>
        </w:tc>
      </w:tr>
    </w:tbl>
    <w:p>
      <w:pPr>
        <w:ind w:firstLine="482" w:firstLineChars="200"/>
        <w:outlineLvl w:val="2"/>
        <w:rPr>
          <w:rFonts w:cs="宋体" w:asciiTheme="minorEastAsia" w:hAnsiTheme="minorEastAsia" w:eastAsiaTheme="minorEastAsia"/>
          <w:b/>
          <w:color w:val="auto"/>
          <w:highlight w:val="none"/>
        </w:rPr>
      </w:pPr>
      <w:bookmarkStart w:id="1063" w:name="_Toc17286012"/>
      <w:bookmarkStart w:id="1064" w:name="_Toc9872"/>
      <w:r>
        <w:rPr>
          <w:rFonts w:cs="宋体" w:asciiTheme="minorEastAsia" w:hAnsiTheme="minorEastAsia" w:eastAsiaTheme="minorEastAsia"/>
          <w:b/>
          <w:color w:val="auto"/>
          <w:highlight w:val="none"/>
        </w:rPr>
        <w:t>6</w:t>
      </w:r>
      <w:r>
        <w:rPr>
          <w:rFonts w:hint="eastAsia" w:cs="宋体" w:asciiTheme="minorEastAsia" w:hAnsiTheme="minorEastAsia" w:eastAsiaTheme="minorEastAsia"/>
          <w:b/>
          <w:color w:val="auto"/>
          <w:highlight w:val="none"/>
        </w:rPr>
        <w:t>、相关保障措施</w:t>
      </w:r>
      <w:bookmarkEnd w:id="1063"/>
      <w:bookmarkEnd w:id="1064"/>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(1)服务团队要求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供应商需针对本项目搭建合理的服务团队，包括项目管理团队、实施团队和后期服务团队。项目实施过程中，如供应商确有特殊原因需调换本项目的项目负责人和技术负责人，则需征得采购人书面同意，并更换同等资格或更高资格的负责人员。</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(2)资料保密措施</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考虑到数据的重要性和保密性，在项目建设过程中必须严格保障数据的安全。供应商需在实施方案明确提出数据安全解决方案，详细阐述具体的数据安全管理手段和安全防护措施。并承诺在整个项目建设过程中严格遵守数据安全保密相关规定。</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(3)后期服务要求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供应商须提供常设5天×8小时热线服务和自验收合格之日起为期一年的免费技术支持。电话或远程无法解决的问题必须到达现场处理，交通及其它费用由供应商负责并已经充分考虑在包干总价中。</w:t>
      </w:r>
    </w:p>
    <w:p>
      <w:pPr>
        <w:spacing w:line="560" w:lineRule="exact"/>
        <w:ind w:firstLine="482" w:firstLineChars="200"/>
        <w:outlineLvl w:val="2"/>
        <w:rPr>
          <w:rFonts w:cs="宋体" w:asciiTheme="minorEastAsia" w:hAnsiTheme="minorEastAsia" w:eastAsiaTheme="minorEastAsia"/>
          <w:b/>
          <w:color w:val="auto"/>
          <w:highlight w:val="none"/>
        </w:rPr>
      </w:pPr>
      <w:bookmarkStart w:id="1065" w:name="_Toc993"/>
      <w:r>
        <w:rPr>
          <w:rFonts w:hint="eastAsia" w:cs="宋体" w:asciiTheme="minorEastAsia" w:hAnsiTheme="minorEastAsia" w:eastAsiaTheme="minorEastAsia"/>
          <w:b/>
          <w:color w:val="auto"/>
          <w:highlight w:val="none"/>
        </w:rPr>
        <w:t>第二包：地理实体成果检验入库及天地图融合</w:t>
      </w:r>
      <w:bookmarkEnd w:id="1065"/>
    </w:p>
    <w:p>
      <w:pPr>
        <w:ind w:firstLine="482" w:firstLineChars="200"/>
        <w:outlineLvl w:val="2"/>
        <w:rPr>
          <w:rFonts w:cs="宋体" w:asciiTheme="minorEastAsia" w:hAnsiTheme="minorEastAsia" w:eastAsiaTheme="minorEastAsia"/>
          <w:b/>
          <w:color w:val="auto"/>
          <w:highlight w:val="none"/>
        </w:rPr>
      </w:pPr>
      <w:bookmarkStart w:id="1066" w:name="_Toc25732"/>
      <w:r>
        <w:rPr>
          <w:rFonts w:hint="eastAsia" w:cs="宋体" w:asciiTheme="minorEastAsia" w:hAnsiTheme="minorEastAsia" w:eastAsiaTheme="minorEastAsia"/>
          <w:b/>
          <w:color w:val="auto"/>
          <w:highlight w:val="none"/>
        </w:rPr>
        <w:t>1、工作依据</w:t>
      </w:r>
      <w:bookmarkEnd w:id="1066"/>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(1)二维地理实体</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37118-2018地理实体空间数据规范》</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35648-2017地理信息兴趣点分类与代码》</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23705-2009数字城市地理信息公共平台 地名/地址编码规则》</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13923-2006基础地理信息要素分类与代码》</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18521-2001地名分类与类别代码编制规则》</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39609-2020地名地址地理编码规则》</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2260-2017中华人民共和国行政区划代码》</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10114县以下行政区域代码编制规则》</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25334-2010中华人民共和国铁路线路名称代码》</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917-2017公路路线标示规则和国道编码》</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21381-2008交通管理地理信息实体标识编码规则城市道路》</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《CH/Z 9010-2011地理信息公共服务平台 地理实体与地名地址数据规范》</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《GQJC 01-2017基础性地理国情监测数据数据标准》</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《GQJC 02-2017基础性地理国情监测生产元数据数据标准》</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《GQJC 03-2017基础性地理国情监测内容与指标》</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《城市地理国情监测内容与指标》</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《成都市县级以下行政区域及社区代码》</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《成都市基础性地理国情监测内容与指标(2018)》</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《成都市基础性地理国情普查技术规程(2019)》</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《成都市地理国情数据库建库技术规定(2019)》</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《成都市1：500DLG建库技术规定(2020)》</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《成都市1：2000DLG建库技术规定(2020)》</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《成都市1:500 1:2000基础地理信息要素分类与编码表(2020)》</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《智慧城市时空大数据与云平台地名地址采集建库规范(2020)》</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《成都市二维地理实体生产与更新技术要求》</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《成都市二维地理实体数据建库规定》</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(2)三维地理实体</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《CH/Z 3017-2015地面三维激光扫描作业技术规程》</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《CH/T 6004-2016车载移动测量技术规程》</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《CH/T 6003-2016车载移动测量数据规范》</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《CH/Z 1002-2009可量测实景影像》</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 xml:space="preserve">《CH/T 3020-2018实景三维地理信息数据激光雷达测量技术规程》 </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《CH/T 9017-2012三维地理信息模型数据库规范》</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《CH/T 9024-2014三维地理信息模型数据产品质量检查与验收》</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《CJJ/T 157-2010城市三维建模技术规范》</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《成都市实景三维数据生产技术规定(2020)》</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《成都市三维地理实体生产技术要求》</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(3)天地图融合</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7408-2005数据元和交换格式信息交换日期和时间表示法》</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35764-2017公开地图内容表示要求》</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35633-2017公开版地图地名表示通用要求》</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19711-2005导航地理数据模型与交换格式》</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20268-2006车载导航地理数据采集处理技术规程》</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《CH/Z 9011-2011地理信息公共服务平台电子地图数据规范》</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《天地图省市级节点建设方案》(国家测绘地理信息局，2015)</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《国家地理信息公共服务平台涉密版建设指南》(国家测绘地理信息局，2017)</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《“天地图”公众版一体化建设方案》(自然资源部，2019)</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《天地图数据融合技术要求》(国家基础地理信息中心，2020)</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(4)其他</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18316-2008数字测绘成果质量检查与验收》</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《GB/T 24356-2009测绘成果质量检查与验收》</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《成都市1:500 1:2000基础地理信息要素分类与编码表(2020)》</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《成都市影像变化图斑生产技术规定(2</w:t>
      </w:r>
      <w:r>
        <w:rPr>
          <w:rFonts w:cs="宋体" w:asciiTheme="minorEastAsia" w:hAnsiTheme="minorEastAsia" w:eastAsiaTheme="minorEastAsia"/>
          <w:color w:val="auto"/>
          <w:highlight w:val="none"/>
          <w:u w:val="none"/>
        </w:rPr>
        <w:t>020</w:t>
      </w:r>
      <w:r>
        <w:rPr>
          <w:rFonts w:hint="eastAsia" w:cs="宋体" w:asciiTheme="minorEastAsia" w:hAnsiTheme="minorEastAsia" w:eastAsiaTheme="minorEastAsia"/>
          <w:color w:val="auto"/>
          <w:highlight w:val="none"/>
          <w:u w:val="none"/>
        </w:rPr>
        <w:t>)》</w:t>
      </w:r>
    </w:p>
    <w:p>
      <w:pPr>
        <w:pStyle w:val="80"/>
        <w:numPr>
          <w:ilvl w:val="0"/>
          <w:numId w:val="37"/>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《成都市影像变化图斑建库规定(2</w:t>
      </w:r>
      <w:r>
        <w:rPr>
          <w:rFonts w:cs="宋体" w:asciiTheme="minorEastAsia" w:hAnsiTheme="minorEastAsia" w:eastAsiaTheme="minorEastAsia"/>
          <w:color w:val="auto"/>
          <w:highlight w:val="none"/>
          <w:u w:val="none"/>
        </w:rPr>
        <w:t>020</w:t>
      </w:r>
      <w:r>
        <w:rPr>
          <w:rFonts w:hint="eastAsia" w:cs="宋体" w:asciiTheme="minorEastAsia" w:hAnsiTheme="minorEastAsia" w:eastAsiaTheme="minorEastAsia"/>
          <w:color w:val="auto"/>
          <w:highlight w:val="none"/>
          <w:u w:val="none"/>
        </w:rPr>
        <w:t>)》</w:t>
      </w:r>
    </w:p>
    <w:p>
      <w:pPr>
        <w:ind w:firstLine="482" w:firstLineChars="200"/>
        <w:outlineLvl w:val="2"/>
        <w:rPr>
          <w:rFonts w:cs="宋体" w:asciiTheme="minorEastAsia" w:hAnsiTheme="minorEastAsia" w:eastAsiaTheme="minorEastAsia"/>
          <w:b/>
          <w:color w:val="auto"/>
          <w:highlight w:val="none"/>
        </w:rPr>
      </w:pPr>
      <w:bookmarkStart w:id="1067" w:name="_Toc9160"/>
      <w:r>
        <w:rPr>
          <w:rFonts w:hint="eastAsia" w:cs="宋体" w:asciiTheme="minorEastAsia" w:hAnsiTheme="minorEastAsia" w:eastAsiaTheme="minorEastAsia"/>
          <w:b/>
          <w:color w:val="auto"/>
          <w:highlight w:val="none"/>
        </w:rPr>
        <w:t>2、主要任务</w:t>
      </w:r>
      <w:bookmarkEnd w:id="1067"/>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(1)完善技术标准</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在现有标准的基础上结合时空大数据与云平台、地理实体生产及后期应用的需求，对《成都市二维地理实体数据库建库规定》进行优化完善。</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(2)天地图融合</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按天地图规范和省市数据融合要求，完成成都市域范围内天地图数据的融合。</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(3)地理实体数据成果质量检验</w:t>
      </w:r>
    </w:p>
    <w:p>
      <w:pPr>
        <w:tabs>
          <w:tab w:val="left" w:pos="1620"/>
          <w:tab w:val="clear" w:pos="0"/>
        </w:tabs>
        <w:autoSpaceDE w:val="0"/>
        <w:autoSpaceDN w:val="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szCs w:val="28"/>
          <w:highlight w:val="none"/>
        </w:rPr>
        <w:t>按照相关规范要求，分批对二维地理实体数据更新成果、三维地理实体数据生产成果进行质量检验工作，并按要求出具检验报告</w:t>
      </w:r>
      <w:r>
        <w:rPr>
          <w:rFonts w:hint="eastAsia" w:cs="宋体" w:asciiTheme="minorEastAsia" w:hAnsiTheme="minorEastAsia" w:eastAsiaTheme="minorEastAsia"/>
          <w:color w:val="auto"/>
          <w:highlight w:val="none"/>
        </w:rPr>
        <w:t>。</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(4)地理实体数据成果入库</w:t>
      </w:r>
    </w:p>
    <w:p>
      <w:pPr>
        <w:tabs>
          <w:tab w:val="left" w:pos="1620"/>
          <w:tab w:val="clear" w:pos="0"/>
        </w:tabs>
        <w:autoSpaceDE w:val="0"/>
        <w:autoSpaceDN w:val="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按照相关要求，对检验合格的</w:t>
      </w:r>
      <w:r>
        <w:rPr>
          <w:rFonts w:hint="eastAsia" w:cs="宋体" w:asciiTheme="minorEastAsia" w:hAnsiTheme="minorEastAsia" w:eastAsiaTheme="minorEastAsia"/>
          <w:color w:val="auto"/>
          <w:szCs w:val="28"/>
          <w:highlight w:val="none"/>
        </w:rPr>
        <w:t>二三维</w:t>
      </w:r>
      <w:r>
        <w:rPr>
          <w:rFonts w:hint="eastAsia" w:cs="宋体" w:asciiTheme="minorEastAsia" w:hAnsiTheme="minorEastAsia" w:eastAsiaTheme="minorEastAsia"/>
          <w:color w:val="auto"/>
          <w:highlight w:val="none"/>
        </w:rPr>
        <w:t>地理实体数据进行入库前的各项检查，并完成相应数据库入库工作。</w:t>
      </w:r>
    </w:p>
    <w:p>
      <w:pPr>
        <w:ind w:firstLine="482" w:firstLineChars="200"/>
        <w:outlineLvl w:val="2"/>
        <w:rPr>
          <w:rFonts w:cs="宋体" w:asciiTheme="minorEastAsia" w:hAnsiTheme="minorEastAsia" w:eastAsiaTheme="minorEastAsia"/>
          <w:b/>
          <w:color w:val="auto"/>
          <w:highlight w:val="none"/>
        </w:rPr>
      </w:pPr>
      <w:bookmarkStart w:id="1068" w:name="_Toc8611"/>
      <w:r>
        <w:rPr>
          <w:rFonts w:hint="eastAsia" w:cs="宋体" w:asciiTheme="minorEastAsia" w:hAnsiTheme="minorEastAsia" w:eastAsiaTheme="minorEastAsia"/>
          <w:b/>
          <w:color w:val="auto"/>
          <w:highlight w:val="none"/>
        </w:rPr>
        <w:t>3、技术与质量要求</w:t>
      </w:r>
      <w:bookmarkEnd w:id="1068"/>
    </w:p>
    <w:p>
      <w:pPr>
        <w:ind w:firstLine="482" w:firstLineChars="200"/>
        <w:rPr>
          <w:rFonts w:cs="宋体" w:asciiTheme="minorEastAsia" w:hAnsiTheme="minorEastAsia" w:eastAsiaTheme="minorEastAsia"/>
          <w:b/>
          <w:color w:val="auto"/>
          <w:highlight w:val="none"/>
        </w:rPr>
      </w:pPr>
      <w:bookmarkStart w:id="1069" w:name="_Toc68852749"/>
      <w:r>
        <w:rPr>
          <w:rFonts w:hint="eastAsia" w:cs="宋体" w:asciiTheme="minorEastAsia" w:hAnsiTheme="minorEastAsia" w:eastAsiaTheme="minorEastAsia"/>
          <w:b/>
          <w:color w:val="auto"/>
          <w:highlight w:val="none"/>
        </w:rPr>
        <w:t>3.1天地图融合</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3.1.1基本要求</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(1)数学基础</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2000国家大地坐标系。</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(2)数据格式</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ESRI Geodatabase格式。</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(3)融合原则</w:t>
      </w:r>
    </w:p>
    <w:bookmarkEnd w:id="1069"/>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数据融合时，通过对参与融合的不同精度、不同模型地理数据进行分析比对，从中选取表达准确、现势性好、精度高、内容全的要素进行合并，并对合并后的结果进行几何拓扑、空间关系与逻辑一致性处理，使融合后的地理信息数据在现势性、准确性、丰富性等方面达到最优。</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数据融合的总体原则是：</w:t>
      </w:r>
    </w:p>
    <w:p>
      <w:pPr>
        <w:pStyle w:val="80"/>
        <w:numPr>
          <w:ilvl w:val="0"/>
          <w:numId w:val="3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数据现势性要求：需要融合的不同来源的数据现势性不一致时，以现势性高的数据为准。</w:t>
      </w:r>
    </w:p>
    <w:p>
      <w:pPr>
        <w:pStyle w:val="80"/>
        <w:numPr>
          <w:ilvl w:val="0"/>
          <w:numId w:val="3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数据几何表达精细度要求：需要融合的不同来源的数据几何表达精细度不一致时，以精细度高的数据为准。</w:t>
      </w:r>
    </w:p>
    <w:p>
      <w:pPr>
        <w:pStyle w:val="80"/>
        <w:numPr>
          <w:ilvl w:val="0"/>
          <w:numId w:val="3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平面位置精度要求：需要融合的不同来源的数据平面位置精度不一致平时，原则上以精度高的数据为准。</w:t>
      </w:r>
    </w:p>
    <w:p>
      <w:pPr>
        <w:pStyle w:val="80"/>
        <w:numPr>
          <w:ilvl w:val="0"/>
          <w:numId w:val="3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属性取值要求：不同数据源中同名地物要素的相同属性项取值不一致时，依据现势性、准确性等进行一致性处理。</w:t>
      </w:r>
    </w:p>
    <w:p>
      <w:pPr>
        <w:pStyle w:val="80"/>
        <w:numPr>
          <w:ilvl w:val="0"/>
          <w:numId w:val="3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空间关系与逻辑一致性要求：融合后的成果数据要素空间关系正确，各类信息逻辑一致。</w:t>
      </w:r>
    </w:p>
    <w:p>
      <w:pPr>
        <w:pStyle w:val="80"/>
        <w:numPr>
          <w:ilvl w:val="0"/>
          <w:numId w:val="3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数据内容要求：融合处理时应利用不同数据源的信息进行要素增补，融合后的成果数据应尽可能完整保留数据源中的相关信息。</w:t>
      </w:r>
    </w:p>
    <w:p>
      <w:pPr>
        <w:pStyle w:val="80"/>
        <w:ind w:left="0" w:firstLine="482" w:firstLineChars="200"/>
        <w:rPr>
          <w:rFonts w:ascii="宋体" w:hAnsi="宋体" w:eastAsia="宋体" w:cs="宋体"/>
          <w:b/>
          <w:color w:val="auto"/>
          <w:szCs w:val="22"/>
          <w:highlight w:val="none"/>
          <w:u w:val="none"/>
        </w:rPr>
      </w:pPr>
      <w:r>
        <w:rPr>
          <w:rFonts w:hint="eastAsia" w:ascii="宋体" w:hAnsi="宋体" w:eastAsia="宋体" w:cs="宋体"/>
          <w:b/>
          <w:color w:val="auto"/>
          <w:highlight w:val="none"/>
          <w:u w:val="none"/>
        </w:rPr>
        <w:t>3.1.2</w:t>
      </w:r>
      <w:r>
        <w:rPr>
          <w:rFonts w:hint="eastAsia" w:ascii="宋体" w:hAnsi="宋体" w:eastAsia="宋体" w:cs="宋体"/>
          <w:b/>
          <w:color w:val="auto"/>
          <w:szCs w:val="22"/>
          <w:highlight w:val="none"/>
          <w:u w:val="none"/>
        </w:rPr>
        <w:t>电子地图矢量数据融合</w:t>
      </w:r>
    </w:p>
    <w:p>
      <w:pPr>
        <w:pStyle w:val="80"/>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根据四川省测绘地理信息局下发的母库数据，在遵循融合基本原则的前提下，按照省市融合要求，完成道路、铁路、水系、居民地、绿地、境界与政区、基础设施等要素的融合，并对省市电子地图数据进行接边处理。</w:t>
      </w:r>
    </w:p>
    <w:p>
      <w:pPr>
        <w:ind w:firstLine="480" w:firstLineChars="200"/>
        <w:rPr>
          <w:rFonts w:cs="宋体"/>
          <w:color w:val="auto"/>
          <w:highlight w:val="none"/>
        </w:rPr>
      </w:pPr>
      <w:r>
        <w:rPr>
          <w:rFonts w:hint="eastAsia" w:cs="宋体"/>
          <w:color w:val="auto"/>
          <w:highlight w:val="none"/>
        </w:rPr>
        <w:t>各类实体融合处理要求如下：</w:t>
      </w:r>
    </w:p>
    <w:p>
      <w:pPr>
        <w:pStyle w:val="81"/>
        <w:numPr>
          <w:ilvl w:val="0"/>
          <w:numId w:val="39"/>
        </w:numPr>
        <w:spacing w:line="440" w:lineRule="exact"/>
        <w:ind w:left="0" w:firstLine="480" w:firstLineChars="200"/>
        <w:rPr>
          <w:rFonts w:ascii="宋体" w:hAnsi="宋体" w:cs="宋体"/>
          <w:color w:val="auto"/>
          <w:szCs w:val="24"/>
          <w:highlight w:val="none"/>
        </w:rPr>
      </w:pPr>
      <w:r>
        <w:rPr>
          <w:rFonts w:hint="eastAsia" w:ascii="宋体" w:hAnsi="宋体" w:cs="宋体"/>
          <w:color w:val="auto"/>
          <w:szCs w:val="24"/>
          <w:highlight w:val="none"/>
        </w:rPr>
        <w:t>道路数据处理要求</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道路数据应以中心线或车道线表达，并构成符合实际连通情况的道路网络。</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道路数据处理时以上版数据为本底，依据现势性、数据精确度、空间关系合理性等进行分类别、分区域融合处理，充分利用各类数据源对城区内部道路进行补充， 需要特别注意的是，这些增补道路与导航网融合时，要严格按GB/T19711-2005正确处理路网几何拓扑。内业无法准确判断道络连通关系的，应进行外业调绘。确无条件的，应保持路网连通拓扑，新增道路不与其在几何上进行拓扑关联。若有可靠数据源说明上版道路数据中 CLASID 和名称有错或缺少，可以直接修改和补充。</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按照《天地图数据融合技术要求》附录C的要求对道路数据的属性结构进行规整，若数据源中包含附录 C未涵盖的属性项，应予以保留。属性规整时，主要对字段名称和类型进行规范化处理，数据源的属性值完整保留即可。如果对道路网络的连通拓扑进行了处理，还应补充上下行等交通流信息，有关属性值按《天地图数据融合技术要求》附录D进行填写。</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道路一般应保持连通，避免物理孤立或显示孤立。融合处理时，道路连通性不合理的可通过显示类别适当调整。</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JCT 、IC 、匝道、提前左转、提前右转、主辅路出入口等等道路连接线的显示类别就低不高。</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 xml:space="preserve">道路名称NAME赋道路名称简，如“ ** 高速”、 “ ** 路”、“ ** 大道” 等；当名称中含有 “** 立交桥”、 “ ** 互通、“ ** 桥”、 “ ** 立交”、 “ ** 跨线桥”、“** 枢纽” 、“地道” 、“隧道”等时 ，该名称赋值至NAME1 ，多 于 1个时赋值至 NAME2 、 NAME3 、NAME4 。 </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道路有英文名称的中不允许为空。</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道路顶层线用来标识立交区域最顶部道路，其道路几何信息与属性信息要与所表达的道路一致，长度应满足渲染后覆盖下方道路。一般情况下，高速、国道、省道和城市区域道路(高架、立交桥等)立交处应制作道路顶层线。</w:t>
      </w:r>
    </w:p>
    <w:p>
      <w:pPr>
        <w:pStyle w:val="80"/>
        <w:numPr>
          <w:ilvl w:val="0"/>
          <w:numId w:val="4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与其它图层无不合理压盖。</w:t>
      </w:r>
    </w:p>
    <w:p>
      <w:pPr>
        <w:pStyle w:val="81"/>
        <w:numPr>
          <w:ilvl w:val="0"/>
          <w:numId w:val="39"/>
        </w:numPr>
        <w:spacing w:line="440" w:lineRule="exact"/>
        <w:ind w:left="0" w:firstLine="480" w:firstLineChars="200"/>
        <w:rPr>
          <w:rFonts w:ascii="宋体" w:hAnsi="宋体" w:cs="宋体"/>
          <w:color w:val="auto"/>
          <w:szCs w:val="24"/>
          <w:highlight w:val="none"/>
        </w:rPr>
      </w:pPr>
      <w:r>
        <w:rPr>
          <w:rFonts w:hint="eastAsia" w:ascii="宋体" w:hAnsi="宋体" w:cs="宋体"/>
          <w:color w:val="auto"/>
          <w:szCs w:val="24"/>
          <w:highlight w:val="none"/>
        </w:rPr>
        <w:t>铁路数据处理要求</w:t>
      </w:r>
    </w:p>
    <w:p>
      <w:pPr>
        <w:pStyle w:val="80"/>
        <w:numPr>
          <w:ilvl w:val="0"/>
          <w:numId w:val="41"/>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铁路数据以中心线表达，并尽可能构成网。</w:t>
      </w:r>
    </w:p>
    <w:p>
      <w:pPr>
        <w:pStyle w:val="80"/>
        <w:numPr>
          <w:ilvl w:val="0"/>
          <w:numId w:val="41"/>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铁路数据处理时，充分利用各类数据源，如数据含有站线等详细信息，应予以保留，并利用属性值进行区分，在成果数据中表达,同时保证铁路线路联通。</w:t>
      </w:r>
    </w:p>
    <w:p>
      <w:pPr>
        <w:pStyle w:val="80"/>
        <w:numPr>
          <w:ilvl w:val="0"/>
          <w:numId w:val="41"/>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按照《天地图数据融合技术要求》附录C的要求对道路数据的属性结构进行规整，若数据源中包含附录 C未涵盖的属性项，应予以保留。属性规整时，主要对字段名称和类型进行规范化处理，数据源的属性值完整保留即可。</w:t>
      </w:r>
    </w:p>
    <w:p>
      <w:pPr>
        <w:pStyle w:val="81"/>
        <w:numPr>
          <w:ilvl w:val="0"/>
          <w:numId w:val="39"/>
        </w:numPr>
        <w:spacing w:line="440" w:lineRule="exact"/>
        <w:ind w:left="0" w:firstLine="480" w:firstLineChars="200"/>
        <w:rPr>
          <w:rFonts w:ascii="宋体" w:hAnsi="宋体" w:cs="宋体"/>
          <w:color w:val="auto"/>
          <w:szCs w:val="24"/>
          <w:highlight w:val="none"/>
        </w:rPr>
      </w:pPr>
      <w:r>
        <w:rPr>
          <w:rFonts w:hint="eastAsia" w:ascii="宋体" w:hAnsi="宋体" w:cs="宋体"/>
          <w:color w:val="auto"/>
          <w:szCs w:val="24"/>
          <w:highlight w:val="none"/>
        </w:rPr>
        <w:t>地铁数据处理要求</w:t>
      </w:r>
    </w:p>
    <w:p>
      <w:pPr>
        <w:pStyle w:val="80"/>
        <w:numPr>
          <w:ilvl w:val="0"/>
          <w:numId w:val="42"/>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地铁数据包括地铁线路、站点及通道、出入口，地铁线路、通道以地铁中心线表达，地铁站点、出入口以点表达，地铁站台及通道以面表达。</w:t>
      </w:r>
    </w:p>
    <w:p>
      <w:pPr>
        <w:pStyle w:val="80"/>
        <w:numPr>
          <w:ilvl w:val="0"/>
          <w:numId w:val="42"/>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地铁数据处理时，充分利用各类数据源，保持地铁数据的信息完整。地铁站点捕捉地铁线上，地铁站点及出入口应在面状数据内。</w:t>
      </w:r>
    </w:p>
    <w:p>
      <w:pPr>
        <w:pStyle w:val="80"/>
        <w:numPr>
          <w:ilvl w:val="0"/>
          <w:numId w:val="42"/>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ab/>
      </w:r>
      <w:r>
        <w:rPr>
          <w:rFonts w:hint="eastAsia" w:ascii="宋体" w:hAnsi="宋体" w:eastAsia="宋体" w:cs="宋体"/>
          <w:color w:val="auto"/>
          <w:highlight w:val="none"/>
          <w:u w:val="none"/>
        </w:rPr>
        <w:t>按照《天地图数据融合技术要求》附录C的要求对地铁数据的属性结构进行规整，若数据源中包含附录 C未涵盖的属性项，应予以保留。属性规整时，主要对字段名称和类型进行规范化处理，数据源的属性值完整保留即可。国家级节点已发布地铁数据属性原则上不做修改，如修改应有相关说明。</w:t>
      </w:r>
    </w:p>
    <w:p>
      <w:pPr>
        <w:pStyle w:val="80"/>
        <w:numPr>
          <w:ilvl w:val="0"/>
          <w:numId w:val="42"/>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新增地铁站点符号以PNG格式图片表达，规格为16像素×16像素，文件名为“成都市.png”，已经融合过地铁不需要再提交地铁符号。</w:t>
      </w:r>
    </w:p>
    <w:p>
      <w:pPr>
        <w:pStyle w:val="81"/>
        <w:numPr>
          <w:ilvl w:val="0"/>
          <w:numId w:val="39"/>
        </w:numPr>
        <w:spacing w:line="440" w:lineRule="exact"/>
        <w:ind w:left="0" w:firstLine="480" w:firstLineChars="200"/>
        <w:rPr>
          <w:rFonts w:ascii="宋体" w:hAnsi="宋体" w:cs="宋体"/>
          <w:color w:val="auto"/>
          <w:szCs w:val="24"/>
          <w:highlight w:val="none"/>
        </w:rPr>
      </w:pPr>
      <w:r>
        <w:rPr>
          <w:rFonts w:hint="eastAsia" w:ascii="宋体" w:hAnsi="宋体" w:cs="宋体"/>
          <w:color w:val="auto"/>
          <w:szCs w:val="24"/>
          <w:highlight w:val="none"/>
        </w:rPr>
        <w:t>水系数据处理要求</w:t>
      </w:r>
    </w:p>
    <w:p>
      <w:pPr>
        <w:pStyle w:val="80"/>
        <w:numPr>
          <w:ilvl w:val="0"/>
          <w:numId w:val="43"/>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水系数据主要以线或面表达，有名称的水系制作注记线 。有条件采集面状水系骨架线的，应采集骨架线、赋骨架线分类代码，并与线状河流构成河网。</w:t>
      </w:r>
    </w:p>
    <w:p>
      <w:pPr>
        <w:pStyle w:val="80"/>
        <w:numPr>
          <w:ilvl w:val="0"/>
          <w:numId w:val="43"/>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水系数据处理时，充分利用各类数据源，保持水系数据的信息完整，不应出现河流在桥梁处断开、线状河与面状河不相接等情况。水系更新时保持同一要素连续表达，几何表达精细度尽量相当。分区域或分图幅更新时，应更新或保留相邻未更新区域或图幅上版水系数据并处理接边，不直接删除。</w:t>
      </w:r>
    </w:p>
    <w:p>
      <w:pPr>
        <w:pStyle w:val="80"/>
        <w:numPr>
          <w:ilvl w:val="0"/>
          <w:numId w:val="43"/>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水系注记线从有名称的线状水系和面状水系提取，用于标注水系。水系注记线在对应的水系线上或面内，支流与干流汇集处注记线不连接，属性与对应水系保持一致。湖泊、水库、塘等面状水系其注记线用单条短线在中央位置表示。</w:t>
      </w:r>
    </w:p>
    <w:p>
      <w:pPr>
        <w:pStyle w:val="80"/>
        <w:numPr>
          <w:ilvl w:val="0"/>
          <w:numId w:val="43"/>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按照《天地图数据融合技术要求》附录C的要求对水系数据的属性结构进行规整，若数据源中包含附录 C未涵盖的属性项，应予以保留。属性规整时，主要对字段名称和类型进行规范化处理，数据源的属性值完整保留即可。</w:t>
      </w:r>
    </w:p>
    <w:p>
      <w:pPr>
        <w:pStyle w:val="80"/>
        <w:numPr>
          <w:ilvl w:val="0"/>
          <w:numId w:val="43"/>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绿地内部或相邻面积相差不大的水系显示级别(LEVEL)与绿地一致。</w:t>
      </w:r>
    </w:p>
    <w:p>
      <w:pPr>
        <w:pStyle w:val="80"/>
        <w:numPr>
          <w:ilvl w:val="0"/>
          <w:numId w:val="43"/>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地下河段、消失河段、干涸河、干河床、河道干河、坎儿井、地下渠道、暗渠、干沟、泉、漫流干河、干涸湖、干涸水库、干涸池塘、河、湖岛、水系结构线等地表不可见水系不显示，其LEVEL赋值为-1。</w:t>
      </w:r>
    </w:p>
    <w:p>
      <w:pPr>
        <w:pStyle w:val="92"/>
        <w:numPr>
          <w:ilvl w:val="0"/>
          <w:numId w:val="43"/>
        </w:numPr>
        <w:spacing w:line="440" w:lineRule="exact"/>
        <w:ind w:left="0" w:firstLine="480" w:firstLineChars="200"/>
        <w:rPr>
          <w:rFonts w:ascii="宋体" w:hAnsi="宋体" w:eastAsia="宋体" w:cs="宋体"/>
          <w:color w:val="auto"/>
          <w:kern w:val="2"/>
          <w:highlight w:val="none"/>
          <w:lang w:val="zh-CN" w:bidi="zh-CN"/>
        </w:rPr>
      </w:pPr>
      <w:r>
        <w:rPr>
          <w:rFonts w:hint="eastAsia" w:ascii="宋体" w:hAnsi="宋体" w:eastAsia="宋体" w:cs="宋体"/>
          <w:color w:val="auto"/>
          <w:kern w:val="2"/>
          <w:highlight w:val="none"/>
          <w:lang w:val="zh-CN" w:bidi="zh-CN"/>
        </w:rPr>
        <w:t>水系线(非水系结构线)和水系面不能共同存在表达同一段水系。</w:t>
      </w:r>
    </w:p>
    <w:p>
      <w:pPr>
        <w:pStyle w:val="92"/>
        <w:numPr>
          <w:ilvl w:val="0"/>
          <w:numId w:val="43"/>
        </w:numPr>
        <w:spacing w:line="440" w:lineRule="exact"/>
        <w:ind w:left="0" w:firstLine="480" w:firstLineChars="200"/>
        <w:rPr>
          <w:rFonts w:ascii="宋体" w:hAnsi="宋体" w:eastAsia="宋体" w:cs="宋体"/>
          <w:color w:val="auto"/>
          <w:kern w:val="2"/>
          <w:highlight w:val="none"/>
          <w:lang w:val="zh-CN" w:bidi="zh-CN"/>
        </w:rPr>
      </w:pPr>
      <w:r>
        <w:rPr>
          <w:rFonts w:hint="eastAsia" w:ascii="宋体" w:hAnsi="宋体" w:eastAsia="宋体" w:cs="宋体"/>
          <w:color w:val="auto"/>
          <w:kern w:val="2"/>
          <w:highlight w:val="none"/>
          <w:lang w:val="zh-CN" w:bidi="zh-CN"/>
        </w:rPr>
        <w:t>同一水系其CLASID、NAME、LEVEL属性需保持一致，MINLEVEL有值的要素LEVEL赋值为11。</w:t>
      </w:r>
    </w:p>
    <w:p>
      <w:pPr>
        <w:pStyle w:val="92"/>
        <w:numPr>
          <w:ilvl w:val="0"/>
          <w:numId w:val="43"/>
        </w:numPr>
        <w:spacing w:line="440" w:lineRule="exact"/>
        <w:ind w:left="0" w:firstLine="480" w:firstLineChars="200"/>
        <w:rPr>
          <w:rFonts w:ascii="宋体" w:hAnsi="宋体" w:eastAsia="宋体" w:cs="宋体"/>
          <w:color w:val="auto"/>
          <w:kern w:val="2"/>
          <w:highlight w:val="none"/>
          <w:lang w:val="zh-CN" w:bidi="zh-CN"/>
        </w:rPr>
      </w:pPr>
      <w:r>
        <w:rPr>
          <w:rFonts w:hint="eastAsia" w:ascii="宋体" w:hAnsi="宋体" w:eastAsia="宋体" w:cs="宋体"/>
          <w:color w:val="auto"/>
          <w:kern w:val="2"/>
          <w:highlight w:val="none"/>
          <w:lang w:val="zh-CN" w:bidi="zh-CN"/>
        </w:rPr>
        <w:t>水系名称应与CLASID逻辑一致。</w:t>
      </w:r>
    </w:p>
    <w:p>
      <w:pPr>
        <w:pStyle w:val="92"/>
        <w:numPr>
          <w:ilvl w:val="0"/>
          <w:numId w:val="43"/>
        </w:numPr>
        <w:spacing w:line="440" w:lineRule="exact"/>
        <w:ind w:left="0" w:firstLine="480" w:firstLineChars="200"/>
        <w:rPr>
          <w:rFonts w:ascii="宋体" w:hAnsi="宋体" w:eastAsia="宋体" w:cs="宋体"/>
          <w:color w:val="auto"/>
          <w:kern w:val="2"/>
          <w:highlight w:val="none"/>
          <w:lang w:val="zh-CN" w:bidi="zh-CN"/>
        </w:rPr>
      </w:pPr>
      <w:r>
        <w:rPr>
          <w:rFonts w:hint="eastAsia" w:ascii="宋体" w:hAnsi="宋体" w:eastAsia="宋体" w:cs="宋体"/>
          <w:color w:val="auto"/>
          <w:kern w:val="2"/>
          <w:highlight w:val="none"/>
          <w:lang w:val="zh-CN" w:bidi="zh-CN"/>
        </w:rPr>
        <w:t>海域、海域内滩涂、海岛、海岸线之间空间互补、不重叠。</w:t>
      </w:r>
    </w:p>
    <w:p>
      <w:pPr>
        <w:pStyle w:val="81"/>
        <w:numPr>
          <w:ilvl w:val="0"/>
          <w:numId w:val="39"/>
        </w:numPr>
        <w:spacing w:line="440" w:lineRule="exact"/>
        <w:ind w:left="0" w:firstLine="480" w:firstLineChars="200"/>
        <w:rPr>
          <w:rFonts w:ascii="宋体" w:hAnsi="宋体" w:cs="宋体"/>
          <w:color w:val="auto"/>
          <w:szCs w:val="24"/>
          <w:highlight w:val="none"/>
        </w:rPr>
      </w:pPr>
      <w:r>
        <w:rPr>
          <w:rFonts w:hint="eastAsia" w:ascii="宋体" w:hAnsi="宋体" w:cs="宋体"/>
          <w:color w:val="auto"/>
          <w:szCs w:val="24"/>
          <w:highlight w:val="none"/>
        </w:rPr>
        <w:t>居民地数据处理要求</w:t>
      </w:r>
    </w:p>
    <w:p>
      <w:pPr>
        <w:pStyle w:val="80"/>
        <w:numPr>
          <w:ilvl w:val="0"/>
          <w:numId w:val="44"/>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居民地数据以面表达，主要表达房屋、构建筑物等信息。</w:t>
      </w:r>
    </w:p>
    <w:p>
      <w:pPr>
        <w:pStyle w:val="80"/>
        <w:numPr>
          <w:ilvl w:val="0"/>
          <w:numId w:val="44"/>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居民地数据处理时，充分利用各类数据源，尽可能详细地表示出单幢房屋或独立构建筑物等信息。数据源中的门、廊楼梯等与房屋或构建筑物关系密切的附属设施应予以保留，并根据 GB/T 13923 -2006 进行正确分类赋值。</w:t>
      </w:r>
    </w:p>
    <w:p>
      <w:pPr>
        <w:pStyle w:val="80"/>
        <w:numPr>
          <w:ilvl w:val="0"/>
          <w:numId w:val="44"/>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图廓线处同一房屋应合并。</w:t>
      </w:r>
    </w:p>
    <w:p>
      <w:pPr>
        <w:pStyle w:val="80"/>
        <w:numPr>
          <w:ilvl w:val="0"/>
          <w:numId w:val="44"/>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按照《天地图数据融合技术要求》附录C的要求对居民地数据的属性结构进行规整，若数据源中包含附录 C未涵盖的属性项，应予以保留。属性规整时，主要对字段名称和类型进行规范化处理，数据源的属性值完整保留即可。</w:t>
      </w:r>
    </w:p>
    <w:p>
      <w:pPr>
        <w:pStyle w:val="81"/>
        <w:numPr>
          <w:ilvl w:val="0"/>
          <w:numId w:val="39"/>
        </w:numPr>
        <w:spacing w:line="440" w:lineRule="exact"/>
        <w:ind w:left="0" w:firstLine="480" w:firstLineChars="200"/>
        <w:rPr>
          <w:rFonts w:ascii="宋体" w:hAnsi="宋体" w:cs="宋体"/>
          <w:color w:val="auto"/>
          <w:szCs w:val="24"/>
          <w:highlight w:val="none"/>
        </w:rPr>
      </w:pPr>
      <w:r>
        <w:rPr>
          <w:rFonts w:hint="eastAsia" w:ascii="宋体" w:hAnsi="宋体" w:cs="宋体"/>
          <w:color w:val="auto"/>
          <w:szCs w:val="24"/>
          <w:highlight w:val="none"/>
        </w:rPr>
        <w:t>绿地数据处理要求</w:t>
      </w:r>
    </w:p>
    <w:p>
      <w:pPr>
        <w:pStyle w:val="80"/>
        <w:numPr>
          <w:ilvl w:val="0"/>
          <w:numId w:val="45"/>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绿地数据主要以面表达。绿地数据主要表示城市绿地、公园、植物园、高尔夫球场、风景区、道路或立交桥绿化等信息，不包含林地等农林用地。未更新数据原则上保持数据延续性。分区域或分图幅更新时，应更新或保留相邻未更新区域或图幅上版绿地数据并处理接边，不直接删除。</w:t>
      </w:r>
    </w:p>
    <w:p>
      <w:pPr>
        <w:pStyle w:val="80"/>
        <w:numPr>
          <w:ilvl w:val="0"/>
          <w:numId w:val="45"/>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绿地数据处理时，充分利用各类数据源。如果数据源中以绿地形式表达了车道隔离带等信息，应与路网数据进行空间关系判断，保证逻辑合理。采用数据源中的行道树等信息时，也应按此原则进判断。</w:t>
      </w:r>
    </w:p>
    <w:p>
      <w:pPr>
        <w:pStyle w:val="80"/>
        <w:numPr>
          <w:ilvl w:val="0"/>
          <w:numId w:val="45"/>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按照《天地图数据融合技术要求》附录C的要求对绿地数据的属性结构进行规整，若数据源中包含附录 C未涵盖的属性项，应予以保留。属性规整时，主要对字段名称和类型进行规范化处理，数据源的属性值完整保留即可。</w:t>
      </w:r>
    </w:p>
    <w:p>
      <w:pPr>
        <w:pStyle w:val="80"/>
        <w:numPr>
          <w:ilvl w:val="0"/>
          <w:numId w:val="45"/>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水系内部或相邻面积相差不大的绿地显示级别(LEVEL)与水系一致。</w:t>
      </w:r>
    </w:p>
    <w:p>
      <w:pPr>
        <w:pStyle w:val="80"/>
        <w:numPr>
          <w:ilvl w:val="0"/>
          <w:numId w:val="45"/>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同一地理实体的植被占地面名称、显示级别属性一致。</w:t>
      </w:r>
    </w:p>
    <w:p>
      <w:pPr>
        <w:pStyle w:val="81"/>
        <w:numPr>
          <w:ilvl w:val="0"/>
          <w:numId w:val="39"/>
        </w:numPr>
        <w:spacing w:line="440" w:lineRule="exact"/>
        <w:ind w:left="0" w:firstLine="480" w:firstLineChars="200"/>
        <w:rPr>
          <w:rFonts w:ascii="宋体" w:hAnsi="宋体" w:cs="宋体"/>
          <w:color w:val="auto"/>
          <w:szCs w:val="24"/>
          <w:highlight w:val="none"/>
        </w:rPr>
      </w:pPr>
      <w:r>
        <w:rPr>
          <w:rFonts w:hint="eastAsia" w:ascii="宋体" w:hAnsi="宋体" w:cs="宋体"/>
          <w:color w:val="auto"/>
          <w:szCs w:val="24"/>
          <w:highlight w:val="none"/>
        </w:rPr>
        <w:t>地理单元数据处理要求</w:t>
      </w:r>
    </w:p>
    <w:p>
      <w:pPr>
        <w:pStyle w:val="80"/>
        <w:numPr>
          <w:ilvl w:val="0"/>
          <w:numId w:val="46"/>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地理单元数据主要以点、面表达，具体内容见《天地图数据融合技术要求》附录B</w:t>
      </w:r>
    </w:p>
    <w:p>
      <w:pPr>
        <w:pStyle w:val="80"/>
        <w:numPr>
          <w:ilvl w:val="0"/>
          <w:numId w:val="46"/>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地理单元数据处理时，应依据《天地图数据融合技术要求》5.3节原则按类别等从数据源择优选用，充分融合各类数据源。</w:t>
      </w:r>
    </w:p>
    <w:p>
      <w:pPr>
        <w:pStyle w:val="80"/>
        <w:numPr>
          <w:ilvl w:val="0"/>
          <w:numId w:val="46"/>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按照《天地图数据融合技术要求》附录C的要求对地理单元数据的属性结构进行规整，若数据源中包含附录 C未涵盖的属性项，应予以保留。属性规整时，主要对字段名称和类型进行规范化处理，数据源的属性值完整保留即可。</w:t>
      </w:r>
    </w:p>
    <w:p>
      <w:pPr>
        <w:pStyle w:val="81"/>
        <w:numPr>
          <w:ilvl w:val="0"/>
          <w:numId w:val="39"/>
        </w:numPr>
        <w:spacing w:line="440" w:lineRule="exact"/>
        <w:ind w:left="0" w:firstLine="480" w:firstLineChars="200"/>
        <w:rPr>
          <w:rFonts w:ascii="宋体" w:hAnsi="宋体" w:cs="宋体"/>
          <w:color w:val="auto"/>
          <w:szCs w:val="24"/>
          <w:highlight w:val="none"/>
        </w:rPr>
      </w:pPr>
      <w:r>
        <w:rPr>
          <w:rFonts w:hint="eastAsia" w:ascii="宋体" w:hAnsi="宋体" w:cs="宋体"/>
          <w:color w:val="auto"/>
          <w:szCs w:val="24"/>
          <w:highlight w:val="none"/>
        </w:rPr>
        <w:t>基础设施数据处理要求</w:t>
      </w:r>
    </w:p>
    <w:p>
      <w:pPr>
        <w:pStyle w:val="80"/>
        <w:numPr>
          <w:ilvl w:val="0"/>
          <w:numId w:val="47"/>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基础设以点、线、面表达，具体内容见《天地图数据融合技术要求》附录B。</w:t>
      </w:r>
    </w:p>
    <w:p>
      <w:pPr>
        <w:pStyle w:val="80"/>
        <w:numPr>
          <w:ilvl w:val="0"/>
          <w:numId w:val="47"/>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基础设施数据的处理，应依据《天地图数据融合技术要求》5.3节原则按类别从数据源择优选用，充分融合各类数据源。</w:t>
      </w:r>
    </w:p>
    <w:p>
      <w:pPr>
        <w:pStyle w:val="80"/>
        <w:numPr>
          <w:ilvl w:val="0"/>
          <w:numId w:val="47"/>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点状附属设施与地名地址与兴趣点数据中同名点对应类别数据空间位置相同时，属性赋值相同，同时保留。</w:t>
      </w:r>
    </w:p>
    <w:p>
      <w:pPr>
        <w:pStyle w:val="80"/>
        <w:numPr>
          <w:ilvl w:val="0"/>
          <w:numId w:val="47"/>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交通设施中红绿灯以导航电子地图数据为准。</w:t>
      </w:r>
    </w:p>
    <w:p>
      <w:pPr>
        <w:pStyle w:val="80"/>
        <w:numPr>
          <w:ilvl w:val="0"/>
          <w:numId w:val="47"/>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车行桥名称中 含有 “** 立交桥”、 “ ** 互通”、 “ ** 立交”、 “ ** 跨线桥”、 “** 枢纽” 的 CLASID 按照天地图数据融合技术要求》附录 C.12赋值。</w:t>
      </w:r>
    </w:p>
    <w:p>
      <w:pPr>
        <w:pStyle w:val="80"/>
        <w:numPr>
          <w:ilvl w:val="0"/>
          <w:numId w:val="47"/>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要处理好交通设施数据与相关地物的空间关系，特别是与县道及以上道路的空间关系，应保证交通设施数据与道路的相对关系准确，红绿灯点捕捉在道路线上。</w:t>
      </w:r>
    </w:p>
    <w:p>
      <w:pPr>
        <w:pStyle w:val="80"/>
        <w:numPr>
          <w:ilvl w:val="0"/>
          <w:numId w:val="47"/>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按照《天地图数据融合技术要求》附录C的要求对基础设施数据的属性结构进行规整，若数据源中包含附录C未涵盖的属性项，应予以保留。属性规整时，主要对字段名称和类型进行规范化处理，数据源的属性值完整保留即可。</w:t>
      </w:r>
    </w:p>
    <w:p>
      <w:pPr>
        <w:pStyle w:val="80"/>
        <w:ind w:left="0" w:firstLine="482" w:firstLineChars="200"/>
        <w:rPr>
          <w:rFonts w:ascii="宋体" w:hAnsi="宋体" w:eastAsia="宋体" w:cs="宋体"/>
          <w:b/>
          <w:color w:val="auto"/>
          <w:szCs w:val="22"/>
          <w:highlight w:val="none"/>
          <w:u w:val="none"/>
        </w:rPr>
      </w:pPr>
      <w:r>
        <w:rPr>
          <w:rFonts w:hint="eastAsia" w:ascii="宋体" w:hAnsi="宋体" w:eastAsia="宋体" w:cs="宋体"/>
          <w:b/>
          <w:color w:val="auto"/>
          <w:szCs w:val="22"/>
          <w:highlight w:val="none"/>
          <w:u w:val="none"/>
        </w:rPr>
        <w:t>3.1.3地名地址和兴趣点数据融合</w:t>
      </w:r>
    </w:p>
    <w:p>
      <w:pPr>
        <w:pStyle w:val="80"/>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根据四川省测绘地理信息局下发的地名地址母库数据，以及利用时空大数据与云平台建设的地名、门址、楼址数据与现有二维地理实体数据库中的地名地址进行数据融合。</w:t>
      </w:r>
    </w:p>
    <w:p>
      <w:pPr>
        <w:pStyle w:val="80"/>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地名地址与兴趣点数据处理要求如下：</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地名地址与兴趣点数据以点表达。</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地名地址与兴趣点数据的处理，应依据《天地图数据融合技术要求》5.3节原则按类别从数据源择优选用。</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数据需要删除时进行逻辑删除；数据更新时，一般地，实体未变化应直接修改属性，如：原单位更名；实体发生变化应先逻辑删除原POI点后新增。</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要处理好地名地址与兴趣点数据与相关地物的空间关系，特别是与道路、水系的空间关系，应保证兴趣点与道路、水系的相对关系准确。</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按照《天地图数据融合技术要求》附录C的要求对地名地址与兴趣点数据的属性结构进行规整，若数据源中包含附录 C未涵盖的属性项，应予以保留。属性规整时，主要对字段名称和类型进行规范化处理，数据源的属性值完整保留即可。其他来源数据规整后对类型、简称等属性赋值。融合数据源中地址信息应保留。</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地名地址与兴趣点数据的类型属性(TYPE2018)赋值按照《天地图POI分类代码表(2020)》执行，原属性分类( TYPE )保留。  对于存在两个类型的还应制作标签 ，需要制作标签的类别详见 《天地图 POI分类代码表 (2020 )》。仅对主点制作标签。</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地名址与兴趣点数据的品牌词属性赋值按照《天地图数据融合技术要求》附录D.3执行</w:t>
      </w:r>
      <w:r>
        <w:rPr>
          <w:rFonts w:hint="eastAsia" w:ascii="宋体" w:hAnsi="宋体" w:eastAsia="宋体" w:cs="宋体"/>
          <w:color w:val="auto"/>
          <w:highlight w:val="none"/>
          <w:u w:val="none"/>
          <w:lang w:val="en-US"/>
        </w:rPr>
        <w:t>,</w:t>
      </w:r>
      <w:r>
        <w:rPr>
          <w:rFonts w:hint="eastAsia" w:ascii="宋体" w:hAnsi="宋体" w:eastAsia="宋体" w:cs="宋体"/>
          <w:color w:val="auto"/>
          <w:highlight w:val="none"/>
          <w:u w:val="none"/>
        </w:rPr>
        <w:t>处理时应采取效率高的方式，如批量自动处理。可依据需要，扩充品牌词内容应 可依据需要，扩充品牌词，扩充内容应在本地融合方案中说明。</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地名址与兴趣点数据的重要度属性赋值按照《天地图数据融合技术要求》附录 D.4执行</w:t>
      </w:r>
      <w:r>
        <w:rPr>
          <w:rFonts w:hint="eastAsia" w:ascii="宋体" w:hAnsi="宋体" w:eastAsia="宋体" w:cs="宋体"/>
          <w:color w:val="auto"/>
          <w:highlight w:val="none"/>
          <w:u w:val="none"/>
          <w:lang w:val="en-US"/>
        </w:rPr>
        <w:t>,</w:t>
      </w:r>
      <w:r>
        <w:rPr>
          <w:rFonts w:hint="eastAsia" w:ascii="宋体" w:hAnsi="宋体" w:eastAsia="宋体" w:cs="宋体"/>
          <w:color w:val="auto"/>
          <w:highlight w:val="none"/>
          <w:u w:val="none"/>
        </w:rPr>
        <w:t>处理时应采取效率高的方式，如批量自动处理。</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地名址与兴趣点数据中称有多个行政级别时，保留最低一级；常见名称的简称制作按《天地图数据融合技术要求》附录D.5执行，本地可以扩展简称制作列表。</w:t>
      </w:r>
    </w:p>
    <w:p>
      <w:pPr>
        <w:pStyle w:val="80"/>
        <w:numPr>
          <w:ilvl w:val="0"/>
          <w:numId w:val="48"/>
        </w:numPr>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 xml:space="preserve">地名址与兴趣点数据中乡镇(街道)及以上地名 和对应政府(街道办事处)应保持一致。  </w:t>
      </w:r>
    </w:p>
    <w:p>
      <w:pPr>
        <w:ind w:firstLine="482" w:firstLineChars="200"/>
        <w:rPr>
          <w:rFonts w:cs="宋体"/>
          <w:b/>
          <w:color w:val="auto"/>
          <w:highlight w:val="none"/>
        </w:rPr>
      </w:pPr>
      <w:r>
        <w:rPr>
          <w:rFonts w:hint="eastAsia" w:cs="宋体"/>
          <w:b/>
          <w:color w:val="auto"/>
          <w:highlight w:val="none"/>
        </w:rPr>
        <w:t>3.1.4影像数据融合</w:t>
      </w:r>
    </w:p>
    <w:p>
      <w:pPr>
        <w:pStyle w:val="80"/>
        <w:ind w:lef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根据天地图融合相关技术要求完成成都市市范围影像数据融合工作。</w:t>
      </w:r>
    </w:p>
    <w:p>
      <w:pPr>
        <w:ind w:firstLine="480" w:firstLineChars="200"/>
        <w:rPr>
          <w:rFonts w:cs="宋体"/>
          <w:color w:val="auto"/>
          <w:highlight w:val="none"/>
        </w:rPr>
      </w:pPr>
      <w:r>
        <w:rPr>
          <w:rFonts w:hint="eastAsia" w:cs="宋体"/>
          <w:color w:val="auto"/>
          <w:highlight w:val="none"/>
        </w:rPr>
        <w:t>影像数据选用现势性好、城市建成区域尽量选用0.5米分辨率、其他区域选用优于1米分辨率的数据源，为真彩色影像，数据层次丰富、清晰易读、色调均匀、反差适中，无明显偏色与拼接痕迹，无明显失真现象，水域无纯黑失真现象，无数据处理造成的严重纹理不清、噪音、清晰度差、重影模糊、扭曲变形、裂缝、漏洞等无法判读影像信息的区域，无严重像素缺损、丢失等情况，无显性水印信息，与路网基本套合，不标注涉密信息、不处理建筑物、构筑物等固定设施。</w:t>
      </w:r>
    </w:p>
    <w:p>
      <w:pPr>
        <w:keepNext/>
        <w:keepLines/>
        <w:ind w:firstLine="480" w:firstLineChars="200"/>
        <w:rPr>
          <w:rFonts w:cs="宋体"/>
          <w:color w:val="auto"/>
          <w:highlight w:val="none"/>
        </w:rPr>
      </w:pPr>
      <w:r>
        <w:rPr>
          <w:rFonts w:hint="eastAsia" w:cs="宋体"/>
          <w:color w:val="auto"/>
          <w:highlight w:val="none"/>
        </w:rPr>
        <w:t>注：天地图融合工作内容最终以四川省测绘地理信息局要求为准。</w:t>
      </w:r>
    </w:p>
    <w:p>
      <w:pPr>
        <w:ind w:firstLine="482" w:firstLineChars="200"/>
        <w:rPr>
          <w:rFonts w:cs="宋体"/>
          <w:b/>
          <w:color w:val="auto"/>
          <w:highlight w:val="none"/>
        </w:rPr>
      </w:pPr>
      <w:bookmarkStart w:id="1070" w:name="_Toc68852753"/>
      <w:r>
        <w:rPr>
          <w:rFonts w:hint="eastAsia" w:cs="宋体"/>
          <w:b/>
          <w:color w:val="auto"/>
          <w:highlight w:val="none"/>
        </w:rPr>
        <w:t>3.2地理实体数据成果质量检验</w:t>
      </w:r>
      <w:bookmarkEnd w:id="1070"/>
      <w:r>
        <w:rPr>
          <w:rFonts w:hint="eastAsia" w:cs="宋体"/>
          <w:b/>
          <w:color w:val="auto"/>
          <w:highlight w:val="none"/>
        </w:rPr>
        <w:t>要求</w:t>
      </w:r>
    </w:p>
    <w:p>
      <w:pPr>
        <w:tabs>
          <w:tab w:val="left" w:pos="1620"/>
          <w:tab w:val="clear" w:pos="0"/>
        </w:tabs>
        <w:autoSpaceDE w:val="0"/>
        <w:autoSpaceDN w:val="0"/>
        <w:ind w:firstLine="480" w:firstLineChars="200"/>
        <w:rPr>
          <w:rFonts w:cs="宋体"/>
          <w:color w:val="auto"/>
          <w:highlight w:val="none"/>
        </w:rPr>
      </w:pPr>
      <w:r>
        <w:rPr>
          <w:rFonts w:hint="eastAsia" w:cs="宋体"/>
          <w:color w:val="auto"/>
          <w:szCs w:val="28"/>
          <w:highlight w:val="none"/>
        </w:rPr>
        <w:t>对本项目测绘生产单位提交的各类成果按照国家以及行业相关规定进行质量检验。</w:t>
      </w:r>
    </w:p>
    <w:p>
      <w:pPr>
        <w:pStyle w:val="80"/>
        <w:numPr>
          <w:ilvl w:val="0"/>
          <w:numId w:val="49"/>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组成批成果</w:t>
      </w:r>
    </w:p>
    <w:p>
      <w:pPr>
        <w:ind w:firstLine="480" w:firstLineChars="200"/>
        <w:rPr>
          <w:rFonts w:cs="宋体"/>
          <w:color w:val="auto"/>
          <w:highlight w:val="none"/>
        </w:rPr>
      </w:pPr>
      <w:r>
        <w:rPr>
          <w:rFonts w:hint="eastAsia" w:cs="宋体"/>
          <w:color w:val="auto"/>
          <w:highlight w:val="none"/>
        </w:rPr>
        <w:t>批成果应由在同一技术设计书指导下生产的同等级、同规格的单位成果汇集而成。生产量较大时，可根据生产时间的不同、作业方法不同或作业单位不同等条件分别组成批成果，实施分批检验。</w:t>
      </w:r>
    </w:p>
    <w:p>
      <w:pPr>
        <w:pStyle w:val="80"/>
        <w:numPr>
          <w:ilvl w:val="0"/>
          <w:numId w:val="49"/>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总体概查</w:t>
      </w:r>
    </w:p>
    <w:p>
      <w:pPr>
        <w:ind w:firstLine="480" w:firstLineChars="200"/>
        <w:rPr>
          <w:rFonts w:cs="宋体"/>
          <w:color w:val="auto"/>
          <w:highlight w:val="none"/>
        </w:rPr>
      </w:pPr>
      <w:r>
        <w:rPr>
          <w:rFonts w:hint="eastAsia" w:cs="宋体"/>
          <w:color w:val="auto"/>
          <w:highlight w:val="none"/>
        </w:rPr>
        <w:t>根据各成果类型的批成果总体概查检查项要求，对批成果进行总体概查。</w:t>
      </w:r>
    </w:p>
    <w:p>
      <w:pPr>
        <w:pStyle w:val="80"/>
        <w:numPr>
          <w:ilvl w:val="0"/>
          <w:numId w:val="49"/>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详查</w:t>
      </w:r>
    </w:p>
    <w:p>
      <w:pPr>
        <w:ind w:firstLine="480" w:firstLineChars="200"/>
        <w:rPr>
          <w:rFonts w:cs="宋体"/>
          <w:color w:val="auto"/>
          <w:highlight w:val="none"/>
        </w:rPr>
      </w:pPr>
      <w:r>
        <w:rPr>
          <w:rFonts w:hint="eastAsia" w:cs="宋体"/>
          <w:color w:val="auto"/>
          <w:highlight w:val="none"/>
        </w:rPr>
        <w:t>确定抽样单位。</w:t>
      </w:r>
    </w:p>
    <w:p>
      <w:pPr>
        <w:pStyle w:val="80"/>
        <w:numPr>
          <w:ilvl w:val="0"/>
          <w:numId w:val="5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样本应分布均匀。</w:t>
      </w:r>
    </w:p>
    <w:p>
      <w:pPr>
        <w:pStyle w:val="80"/>
        <w:numPr>
          <w:ilvl w:val="0"/>
          <w:numId w:val="50"/>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以行政管理单元(乡镇、街办)、更新范围面、标准分幅图幅等为单位在检验批中进行抽样。</w:t>
      </w:r>
    </w:p>
    <w:p>
      <w:pPr>
        <w:ind w:firstLine="480" w:firstLineChars="200"/>
        <w:rPr>
          <w:rFonts w:cs="宋体"/>
          <w:color w:val="auto"/>
          <w:highlight w:val="none"/>
        </w:rPr>
      </w:pPr>
      <w:r>
        <w:rPr>
          <w:rFonts w:hint="eastAsia" w:cs="宋体"/>
          <w:color w:val="auto"/>
          <w:highlight w:val="none"/>
        </w:rPr>
        <w:t>备注：</w:t>
      </w:r>
    </w:p>
    <w:p>
      <w:pPr>
        <w:ind w:firstLine="480" w:firstLineChars="200"/>
        <w:rPr>
          <w:rFonts w:cs="宋体"/>
          <w:color w:val="auto"/>
          <w:highlight w:val="none"/>
        </w:rPr>
      </w:pPr>
      <w:r>
        <w:rPr>
          <w:rFonts w:hint="eastAsia" w:cs="宋体"/>
          <w:color w:val="auto"/>
          <w:highlight w:val="none"/>
        </w:rPr>
        <w:t>a.根据检验工作实际需要确定是否对数据进行物理裁切，由于裁切造成的数据问题不计入成果错漏；</w:t>
      </w:r>
    </w:p>
    <w:p>
      <w:pPr>
        <w:ind w:firstLine="480" w:firstLineChars="200"/>
        <w:rPr>
          <w:rFonts w:cs="宋体"/>
          <w:color w:val="auto"/>
          <w:highlight w:val="none"/>
        </w:rPr>
      </w:pPr>
      <w:r>
        <w:rPr>
          <w:rFonts w:hint="eastAsia" w:cs="宋体"/>
          <w:color w:val="auto"/>
          <w:highlight w:val="none"/>
        </w:rPr>
        <w:t>b.同一批次成果只能采用一种抽样单位。</w:t>
      </w:r>
    </w:p>
    <w:p>
      <w:pPr>
        <w:pStyle w:val="80"/>
        <w:numPr>
          <w:ilvl w:val="0"/>
          <w:numId w:val="49"/>
        </w:numPr>
        <w:ind w:left="0" w:right="0" w:firstLine="480" w:firstLineChars="200"/>
        <w:rPr>
          <w:rFonts w:ascii="宋体" w:hAnsi="宋体" w:eastAsia="宋体" w:cs="宋体"/>
          <w:color w:val="auto"/>
          <w:highlight w:val="none"/>
          <w:u w:val="none"/>
        </w:rPr>
      </w:pPr>
      <w:r>
        <w:rPr>
          <w:rFonts w:hint="eastAsia" w:ascii="宋体" w:hAnsi="宋体" w:eastAsia="宋体" w:cs="宋体"/>
          <w:color w:val="auto"/>
          <w:highlight w:val="none"/>
          <w:u w:val="none"/>
        </w:rPr>
        <w:t>确定样本量</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按下表规定确定样本量。</w:t>
      </w:r>
    </w:p>
    <w:p>
      <w:pPr>
        <w:spacing w:line="360" w:lineRule="auto"/>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表2　样本量确定表</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63"/>
        <w:gridCol w:w="6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76" w:hRule="atLeast"/>
          <w:tblHeader/>
          <w:jc w:val="center"/>
        </w:trPr>
        <w:tc>
          <w:tcPr>
            <w:tcW w:w="3363" w:type="dxa"/>
            <w:tcBorders>
              <w:top w:val="single" w:color="000000" w:sz="12" w:space="0"/>
              <w:left w:val="single" w:color="000000" w:sz="12" w:space="0"/>
              <w:bottom w:val="single" w:color="000000" w:sz="12" w:space="0"/>
              <w:right w:val="single" w:color="000000" w:sz="6" w:space="0"/>
            </w:tcBorders>
            <w:shd w:val="clear" w:color="auto" w:fill="auto"/>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批量</w:t>
            </w:r>
          </w:p>
        </w:tc>
        <w:tc>
          <w:tcPr>
            <w:tcW w:w="6236" w:type="dxa"/>
            <w:tcBorders>
              <w:top w:val="single" w:color="000000" w:sz="12" w:space="0"/>
              <w:left w:val="single" w:color="000000" w:sz="6" w:space="0"/>
              <w:bottom w:val="single" w:color="000000" w:sz="12" w:space="0"/>
              <w:right w:val="single" w:color="000000" w:sz="12" w:space="0"/>
            </w:tcBorders>
            <w:shd w:val="clear" w:color="auto" w:fill="auto"/>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样本量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3363" w:type="dxa"/>
            <w:tcBorders>
              <w:top w:val="single" w:color="000000" w:sz="12"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1～20</w:t>
            </w:r>
          </w:p>
        </w:tc>
        <w:tc>
          <w:tcPr>
            <w:tcW w:w="6236" w:type="dxa"/>
            <w:tcBorders>
              <w:top w:val="single" w:color="000000" w:sz="12"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21～40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41～60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61～80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81～100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101～120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121～140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141～160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161～180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363" w:type="dxa"/>
            <w:tcBorders>
              <w:top w:val="single" w:color="000000" w:sz="6" w:space="0"/>
              <w:left w:val="single" w:color="000000" w:sz="12" w:space="0"/>
              <w:bottom w:val="single" w:color="000000" w:sz="6"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181～200</w:t>
            </w:r>
          </w:p>
        </w:tc>
        <w:tc>
          <w:tcPr>
            <w:tcW w:w="6236" w:type="dxa"/>
            <w:tcBorders>
              <w:top w:val="single" w:color="000000" w:sz="6" w:space="0"/>
              <w:left w:val="single" w:color="000000" w:sz="6" w:space="0"/>
              <w:bottom w:val="single" w:color="000000" w:sz="6"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1" w:hRule="atLeast"/>
          <w:jc w:val="center"/>
        </w:trPr>
        <w:tc>
          <w:tcPr>
            <w:tcW w:w="3363" w:type="dxa"/>
            <w:tcBorders>
              <w:top w:val="single" w:color="000000" w:sz="6" w:space="0"/>
              <w:left w:val="single" w:color="000000" w:sz="12" w:space="0"/>
              <w:bottom w:val="single" w:color="000000" w:sz="12" w:space="0"/>
              <w:right w:val="single" w:color="000000" w:sz="6"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≥201</w:t>
            </w:r>
          </w:p>
        </w:tc>
        <w:tc>
          <w:tcPr>
            <w:tcW w:w="6236" w:type="dxa"/>
            <w:tcBorders>
              <w:top w:val="single" w:color="000000" w:sz="6" w:space="0"/>
              <w:left w:val="single" w:color="000000" w:sz="6" w:space="0"/>
              <w:bottom w:val="single" w:color="000000" w:sz="12" w:space="0"/>
              <w:right w:val="single" w:color="000000" w:sz="12" w:space="0"/>
            </w:tcBorders>
            <w:vAlign w:val="center"/>
          </w:tcPr>
          <w:p>
            <w:pPr>
              <w:pStyle w:val="82"/>
              <w:spacing w:line="36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分批次提交，批次数应最小，各批次的批量应均匀</w:t>
            </w:r>
          </w:p>
        </w:tc>
      </w:tr>
    </w:tbl>
    <w:p>
      <w:pPr>
        <w:pStyle w:val="80"/>
        <w:numPr>
          <w:ilvl w:val="0"/>
          <w:numId w:val="49"/>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抽取样本</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抽取样本的程序如下：</w:t>
      </w:r>
    </w:p>
    <w:p>
      <w:pPr>
        <w:pStyle w:val="80"/>
        <w:numPr>
          <w:ilvl w:val="0"/>
          <w:numId w:val="51"/>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样本抽取采用分层按比例随机抽样的方法从批成果中抽取样本，即将批成果按不同困难类别、不同地形类别等因素分成不同的层。根据样本量，在各层内分别按各层在批成果中所占比例确定各层中应抽取的单位成果数量，并使用简单随机抽样法抽取样本；</w:t>
      </w:r>
    </w:p>
    <w:p>
      <w:pPr>
        <w:pStyle w:val="80"/>
        <w:numPr>
          <w:ilvl w:val="0"/>
          <w:numId w:val="51"/>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提取批成果的有关资料，如技术设计书、技术总结、检查报告等。</w:t>
      </w:r>
    </w:p>
    <w:p>
      <w:pPr>
        <w:pStyle w:val="80"/>
        <w:numPr>
          <w:ilvl w:val="0"/>
          <w:numId w:val="49"/>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样本详查</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根据成果类型质量评定指标中规定的检查项，逐个检验单位成果，并统计存在的各类错漏数量、错误率和中误差等。</w:t>
      </w:r>
    </w:p>
    <w:p>
      <w:pPr>
        <w:pStyle w:val="80"/>
        <w:numPr>
          <w:ilvl w:val="0"/>
          <w:numId w:val="49"/>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样本外概查</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对样本外单位成果的重要检查项或重要要素，以及在详查中发现的普遍性、倾向性的问题进行概查，并统计存在的各类错漏数量、错误率等。</w:t>
      </w:r>
    </w:p>
    <w:p>
      <w:pPr>
        <w:pStyle w:val="80"/>
        <w:numPr>
          <w:ilvl w:val="0"/>
          <w:numId w:val="49"/>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单位成果质量评定</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根据详查与样本外概查的结果，按照相关规定评定单位成果质量。</w:t>
      </w:r>
    </w:p>
    <w:p>
      <w:pPr>
        <w:pStyle w:val="80"/>
        <w:numPr>
          <w:ilvl w:val="0"/>
          <w:numId w:val="49"/>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批成果质量判定</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根据单位成果质量评定结果，按照相关规定判定批成果质量。</w:t>
      </w:r>
    </w:p>
    <w:p>
      <w:pPr>
        <w:pStyle w:val="80"/>
        <w:numPr>
          <w:ilvl w:val="0"/>
          <w:numId w:val="49"/>
        </w:numPr>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编制报告</w:t>
      </w:r>
    </w:p>
    <w:p>
      <w:pPr>
        <w:pStyle w:val="80"/>
        <w:ind w:left="0" w:firstLine="480" w:firstLineChars="200"/>
        <w:rPr>
          <w:rFonts w:cs="宋体" w:asciiTheme="minorEastAsia" w:hAnsiTheme="minorEastAsia" w:eastAsiaTheme="minorEastAsia"/>
          <w:color w:val="auto"/>
          <w:highlight w:val="none"/>
          <w:u w:val="none"/>
        </w:rPr>
      </w:pPr>
      <w:r>
        <w:rPr>
          <w:rFonts w:hint="eastAsia" w:cs="宋体" w:asciiTheme="minorEastAsia" w:hAnsiTheme="minorEastAsia" w:eastAsiaTheme="minorEastAsia"/>
          <w:color w:val="auto"/>
          <w:highlight w:val="none"/>
          <w:u w:val="none"/>
        </w:rPr>
        <w:t>检验报告的内容、格式参照GB/T 18316附录A的规定执行。</w:t>
      </w:r>
    </w:p>
    <w:p>
      <w:pPr>
        <w:ind w:firstLine="482" w:firstLineChars="200"/>
        <w:rPr>
          <w:rFonts w:cs="宋体" w:asciiTheme="minorEastAsia" w:hAnsiTheme="minorEastAsia" w:eastAsiaTheme="minorEastAsia"/>
          <w:b/>
          <w:color w:val="auto"/>
          <w:highlight w:val="none"/>
        </w:rPr>
      </w:pPr>
      <w:bookmarkStart w:id="1071" w:name="_Toc68852755"/>
      <w:r>
        <w:rPr>
          <w:rFonts w:hint="eastAsia" w:cs="宋体" w:asciiTheme="minorEastAsia" w:hAnsiTheme="minorEastAsia" w:eastAsiaTheme="minorEastAsia"/>
          <w:b/>
          <w:color w:val="auto"/>
          <w:highlight w:val="none"/>
        </w:rPr>
        <w:t>3.3地理实体数据成果入库技术要求</w:t>
      </w:r>
      <w:bookmarkEnd w:id="1071"/>
    </w:p>
    <w:p>
      <w:pPr>
        <w:tabs>
          <w:tab w:val="left" w:pos="1620"/>
          <w:tab w:val="clear" w:pos="0"/>
        </w:tabs>
        <w:autoSpaceDE w:val="0"/>
        <w:autoSpaceDN w:val="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按照相关要求，对质检合格的地理实体数据进行入库前的各项检查，包括成果完整性以及成果的数学基础、逻辑一致性等的检查，使之符合入库要求；将各类数据成果导入相应数据库中，并出具入库通知单。</w:t>
      </w:r>
    </w:p>
    <w:p>
      <w:pPr>
        <w:ind w:firstLine="482" w:firstLineChars="200"/>
        <w:outlineLvl w:val="2"/>
        <w:rPr>
          <w:rFonts w:cs="宋体" w:asciiTheme="minorEastAsia" w:hAnsiTheme="minorEastAsia" w:eastAsiaTheme="minorEastAsia"/>
          <w:b/>
          <w:color w:val="auto"/>
          <w:highlight w:val="none"/>
        </w:rPr>
      </w:pPr>
      <w:bookmarkStart w:id="1072" w:name="_Toc6032"/>
      <w:r>
        <w:rPr>
          <w:rFonts w:hint="eastAsia" w:cs="宋体" w:asciiTheme="minorEastAsia" w:hAnsiTheme="minorEastAsia" w:eastAsiaTheme="minorEastAsia"/>
          <w:b/>
          <w:color w:val="auto"/>
          <w:highlight w:val="none"/>
        </w:rPr>
        <w:t>4、成果提交要求</w:t>
      </w:r>
      <w:bookmarkEnd w:id="1072"/>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4.1提交时间节点</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Cs/>
          <w:color w:val="auto"/>
          <w:highlight w:val="none"/>
        </w:rPr>
        <w:t>供应商需按以下时间节点完成相应工作内容，并提交相应成果，具体提交</w:t>
      </w:r>
      <w:r>
        <w:rPr>
          <w:rFonts w:hint="eastAsia" w:cs="宋体" w:asciiTheme="minorEastAsia" w:hAnsiTheme="minorEastAsia" w:eastAsiaTheme="minorEastAsia"/>
          <w:color w:val="auto"/>
          <w:highlight w:val="none"/>
        </w:rPr>
        <w:t>时间节点如下：</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(1)预计2021年12月10日前，完成天地图数据融合并提交融合后成果；数据提交时间及内容若与省级主管部门要求发生冲突，中标方通过与采购方签订补充协议的形式重新确定数据提交时间及内容。</w:t>
      </w:r>
    </w:p>
    <w:p>
      <w:pPr>
        <w:spacing w:line="360" w:lineRule="auto"/>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2</w:t>
      </w:r>
      <w:r>
        <w:rPr>
          <w:rFonts w:hint="eastAsia" w:asciiTheme="minorEastAsia" w:hAnsiTheme="minorEastAsia" w:eastAsiaTheme="minorEastAsia"/>
          <w:color w:val="auto"/>
          <w:highlight w:val="none"/>
        </w:rPr>
        <w:t>)接收完整待检的、利用2021年第一季度影像及竣工测量成果更新的二维地理实体数据后，30个自然日内完成数据检验工作，检验报告出具后10个自然日内完成数据成果入库；</w:t>
      </w:r>
    </w:p>
    <w:p>
      <w:pPr>
        <w:spacing w:line="360" w:lineRule="auto"/>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)接收完整待检的、利用2021年第二季度影像及竣工测量成果更新的二维地理实体数据后，30个自然日内完成数据检验工作，检验报告出具后10个自然日内完成数据成果入库；</w:t>
      </w:r>
    </w:p>
    <w:p>
      <w:pPr>
        <w:spacing w:line="360" w:lineRule="auto"/>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4</w:t>
      </w:r>
      <w:r>
        <w:rPr>
          <w:rFonts w:hint="eastAsia" w:asciiTheme="minorEastAsia" w:hAnsiTheme="minorEastAsia" w:eastAsiaTheme="minorEastAsia"/>
          <w:color w:val="auto"/>
          <w:highlight w:val="none"/>
        </w:rPr>
        <w:t>)接收完整待检的、利用2020年生产的1:500DLG、1:2000DLG、2021年第三季度卫星影像与竣工测量成果、2021年年度卫星影像更新的二维地理实体数据，</w:t>
      </w:r>
      <w:r>
        <w:rPr>
          <w:rFonts w:hint="eastAsia" w:cs="宋体" w:asciiTheme="minorEastAsia" w:hAnsiTheme="minorEastAsia" w:eastAsiaTheme="minorEastAsia"/>
          <w:color w:val="auto"/>
          <w:highlight w:val="none"/>
        </w:rPr>
        <w:t>五城区面积约420平方公里区域内三维</w:t>
      </w:r>
      <w:r>
        <w:rPr>
          <w:rFonts w:cs="宋体" w:asciiTheme="minorEastAsia" w:hAnsiTheme="minorEastAsia" w:eastAsiaTheme="minorEastAsia"/>
          <w:color w:val="auto"/>
          <w:highlight w:val="none"/>
        </w:rPr>
        <w:t>实体数据</w:t>
      </w:r>
      <w:r>
        <w:rPr>
          <w:rFonts w:hint="eastAsia" w:asciiTheme="minorEastAsia" w:hAnsiTheme="minorEastAsia" w:eastAsiaTheme="minorEastAsia"/>
          <w:color w:val="auto"/>
          <w:highlight w:val="none"/>
        </w:rPr>
        <w:t>及成都中轴线道路全要素三维地理实体试点数据成果后，30个自然日内完成数据检验工作，检验报告出具后10个自然日内完成数据成果入库；</w:t>
      </w:r>
    </w:p>
    <w:p>
      <w:pPr>
        <w:spacing w:line="360" w:lineRule="auto"/>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5</w:t>
      </w:r>
      <w:r>
        <w:rPr>
          <w:rFonts w:hint="eastAsia" w:asciiTheme="minorEastAsia" w:hAnsiTheme="minorEastAsia" w:eastAsiaTheme="minorEastAsia"/>
          <w:color w:val="auto"/>
          <w:highlight w:val="none"/>
        </w:rPr>
        <w:t>)接收完整待检的、利用2021年第四季度影像及竣工测量成果更新的二维地理实体数据后，30个自然日内完成数据检验工作，检验报告出具后10个自然日内完成数据成果入库。</w:t>
      </w:r>
    </w:p>
    <w:p>
      <w:pPr>
        <w:spacing w:line="360" w:lineRule="auto"/>
        <w:ind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备注：以上涉及数据检验的时间不包含生产单位修改时间。若生产单位在一检或复查未提供完整资料，则检验时间顺延。遇特殊情况</w:t>
      </w:r>
      <w:r>
        <w:rPr>
          <w:rFonts w:asciiTheme="minorEastAsia" w:hAnsiTheme="minorEastAsia" w:eastAsiaTheme="minorEastAsia"/>
          <w:color w:val="auto"/>
          <w:highlight w:val="none"/>
        </w:rPr>
        <w:t>,经采购方同意后可适当延长期限。</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4.2提交成果内容</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4.2.1天地图融合成果</w:t>
      </w:r>
    </w:p>
    <w:tbl>
      <w:tblPr>
        <w:tblStyle w:val="26"/>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36"/>
        <w:gridCol w:w="2125"/>
        <w:gridCol w:w="1255"/>
        <w:gridCol w:w="939"/>
        <w:gridCol w:w="939"/>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jc w:val="center"/>
        </w:trPr>
        <w:tc>
          <w:tcPr>
            <w:tcW w:w="378"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序号</w:t>
            </w:r>
          </w:p>
        </w:tc>
        <w:tc>
          <w:tcPr>
            <w:tcW w:w="1304" w:type="pct"/>
            <w:gridSpan w:val="2"/>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成果类型</w:t>
            </w:r>
          </w:p>
        </w:tc>
        <w:tc>
          <w:tcPr>
            <w:tcW w:w="639"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数据格式</w:t>
            </w:r>
          </w:p>
        </w:tc>
        <w:tc>
          <w:tcPr>
            <w:tcW w:w="478"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套数</w:t>
            </w:r>
          </w:p>
        </w:tc>
        <w:tc>
          <w:tcPr>
            <w:tcW w:w="478"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介质</w:t>
            </w:r>
          </w:p>
        </w:tc>
        <w:tc>
          <w:tcPr>
            <w:tcW w:w="1723"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1</w:t>
            </w:r>
          </w:p>
        </w:tc>
        <w:tc>
          <w:tcPr>
            <w:tcW w:w="222"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数据成果</w:t>
            </w: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成果清单</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478" w:type="pct"/>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电子文档以均以蓝光光盘或U盘提交</w:t>
            </w: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2</w:t>
            </w: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矢量数据</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GDB</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bCs/>
                <w:color w:val="000000" w:themeColor="text1"/>
                <w:sz w:val="21"/>
                <w:szCs w:val="21"/>
                <w:highlight w:val="none"/>
                <w14:textFill>
                  <w14:solidFill>
                    <w14:schemeClr w14:val="tx1"/>
                  </w14:solidFill>
                </w14:textFill>
              </w:rPr>
              <w:t>3</w:t>
            </w:r>
          </w:p>
        </w:tc>
        <w:tc>
          <w:tcPr>
            <w:tcW w:w="222" w:type="pct"/>
            <w:vMerge w:val="continue"/>
            <w:shd w:val="clear" w:color="auto" w:fill="auto"/>
            <w:vAlign w:val="center"/>
          </w:tcPr>
          <w:p>
            <w:pPr>
              <w:widowControl/>
              <w:rPr>
                <w:rFonts w:cs="宋体" w:asciiTheme="minorEastAsia" w:hAnsiTheme="minorEastAsia" w:eastAsiaTheme="minorEastAsia"/>
                <w:bCs/>
                <w:color w:val="000000" w:themeColor="text1"/>
                <w:kern w:val="0"/>
                <w:sz w:val="21"/>
                <w:szCs w:val="21"/>
                <w:highlight w:val="none"/>
                <w14:textFill>
                  <w14:solidFill>
                    <w14:schemeClr w14:val="tx1"/>
                  </w14:solidFill>
                </w14:textFill>
              </w:rPr>
            </w:pPr>
          </w:p>
        </w:tc>
        <w:tc>
          <w:tcPr>
            <w:tcW w:w="1082"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地名地址与兴趣点数据</w:t>
            </w:r>
          </w:p>
        </w:tc>
        <w:tc>
          <w:tcPr>
            <w:tcW w:w="639"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GDB</w:t>
            </w:r>
          </w:p>
        </w:tc>
        <w:tc>
          <w:tcPr>
            <w:tcW w:w="478"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1</w:t>
            </w:r>
          </w:p>
        </w:tc>
        <w:tc>
          <w:tcPr>
            <w:tcW w:w="0" w:type="auto"/>
            <w:vMerge w:val="continue"/>
            <w:shd w:val="clear" w:color="auto" w:fill="auto"/>
            <w:vAlign w:val="center"/>
          </w:tcPr>
          <w:p>
            <w:pPr>
              <w:widowControl/>
              <w:rPr>
                <w:rFonts w:cs="宋体" w:asciiTheme="minorEastAsia" w:hAnsiTheme="minorEastAsia" w:eastAsiaTheme="minorEastAsia"/>
                <w:color w:val="000000" w:themeColor="text1"/>
                <w:kern w:val="0"/>
                <w:sz w:val="21"/>
                <w:szCs w:val="21"/>
                <w:highlight w:val="none"/>
                <w14:textFill>
                  <w14:solidFill>
                    <w14:schemeClr w14:val="tx1"/>
                  </w14:solidFill>
                </w14:textFill>
              </w:rPr>
            </w:pPr>
          </w:p>
        </w:tc>
        <w:tc>
          <w:tcPr>
            <w:tcW w:w="1723"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4</w:t>
            </w: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遥感影像数据</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GeoTIFF、IMG</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5</w:t>
            </w: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影像瓦片数据</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JPG 、Bun dle</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6</w:t>
            </w: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92"/>
              <w:jc w:val="center"/>
              <w:rPr>
                <w:color w:val="auto"/>
                <w:sz w:val="21"/>
                <w:szCs w:val="21"/>
                <w:highlight w:val="none"/>
              </w:rPr>
            </w:pPr>
            <w:r>
              <w:rPr>
                <w:color w:val="auto"/>
                <w:sz w:val="21"/>
                <w:szCs w:val="21"/>
                <w:highlight w:val="none"/>
              </w:rPr>
              <w:t>影像切图范围及元数据</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Shapefile</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7</w:t>
            </w:r>
          </w:p>
        </w:tc>
        <w:tc>
          <w:tcPr>
            <w:tcW w:w="222"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项目文档</w:t>
            </w: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融合更新效果对比及成果说明</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8</w:t>
            </w: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成都市融合更新技术方案及附件</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9</w:t>
            </w: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其他相关资料</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p>
        </w:tc>
      </w:tr>
    </w:tbl>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4.2.2地理实体数据成果检验入库</w:t>
      </w:r>
    </w:p>
    <w:tbl>
      <w:tblPr>
        <w:tblStyle w:val="26"/>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26"/>
        <w:gridCol w:w="2127"/>
        <w:gridCol w:w="1257"/>
        <w:gridCol w:w="941"/>
        <w:gridCol w:w="941"/>
        <w:gridCol w:w="3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jc w:val="center"/>
        </w:trPr>
        <w:tc>
          <w:tcPr>
            <w:tcW w:w="378"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序号</w:t>
            </w:r>
          </w:p>
        </w:tc>
        <w:tc>
          <w:tcPr>
            <w:tcW w:w="1300" w:type="pct"/>
            <w:gridSpan w:val="2"/>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成果类型</w:t>
            </w:r>
          </w:p>
        </w:tc>
        <w:tc>
          <w:tcPr>
            <w:tcW w:w="640"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数据格式</w:t>
            </w:r>
          </w:p>
        </w:tc>
        <w:tc>
          <w:tcPr>
            <w:tcW w:w="479"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套数</w:t>
            </w:r>
          </w:p>
        </w:tc>
        <w:tc>
          <w:tcPr>
            <w:tcW w:w="479"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介质</w:t>
            </w:r>
          </w:p>
        </w:tc>
        <w:tc>
          <w:tcPr>
            <w:tcW w:w="1723"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1</w:t>
            </w:r>
          </w:p>
        </w:tc>
        <w:tc>
          <w:tcPr>
            <w:tcW w:w="217"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项目文档</w:t>
            </w: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每批次二维地理实体数据更新成果检验报告</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0" w:type="auto"/>
            <w:vMerge w:val="restart"/>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2</w:t>
            </w:r>
          </w:p>
        </w:tc>
        <w:tc>
          <w:tcPr>
            <w:tcW w:w="217"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三维地理实体数据生产成果检验报告</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3</w:t>
            </w:r>
          </w:p>
        </w:tc>
        <w:tc>
          <w:tcPr>
            <w:tcW w:w="217"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入库通知单</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纸质</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4</w:t>
            </w:r>
          </w:p>
        </w:tc>
        <w:tc>
          <w:tcPr>
            <w:tcW w:w="217"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检验方案</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1</w:t>
            </w:r>
          </w:p>
        </w:tc>
        <w:tc>
          <w:tcPr>
            <w:tcW w:w="0" w:type="auto"/>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tabs>
                <w:tab w:val="clear" w:pos="0"/>
              </w:tabs>
              <w:adjustRightInd/>
              <w:snapToGrid/>
              <w:spacing w:line="240" w:lineRule="auto"/>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5</w:t>
            </w:r>
          </w:p>
        </w:tc>
        <w:tc>
          <w:tcPr>
            <w:tcW w:w="217"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其他相关资料</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p>
        </w:tc>
      </w:tr>
    </w:tbl>
    <w:p>
      <w:pPr>
        <w:ind w:firstLine="482" w:firstLineChars="200"/>
        <w:outlineLvl w:val="2"/>
        <w:rPr>
          <w:rFonts w:cs="宋体" w:asciiTheme="minorEastAsia" w:hAnsiTheme="minorEastAsia" w:eastAsiaTheme="minorEastAsia"/>
          <w:b/>
          <w:color w:val="auto"/>
          <w:highlight w:val="none"/>
        </w:rPr>
      </w:pPr>
      <w:bookmarkStart w:id="1073" w:name="_Toc16381"/>
      <w:r>
        <w:rPr>
          <w:rFonts w:hint="eastAsia" w:cs="宋体" w:asciiTheme="minorEastAsia" w:hAnsiTheme="minorEastAsia" w:eastAsiaTheme="minorEastAsia"/>
          <w:b/>
          <w:color w:val="auto"/>
          <w:highlight w:val="none"/>
        </w:rPr>
        <w:t>5、相关保障措施</w:t>
      </w:r>
      <w:bookmarkEnd w:id="1073"/>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(1)资料保密措施</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考虑到数据的重要性和保密性，在项目建设过程中必须严格保障数据的安全。供应商需在实施方案明确提出数据安全解决方案，详细阐述具体的数据安全管理手段和安全防护措施。并承诺在整个项目建设过程中严格遵守数据安全保密相关规定。</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(2)后期服务要求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供应商须提供常设5天×8小时热线服务和自验收合格之日起为期一年的免费技术支持。电话或远程无法解决的问题必须到达现场处理，交通及其它费用由供应商负责并已经充分考虑在包干总价中。</w:t>
      </w:r>
    </w:p>
    <w:p>
      <w:pPr>
        <w:pStyle w:val="2"/>
        <w:spacing w:line="520" w:lineRule="exact"/>
        <w:rPr>
          <w:rFonts w:cs="宋体" w:asciiTheme="minorEastAsia" w:hAnsiTheme="minorEastAsia" w:eastAsiaTheme="minorEastAsia"/>
          <w:color w:val="auto"/>
          <w:sz w:val="24"/>
          <w:highlight w:val="none"/>
        </w:rPr>
      </w:pPr>
      <w:bookmarkStart w:id="1074" w:name="_Toc24071"/>
      <w:r>
        <w:rPr>
          <w:rFonts w:hint="eastAsia" w:cs="宋体" w:asciiTheme="minorEastAsia" w:hAnsiTheme="minorEastAsia" w:eastAsiaTheme="minorEastAsia"/>
          <w:color w:val="auto"/>
          <w:sz w:val="24"/>
          <w:highlight w:val="none"/>
        </w:rPr>
        <w:t>三、</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sz w:val="24"/>
          <w:highlight w:val="none"/>
        </w:rPr>
        <w:t>商务要求</w:t>
      </w:r>
      <w:bookmarkEnd w:id="1074"/>
    </w:p>
    <w:p>
      <w:pPr>
        <w:ind w:firstLine="482" w:firstLineChars="200"/>
        <w:outlineLvl w:val="2"/>
        <w:rPr>
          <w:rFonts w:cs="宋体" w:asciiTheme="minorEastAsia" w:hAnsiTheme="minorEastAsia" w:eastAsiaTheme="minorEastAsia"/>
          <w:b/>
          <w:color w:val="auto"/>
          <w:highlight w:val="none"/>
        </w:rPr>
      </w:pPr>
      <w:bookmarkStart w:id="1075" w:name="_Toc23587"/>
      <w:r>
        <w:rPr>
          <w:rFonts w:hint="eastAsia" w:cs="宋体" w:asciiTheme="minorEastAsia" w:hAnsiTheme="minorEastAsia" w:eastAsiaTheme="minorEastAsia"/>
          <w:b/>
          <w:color w:val="auto"/>
          <w:highlight w:val="none"/>
        </w:rPr>
        <w:t>第一包：</w:t>
      </w:r>
      <w:bookmarkEnd w:id="1075"/>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(一)服务期限：2022年3月20日前完成全部生产工作，分批提交合格成果至甲方指定的质量检验单位进行质量检验并按质检意见进行整改完善；2022年5月31日前配合甲方完成项目验收及资料归档工作。</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(二)服务地点：</w:t>
      </w:r>
      <w:r>
        <w:rPr>
          <w:rFonts w:hint="eastAsia" w:cs="宋体" w:asciiTheme="minorEastAsia" w:hAnsiTheme="minorEastAsia" w:eastAsiaTheme="minorEastAsia"/>
          <w:bCs/>
          <w:color w:val="000000" w:themeColor="text1"/>
          <w:highlight w:val="none"/>
          <w14:textFill>
            <w14:solidFill>
              <w14:schemeClr w14:val="tx1"/>
            </w14:solidFill>
          </w14:textFill>
        </w:rPr>
        <w:t>本项目服务地点为采购人指定地点，且供应商需在采购人指定场所实施本项目。</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(三)付款方式：</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1、支付节点及支付条件</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(1)政府采购合同签订生效后30个日历日内，采购人向中标人支付合同金额的50%作为首付款；</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2021年12月10日前，中标人完成约定的二维地理实体数据更新、三维地理实体数据生产及道路全要素三维地理实体试点数据生产、技术规定优化完善并提交相应成果后30个日历日内，采购人向中标人支付进度款支付金额为合同金额的30%；</w:t>
      </w:r>
    </w:p>
    <w:p>
      <w:pPr>
        <w:ind w:firstLine="480" w:firstLineChars="200"/>
        <w:rPr>
          <w:color w:val="auto"/>
          <w:highlight w:val="none"/>
        </w:rPr>
      </w:pPr>
      <w:r>
        <w:rPr>
          <w:rFonts w:hint="eastAsia" w:asciiTheme="minorEastAsia" w:hAnsiTheme="minorEastAsia" w:eastAsiaTheme="minorEastAsia"/>
          <w:color w:val="auto"/>
          <w:highlight w:val="none"/>
        </w:rPr>
        <w:t>(3)中标人</w:t>
      </w:r>
      <w:r>
        <w:rPr>
          <w:rFonts w:hint="eastAsia" w:cs="华文中宋"/>
          <w:color w:val="auto"/>
          <w:highlight w:val="none"/>
        </w:rPr>
        <w:t>按约完成全部工作，</w:t>
      </w:r>
      <w:r>
        <w:rPr>
          <w:rFonts w:hint="eastAsia"/>
          <w:color w:val="auto"/>
          <w:highlight w:val="none"/>
        </w:rPr>
        <w:t>且项目通过采购人组织的履约验收后</w:t>
      </w:r>
      <w:r>
        <w:rPr>
          <w:rFonts w:ascii="Times New Roman" w:hAnsi="Times New Roman"/>
          <w:color w:val="auto"/>
          <w:highlight w:val="none"/>
        </w:rPr>
        <w:t>30</w:t>
      </w:r>
      <w:r>
        <w:rPr>
          <w:rFonts w:hint="eastAsia" w:ascii="Times New Roman" w:hAnsi="Times New Roman"/>
          <w:color w:val="auto"/>
          <w:highlight w:val="none"/>
        </w:rPr>
        <w:t>个日历日</w:t>
      </w:r>
      <w:r>
        <w:rPr>
          <w:rFonts w:hint="eastAsia"/>
          <w:color w:val="auto"/>
          <w:highlight w:val="none"/>
        </w:rPr>
        <w:t>内支付尾款，尾款金额为合同总金额的2</w:t>
      </w:r>
      <w:r>
        <w:rPr>
          <w:color w:val="auto"/>
          <w:highlight w:val="none"/>
        </w:rPr>
        <w:t>0%</w:t>
      </w:r>
      <w:r>
        <w:rPr>
          <w:rFonts w:hint="eastAsia" w:ascii="Times New Roman" w:hAnsi="Times New Roman"/>
          <w:color w:val="auto"/>
          <w:highlight w:val="none"/>
        </w:rPr>
        <w:t>。</w:t>
      </w:r>
      <w:r>
        <w:rPr>
          <w:rFonts w:hint="eastAsia"/>
          <w:color w:val="auto"/>
          <w:highlight w:val="none"/>
        </w:rPr>
        <w:t>但是，项目验收后需要依法接受审计的，支付尾款时按审计结果的要求执行。</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color w:val="auto"/>
          <w:highlight w:val="none"/>
        </w:rPr>
        <w:t>2、</w:t>
      </w:r>
      <w:r>
        <w:rPr>
          <w:rFonts w:hint="eastAsia" w:cs="宋体" w:asciiTheme="minorEastAsia" w:hAnsiTheme="minorEastAsia" w:eastAsiaTheme="minorEastAsia"/>
          <w:bCs/>
          <w:color w:val="auto"/>
          <w:highlight w:val="none"/>
        </w:rPr>
        <w:t>中标人须向采购人出具合法有效完整的完税发票及凭证资料后进行支付结算，付款方式均采用公对公的银行转账，中标人接受转账的开户信息以采购合同载明的为准。</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color w:val="auto"/>
          <w:highlight w:val="none"/>
        </w:rPr>
        <w:t>(四)</w:t>
      </w:r>
      <w:r>
        <w:rPr>
          <w:rFonts w:hint="eastAsia" w:cs="宋体" w:asciiTheme="minorEastAsia" w:hAnsiTheme="minorEastAsia" w:eastAsiaTheme="minorEastAsia"/>
          <w:bCs/>
          <w:color w:val="auto"/>
          <w:highlight w:val="none"/>
        </w:rPr>
        <w:t>验收要求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严格按照政府采购相关法律法规、《财政部关于进一步加强政府采购需求和履约验收管理的指导意见》(财库〔2016〕205号)、招标文件的要求、供应商的投标文件及承诺与本项目合同约定标准进行验收。</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color w:val="auto"/>
          <w:highlight w:val="none"/>
        </w:rPr>
        <w:t>(五)</w:t>
      </w:r>
      <w:r>
        <w:rPr>
          <w:rFonts w:hint="eastAsia" w:cs="宋体" w:asciiTheme="minorEastAsia" w:hAnsiTheme="minorEastAsia" w:eastAsiaTheme="minorEastAsia"/>
          <w:bCs/>
          <w:color w:val="auto"/>
          <w:highlight w:val="none"/>
        </w:rPr>
        <w:t>报价要求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本次报价为项目服务过程中所发生的一切费用，均由中标供应商自行承担。包括但不限于人员劳务、交通、食宿、差旅、专家指导、设备投入、数据生产、更新、成果、利润、保险、风险、税金、招标代理服务费以及招标文件规定的合格交付使用之前的一切费用。</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(六)解决争议的方法</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highlight w:val="none"/>
        </w:rPr>
        <w:t>1.合同履行期间，若双方发生争议，可协商或由有关部门调解解决，协商或调解不成的，按照下列方式解决，</w:t>
      </w:r>
      <w:r>
        <w:rPr>
          <w:rFonts w:hint="eastAsia" w:cs="宋体" w:asciiTheme="minorEastAsia" w:hAnsiTheme="minorEastAsia" w:eastAsiaTheme="minorEastAsia"/>
          <w:color w:val="auto"/>
          <w:kern w:val="0"/>
          <w:highlight w:val="none"/>
        </w:rPr>
        <w:t>任何一方都有权提交成都仲裁委员会仲裁。</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1.1仲裁结果对双方都有约束力，双方应遵照执行。</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1.2上述过程发生的费用，除仲裁结果另有规定外，应由败诉方承担。</w:t>
      </w:r>
    </w:p>
    <w:p>
      <w:pPr>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highlight w:val="none"/>
        </w:rPr>
        <w:t>1.3在进行仲裁期间，除提交仲裁的事项外，合同仍应继续履行</w:t>
      </w:r>
      <w:r>
        <w:rPr>
          <w:rFonts w:hint="eastAsia" w:cs="宋体" w:asciiTheme="minorEastAsia" w:hAnsiTheme="minorEastAsia" w:eastAsiaTheme="minorEastAsia"/>
          <w:color w:val="auto"/>
          <w:highlight w:val="none"/>
        </w:rPr>
        <w:t>。</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color w:val="auto"/>
          <w:highlight w:val="none"/>
        </w:rPr>
        <w:t>(七)</w:t>
      </w:r>
      <w:r>
        <w:rPr>
          <w:rFonts w:hint="eastAsia" w:cs="宋体" w:asciiTheme="minorEastAsia" w:hAnsiTheme="minorEastAsia" w:eastAsiaTheme="minorEastAsia"/>
          <w:bCs/>
          <w:color w:val="auto"/>
          <w:highlight w:val="none"/>
        </w:rPr>
        <w:t>知识产权要求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1、供应商应保证在本项目使用的任何产品和服务(包括部分使用)时，不会产生因第三方提出侵犯其著作权或其它知识产权而引起的法律和经济纠纷，如因著作权或其它知识产权而引起法律和经济纠纷，由供应商承担全部相关责任。</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2、采购人享有本项目实施过程中产生的知识成果及知识产权。</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(八)其他要求</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1、政府采购合同签订时间：供应商自中标通知书发出之日起30日内与采购单位签订政府采购合同。</w:t>
      </w:r>
    </w:p>
    <w:p>
      <w:pPr>
        <w:pStyle w:val="69"/>
        <w:numPr>
          <w:ilvl w:val="3"/>
          <w:numId w:val="0"/>
        </w:numPr>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2、</w:t>
      </w:r>
      <w:r>
        <w:rPr>
          <w:rFonts w:hint="eastAsia" w:cs="宋体" w:asciiTheme="minorEastAsia" w:hAnsiTheme="minorEastAsia" w:eastAsiaTheme="minorEastAsia"/>
          <w:color w:val="auto"/>
          <w:highlight w:val="none"/>
        </w:rPr>
        <w:t>供应商应保证所提供的服务或其任何一部分均不会侵犯任何第三方的专利权、商标权或著作权</w:t>
      </w:r>
      <w:r>
        <w:rPr>
          <w:rFonts w:hint="eastAsia" w:cs="宋体" w:asciiTheme="minorEastAsia" w:hAnsiTheme="minorEastAsia" w:eastAsiaTheme="minorEastAsia"/>
          <w:b/>
          <w:bCs/>
          <w:color w:val="auto"/>
          <w:highlight w:val="none"/>
        </w:rPr>
        <w:t>(应在投标文件中提供承诺函，格式自拟)</w:t>
      </w:r>
      <w:r>
        <w:rPr>
          <w:rFonts w:hint="eastAsia" w:cs="宋体" w:asciiTheme="minorEastAsia" w:hAnsiTheme="minorEastAsia" w:eastAsiaTheme="minorEastAsia"/>
          <w:color w:val="auto"/>
          <w:highlight w:val="none"/>
        </w:rPr>
        <w:t>。</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3、供应商为本项目提供服务的从业人员应依照《中华人民共和国劳动合同法》订立劳动合同。</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供应商应严格执行《中华人民共和国民法典》、《中华人民共和国劳动合同法》及项目所在地最低工资标准等相关法律、法规并依法与服务人员签订劳动合同，并办理各种用工手续，如因用工不当，给采购人及服务人员造成的损失由供应商全额承担(</w:t>
      </w:r>
      <w:r>
        <w:rPr>
          <w:rFonts w:hint="eastAsia" w:cs="宋体" w:asciiTheme="minorEastAsia" w:hAnsiTheme="minorEastAsia" w:eastAsiaTheme="minorEastAsia"/>
          <w:b/>
          <w:bCs/>
          <w:color w:val="auto"/>
          <w:highlight w:val="none"/>
        </w:rPr>
        <w:t>应在投标文件中提供承诺函，格式自拟</w:t>
      </w:r>
      <w:r>
        <w:rPr>
          <w:rFonts w:hint="eastAsia" w:cs="宋体" w:asciiTheme="minorEastAsia" w:hAnsiTheme="minorEastAsia" w:eastAsiaTheme="minorEastAsia"/>
          <w:color w:val="auto"/>
          <w:highlight w:val="none"/>
        </w:rPr>
        <w:t>)。</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5、供应商服务从业人员在服务期间发生伤亡事故，或在服务过程中造成第三人伤亡的，责任由供应商全额承担(</w:t>
      </w:r>
      <w:r>
        <w:rPr>
          <w:rFonts w:hint="eastAsia" w:cs="宋体" w:asciiTheme="minorEastAsia" w:hAnsiTheme="minorEastAsia" w:eastAsiaTheme="minorEastAsia"/>
          <w:b/>
          <w:bCs/>
          <w:color w:val="auto"/>
          <w:highlight w:val="none"/>
        </w:rPr>
        <w:t>应在投标文件中提供承诺函，格式自拟</w:t>
      </w:r>
      <w:r>
        <w:rPr>
          <w:rFonts w:hint="eastAsia" w:cs="宋体" w:asciiTheme="minorEastAsia" w:hAnsiTheme="minorEastAsia" w:eastAsiaTheme="minorEastAsia"/>
          <w:color w:val="auto"/>
          <w:highlight w:val="none"/>
        </w:rPr>
        <w:t>)。</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6、采购人定期核对供应商提供服务所配备的人员数量及相关信息，对于未按照采购文件及投标响应要求执行或存在不合理的部分有权下达整改通知书，并要求供应商限期整改。</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7、供应商定期及时向采购人通告本项目服务范围内有关服务的重大事项及其进度。</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8、接受项目行业管理部门及政府有关部门的指导，接受采购人的监督。</w:t>
      </w:r>
    </w:p>
    <w:p>
      <w:pPr>
        <w:ind w:firstLine="482" w:firstLineChars="200"/>
        <w:outlineLvl w:val="2"/>
        <w:rPr>
          <w:rFonts w:cs="宋体" w:asciiTheme="minorEastAsia" w:hAnsiTheme="minorEastAsia" w:eastAsiaTheme="minorEastAsia"/>
          <w:b/>
          <w:color w:val="auto"/>
          <w:highlight w:val="none"/>
        </w:rPr>
      </w:pPr>
      <w:bookmarkStart w:id="1076" w:name="_Toc4282"/>
      <w:r>
        <w:rPr>
          <w:rFonts w:hint="eastAsia" w:cs="宋体" w:asciiTheme="minorEastAsia" w:hAnsiTheme="minorEastAsia" w:eastAsiaTheme="minorEastAsia"/>
          <w:b/>
          <w:color w:val="auto"/>
          <w:highlight w:val="none"/>
        </w:rPr>
        <w:t>第二包：</w:t>
      </w:r>
      <w:bookmarkEnd w:id="1076"/>
    </w:p>
    <w:p>
      <w:pPr>
        <w:pStyle w:val="11"/>
        <w:spacing w:after="0" w:line="440" w:lineRule="exact"/>
        <w:ind w:firstLine="48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(一)服务期限：2021年12月10日前完成天地图数据融合并提交融合成果</w:t>
      </w:r>
      <w:r>
        <w:rPr>
          <w:rFonts w:hint="eastAsia" w:asciiTheme="minorEastAsia" w:hAnsiTheme="minorEastAsia" w:eastAsiaTheme="minorEastAsia"/>
          <w:color w:val="000000" w:themeColor="text1"/>
          <w:highlight w:val="none"/>
          <w14:textFill>
            <w14:solidFill>
              <w14:schemeClr w14:val="tx1"/>
            </w14:solidFill>
          </w14:textFill>
        </w:rPr>
        <w:t>，数据提交时间及内容若与省级主管部门要求发生冲突，中标方通过与采购方签订补充协议的形式重新确定数据提交时间及内容。</w:t>
      </w:r>
      <w:r>
        <w:rPr>
          <w:rFonts w:hint="eastAsia" w:cs="宋体" w:asciiTheme="minorEastAsia" w:hAnsiTheme="minorEastAsia" w:eastAsiaTheme="minorEastAsia"/>
          <w:color w:val="000000" w:themeColor="text1"/>
          <w:highlight w:val="none"/>
          <w14:textFill>
            <w14:solidFill>
              <w14:schemeClr w14:val="tx1"/>
            </w14:solidFill>
          </w14:textFill>
        </w:rPr>
        <w:t>2022年4月30日前分批完成二三维地理实体成果数据检验工作，并出具检验报告，将质检合格的成果录入对应的成果库，同时出具入库通知单。2022年5月31日前配合采购人完成项目验收及资料归档工作。</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(二)</w:t>
      </w:r>
      <w:r>
        <w:rPr>
          <w:rFonts w:hint="eastAsia" w:cs="宋体" w:asciiTheme="minorEastAsia" w:hAnsiTheme="minorEastAsia" w:eastAsiaTheme="minorEastAsia"/>
          <w:bCs/>
          <w:color w:val="000000" w:themeColor="text1"/>
          <w:highlight w:val="none"/>
          <w14:textFill>
            <w14:solidFill>
              <w14:schemeClr w14:val="tx1"/>
            </w14:solidFill>
          </w14:textFill>
        </w:rPr>
        <w:t>服务地点：本项目服务地点为采购人指定地点，且供应商需在采购人指定场所实施本项目。</w:t>
      </w:r>
    </w:p>
    <w:p>
      <w:pPr>
        <w:pStyle w:val="11"/>
        <w:spacing w:after="0" w:line="440" w:lineRule="exact"/>
        <w:ind w:firstLine="480"/>
        <w:rPr>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(三)付款方式：</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1、支付节点及支付条件</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(1)政府采购合同签订生效后30个日历日内，采购人向中标人支付合同金额的50%作为首付款；</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(2)中标人完成利用</w:t>
      </w:r>
      <w:r>
        <w:rPr>
          <w:rFonts w:cs="宋体" w:asciiTheme="minorEastAsia" w:hAnsiTheme="minorEastAsia" w:eastAsiaTheme="minorEastAsia"/>
          <w:color w:val="000000" w:themeColor="text1"/>
          <w:highlight w:val="none"/>
          <w14:textFill>
            <w14:solidFill>
              <w14:schemeClr w14:val="tx1"/>
            </w14:solidFill>
          </w14:textFill>
        </w:rPr>
        <w:t>2021年第一季度影像、第二季度影像及竣工测量成果更新的二维地理实体数据质量检验工作，出具检验报告及入库通知单</w:t>
      </w:r>
      <w:r>
        <w:rPr>
          <w:rFonts w:hint="eastAsia" w:cs="宋体" w:asciiTheme="minorEastAsia" w:hAnsiTheme="minorEastAsia" w:eastAsiaTheme="minorEastAsia"/>
          <w:color w:val="000000" w:themeColor="text1"/>
          <w:highlight w:val="none"/>
          <w14:textFill>
            <w14:solidFill>
              <w14:schemeClr w14:val="tx1"/>
            </w14:solidFill>
          </w14:textFill>
        </w:rPr>
        <w:t>，并完成天地图融合数据成果提交</w:t>
      </w:r>
      <w:r>
        <w:rPr>
          <w:rFonts w:cs="宋体" w:asciiTheme="minorEastAsia" w:hAnsiTheme="minorEastAsia" w:eastAsiaTheme="minorEastAsia"/>
          <w:color w:val="000000" w:themeColor="text1"/>
          <w:highlight w:val="none"/>
          <w14:textFill>
            <w14:solidFill>
              <w14:schemeClr w14:val="tx1"/>
            </w14:solidFill>
          </w14:textFill>
        </w:rPr>
        <w:t>后30个日历日内。</w:t>
      </w:r>
      <w:r>
        <w:rPr>
          <w:rFonts w:hint="eastAsia" w:cs="宋体" w:asciiTheme="minorEastAsia" w:hAnsiTheme="minorEastAsia" w:eastAsiaTheme="minorEastAsia"/>
          <w:color w:val="000000" w:themeColor="text1"/>
          <w:highlight w:val="none"/>
          <w14:textFill>
            <w14:solidFill>
              <w14:schemeClr w14:val="tx1"/>
            </w14:solidFill>
          </w14:textFill>
        </w:rPr>
        <w:t>采购人向中标人支付进度款，支付金额为合同金额的30%；</w:t>
      </w:r>
      <w:r>
        <w:rPr>
          <w:rFonts w:cs="宋体" w:asciiTheme="minorEastAsia" w:hAnsiTheme="minorEastAsia" w:eastAsiaTheme="minorEastAsia"/>
          <w:color w:val="000000" w:themeColor="text1"/>
          <w:highlight w:val="none"/>
          <w14:textFill>
            <w14:solidFill>
              <w14:schemeClr w14:val="tx1"/>
            </w14:solidFill>
          </w14:textFill>
        </w:rPr>
        <w:t xml:space="preserve"> </w:t>
      </w:r>
    </w:p>
    <w:p>
      <w:pPr>
        <w:ind w:firstLine="480" w:firstLineChars="200"/>
        <w:rPr>
          <w:rFonts w:cs="宋体" w:asciiTheme="minorEastAsia" w:hAnsiTheme="minorEastAsia" w:eastAsiaTheme="minorEastAsia"/>
          <w:bCs/>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(3)中标人</w:t>
      </w:r>
      <w:r>
        <w:rPr>
          <w:rFonts w:hint="eastAsia" w:cs="华文中宋"/>
          <w:color w:val="000000" w:themeColor="text1"/>
          <w:highlight w:val="none"/>
          <w14:textFill>
            <w14:solidFill>
              <w14:schemeClr w14:val="tx1"/>
            </w14:solidFill>
          </w14:textFill>
        </w:rPr>
        <w:t>按约完成全部工作，</w:t>
      </w:r>
      <w:r>
        <w:rPr>
          <w:rFonts w:hint="eastAsia"/>
          <w:color w:val="000000" w:themeColor="text1"/>
          <w:highlight w:val="none"/>
          <w14:textFill>
            <w14:solidFill>
              <w14:schemeClr w14:val="tx1"/>
            </w14:solidFill>
          </w14:textFill>
        </w:rPr>
        <w:t>且项目通过采购人组织的履约验收后</w:t>
      </w:r>
      <w:r>
        <w:rPr>
          <w:rFonts w:ascii="Times New Roman" w:hAnsi="Times New Roman"/>
          <w:color w:val="000000" w:themeColor="text1"/>
          <w:highlight w:val="none"/>
          <w14:textFill>
            <w14:solidFill>
              <w14:schemeClr w14:val="tx1"/>
            </w14:solidFill>
          </w14:textFill>
        </w:rPr>
        <w:t>30</w:t>
      </w:r>
      <w:r>
        <w:rPr>
          <w:rFonts w:hint="eastAsia" w:ascii="Times New Roman" w:hAnsi="Times New Roman"/>
          <w:color w:val="000000" w:themeColor="text1"/>
          <w:highlight w:val="none"/>
          <w14:textFill>
            <w14:solidFill>
              <w14:schemeClr w14:val="tx1"/>
            </w14:solidFill>
          </w14:textFill>
        </w:rPr>
        <w:t>个日历日</w:t>
      </w:r>
      <w:r>
        <w:rPr>
          <w:rFonts w:hint="eastAsia"/>
          <w:color w:val="000000" w:themeColor="text1"/>
          <w:highlight w:val="none"/>
          <w14:textFill>
            <w14:solidFill>
              <w14:schemeClr w14:val="tx1"/>
            </w14:solidFill>
          </w14:textFill>
        </w:rPr>
        <w:t>内支付尾款，尾款金额为合同总金额的2</w:t>
      </w:r>
      <w:r>
        <w:rPr>
          <w:color w:val="000000" w:themeColor="text1"/>
          <w:highlight w:val="none"/>
          <w14:textFill>
            <w14:solidFill>
              <w14:schemeClr w14:val="tx1"/>
            </w14:solidFill>
          </w14:textFill>
        </w:rPr>
        <w:t>0%</w:t>
      </w:r>
      <w:r>
        <w:rPr>
          <w:rFonts w:hint="eastAsia" w:ascii="Times New Roman" w:hAnsi="Times New Roman"/>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但是，项目验收后需要依法接受审计的，支付尾款时按审计结果的要求执行。</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2、中标人须向采购人出具合法有效完整的完税发票及凭证资料后进行支付结算，付款方式均采用公对公的银行转账，中标人接受转账的开户信息以采购合同载明的为准。</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color w:val="auto"/>
          <w:highlight w:val="none"/>
        </w:rPr>
        <w:t>(四)</w:t>
      </w:r>
      <w:r>
        <w:rPr>
          <w:rFonts w:hint="eastAsia" w:cs="宋体" w:asciiTheme="minorEastAsia" w:hAnsiTheme="minorEastAsia" w:eastAsiaTheme="minorEastAsia"/>
          <w:bCs/>
          <w:color w:val="auto"/>
          <w:highlight w:val="none"/>
        </w:rPr>
        <w:t>验收要求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严格按照政府采购相关法律法规、《财政部关于进一步加强政府采购需求和履约验收管理的指导意见》(财库〔2016〕205号)、招标文件的要求、供应商的投标文件及承诺与本项目合同约定标准进行验收。</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color w:val="auto"/>
          <w:highlight w:val="none"/>
        </w:rPr>
        <w:t>(五)</w:t>
      </w:r>
      <w:r>
        <w:rPr>
          <w:rFonts w:hint="eastAsia" w:cs="宋体" w:asciiTheme="minorEastAsia" w:hAnsiTheme="minorEastAsia" w:eastAsiaTheme="minorEastAsia"/>
          <w:bCs/>
          <w:color w:val="auto"/>
          <w:highlight w:val="none"/>
        </w:rPr>
        <w:t>报价要求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本次报价为项目服务过程中所发生的一切费用，均由中标供应商自行承担。包括包括但不限于人员劳务、交通、食宿、差旅、专家指导、设备投入、检验入库、成果融合、利润、保险、风险、税金、招标代理服务费以及招标文件规定的合格交付使用之前的一切费用。</w:t>
      </w:r>
    </w:p>
    <w:p>
      <w:pPr>
        <w:ind w:firstLine="480" w:firstLineChars="200"/>
        <w:rPr>
          <w:rFonts w:cs="宋体" w:asciiTheme="minorEastAsia" w:hAnsiTheme="minorEastAsia" w:eastAsiaTheme="minorEastAsia"/>
          <w:color w:val="auto"/>
          <w:highlight w:val="none"/>
        </w:rPr>
      </w:pPr>
      <w:bookmarkStart w:id="1077" w:name="_Toc3083"/>
      <w:r>
        <w:rPr>
          <w:rFonts w:hint="eastAsia" w:cs="宋体" w:asciiTheme="minorEastAsia" w:hAnsiTheme="minorEastAsia" w:eastAsiaTheme="minorEastAsia"/>
          <w:color w:val="auto"/>
          <w:highlight w:val="none"/>
        </w:rPr>
        <w:t>(六)解决争议的方法</w:t>
      </w:r>
      <w:bookmarkEnd w:id="1077"/>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highlight w:val="none"/>
        </w:rPr>
        <w:t>1.合同履行期间，若双方发生争议，可协商或由有关部门调解解决，协商或调解不成的，按照下列方式解决，</w:t>
      </w:r>
      <w:r>
        <w:rPr>
          <w:rFonts w:hint="eastAsia" w:cs="宋体" w:asciiTheme="minorEastAsia" w:hAnsiTheme="minorEastAsia" w:eastAsiaTheme="minorEastAsia"/>
          <w:color w:val="auto"/>
          <w:kern w:val="0"/>
          <w:highlight w:val="none"/>
        </w:rPr>
        <w:t>任何一方都有权提交成都仲裁委员会仲裁。</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1.1仲裁结果对双方都有约束力，双方应遵照执行。</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1.2上述过程发生的费用，除仲裁结果另有规定外，应由败诉方承担。</w:t>
      </w:r>
    </w:p>
    <w:p>
      <w:pPr>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highlight w:val="none"/>
        </w:rPr>
        <w:t>1.3在进行仲裁期间，除提交仲裁的事项外，合同仍应继续履行</w:t>
      </w:r>
      <w:r>
        <w:rPr>
          <w:rFonts w:hint="eastAsia" w:cs="宋体" w:asciiTheme="minorEastAsia" w:hAnsiTheme="minorEastAsia" w:eastAsiaTheme="minorEastAsia"/>
          <w:color w:val="auto"/>
          <w:highlight w:val="none"/>
        </w:rPr>
        <w:t>。</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color w:val="auto"/>
          <w:highlight w:val="none"/>
        </w:rPr>
        <w:t>(七)</w:t>
      </w:r>
      <w:r>
        <w:rPr>
          <w:rFonts w:hint="eastAsia" w:cs="宋体" w:asciiTheme="minorEastAsia" w:hAnsiTheme="minorEastAsia" w:eastAsiaTheme="minorEastAsia"/>
          <w:bCs/>
          <w:color w:val="auto"/>
          <w:highlight w:val="none"/>
        </w:rPr>
        <w:t>知识产权要求</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1、供应商应保证在本项目使用的任何产品和服务(包括部分使用)时，不会产生因第三方提出侵犯其著作权或其它知识产权而引起的法律和经济纠纷，如因著作权或其它知识产权而引起法律和经济纠纷，由供应商承担全部相关责任。</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2、采购人享有本项目实施过程中产生的知识成果及知识产权。</w:t>
      </w:r>
    </w:p>
    <w:p>
      <w:pPr>
        <w:ind w:firstLine="480" w:firstLineChars="200"/>
        <w:rPr>
          <w:rFonts w:cs="宋体" w:asciiTheme="minorEastAsia" w:hAnsiTheme="minorEastAsia" w:eastAsiaTheme="minorEastAsia"/>
          <w:color w:val="auto"/>
          <w:highlight w:val="none"/>
        </w:rPr>
      </w:pPr>
      <w:bookmarkStart w:id="1078" w:name="_Toc11541"/>
      <w:bookmarkStart w:id="1079" w:name="_Toc32286_WPSOffice_Level2"/>
      <w:r>
        <w:rPr>
          <w:rFonts w:hint="eastAsia" w:cs="宋体" w:asciiTheme="minorEastAsia" w:hAnsiTheme="minorEastAsia" w:eastAsiaTheme="minorEastAsia"/>
          <w:color w:val="auto"/>
          <w:highlight w:val="none"/>
        </w:rPr>
        <w:t>(八)其他要求</w:t>
      </w:r>
      <w:bookmarkEnd w:id="1078"/>
      <w:bookmarkEnd w:id="1079"/>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1、政府采购合同签订时间：供应商自中标通知书发出之日起30日内与采购单位签订政府采购合同。</w:t>
      </w:r>
    </w:p>
    <w:p>
      <w:pPr>
        <w:pStyle w:val="69"/>
        <w:numPr>
          <w:ilvl w:val="3"/>
          <w:numId w:val="0"/>
        </w:numPr>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2、</w:t>
      </w:r>
      <w:r>
        <w:rPr>
          <w:rFonts w:hint="eastAsia" w:cs="宋体" w:asciiTheme="minorEastAsia" w:hAnsiTheme="minorEastAsia" w:eastAsiaTheme="minorEastAsia"/>
          <w:color w:val="auto"/>
          <w:highlight w:val="none"/>
        </w:rPr>
        <w:t>供应商应保证所提供的服务或其任何一部分均不会侵犯任何第三方的专利权、商标权或著作权</w:t>
      </w:r>
      <w:r>
        <w:rPr>
          <w:rFonts w:hint="eastAsia" w:cs="宋体" w:asciiTheme="minorEastAsia" w:hAnsiTheme="minorEastAsia" w:eastAsiaTheme="minorEastAsia"/>
          <w:b/>
          <w:bCs/>
          <w:color w:val="auto"/>
          <w:highlight w:val="none"/>
        </w:rPr>
        <w:t>(应在投标文件中提供承诺函，格式自拟)</w:t>
      </w:r>
      <w:r>
        <w:rPr>
          <w:rFonts w:hint="eastAsia" w:cs="宋体" w:asciiTheme="minorEastAsia" w:hAnsiTheme="minorEastAsia" w:eastAsiaTheme="minorEastAsia"/>
          <w:color w:val="auto"/>
          <w:highlight w:val="none"/>
        </w:rPr>
        <w:t>。</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3、供应商为本项目提供服务的从业人员应依照《中华人民共和国劳动合同法》订立劳动合同。</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供应商应严格执行《中华人民共和国民法典》、《中华人民共和国劳动合同法》及项目所在地最低工资标准等相关法律、法规并依法与服务人员签订劳动合同，并办理各种用工手续，如因用工不当，给采购人及服务人员造成的损失由供应商全额承担(</w:t>
      </w:r>
      <w:r>
        <w:rPr>
          <w:rFonts w:hint="eastAsia" w:cs="宋体" w:asciiTheme="minorEastAsia" w:hAnsiTheme="minorEastAsia" w:eastAsiaTheme="minorEastAsia"/>
          <w:b/>
          <w:bCs/>
          <w:color w:val="auto"/>
          <w:highlight w:val="none"/>
        </w:rPr>
        <w:t>应在投标文件中提供承诺函，格式自拟</w:t>
      </w:r>
      <w:r>
        <w:rPr>
          <w:rFonts w:hint="eastAsia" w:cs="宋体" w:asciiTheme="minorEastAsia" w:hAnsiTheme="minorEastAsia" w:eastAsiaTheme="minorEastAsia"/>
          <w:color w:val="auto"/>
          <w:highlight w:val="none"/>
        </w:rPr>
        <w:t>)。</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5、供应商服务从业人员在服务期间发生伤亡事故，或在服务过程中造成第三人伤亡的，责任由供应商全额承担(</w:t>
      </w:r>
      <w:r>
        <w:rPr>
          <w:rFonts w:hint="eastAsia" w:cs="宋体" w:asciiTheme="minorEastAsia" w:hAnsiTheme="minorEastAsia" w:eastAsiaTheme="minorEastAsia"/>
          <w:b/>
          <w:bCs/>
          <w:color w:val="auto"/>
          <w:highlight w:val="none"/>
        </w:rPr>
        <w:t>应在投标文件中提供承诺函，格式自拟</w:t>
      </w:r>
      <w:r>
        <w:rPr>
          <w:rFonts w:hint="eastAsia" w:cs="宋体" w:asciiTheme="minorEastAsia" w:hAnsiTheme="minorEastAsia" w:eastAsiaTheme="minorEastAsia"/>
          <w:color w:val="auto"/>
          <w:highlight w:val="none"/>
        </w:rPr>
        <w:t>)。</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6、采购人定期核对供应商提供服务所配备的人员数量及相关信息，对于未按照采购文件及投标响应要求执行或存在不合理的部分有权下达整改通知书，并要求供应商限期整改。</w:t>
      </w:r>
    </w:p>
    <w:p>
      <w:pPr>
        <w:pStyle w:val="69"/>
        <w:numPr>
          <w:ilvl w:val="3"/>
          <w:numId w:val="0"/>
        </w:num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7、供应商定期及时向采购人通告本项目服务范围内有关服务的重大事项及其进度。</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8、接受项目行业管理部门及政府有关部门的指导，接受采购人的监督。</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9、供应商应遵守五个附件的规范要求。(附件</w:t>
      </w:r>
      <w:r>
        <w:rPr>
          <w:rFonts w:cs="宋体" w:asciiTheme="minorEastAsia" w:hAnsiTheme="minorEastAsia" w:eastAsiaTheme="minorEastAsia"/>
          <w:color w:val="000000" w:themeColor="text1"/>
          <w:highlight w:val="none"/>
          <w14:textFill>
            <w14:solidFill>
              <w14:schemeClr w14:val="tx1"/>
            </w14:solidFill>
          </w14:textFill>
        </w:rPr>
        <w:t>1：成都市新型二维地理实体数据生产与更新技术要求</w:t>
      </w:r>
      <w:r>
        <w:rPr>
          <w:rFonts w:hint="eastAsia" w:cs="宋体" w:asciiTheme="minorEastAsia" w:hAnsiTheme="minorEastAsia" w:eastAsiaTheme="minorEastAsia"/>
          <w:color w:val="000000" w:themeColor="text1"/>
          <w:highlight w:val="none"/>
          <w14:textFill>
            <w14:solidFill>
              <w14:schemeClr w14:val="tx1"/>
            </w14:solidFill>
          </w14:textFill>
        </w:rPr>
        <w:t>、附件2：</w:t>
      </w:r>
      <w:r>
        <w:rPr>
          <w:rFonts w:cs="宋体" w:asciiTheme="minorEastAsia" w:hAnsiTheme="minorEastAsia" w:eastAsiaTheme="minorEastAsia"/>
          <w:color w:val="000000" w:themeColor="text1"/>
          <w:highlight w:val="none"/>
          <w14:textFill>
            <w14:solidFill>
              <w14:schemeClr w14:val="tx1"/>
            </w14:solidFill>
          </w14:textFill>
        </w:rPr>
        <w:t>成都市新型二维地理实体数据</w:t>
      </w:r>
      <w:r>
        <w:rPr>
          <w:rFonts w:hint="eastAsia" w:cs="宋体" w:asciiTheme="minorEastAsia" w:hAnsiTheme="minorEastAsia" w:eastAsiaTheme="minorEastAsia"/>
          <w:color w:val="000000" w:themeColor="text1"/>
          <w:highlight w:val="none"/>
          <w14:textFill>
            <w14:solidFill>
              <w14:schemeClr w14:val="tx1"/>
            </w14:solidFill>
          </w14:textFill>
        </w:rPr>
        <w:t>建库</w:t>
      </w:r>
      <w:r>
        <w:rPr>
          <w:rFonts w:cs="宋体" w:asciiTheme="minorEastAsia" w:hAnsiTheme="minorEastAsia" w:eastAsiaTheme="minorEastAsia"/>
          <w:color w:val="000000" w:themeColor="text1"/>
          <w:highlight w:val="none"/>
          <w14:textFill>
            <w14:solidFill>
              <w14:schemeClr w14:val="tx1"/>
            </w14:solidFill>
          </w14:textFill>
        </w:rPr>
        <w:t>规定、</w:t>
      </w:r>
      <w:r>
        <w:rPr>
          <w:rFonts w:hint="eastAsia" w:cs="宋体" w:asciiTheme="minorEastAsia" w:hAnsiTheme="minorEastAsia" w:eastAsiaTheme="minorEastAsia"/>
          <w:color w:val="000000" w:themeColor="text1"/>
          <w:highlight w:val="none"/>
          <w14:textFill>
            <w14:solidFill>
              <w14:schemeClr w14:val="tx1"/>
            </w14:solidFill>
          </w14:textFill>
        </w:rPr>
        <w:t>附件</w:t>
      </w:r>
      <w:r>
        <w:rPr>
          <w:rFonts w:cs="宋体" w:asciiTheme="minorEastAsia" w:hAnsiTheme="minorEastAsia" w:eastAsiaTheme="minorEastAsia"/>
          <w:color w:val="000000" w:themeColor="text1"/>
          <w:highlight w:val="none"/>
          <w14:textFill>
            <w14:solidFill>
              <w14:schemeClr w14:val="tx1"/>
            </w14:solidFill>
          </w14:textFill>
        </w:rPr>
        <w:t>3：成都市新型三维地理实体数据生产技术要求</w:t>
      </w:r>
      <w:r>
        <w:rPr>
          <w:rFonts w:hint="eastAsia" w:cs="宋体" w:asciiTheme="minorEastAsia" w:hAnsiTheme="minorEastAsia" w:eastAsiaTheme="minorEastAsia"/>
          <w:color w:val="000000" w:themeColor="text1"/>
          <w:highlight w:val="none"/>
          <w14:textFill>
            <w14:solidFill>
              <w14:schemeClr w14:val="tx1"/>
            </w14:solidFill>
          </w14:textFill>
        </w:rPr>
        <w:t>、附件</w:t>
      </w:r>
      <w:r>
        <w:rPr>
          <w:rFonts w:cs="宋体" w:asciiTheme="minorEastAsia" w:hAnsiTheme="minorEastAsia" w:eastAsiaTheme="minorEastAsia"/>
          <w:color w:val="000000" w:themeColor="text1"/>
          <w:highlight w:val="none"/>
          <w14:textFill>
            <w14:solidFill>
              <w14:schemeClr w14:val="tx1"/>
            </w14:solidFill>
          </w14:textFill>
        </w:rPr>
        <w:t>4：成都市影像变化图斑生产技术规定</w:t>
      </w:r>
      <w:r>
        <w:rPr>
          <w:rFonts w:hint="eastAsia" w:cs="宋体" w:asciiTheme="minorEastAsia" w:hAnsiTheme="minorEastAsia" w:eastAsiaTheme="minorEastAsia"/>
          <w:color w:val="000000" w:themeColor="text1"/>
          <w:highlight w:val="none"/>
          <w14:textFill>
            <w14:solidFill>
              <w14:schemeClr w14:val="tx1"/>
            </w14:solidFill>
          </w14:textFill>
        </w:rPr>
        <w:t>、附件</w:t>
      </w:r>
      <w:r>
        <w:rPr>
          <w:rFonts w:cs="宋体" w:asciiTheme="minorEastAsia" w:hAnsiTheme="minorEastAsia" w:eastAsiaTheme="minorEastAsia"/>
          <w:color w:val="000000" w:themeColor="text1"/>
          <w:highlight w:val="none"/>
          <w14:textFill>
            <w14:solidFill>
              <w14:schemeClr w14:val="tx1"/>
            </w14:solidFill>
          </w14:textFill>
        </w:rPr>
        <w:t>5：成都市影像变化图斑建库规定</w:t>
      </w:r>
      <w:r>
        <w:rPr>
          <w:rFonts w:hint="eastAsia" w:cs="宋体" w:asciiTheme="minorEastAsia" w:hAnsiTheme="minorEastAsia" w:eastAsiaTheme="minorEastAsia"/>
          <w:color w:val="000000" w:themeColor="text1"/>
          <w:highlight w:val="none"/>
          <w14:textFill>
            <w14:solidFill>
              <w14:schemeClr w14:val="tx1"/>
            </w14:solidFill>
          </w14:textFill>
        </w:rPr>
        <w:t>。)</w:t>
      </w:r>
    </w:p>
    <w:p>
      <w:pPr>
        <w:pStyle w:val="53"/>
        <w:ind w:firstLine="0" w:firstLineChars="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注意：①本章带“※”号条款为实质性要求，投标人若未满足的，将被视为无效投标。</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②本项目涉及企业资质、产品认证、人员执业资格等描述与国家最新要求不一致时以最新要求为准。</w:t>
      </w:r>
      <w:r>
        <w:rPr>
          <w:rFonts w:hint="eastAsia" w:cs="宋体" w:asciiTheme="minorEastAsia" w:hAnsiTheme="minorEastAsia" w:eastAsiaTheme="minorEastAsia"/>
          <w:color w:val="auto"/>
          <w:highlight w:val="none"/>
        </w:rPr>
        <w:br w:type="page"/>
      </w:r>
    </w:p>
    <w:bookmarkEnd w:id="1017"/>
    <w:bookmarkEnd w:id="1018"/>
    <w:bookmarkEnd w:id="1019"/>
    <w:p>
      <w:pPr>
        <w:pStyle w:val="54"/>
        <w:numPr>
          <w:ilvl w:val="0"/>
          <w:numId w:val="11"/>
        </w:numPr>
        <w:spacing w:before="120" w:after="120"/>
        <w:rPr>
          <w:rFonts w:cs="宋体" w:asciiTheme="minorEastAsia" w:hAnsiTheme="minorEastAsia" w:eastAsiaTheme="minorEastAsia"/>
          <w:color w:val="auto"/>
          <w:highlight w:val="none"/>
        </w:rPr>
      </w:pPr>
      <w:bookmarkStart w:id="1080" w:name="_Toc32447"/>
      <w:bookmarkStart w:id="1081" w:name="_Toc10570"/>
      <w:bookmarkStart w:id="1082" w:name="_Toc21443"/>
      <w:bookmarkStart w:id="1083" w:name="_Toc3881"/>
      <w:bookmarkStart w:id="1084" w:name="_Toc2232"/>
      <w:bookmarkStart w:id="1085" w:name="_Toc1543"/>
      <w:bookmarkStart w:id="1086" w:name="_Toc308084645"/>
      <w:bookmarkStart w:id="1087" w:name="_Toc26923"/>
      <w:bookmarkStart w:id="1088" w:name="_Toc208849007"/>
      <w:bookmarkStart w:id="1089" w:name="_Toc327196339"/>
      <w:bookmarkStart w:id="1090" w:name="_Toc11039"/>
      <w:bookmarkStart w:id="1091" w:name="_Toc25959"/>
      <w:bookmarkStart w:id="1092" w:name="_Toc307564896"/>
      <w:bookmarkStart w:id="1093" w:name="_Toc309897563"/>
      <w:bookmarkStart w:id="1094" w:name="_Toc308188198"/>
      <w:bookmarkStart w:id="1095" w:name="_Toc307501154"/>
      <w:bookmarkStart w:id="1096" w:name="_Toc217446097"/>
      <w:bookmarkStart w:id="1097" w:name="_Toc183582280"/>
      <w:bookmarkStart w:id="1098" w:name="_Toc483"/>
      <w:bookmarkStart w:id="1099" w:name="_Toc21302"/>
      <w:bookmarkStart w:id="1100" w:name="_Toc319440188"/>
      <w:bookmarkStart w:id="1101" w:name="_Toc25435"/>
      <w:bookmarkStart w:id="1102" w:name="_Toc319439946"/>
      <w:bookmarkStart w:id="1103" w:name="_Toc4553"/>
      <w:bookmarkStart w:id="1104" w:name="_Toc183682415"/>
      <w:r>
        <w:rPr>
          <w:rFonts w:hint="eastAsia" w:cs="宋体" w:asciiTheme="minorEastAsia" w:hAnsiTheme="minorEastAsia" w:eastAsiaTheme="minorEastAsia"/>
          <w:color w:val="auto"/>
          <w:highlight w:val="none"/>
        </w:rPr>
        <w:t>评标办法</w:t>
      </w:r>
      <w:bookmarkEnd w:id="1080"/>
      <w:bookmarkEnd w:id="1081"/>
      <w:bookmarkEnd w:id="1082"/>
      <w:bookmarkStart w:id="1105" w:name="_Hlt101846155"/>
      <w:bookmarkEnd w:id="1105"/>
    </w:p>
    <w:p>
      <w:pPr>
        <w:pStyle w:val="40"/>
        <w:numPr>
          <w:ilvl w:val="1"/>
          <w:numId w:val="11"/>
        </w:numPr>
        <w:ind w:left="0" w:firstLine="482"/>
        <w:rPr>
          <w:rFonts w:cs="宋体" w:asciiTheme="minorEastAsia" w:hAnsiTheme="minorEastAsia" w:eastAsiaTheme="minorEastAsia"/>
          <w:color w:val="auto"/>
          <w:highlight w:val="none"/>
        </w:rPr>
      </w:pPr>
      <w:bookmarkStart w:id="1106" w:name="_Toc16563"/>
      <w:bookmarkStart w:id="1107" w:name="_Toc20378"/>
      <w:r>
        <w:rPr>
          <w:rFonts w:hint="eastAsia" w:cs="宋体" w:asciiTheme="minorEastAsia" w:hAnsiTheme="minorEastAsia" w:eastAsiaTheme="minorEastAsia"/>
          <w:color w:val="auto"/>
          <w:highlight w:val="none"/>
        </w:rPr>
        <w:t>总则</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6"/>
      <w:bookmarkEnd w:id="1107"/>
    </w:p>
    <w:p>
      <w:pPr>
        <w:pStyle w:val="38"/>
        <w:numPr>
          <w:ilvl w:val="1"/>
          <w:numId w:val="5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根据《中华人民共和国政府采购法》、《中华人民共和国政府采购法实施条例》和《政府采购货物和服务招标投标管理办法》(财政部令第87号)等法律规章，结合采购项目特点制定本评标办法。</w:t>
      </w:r>
    </w:p>
    <w:p>
      <w:pPr>
        <w:pStyle w:val="38"/>
        <w:numPr>
          <w:ilvl w:val="1"/>
          <w:numId w:val="5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评标工作由采购代理机构负责组织，具体评标事务由采购代理机构依法组建的评标委员会负责。评标委员会由采购人代表和有关技术、经济等方面的专家组成。</w:t>
      </w:r>
    </w:p>
    <w:p>
      <w:pPr>
        <w:pStyle w:val="38"/>
        <w:numPr>
          <w:ilvl w:val="1"/>
          <w:numId w:val="5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评标工作应遵循公平、公正、科学及择优的原则，并以相同的评标程序和标准对待所有的投标人。</w:t>
      </w:r>
    </w:p>
    <w:p>
      <w:pPr>
        <w:pStyle w:val="38"/>
        <w:numPr>
          <w:ilvl w:val="1"/>
          <w:numId w:val="52"/>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评标委员会按照招标文件规定的评标方法和标准进行评标，并独立履行下列职责：</w:t>
      </w:r>
    </w:p>
    <w:p>
      <w:pPr>
        <w:pStyle w:val="41"/>
        <w:ind w:firstLine="480"/>
        <w:rPr>
          <w:rFonts w:cs="宋体" w:asciiTheme="minorEastAsia" w:hAnsiTheme="minorEastAsia" w:eastAsiaTheme="minorEastAsia"/>
          <w:color w:val="auto"/>
          <w:highlight w:val="none"/>
        </w:rPr>
      </w:pPr>
      <w:bookmarkStart w:id="1108" w:name="_Toc217446098"/>
      <w:r>
        <w:rPr>
          <w:rFonts w:hint="eastAsia" w:cs="宋体" w:asciiTheme="minorEastAsia" w:hAnsiTheme="minorEastAsia" w:eastAsiaTheme="minorEastAsia"/>
          <w:color w:val="auto"/>
          <w:highlight w:val="none"/>
        </w:rPr>
        <w:t>审查、评价投标文件是否符合招标文件的商务、技术等实质性要求；</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要求投标人对投标文件有关事项作出澄清或者说明；</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对投标文件进行比较和评价；</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确定中标候选人名单；</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向采购人、采购代理机构或者有关部门报告评标中发现的违法行为。</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评标过程独立、保密。投标人非法干预评标过程的行为将导致其投标文件作为无效处理。</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评标委员会评价投标文件的响应性，对于投标人而言，除评标委员会要求其澄清、说明或者纠正而提供的资料外，仅依据投标文件本身的内容，不寻求其他外部证据。</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40"/>
        <w:numPr>
          <w:ilvl w:val="1"/>
          <w:numId w:val="11"/>
        </w:numPr>
        <w:ind w:left="0" w:firstLine="482"/>
        <w:rPr>
          <w:rFonts w:cs="宋体" w:asciiTheme="minorEastAsia" w:hAnsiTheme="minorEastAsia" w:eastAsiaTheme="minorEastAsia"/>
          <w:color w:val="auto"/>
          <w:highlight w:val="none"/>
        </w:rPr>
      </w:pPr>
      <w:bookmarkStart w:id="1109" w:name="_Toc327196340"/>
      <w:bookmarkStart w:id="1110" w:name="_Toc14100"/>
      <w:bookmarkStart w:id="1111" w:name="_Toc8987"/>
      <w:bookmarkStart w:id="1112" w:name="_Toc25612"/>
      <w:bookmarkStart w:id="1113" w:name="_Toc319440189"/>
      <w:bookmarkStart w:id="1114" w:name="_Toc8496"/>
      <w:bookmarkStart w:id="1115" w:name="_Toc5152"/>
      <w:bookmarkStart w:id="1116" w:name="_Toc5338"/>
      <w:bookmarkStart w:id="1117" w:name="_Toc23669"/>
      <w:bookmarkStart w:id="1118" w:name="_Toc10398"/>
      <w:bookmarkStart w:id="1119" w:name="_Toc3371"/>
      <w:bookmarkStart w:id="1120" w:name="_Toc26792"/>
      <w:bookmarkStart w:id="1121" w:name="_Toc3915"/>
      <w:bookmarkStart w:id="1122" w:name="_Toc12975"/>
      <w:r>
        <w:rPr>
          <w:rFonts w:hint="eastAsia" w:cs="宋体" w:asciiTheme="minorEastAsia" w:hAnsiTheme="minorEastAsia" w:eastAsiaTheme="minorEastAsia"/>
          <w:color w:val="auto"/>
          <w:highlight w:val="none"/>
        </w:rPr>
        <w:t>评标方法</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本项目评标方法为：综合评分法。</w:t>
      </w:r>
    </w:p>
    <w:p>
      <w:pPr>
        <w:pStyle w:val="40"/>
        <w:numPr>
          <w:ilvl w:val="1"/>
          <w:numId w:val="11"/>
        </w:numPr>
        <w:ind w:left="0" w:firstLine="482"/>
        <w:rPr>
          <w:rFonts w:cs="宋体" w:asciiTheme="minorEastAsia" w:hAnsiTheme="minorEastAsia" w:eastAsiaTheme="minorEastAsia"/>
          <w:color w:val="auto"/>
          <w:highlight w:val="none"/>
        </w:rPr>
      </w:pPr>
      <w:bookmarkStart w:id="1123" w:name="_Toc319440190"/>
      <w:bookmarkStart w:id="1124" w:name="_Toc12151"/>
      <w:bookmarkStart w:id="1125" w:name="_Toc7390"/>
      <w:bookmarkStart w:id="1126" w:name="_Toc19196"/>
      <w:bookmarkStart w:id="1127" w:name="_Toc17374"/>
      <w:bookmarkStart w:id="1128" w:name="_Toc23322"/>
      <w:bookmarkStart w:id="1129" w:name="_Toc9969"/>
      <w:bookmarkStart w:id="1130" w:name="_Toc31119"/>
      <w:bookmarkStart w:id="1131" w:name="_Toc327196341"/>
      <w:bookmarkStart w:id="1132" w:name="_Toc17613"/>
      <w:bookmarkStart w:id="1133" w:name="_Toc5906"/>
      <w:bookmarkStart w:id="1134" w:name="_Toc12883"/>
      <w:bookmarkStart w:id="1135" w:name="_Toc27103"/>
      <w:bookmarkStart w:id="1136" w:name="_Toc5897"/>
      <w:r>
        <w:rPr>
          <w:rFonts w:hint="eastAsia" w:cs="宋体" w:asciiTheme="minorEastAsia" w:hAnsiTheme="minorEastAsia" w:eastAsiaTheme="minorEastAsia"/>
          <w:color w:val="auto"/>
          <w:highlight w:val="none"/>
        </w:rPr>
        <w:t>评标程序</w:t>
      </w:r>
      <w:bookmarkEnd w:id="1108"/>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38"/>
        <w:numPr>
          <w:ilvl w:val="1"/>
          <w:numId w:val="53"/>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熟悉招标文件和停止评标</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评标委员会正式评标前，应当熟悉招标文件，主要包括招标文件中符合性审查内容、采购项目技术、服务和商务要求、评标方法和标准以及政府采购合同主要条款等。</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评标过程中有下列情形之一的，评标委员会成员可以停止评标：</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招标采购单位未提供必要的与采购项目有关的政策制度文件或者招标文件，继续评标将导致违法或者错误评标的；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有关单位和个人非法干预评标委员会依法独立评标的；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其他导致评标委员会无法正常履职的情形。</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符合性审查</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投标文件(包括单独递交的开标一览表)有下列情形的，本项目不作为实质性要求进行规定，即不作为符合性审查事项，不得作为无效投标处理：</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正副本数量齐全，只是未按照招标文件要求进行分装或者统装的；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存在个别地方(不超过2个)没有法定代表人签字，但有法定代表人的私人印章或者有效授权代理人签字的；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除招标文件明确要求加盖单位(法人)公章的以外，其他地方以相关专用章加盖的；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以骑缝章的形式代替投标文件内容逐页盖章的(但是骑缝章模糊不清，印章名称无法辨认的除外)；</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其他不影响采购项目实质性要求的情形。</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除政府采购法律制度规定的情形外，本项目投标人或者其投标文件有下列情形之一的，作为无效投标处理：</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投标文件正副本数量不足的；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投标文件组成明显不符合招标文件的规定要求，影响评标委员会评判的；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投标文件的格式、语言、计量单位、报价货币、知识产权、投标有效期等不符合招标文件的规定，影响评标委员会评判的；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投标报价不符合招标文件规定的价格标底和其他报价规定的；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技术、服务应答内容没有完全响应招标文件的实质性要求的；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招标文件有明确要求，但投标文件未载明或者载明的采购项目服务期限、方式、数量与招标文件要求不一致的；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投标文件含有采购人不能接受的附加条件的。</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比较与评价</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评标委员会应当按照招标文件中规定的评标方法和标准，对符合性审查合格的投标文件进行商务和技术评估，综合比较与评价。</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评标争议处理规则</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供应商应当书面澄清、说明或者纠正</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应当书面澄清、说明或者纠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按财政部规定应当在评标时不予承认的投标文件内容事项；</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投标文件中已经明确的内容事项；</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投标文件未提供的材料。</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本项目采购过程中，投标文件出现下列情况的，不需要供应商澄清、说明或者纠正，按照以下原则处理：</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投标文件的大写金额和小写金额不一致的，以大写金额为准，但大写金额出现文字错误，导致金额无法判断的除外；</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总价金额与按单价汇总金额不一致的，以单价汇总金额计算结果为准，但是单价金额出现计算错误、明显人为工作失误的除外；</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单价金额小数点有明显错位的，应以总价为准，并修改单价；</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对不同语言文本投标文件的解释发生异议的，以中文文本为准。</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出现本条第4.2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注：评标委员会成员应当积极履行澄清、说明或者纠正的职责，不得将应当澄清、说明或者纠正的投标文件作无效投标处理。</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投标文件报价出现前后不一致的，除招标文件另有规定外，按照下列规定修正：</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投标文件中开标一览表(报价表)内容与投标文件中相应内容不一致的，以开标唱标时单独提交的开标一览表(报价表)为准；</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大写金额和小写金额不一致的，以大写金额为准；</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单价金额小数点或者百分比有明显错位的，以开标一览表的总价为准，并修改单价；</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总价金额与按单价汇总金额不一致的，以单价金额计算结果为准。</w:t>
      </w:r>
    </w:p>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低于成本价投标处理</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40"/>
        <w:numPr>
          <w:ilvl w:val="1"/>
          <w:numId w:val="11"/>
        </w:numPr>
        <w:ind w:left="0" w:firstLine="482"/>
        <w:rPr>
          <w:rFonts w:cs="宋体" w:asciiTheme="minorEastAsia" w:hAnsiTheme="minorEastAsia" w:eastAsiaTheme="minorEastAsia"/>
          <w:color w:val="auto"/>
          <w:highlight w:val="none"/>
        </w:rPr>
      </w:pPr>
      <w:bookmarkStart w:id="1137" w:name="_Toc23187"/>
      <w:bookmarkStart w:id="1138" w:name="_Toc308188199"/>
      <w:bookmarkStart w:id="1139" w:name="_Toc26213"/>
      <w:bookmarkStart w:id="1140" w:name="_Toc1756"/>
      <w:bookmarkStart w:id="1141" w:name="_Toc307564897"/>
      <w:bookmarkStart w:id="1142" w:name="_Toc327196342"/>
      <w:bookmarkStart w:id="1143" w:name="_Toc25587"/>
      <w:bookmarkStart w:id="1144" w:name="_Toc24902"/>
      <w:bookmarkStart w:id="1145" w:name="_Toc308084646"/>
      <w:bookmarkStart w:id="1146" w:name="_Toc319439947"/>
      <w:bookmarkStart w:id="1147" w:name="_Toc30417"/>
      <w:bookmarkStart w:id="1148" w:name="_Toc22389"/>
      <w:bookmarkStart w:id="1149" w:name="_Toc309897564"/>
      <w:bookmarkStart w:id="1150" w:name="_Toc307501155"/>
      <w:bookmarkStart w:id="1151" w:name="_Toc319440191"/>
      <w:bookmarkStart w:id="1152" w:name="_Toc8700"/>
      <w:bookmarkStart w:id="1153" w:name="_Toc217446103"/>
      <w:bookmarkStart w:id="1154" w:name="_Toc2106"/>
      <w:bookmarkStart w:id="1155" w:name="_Toc27402"/>
      <w:bookmarkStart w:id="1156" w:name="_Toc21397"/>
      <w:bookmarkStart w:id="1157" w:name="_Toc23140"/>
      <w:r>
        <w:rPr>
          <w:rFonts w:hint="eastAsia" w:cs="宋体" w:asciiTheme="minorEastAsia" w:hAnsiTheme="minorEastAsia" w:eastAsiaTheme="minorEastAsia"/>
          <w:color w:val="auto"/>
          <w:highlight w:val="none"/>
        </w:rPr>
        <w:t>评标细则及标准</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pPr>
        <w:pStyle w:val="38"/>
        <w:numPr>
          <w:ilvl w:val="1"/>
          <w:numId w:val="5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评委会只对通过符合性检查的投标文件，根据招标文件的要求采用相同的评标程序、评分办法及标准进行评价和比较。</w:t>
      </w:r>
    </w:p>
    <w:p>
      <w:pPr>
        <w:pStyle w:val="38"/>
        <w:numPr>
          <w:ilvl w:val="1"/>
          <w:numId w:val="5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本次综合评分的因素是：详见“综合评分明细表中的评分因素及权重”。</w:t>
      </w:r>
    </w:p>
    <w:p>
      <w:pPr>
        <w:pStyle w:val="38"/>
        <w:numPr>
          <w:ilvl w:val="1"/>
          <w:numId w:val="5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8"/>
        <w:numPr>
          <w:ilvl w:val="1"/>
          <w:numId w:val="54"/>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评审得分计算方法</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评审得分＝(A1＋A2＋……＋An)/NA＋(B1＋B2＋……＋Bn)/ NB＋(C1＋C2＋……＋Cn)/ NC＋(D1＋D2＋……＋Dn)/ND</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综合评分明细表</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综合评分明细表的制定以科学合理、降低评委会自由裁量权为原则。</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综合评分明细表</w:t>
      </w:r>
    </w:p>
    <w:p>
      <w:pPr>
        <w:pStyle w:val="41"/>
        <w:numPr>
          <w:ilvl w:val="2"/>
          <w:numId w:val="0"/>
        </w:numPr>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第一包：</w:t>
      </w:r>
    </w:p>
    <w:tbl>
      <w:tblPr>
        <w:tblStyle w:val="26"/>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864"/>
        <w:gridCol w:w="800"/>
        <w:gridCol w:w="5522"/>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440" w:type="dxa"/>
            <w:vAlign w:val="center"/>
          </w:tcPr>
          <w:p>
            <w:pPr>
              <w:pStyle w:val="51"/>
              <w:rPr>
                <w:rFonts w:cs="宋体" w:asciiTheme="minorEastAsia" w:hAnsiTheme="minorEastAsia" w:eastAsiaTheme="minorEastAsia"/>
                <w:b/>
                <w:bCs/>
                <w:color w:val="000000" w:themeColor="text1"/>
                <w:szCs w:val="21"/>
                <w:highlight w:val="none"/>
                <w14:textFill>
                  <w14:solidFill>
                    <w14:schemeClr w14:val="tx1"/>
                  </w14:solidFill>
                </w14:textFill>
              </w:rPr>
            </w:pPr>
            <w:r>
              <w:rPr>
                <w:rFonts w:hint="eastAsia" w:cs="宋体" w:asciiTheme="minorEastAsia" w:hAnsiTheme="minorEastAsia" w:eastAsiaTheme="minorEastAsia"/>
                <w:b/>
                <w:bCs/>
                <w:color w:val="000000" w:themeColor="text1"/>
                <w:szCs w:val="21"/>
                <w:highlight w:val="none"/>
                <w14:textFill>
                  <w14:solidFill>
                    <w14:schemeClr w14:val="tx1"/>
                  </w14:solidFill>
                </w14:textFill>
              </w:rPr>
              <w:t>序号</w:t>
            </w:r>
          </w:p>
        </w:tc>
        <w:tc>
          <w:tcPr>
            <w:tcW w:w="1864" w:type="dxa"/>
            <w:vAlign w:val="center"/>
          </w:tcPr>
          <w:p>
            <w:pPr>
              <w:pStyle w:val="51"/>
              <w:rPr>
                <w:rFonts w:cs="宋体" w:asciiTheme="minorEastAsia" w:hAnsiTheme="minorEastAsia" w:eastAsiaTheme="minorEastAsia"/>
                <w:b/>
                <w:bCs/>
                <w:color w:val="000000" w:themeColor="text1"/>
                <w:szCs w:val="21"/>
                <w:highlight w:val="none"/>
                <w14:textFill>
                  <w14:solidFill>
                    <w14:schemeClr w14:val="tx1"/>
                  </w14:solidFill>
                </w14:textFill>
              </w:rPr>
            </w:pPr>
            <w:r>
              <w:rPr>
                <w:rFonts w:hint="eastAsia" w:cs="宋体" w:asciiTheme="minorEastAsia" w:hAnsiTheme="minorEastAsia" w:eastAsiaTheme="minorEastAsia"/>
                <w:b/>
                <w:bCs/>
                <w:color w:val="000000" w:themeColor="text1"/>
                <w:szCs w:val="21"/>
                <w:highlight w:val="none"/>
                <w14:textFill>
                  <w14:solidFill>
                    <w14:schemeClr w14:val="tx1"/>
                  </w14:solidFill>
                </w14:textFill>
              </w:rPr>
              <w:t>评分因素</w:t>
            </w:r>
          </w:p>
          <w:p>
            <w:pPr>
              <w:pStyle w:val="51"/>
              <w:rPr>
                <w:rFonts w:cs="宋体" w:asciiTheme="minorEastAsia" w:hAnsiTheme="minorEastAsia" w:eastAsiaTheme="minorEastAsia"/>
                <w:b/>
                <w:bCs/>
                <w:color w:val="000000" w:themeColor="text1"/>
                <w:szCs w:val="21"/>
                <w:highlight w:val="none"/>
                <w14:textFill>
                  <w14:solidFill>
                    <w14:schemeClr w14:val="tx1"/>
                  </w14:solidFill>
                </w14:textFill>
              </w:rPr>
            </w:pPr>
            <w:r>
              <w:rPr>
                <w:rFonts w:hint="eastAsia" w:cs="宋体" w:asciiTheme="minorEastAsia" w:hAnsiTheme="minorEastAsia" w:eastAsiaTheme="minorEastAsia"/>
                <w:b/>
                <w:bCs/>
                <w:color w:val="000000" w:themeColor="text1"/>
                <w:szCs w:val="21"/>
                <w:highlight w:val="none"/>
                <w14:textFill>
                  <w14:solidFill>
                    <w14:schemeClr w14:val="tx1"/>
                  </w14:solidFill>
                </w14:textFill>
              </w:rPr>
              <w:t>及权重</w:t>
            </w:r>
          </w:p>
        </w:tc>
        <w:tc>
          <w:tcPr>
            <w:tcW w:w="800" w:type="dxa"/>
            <w:vAlign w:val="center"/>
          </w:tcPr>
          <w:p>
            <w:pPr>
              <w:pStyle w:val="51"/>
              <w:rPr>
                <w:rFonts w:cs="宋体" w:asciiTheme="minorEastAsia" w:hAnsiTheme="minorEastAsia" w:eastAsiaTheme="minorEastAsia"/>
                <w:b/>
                <w:bCs/>
                <w:color w:val="000000" w:themeColor="text1"/>
                <w:szCs w:val="21"/>
                <w:highlight w:val="none"/>
                <w14:textFill>
                  <w14:solidFill>
                    <w14:schemeClr w14:val="tx1"/>
                  </w14:solidFill>
                </w14:textFill>
              </w:rPr>
            </w:pPr>
            <w:r>
              <w:rPr>
                <w:rFonts w:hint="eastAsia" w:cs="宋体" w:asciiTheme="minorEastAsia" w:hAnsiTheme="minorEastAsia" w:eastAsiaTheme="minorEastAsia"/>
                <w:b/>
                <w:bCs/>
                <w:color w:val="000000" w:themeColor="text1"/>
                <w:szCs w:val="21"/>
                <w:highlight w:val="none"/>
                <w14:textFill>
                  <w14:solidFill>
                    <w14:schemeClr w14:val="tx1"/>
                  </w14:solidFill>
                </w14:textFill>
              </w:rPr>
              <w:t>分值</w:t>
            </w:r>
          </w:p>
        </w:tc>
        <w:tc>
          <w:tcPr>
            <w:tcW w:w="5522"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b/>
                <w:bCs/>
                <w:color w:val="000000" w:themeColor="text1"/>
                <w:szCs w:val="21"/>
                <w:highlight w:val="none"/>
                <w14:textFill>
                  <w14:solidFill>
                    <w14:schemeClr w14:val="tx1"/>
                  </w14:solidFill>
                </w14:textFill>
              </w:rPr>
              <w:t>评分标准</w:t>
            </w:r>
          </w:p>
        </w:tc>
        <w:tc>
          <w:tcPr>
            <w:tcW w:w="1334" w:type="dxa"/>
            <w:vAlign w:val="center"/>
          </w:tcPr>
          <w:p>
            <w:pPr>
              <w:pStyle w:val="51"/>
              <w:rPr>
                <w:rFonts w:cs="宋体" w:asciiTheme="minorEastAsia" w:hAnsiTheme="minorEastAsia" w:eastAsiaTheme="minorEastAsia"/>
                <w:b/>
                <w:bCs/>
                <w:color w:val="000000" w:themeColor="text1"/>
                <w:szCs w:val="21"/>
                <w:highlight w:val="none"/>
                <w14:textFill>
                  <w14:solidFill>
                    <w14:schemeClr w14:val="tx1"/>
                  </w14:solidFill>
                </w14:textFill>
              </w:rPr>
            </w:pPr>
            <w:r>
              <w:rPr>
                <w:rFonts w:hint="eastAsia" w:cs="宋体" w:asciiTheme="minorEastAsia" w:hAnsiTheme="minorEastAsia" w:eastAsiaTheme="minorEastAsia"/>
                <w:b/>
                <w:bCs/>
                <w:color w:val="000000" w:themeColor="text1"/>
                <w:szCs w:val="21"/>
                <w:highlight w:val="none"/>
                <w14:textFill>
                  <w14:solidFill>
                    <w14:schemeClr w14:val="tx1"/>
                  </w14:solidFill>
                </w14:textFill>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一</w:t>
            </w:r>
          </w:p>
        </w:tc>
        <w:tc>
          <w:tcPr>
            <w:tcW w:w="186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投标报价</w:t>
            </w:r>
          </w:p>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w:t>
            </w:r>
            <w:r>
              <w:rPr>
                <w:rFonts w:cs="宋体" w:asciiTheme="minorEastAsia" w:hAnsiTheme="minorEastAsia" w:eastAsiaTheme="minorEastAsia"/>
                <w:color w:val="000000" w:themeColor="text1"/>
                <w:szCs w:val="21"/>
                <w:highlight w:val="none"/>
                <w14:textFill>
                  <w14:solidFill>
                    <w14:schemeClr w14:val="tx1"/>
                  </w14:solidFill>
                </w14:textFill>
              </w:rPr>
              <w:t>5</w:t>
            </w:r>
            <w:r>
              <w:rPr>
                <w:rFonts w:hint="eastAsia" w:cs="宋体" w:asciiTheme="minorEastAsia" w:hAnsiTheme="minorEastAsia" w:eastAsiaTheme="minorEastAsia"/>
                <w:color w:val="000000" w:themeColor="text1"/>
                <w:szCs w:val="21"/>
                <w:highlight w:val="none"/>
                <w14:textFill>
                  <w14:solidFill>
                    <w14:schemeClr w14:val="tx1"/>
                  </w14:solidFill>
                </w14:textFill>
              </w:rPr>
              <w:t>%</w:t>
            </w:r>
          </w:p>
        </w:tc>
        <w:tc>
          <w:tcPr>
            <w:tcW w:w="80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15</w:t>
            </w:r>
            <w:r>
              <w:rPr>
                <w:rFonts w:hint="eastAsia" w:cs="宋体" w:asciiTheme="minorEastAsia" w:hAnsiTheme="minorEastAsia" w:eastAsiaTheme="minorEastAsia"/>
                <w:color w:val="000000" w:themeColor="text1"/>
                <w:szCs w:val="21"/>
                <w:highlight w:val="none"/>
                <w14:textFill>
                  <w14:solidFill>
                    <w14:schemeClr w14:val="tx1"/>
                  </w14:solidFill>
                </w14:textFill>
              </w:rPr>
              <w:t>分</w:t>
            </w:r>
          </w:p>
        </w:tc>
        <w:tc>
          <w:tcPr>
            <w:tcW w:w="5522" w:type="dxa"/>
            <w:vAlign w:val="center"/>
          </w:tcPr>
          <w:p>
            <w:pPr>
              <w:pStyle w:val="47"/>
              <w:ind w:left="24" w:leftChars="1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满足招标文件要求且投标价格最低的投标报价为评标基准价，其价格分为满分。其他投标人的价格分统一按照下列公式计算：投标报价得分=(评标基准价／投标报价)×</w:t>
            </w:r>
            <w:r>
              <w:rPr>
                <w:rFonts w:cs="宋体" w:asciiTheme="minorEastAsia" w:hAnsiTheme="minorEastAsia" w:eastAsiaTheme="minorEastAsia"/>
                <w:color w:val="000000" w:themeColor="text1"/>
                <w:szCs w:val="21"/>
                <w:highlight w:val="none"/>
                <w14:textFill>
                  <w14:solidFill>
                    <w14:schemeClr w14:val="tx1"/>
                  </w14:solidFill>
                </w14:textFill>
              </w:rPr>
              <w:t>15</w:t>
            </w:r>
            <w:r>
              <w:rPr>
                <w:rFonts w:hint="eastAsia" w:cs="宋体" w:asciiTheme="minorEastAsia" w:hAnsiTheme="minorEastAsia" w:eastAsiaTheme="minorEastAsia"/>
                <w:color w:val="000000" w:themeColor="text1"/>
                <w:szCs w:val="21"/>
                <w:highlight w:val="none"/>
                <w14:textFill>
                  <w14:solidFill>
                    <w14:schemeClr w14:val="tx1"/>
                  </w14:solidFill>
                </w14:textFill>
              </w:rPr>
              <w:t>%×100；</w:t>
            </w:r>
          </w:p>
          <w:p>
            <w:pPr>
              <w:pStyle w:val="47"/>
              <w:ind w:left="24" w:leftChars="1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注：评标过程中，不得去掉报价中的最高报价和最低报价。</w:t>
            </w:r>
          </w:p>
        </w:tc>
        <w:tc>
          <w:tcPr>
            <w:tcW w:w="133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二</w:t>
            </w:r>
          </w:p>
        </w:tc>
        <w:tc>
          <w:tcPr>
            <w:tcW w:w="186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技术方案</w:t>
            </w:r>
          </w:p>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30</w:t>
            </w:r>
            <w:r>
              <w:rPr>
                <w:rFonts w:hint="eastAsia" w:cs="宋体" w:asciiTheme="minorEastAsia" w:hAnsiTheme="minorEastAsia" w:eastAsiaTheme="minorEastAsia"/>
                <w:color w:val="000000" w:themeColor="text1"/>
                <w:szCs w:val="21"/>
                <w:highlight w:val="none"/>
                <w14:textFill>
                  <w14:solidFill>
                    <w14:schemeClr w14:val="tx1"/>
                  </w14:solidFill>
                </w14:textFill>
              </w:rPr>
              <w:t>%</w:t>
            </w:r>
          </w:p>
        </w:tc>
        <w:tc>
          <w:tcPr>
            <w:tcW w:w="80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30</w:t>
            </w:r>
          </w:p>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分</w:t>
            </w:r>
          </w:p>
        </w:tc>
        <w:tc>
          <w:tcPr>
            <w:tcW w:w="5522" w:type="dxa"/>
            <w:vAlign w:val="center"/>
          </w:tcPr>
          <w:p>
            <w:pPr>
              <w:wordWrap w:val="0"/>
              <w:spacing w:line="400" w:lineRule="exact"/>
              <w:ind w:firstLine="28"/>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根据供应商针对本项目提供的技术方案进行综合评审，方案至少包含①项目分析理解；②技术路线及专业知识准备；③重难点分析与解决方案；④二维地理实体更新；⑤三维地理实体生产；⑥质量控制体系；⑦成果校对整理提交；⑧后期服务等八个方面的内容。技术方案内容完整全面、与项目技术需求吻合、思路清晰、层次结构细化，有具体详细的阐述且符合项目要求的得30分；每缺少一项内容或每有一项内容不满足要求的扣3.75分，每有一处方案内容存在缺陷的扣1.5分；扣完为止。</w:t>
            </w:r>
          </w:p>
          <w:p>
            <w:pPr>
              <w:wordWrap w:val="0"/>
              <w:spacing w:before="120" w:beforeLines="50" w:line="400" w:lineRule="exact"/>
              <w:rPr>
                <w:rFonts w:cs="宋体" w:asciiTheme="minorEastAsia" w:hAnsiTheme="minorEastAsia" w:eastAsiaTheme="minorEastAsia"/>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注：技术方案内容存在缺陷是指以下任意一种情形：项目名称、实施地点、涉及的工作依据与本项目要求不一致；技术路线与本项目需求不匹配；重难点分析与解决方案与本项目不符；实施的任务内容不全面、实施流程、技术方法不规范或有漏缺项；质控管理缺乏有效监督检查机制；成果提交内容存在错漏；后期服务内容及流程与本项目不符；后期服务质量保障措施与本项目不匹配；套用其他项目方案内容。</w:t>
            </w:r>
          </w:p>
        </w:tc>
        <w:tc>
          <w:tcPr>
            <w:tcW w:w="133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三</w:t>
            </w:r>
          </w:p>
        </w:tc>
        <w:tc>
          <w:tcPr>
            <w:tcW w:w="186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实施方案</w:t>
            </w:r>
          </w:p>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18%</w:t>
            </w:r>
          </w:p>
        </w:tc>
        <w:tc>
          <w:tcPr>
            <w:tcW w:w="80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18</w:t>
            </w:r>
          </w:p>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分</w:t>
            </w:r>
          </w:p>
        </w:tc>
        <w:tc>
          <w:tcPr>
            <w:tcW w:w="5522" w:type="dxa"/>
            <w:vAlign w:val="center"/>
          </w:tcPr>
          <w:p>
            <w:pPr>
              <w:wordWrap w:val="0"/>
              <w:spacing w:before="120" w:beforeLines="50"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根据供应商针对本项目提供的实施方案进行综合评审，方案至少包含①项目管理组织；②机构和人员岗位配置；③项目工作内容、流程及质量保证措施；④工期承诺及安全工作保证措施；⑤档案管理及数据安全保密措施等五个方面的内容。实施方案内容完整全面、与项目实施要求匹配、思路清晰、层次结构细化，有具体详细的阐述且符合项目要求的得18分；每缺少一项内容或每有一项内容不满足要求的扣3.6分，每有一处方案内容存在缺陷的扣1.5分；扣完为止。</w:t>
            </w:r>
          </w:p>
          <w:p>
            <w:pPr>
              <w:wordWrap w:val="0"/>
              <w:spacing w:before="120" w:beforeLines="50"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注：实施方案内容存在缺陷是指以下任意一种情形：项目管理机构设置不合理，不能满足项目需求；人员配置不完善或岗位职责交叉混乱；进度计划超期或工期措施过于简略，不能满足项目要求；质控管理缺乏有效监督检查机制；数据保密措施不完善，不能满足本项目保密需求；套用其他项目方案内容。</w:t>
            </w:r>
          </w:p>
        </w:tc>
        <w:tc>
          <w:tcPr>
            <w:tcW w:w="133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四</w:t>
            </w:r>
          </w:p>
        </w:tc>
        <w:tc>
          <w:tcPr>
            <w:tcW w:w="186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人员配置</w:t>
            </w:r>
          </w:p>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18%</w:t>
            </w:r>
          </w:p>
        </w:tc>
        <w:tc>
          <w:tcPr>
            <w:tcW w:w="80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18分</w:t>
            </w:r>
          </w:p>
        </w:tc>
        <w:tc>
          <w:tcPr>
            <w:tcW w:w="5522" w:type="dxa"/>
            <w:vAlign w:val="center"/>
          </w:tcPr>
          <w:p>
            <w:pPr>
              <w:wordWrap w:val="0"/>
              <w:spacing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1.项目负责人(1人)：本项最多得3分。</w:t>
            </w:r>
          </w:p>
          <w:p>
            <w:pPr>
              <w:wordWrap w:val="0"/>
              <w:spacing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拟为本项目配备的项目负责人具有测绘相关专业副高级职称的得1分，具有测绘相关专业正高级职称的得2分；同时具有测绘类资格证书的加1分。</w:t>
            </w:r>
          </w:p>
          <w:p>
            <w:pPr>
              <w:wordWrap w:val="0"/>
              <w:spacing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2.项目技术负责人(1人)：本项最多得3分。</w:t>
            </w:r>
          </w:p>
          <w:p>
            <w:pPr>
              <w:wordWrap w:val="0"/>
              <w:spacing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拟为本项目配备的项目技术负责人具有测绘相关专业副高级职称的得1分，具有测绘相关专业正高级职称的得2分；同时具有测绘类资格证书的加1分。</w:t>
            </w:r>
          </w:p>
          <w:p>
            <w:pPr>
              <w:wordWrap w:val="0"/>
              <w:spacing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3.项目质量负责人(</w:t>
            </w:r>
            <w:r>
              <w:rPr>
                <w:rFonts w:cs="宋体" w:asciiTheme="minorEastAsia" w:hAnsiTheme="minorEastAsia" w:eastAsiaTheme="minorEastAsia"/>
                <w:snapToGrid w:val="0"/>
                <w:color w:val="000000" w:themeColor="text1"/>
                <w:sz w:val="21"/>
                <w:szCs w:val="21"/>
                <w:highlight w:val="none"/>
                <w14:textFill>
                  <w14:solidFill>
                    <w14:schemeClr w14:val="tx1"/>
                  </w14:solidFill>
                </w14:textFill>
              </w:rPr>
              <w:t>1</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人)：本项最多得3分。</w:t>
            </w:r>
          </w:p>
          <w:p>
            <w:pPr>
              <w:wordWrap w:val="0"/>
              <w:spacing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拟为本项目配备的项目质量负责人具有测绘相关专业副高级职称的得1分，具有测绘相关专业正高级职称的得2分；同时具有测绘类资格证书的加1分。</w:t>
            </w:r>
          </w:p>
          <w:p>
            <w:pPr>
              <w:wordWrap w:val="0"/>
              <w:spacing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4.其他成员：本项最多得9分。</w:t>
            </w:r>
          </w:p>
          <w:p>
            <w:pPr>
              <w:wordWrap w:val="0"/>
              <w:spacing w:line="400" w:lineRule="exact"/>
              <w:rPr>
                <w:rFonts w:cs="宋体" w:asciiTheme="minorEastAsia" w:hAnsiTheme="minorEastAsia" w:eastAsiaTheme="minorEastAsia"/>
                <w:snapToGrid w:val="0"/>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拟为本项目配备的项目其他成员(不包含项目负责人、项目技术负责人和项目质量负责人)，具有测绘相关专业中级职称的，每有一个得0</w:t>
            </w:r>
            <w:r>
              <w:rPr>
                <w:rFonts w:cs="宋体" w:asciiTheme="minorEastAsia" w:hAnsiTheme="minorEastAsia" w:eastAsiaTheme="minorEastAsia"/>
                <w:snapToGrid w:val="0"/>
                <w:color w:val="000000" w:themeColor="text1"/>
                <w:sz w:val="21"/>
                <w:szCs w:val="21"/>
                <w:highlight w:val="none"/>
                <w14:textFill>
                  <w14:solidFill>
                    <w14:schemeClr w14:val="tx1"/>
                  </w14:solidFill>
                </w14:textFill>
              </w:rPr>
              <w:t>.2</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分；具有测绘相关专业高级及以上职称的，每有一个得0.3分，最多得6分，上述人员同时具有测绘类资格证书的加0.3分，最多加3分。</w:t>
            </w:r>
          </w:p>
          <w:p>
            <w:pPr>
              <w:wordWrap w:val="0"/>
              <w:spacing w:line="400" w:lineRule="exact"/>
              <w:rPr>
                <w:rFonts w:cs="宋体" w:asciiTheme="minorEastAsia" w:hAnsiTheme="minorEastAsia" w:eastAsiaTheme="minorEastAsia"/>
                <w:color w:val="000000" w:themeColor="text1"/>
                <w:sz w:val="21"/>
                <w:szCs w:val="21"/>
                <w:highlight w:val="none"/>
                <w14:textFill>
                  <w14:solidFill>
                    <w14:schemeClr w14:val="tx1"/>
                  </w14:solidFill>
                </w14:textFill>
              </w:rPr>
            </w:pP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注：①证明材料须提供相关人员有效的身份证复印件、资格证书复印件及在职证明材料复印件加盖投标人公章；②人员不重复计分。</w:t>
            </w:r>
          </w:p>
        </w:tc>
        <w:tc>
          <w:tcPr>
            <w:tcW w:w="133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4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五</w:t>
            </w:r>
          </w:p>
        </w:tc>
        <w:tc>
          <w:tcPr>
            <w:tcW w:w="186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实力</w:t>
            </w:r>
          </w:p>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3%</w:t>
            </w:r>
          </w:p>
        </w:tc>
        <w:tc>
          <w:tcPr>
            <w:tcW w:w="80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3分</w:t>
            </w:r>
          </w:p>
        </w:tc>
        <w:tc>
          <w:tcPr>
            <w:tcW w:w="5522" w:type="dxa"/>
            <w:vAlign w:val="center"/>
          </w:tcPr>
          <w:p>
            <w:pPr>
              <w:pStyle w:val="47"/>
              <w:ind w:left="24" w:leftChars="1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投标人具有：①有效的环境管理体系认证证书得1.5分；②有效的职业健康安全管理体系认证证书得1.5分。</w:t>
            </w:r>
          </w:p>
          <w:p>
            <w:pPr>
              <w:pStyle w:val="47"/>
              <w:ind w:left="24" w:leftChars="1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注：上述证书的认证范围至少包含</w:t>
            </w:r>
            <w:r>
              <w:rPr>
                <w:rFonts w:hint="eastAsia" w:cs="宋体" w:asciiTheme="minorEastAsia" w:hAnsiTheme="minorEastAsia" w:eastAsiaTheme="minorEastAsia"/>
                <w:color w:val="000000" w:themeColor="text1"/>
                <w:highlight w:val="none"/>
                <w14:textFill>
                  <w14:solidFill>
                    <w14:schemeClr w14:val="tx1"/>
                  </w14:solidFill>
                </w14:textFill>
              </w:rPr>
              <w:t>测绘或测绘具体子项内容，</w:t>
            </w:r>
            <w:r>
              <w:rPr>
                <w:rFonts w:hint="eastAsia" w:cs="宋体" w:asciiTheme="minorEastAsia" w:hAnsiTheme="minorEastAsia" w:eastAsiaTheme="minorEastAsia"/>
                <w:color w:val="000000" w:themeColor="text1"/>
                <w:szCs w:val="21"/>
                <w:highlight w:val="none"/>
                <w14:textFill>
                  <w14:solidFill>
                    <w14:schemeClr w14:val="tx1"/>
                  </w14:solidFill>
                </w14:textFill>
              </w:rPr>
              <w:t>证明材料须提供有效证书复印件加盖投标人公章。</w:t>
            </w:r>
          </w:p>
        </w:tc>
        <w:tc>
          <w:tcPr>
            <w:tcW w:w="133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共同评分类因素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4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六</w:t>
            </w:r>
          </w:p>
        </w:tc>
        <w:tc>
          <w:tcPr>
            <w:tcW w:w="186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履约经验</w:t>
            </w:r>
          </w:p>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15</w:t>
            </w:r>
            <w:r>
              <w:rPr>
                <w:rFonts w:hint="eastAsia" w:cs="宋体" w:asciiTheme="minorEastAsia" w:hAnsiTheme="minorEastAsia" w:eastAsiaTheme="minorEastAsia"/>
                <w:color w:val="000000" w:themeColor="text1"/>
                <w:szCs w:val="21"/>
                <w:highlight w:val="none"/>
                <w14:textFill>
                  <w14:solidFill>
                    <w14:schemeClr w14:val="tx1"/>
                  </w14:solidFill>
                </w14:textFill>
              </w:rPr>
              <w:t>%</w:t>
            </w:r>
          </w:p>
        </w:tc>
        <w:tc>
          <w:tcPr>
            <w:tcW w:w="80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cs="宋体" w:asciiTheme="minorEastAsia" w:hAnsiTheme="minorEastAsia" w:eastAsiaTheme="minorEastAsia"/>
                <w:color w:val="000000" w:themeColor="text1"/>
                <w:szCs w:val="21"/>
                <w:highlight w:val="none"/>
                <w14:textFill>
                  <w14:solidFill>
                    <w14:schemeClr w14:val="tx1"/>
                  </w14:solidFill>
                </w14:textFill>
              </w:rPr>
              <w:t>15</w:t>
            </w:r>
            <w:r>
              <w:rPr>
                <w:rFonts w:hint="eastAsia" w:cs="宋体" w:asciiTheme="minorEastAsia" w:hAnsiTheme="minorEastAsia" w:eastAsiaTheme="minorEastAsia"/>
                <w:color w:val="000000" w:themeColor="text1"/>
                <w:szCs w:val="21"/>
                <w:highlight w:val="none"/>
                <w14:textFill>
                  <w14:solidFill>
                    <w14:schemeClr w14:val="tx1"/>
                  </w14:solidFill>
                </w14:textFill>
              </w:rPr>
              <w:t>分</w:t>
            </w:r>
          </w:p>
        </w:tc>
        <w:tc>
          <w:tcPr>
            <w:tcW w:w="5522" w:type="dxa"/>
            <w:vAlign w:val="center"/>
          </w:tcPr>
          <w:p>
            <w:pPr>
              <w:pStyle w:val="47"/>
              <w:ind w:left="0" w:leftChars="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w:t>
            </w:r>
            <w:r>
              <w:rPr>
                <w:rFonts w:hint="eastAsia" w:cs="宋体" w:asciiTheme="minorEastAsia" w:hAnsiTheme="minorEastAsia" w:eastAsiaTheme="minorEastAsia"/>
                <w:color w:val="auto"/>
                <w:highlight w:val="none"/>
              </w:rPr>
              <w:t>投标人自</w:t>
            </w:r>
            <w:r>
              <w:rPr>
                <w:rFonts w:hint="eastAsia" w:cs="宋体" w:asciiTheme="minorEastAsia" w:hAnsiTheme="minorEastAsia" w:eastAsiaTheme="minorEastAsia"/>
                <w:color w:val="000000" w:themeColor="text1"/>
                <w:szCs w:val="21"/>
                <w:highlight w:val="none"/>
                <w14:textFill>
                  <w14:solidFill>
                    <w14:schemeClr w14:val="tx1"/>
                  </w14:solidFill>
                </w14:textFill>
              </w:rPr>
              <w:t>2018年1月1日以来，具有地理实体数据生产或更新方面类似项目履约经验的，每提供一个得3分，最高得</w:t>
            </w:r>
            <w:r>
              <w:rPr>
                <w:rFonts w:cs="宋体" w:asciiTheme="minorEastAsia" w:hAnsiTheme="minorEastAsia" w:eastAsiaTheme="minorEastAsia"/>
                <w:color w:val="000000" w:themeColor="text1"/>
                <w:szCs w:val="21"/>
                <w:highlight w:val="none"/>
                <w14:textFill>
                  <w14:solidFill>
                    <w14:schemeClr w14:val="tx1"/>
                  </w14:solidFill>
                </w14:textFill>
              </w:rPr>
              <w:t>9</w:t>
            </w:r>
            <w:r>
              <w:rPr>
                <w:rFonts w:hint="eastAsia" w:cs="宋体" w:asciiTheme="minorEastAsia" w:hAnsiTheme="minorEastAsia" w:eastAsiaTheme="minorEastAsia"/>
                <w:color w:val="000000" w:themeColor="text1"/>
                <w:szCs w:val="21"/>
                <w:highlight w:val="none"/>
                <w14:textFill>
                  <w14:solidFill>
                    <w14:schemeClr w14:val="tx1"/>
                  </w14:solidFill>
                </w14:textFill>
              </w:rPr>
              <w:t>分。</w:t>
            </w:r>
          </w:p>
          <w:p>
            <w:pPr>
              <w:pStyle w:val="47"/>
              <w:ind w:left="0" w:leftChars="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w:t>
            </w:r>
            <w:r>
              <w:rPr>
                <w:rFonts w:hint="eastAsia" w:cs="宋体" w:asciiTheme="minorEastAsia" w:hAnsiTheme="minorEastAsia" w:eastAsiaTheme="minorEastAsia"/>
                <w:color w:val="auto"/>
                <w:highlight w:val="none"/>
              </w:rPr>
              <w:t>投标人自</w:t>
            </w:r>
            <w:r>
              <w:rPr>
                <w:rFonts w:hint="eastAsia" w:cs="宋体" w:asciiTheme="minorEastAsia" w:hAnsiTheme="minorEastAsia" w:eastAsiaTheme="minorEastAsia"/>
                <w:color w:val="000000" w:themeColor="text1"/>
                <w:szCs w:val="21"/>
                <w:highlight w:val="none"/>
                <w14:textFill>
                  <w14:solidFill>
                    <w14:schemeClr w14:val="tx1"/>
                  </w14:solidFill>
                </w14:textFill>
              </w:rPr>
              <w:t>2018年1月1日以来，具有实景三维数据生产或更新方面类似项目履约经验的，每提供一个得2分，最高得</w:t>
            </w:r>
            <w:r>
              <w:rPr>
                <w:rFonts w:cs="宋体" w:asciiTheme="minorEastAsia" w:hAnsiTheme="minorEastAsia" w:eastAsiaTheme="minorEastAsia"/>
                <w:color w:val="000000" w:themeColor="text1"/>
                <w:szCs w:val="21"/>
                <w:highlight w:val="none"/>
                <w14:textFill>
                  <w14:solidFill>
                    <w14:schemeClr w14:val="tx1"/>
                  </w14:solidFill>
                </w14:textFill>
              </w:rPr>
              <w:t>4</w:t>
            </w:r>
            <w:r>
              <w:rPr>
                <w:rFonts w:hint="eastAsia" w:cs="宋体" w:asciiTheme="minorEastAsia" w:hAnsiTheme="minorEastAsia" w:eastAsiaTheme="minorEastAsia"/>
                <w:color w:val="000000" w:themeColor="text1"/>
                <w:szCs w:val="21"/>
                <w:highlight w:val="none"/>
                <w14:textFill>
                  <w14:solidFill>
                    <w14:schemeClr w14:val="tx1"/>
                  </w14:solidFill>
                </w14:textFill>
              </w:rPr>
              <w:t>分。</w:t>
            </w:r>
          </w:p>
          <w:p>
            <w:pPr>
              <w:pStyle w:val="47"/>
              <w:ind w:left="0" w:leftChars="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3.</w:t>
            </w:r>
            <w:r>
              <w:rPr>
                <w:rFonts w:hint="eastAsia" w:cs="宋体" w:asciiTheme="minorEastAsia" w:hAnsiTheme="minorEastAsia" w:eastAsiaTheme="minorEastAsia"/>
                <w:color w:val="auto"/>
                <w:highlight w:val="none"/>
              </w:rPr>
              <w:t>投标人自</w:t>
            </w:r>
            <w:r>
              <w:rPr>
                <w:rFonts w:hint="eastAsia" w:cs="宋体" w:asciiTheme="minorEastAsia" w:hAnsiTheme="minorEastAsia" w:eastAsiaTheme="minorEastAsia"/>
                <w:color w:val="000000" w:themeColor="text1"/>
                <w:szCs w:val="21"/>
                <w:highlight w:val="none"/>
                <w14:textFill>
                  <w14:solidFill>
                    <w14:schemeClr w14:val="tx1"/>
                  </w14:solidFill>
                </w14:textFill>
              </w:rPr>
              <w:t>2018年1月1日以来，具有1:5000以下大比例尺地形图(DLG)、或影像数据生产、更新或加工处理方面类似项目履约经验的，每提供一个得1分，最高得2分。</w:t>
            </w:r>
          </w:p>
          <w:p>
            <w:pPr>
              <w:pStyle w:val="47"/>
              <w:ind w:left="0" w:leftChars="0"/>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注：履约经验证明材料须提供合同复印件或任务来源证明文件复印件加盖投标人公章。</w:t>
            </w:r>
          </w:p>
        </w:tc>
        <w:tc>
          <w:tcPr>
            <w:tcW w:w="133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共同评分类因素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4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七</w:t>
            </w:r>
          </w:p>
        </w:tc>
        <w:tc>
          <w:tcPr>
            <w:tcW w:w="186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扶持少数民族地区1%</w:t>
            </w:r>
          </w:p>
        </w:tc>
        <w:tc>
          <w:tcPr>
            <w:tcW w:w="800"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1分</w:t>
            </w:r>
          </w:p>
        </w:tc>
        <w:tc>
          <w:tcPr>
            <w:tcW w:w="5522" w:type="dxa"/>
            <w:vAlign w:val="center"/>
          </w:tcPr>
          <w:p>
            <w:pPr>
              <w:pStyle w:val="51"/>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投标人注册在少数民族地区的得1分。</w:t>
            </w:r>
          </w:p>
          <w:p>
            <w:pPr>
              <w:pStyle w:val="51"/>
              <w:jc w:val="left"/>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注：指投标人注册地在民族自治区、自治州、自治县(含享受少数民族待遇的区县)、民族乡，提供营业执照副本复印件。</w:t>
            </w:r>
          </w:p>
        </w:tc>
        <w:tc>
          <w:tcPr>
            <w:tcW w:w="1334" w:type="dxa"/>
            <w:vAlign w:val="center"/>
          </w:tcPr>
          <w:p>
            <w:pPr>
              <w:pStyle w:val="51"/>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60" w:type="dxa"/>
            <w:gridSpan w:val="5"/>
            <w:vAlign w:val="center"/>
          </w:tcPr>
          <w:p>
            <w:pPr>
              <w:pStyle w:val="51"/>
              <w:jc w:val="both"/>
              <w:rPr>
                <w:rFonts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注：</w:t>
            </w:r>
            <w:r>
              <w:rPr>
                <w:rFonts w:hint="eastAsia" w:cs="宋体" w:asciiTheme="minorEastAsia" w:hAnsiTheme="minorEastAsia" w:eastAsiaTheme="minorEastAsia"/>
                <w:color w:val="000000" w:themeColor="text1"/>
                <w:szCs w:val="21"/>
                <w:highlight w:val="none"/>
                <w14:textFill>
                  <w14:solidFill>
                    <w14:schemeClr w14:val="tx1"/>
                  </w14:solidFill>
                </w14:textFill>
              </w:rPr>
              <w:fldChar w:fldCharType="begin"/>
            </w:r>
            <w:r>
              <w:rPr>
                <w:rFonts w:hint="eastAsia" w:cs="宋体" w:asciiTheme="minorEastAsia" w:hAnsiTheme="minorEastAsia" w:eastAsiaTheme="minorEastAsia"/>
                <w:color w:val="000000" w:themeColor="text1"/>
                <w:szCs w:val="21"/>
                <w:highlight w:val="none"/>
                <w14:textFill>
                  <w14:solidFill>
                    <w14:schemeClr w14:val="tx1"/>
                  </w14:solidFill>
                </w14:textFill>
              </w:rPr>
              <w:instrText xml:space="preserve"> = 1 \* GB3 \* MERGEFORMAT </w:instrText>
            </w:r>
            <w:r>
              <w:rPr>
                <w:rFonts w:hint="eastAsia" w:cs="宋体" w:asciiTheme="minorEastAsia" w:hAnsiTheme="minorEastAsia" w:eastAsiaTheme="minorEastAsia"/>
                <w:color w:val="000000" w:themeColor="text1"/>
                <w:szCs w:val="21"/>
                <w:highlight w:val="none"/>
                <w14:textFill>
                  <w14:solidFill>
                    <w14:schemeClr w14:val="tx1"/>
                  </w14:solidFill>
                </w14:textFill>
              </w:rPr>
              <w:fldChar w:fldCharType="separate"/>
            </w:r>
            <w:r>
              <w:rPr>
                <w:rFonts w:hint="eastAsia" w:cs="宋体" w:asciiTheme="minorEastAsia" w:hAnsiTheme="minorEastAsia" w:eastAsiaTheme="minorEastAsia"/>
                <w:color w:val="000000" w:themeColor="text1"/>
                <w:szCs w:val="21"/>
                <w:highlight w:val="none"/>
                <w14:textFill>
                  <w14:solidFill>
                    <w14:schemeClr w14:val="tx1"/>
                  </w14:solidFill>
                </w14:textFill>
              </w:rPr>
              <w:t>①</w:t>
            </w:r>
            <w:r>
              <w:rPr>
                <w:rFonts w:hint="eastAsia" w:cs="宋体" w:asciiTheme="minorEastAsia" w:hAnsiTheme="minorEastAsia" w:eastAsiaTheme="minorEastAsia"/>
                <w:color w:val="000000" w:themeColor="text1"/>
                <w:szCs w:val="21"/>
                <w:highlight w:val="none"/>
                <w14:textFill>
                  <w14:solidFill>
                    <w14:schemeClr w14:val="tx1"/>
                  </w14:solidFill>
                </w14:textFill>
              </w:rPr>
              <w:fldChar w:fldCharType="end"/>
            </w:r>
            <w:r>
              <w:rPr>
                <w:rFonts w:hint="eastAsia" w:cs="宋体" w:asciiTheme="minorEastAsia" w:hAnsiTheme="minorEastAsia" w:eastAsiaTheme="minorEastAsia"/>
                <w:color w:val="000000" w:themeColor="text1"/>
                <w:szCs w:val="21"/>
                <w:highlight w:val="none"/>
                <w14:textFill>
                  <w14:solidFill>
                    <w14:schemeClr w14:val="tx1"/>
                  </w14:solidFill>
                </w14:textFill>
              </w:rPr>
              <w:t>评分的取值按四舍五入法，小数点后保留两位。</w:t>
            </w:r>
            <w:r>
              <w:rPr>
                <w:rFonts w:hint="eastAsia" w:cs="宋体" w:asciiTheme="minorEastAsia" w:hAnsiTheme="minorEastAsia" w:eastAsiaTheme="minorEastAsia"/>
                <w:color w:val="000000" w:themeColor="text1"/>
                <w:szCs w:val="21"/>
                <w:highlight w:val="none"/>
                <w14:textFill>
                  <w14:solidFill>
                    <w14:schemeClr w14:val="tx1"/>
                  </w14:solidFill>
                </w14:textFill>
              </w:rPr>
              <w:fldChar w:fldCharType="begin"/>
            </w:r>
            <w:r>
              <w:rPr>
                <w:rFonts w:hint="eastAsia" w:cs="宋体" w:asciiTheme="minorEastAsia" w:hAnsiTheme="minorEastAsia" w:eastAsiaTheme="minorEastAsia"/>
                <w:color w:val="000000" w:themeColor="text1"/>
                <w:szCs w:val="21"/>
                <w:highlight w:val="none"/>
                <w14:textFill>
                  <w14:solidFill>
                    <w14:schemeClr w14:val="tx1"/>
                  </w14:solidFill>
                </w14:textFill>
              </w:rPr>
              <w:instrText xml:space="preserve"> = 2 \* GB3 \* MERGEFORMAT </w:instrText>
            </w:r>
            <w:r>
              <w:rPr>
                <w:rFonts w:hint="eastAsia" w:cs="宋体" w:asciiTheme="minorEastAsia" w:hAnsiTheme="minorEastAsia" w:eastAsiaTheme="minorEastAsia"/>
                <w:color w:val="000000" w:themeColor="text1"/>
                <w:szCs w:val="21"/>
                <w:highlight w:val="none"/>
                <w14:textFill>
                  <w14:solidFill>
                    <w14:schemeClr w14:val="tx1"/>
                  </w14:solidFill>
                </w14:textFill>
              </w:rPr>
              <w:fldChar w:fldCharType="separate"/>
            </w:r>
            <w:r>
              <w:rPr>
                <w:rFonts w:hint="eastAsia" w:cs="宋体" w:asciiTheme="minorEastAsia" w:hAnsiTheme="minorEastAsia" w:eastAsiaTheme="minorEastAsia"/>
                <w:color w:val="000000" w:themeColor="text1"/>
                <w:szCs w:val="21"/>
                <w:highlight w:val="none"/>
                <w14:textFill>
                  <w14:solidFill>
                    <w14:schemeClr w14:val="tx1"/>
                  </w14:solidFill>
                </w14:textFill>
              </w:rPr>
              <w:t>②</w:t>
            </w:r>
            <w:r>
              <w:rPr>
                <w:rFonts w:hint="eastAsia" w:cs="宋体" w:asciiTheme="minorEastAsia" w:hAnsiTheme="minorEastAsia" w:eastAsiaTheme="minorEastAsia"/>
                <w:color w:val="000000" w:themeColor="text1"/>
                <w:szCs w:val="21"/>
                <w:highlight w:val="none"/>
                <w14:textFill>
                  <w14:solidFill>
                    <w14:schemeClr w14:val="tx1"/>
                  </w14:solidFill>
                </w14:textFill>
              </w:rPr>
              <w:fldChar w:fldCharType="end"/>
            </w:r>
            <w:r>
              <w:rPr>
                <w:rFonts w:hint="eastAsia" w:cs="宋体" w:asciiTheme="minorEastAsia" w:hAnsiTheme="minorEastAsia" w:eastAsiaTheme="minorEastAsia"/>
                <w:color w:val="000000" w:themeColor="text1"/>
                <w:szCs w:val="21"/>
                <w:highlight w:val="none"/>
                <w14:textFill>
                  <w14:solidFill>
                    <w14:schemeClr w14:val="tx1"/>
                  </w14:solidFill>
                </w14:textFill>
              </w:rPr>
              <w:t>本表中要求提供各类证明材料，均需加盖投标人公章，否则将不认可该项材料的有效性。</w:t>
            </w:r>
          </w:p>
        </w:tc>
      </w:tr>
    </w:tbl>
    <w:p>
      <w:pPr>
        <w:pStyle w:val="41"/>
        <w:numPr>
          <w:ilvl w:val="2"/>
          <w:numId w:val="0"/>
        </w:numPr>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第二包：</w:t>
      </w:r>
    </w:p>
    <w:tbl>
      <w:tblPr>
        <w:tblStyle w:val="26"/>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864"/>
        <w:gridCol w:w="800"/>
        <w:gridCol w:w="5522"/>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440"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序号</w:t>
            </w:r>
          </w:p>
        </w:tc>
        <w:tc>
          <w:tcPr>
            <w:tcW w:w="1864"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评分因素</w:t>
            </w:r>
          </w:p>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及权重</w:t>
            </w:r>
          </w:p>
        </w:tc>
        <w:tc>
          <w:tcPr>
            <w:tcW w:w="800"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分值</w:t>
            </w:r>
          </w:p>
        </w:tc>
        <w:tc>
          <w:tcPr>
            <w:tcW w:w="5522"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评分标准</w:t>
            </w:r>
          </w:p>
        </w:tc>
        <w:tc>
          <w:tcPr>
            <w:tcW w:w="1334" w:type="dxa"/>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w:t>
            </w:r>
          </w:p>
        </w:tc>
        <w:tc>
          <w:tcPr>
            <w:tcW w:w="186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投标报价</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15%</w:t>
            </w:r>
          </w:p>
        </w:tc>
        <w:tc>
          <w:tcPr>
            <w:tcW w:w="80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15分</w:t>
            </w:r>
          </w:p>
        </w:tc>
        <w:tc>
          <w:tcPr>
            <w:tcW w:w="5522" w:type="dxa"/>
            <w:vAlign w:val="center"/>
          </w:tcPr>
          <w:p>
            <w:pPr>
              <w:pStyle w:val="47"/>
              <w:ind w:left="24" w:leftChars="1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auto"/>
                <w:highlight w:val="none"/>
              </w:rPr>
              <w:t>满足招标文件要求且投标价格最低的投标报价为评标基准价，其</w:t>
            </w:r>
            <w:r>
              <w:rPr>
                <w:rFonts w:hint="eastAsia" w:cs="宋体" w:asciiTheme="minorEastAsia" w:hAnsiTheme="minorEastAsia" w:eastAsiaTheme="minorEastAsia"/>
                <w:color w:val="000000" w:themeColor="text1"/>
                <w:highlight w:val="none"/>
                <w14:textFill>
                  <w14:solidFill>
                    <w14:schemeClr w14:val="tx1"/>
                  </w14:solidFill>
                </w14:textFill>
              </w:rPr>
              <w:t>价格分为满分。其他投标人的价格分统一按照下列公式计算：投标报价得分=(评标基准价／投标报价)×15%×100；</w:t>
            </w:r>
          </w:p>
          <w:p>
            <w:pPr>
              <w:pStyle w:val="47"/>
              <w:ind w:left="24" w:leftChars="1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注：1.小微企业(残疾人福利性单位、监狱企业视同小微企业)价格扣除按照本招标文件投标人须知前附表规定执行。</w:t>
            </w:r>
          </w:p>
          <w:p>
            <w:pPr>
              <w:pStyle w:val="47"/>
              <w:ind w:left="24" w:leftChars="1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2.评标过程中，不得去掉报价中的最高报价和最低报价。</w:t>
            </w:r>
          </w:p>
          <w:p>
            <w:pPr>
              <w:pStyle w:val="47"/>
              <w:ind w:left="24" w:leftChars="10"/>
              <w:rPr>
                <w:rFonts w:cs="宋体" w:asciiTheme="minorEastAsia" w:hAnsiTheme="minorEastAsia" w:eastAsiaTheme="minorEastAsia"/>
                <w:color w:val="auto"/>
                <w:highlight w:val="none"/>
              </w:rPr>
            </w:pPr>
            <w:r>
              <w:rPr>
                <w:rFonts w:hint="eastAsia" w:cs="宋体" w:asciiTheme="minorEastAsia" w:hAnsiTheme="minorEastAsia" w:eastAsiaTheme="minorEastAsia"/>
                <w:color w:val="000000" w:themeColor="text1"/>
                <w:highlight w:val="none"/>
                <w14:textFill>
                  <w14:solidFill>
                    <w14:schemeClr w14:val="tx1"/>
                  </w14:solidFill>
                </w14:textFill>
              </w:rPr>
              <w:t>3.因落实政府采购政策进行价格调整的，以调整后的价格计算评标基准价和投标报价。</w:t>
            </w:r>
          </w:p>
        </w:tc>
        <w:tc>
          <w:tcPr>
            <w:tcW w:w="133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w:t>
            </w:r>
          </w:p>
        </w:tc>
        <w:tc>
          <w:tcPr>
            <w:tcW w:w="186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技术方案</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32%</w:t>
            </w:r>
          </w:p>
        </w:tc>
        <w:tc>
          <w:tcPr>
            <w:tcW w:w="80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32分</w:t>
            </w:r>
          </w:p>
        </w:tc>
        <w:tc>
          <w:tcPr>
            <w:tcW w:w="5522" w:type="dxa"/>
            <w:vAlign w:val="center"/>
          </w:tcPr>
          <w:p>
            <w:pPr>
              <w:wordWrap w:val="0"/>
              <w:spacing w:line="400" w:lineRule="exact"/>
              <w:ind w:firstLine="28"/>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根据供应商针对本项目提供的技术方案进行综合评审，方案至少包含①项目分析理解；②技术路线及专业知识准备；③重难点分析与解决方案；④天地图数据融合；⑤地理实体成果检验入库；⑥</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质量控制及应急体系建设；</w:t>
            </w:r>
            <w:r>
              <w:rPr>
                <w:rFonts w:hint="eastAsia" w:cs="宋体" w:asciiTheme="minorEastAsia" w:hAnsiTheme="minorEastAsia" w:eastAsiaTheme="minorEastAsia"/>
                <w:snapToGrid w:val="0"/>
                <w:color w:val="auto"/>
                <w:sz w:val="21"/>
                <w:highlight w:val="none"/>
              </w:rPr>
              <w:t>⑦</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成果校对整理提交</w:t>
            </w:r>
            <w:r>
              <w:rPr>
                <w:rFonts w:hint="eastAsia" w:cs="宋体" w:asciiTheme="minorEastAsia" w:hAnsiTheme="minorEastAsia" w:eastAsiaTheme="minorEastAsia"/>
                <w:snapToGrid w:val="0"/>
                <w:color w:val="auto"/>
                <w:sz w:val="21"/>
                <w:highlight w:val="none"/>
              </w:rPr>
              <w:t>；⑧后期服务等八个方面的内容。技术方案内容完整全面、与项目技术需求吻合、思路清晰、层次结构细化，有具体详细的阐述且符合项目要求的得32分；每缺少一项内容或每有一项内容不满足要求的扣4分，每有一处方案内容存在缺陷的扣2分；扣完为止。</w:t>
            </w:r>
          </w:p>
          <w:p>
            <w:pPr>
              <w:wordWrap w:val="0"/>
              <w:spacing w:before="120" w:beforeLines="50" w:line="40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snapToGrid w:val="0"/>
                <w:color w:val="auto"/>
                <w:sz w:val="21"/>
                <w:highlight w:val="none"/>
              </w:rPr>
              <w:t>注：技术方案内容存在缺陷是指以下任意一种情形：项目名称、实施地点、涉及的工作依据与本项目要求不一致；技术路线与本项目需求不匹配；重难点分析与解决方案与本项目不符；实施的任务内容不全面、实施流程、技术方法不规范或有漏缺项；质控管理缺乏有效监督检查机制；</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应急体系建设缺位、与本项目不匹配；</w:t>
            </w:r>
            <w:r>
              <w:rPr>
                <w:rFonts w:hint="eastAsia" w:cs="宋体" w:asciiTheme="minorEastAsia" w:hAnsiTheme="minorEastAsia" w:eastAsiaTheme="minorEastAsia"/>
                <w:snapToGrid w:val="0"/>
                <w:color w:val="auto"/>
                <w:sz w:val="21"/>
                <w:highlight w:val="none"/>
              </w:rPr>
              <w:t>成果提交内容存在错漏；后期</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服务内容及流程与本项目不符；后期服务质量保障措施与本项目不匹配；</w:t>
            </w:r>
            <w:r>
              <w:rPr>
                <w:rFonts w:hint="eastAsia" w:cs="宋体" w:asciiTheme="minorEastAsia" w:hAnsiTheme="minorEastAsia" w:eastAsiaTheme="minorEastAsia"/>
                <w:snapToGrid w:val="0"/>
                <w:color w:val="auto"/>
                <w:sz w:val="21"/>
                <w:highlight w:val="none"/>
              </w:rPr>
              <w:t>套用其他项目方案内容。</w:t>
            </w:r>
          </w:p>
        </w:tc>
        <w:tc>
          <w:tcPr>
            <w:tcW w:w="133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w:t>
            </w:r>
          </w:p>
        </w:tc>
        <w:tc>
          <w:tcPr>
            <w:tcW w:w="186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实施方案</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24%</w:t>
            </w:r>
          </w:p>
        </w:tc>
        <w:tc>
          <w:tcPr>
            <w:tcW w:w="80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24分</w:t>
            </w:r>
          </w:p>
        </w:tc>
        <w:tc>
          <w:tcPr>
            <w:tcW w:w="5522" w:type="dxa"/>
            <w:vAlign w:val="center"/>
          </w:tcPr>
          <w:p>
            <w:pPr>
              <w:wordWrap w:val="0"/>
              <w:spacing w:before="120" w:beforeLines="50" w:line="400" w:lineRule="exact"/>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根据供应商针对本项目提供的实施方案进行综合评审，方案至少包含①项目实施进度计划；②人员组织安排；③人员培训计划；④项目工作内容、流程及质量保障措施；⑤工期承诺及安全工作保证措施；⑥数据保密措施等六个方面的内容。实施方案内容完整全面、与项目实施要求匹配、思路清晰、层次结构细化，有具体详细的阐述且符合项目要求的得24分；每缺少一项内容或每有一项内容不满足要求的扣4分，每有一处方案内容存在缺陷的扣2分；扣完为止。</w:t>
            </w:r>
          </w:p>
          <w:p>
            <w:pPr>
              <w:wordWrap w:val="0"/>
              <w:spacing w:before="120" w:beforeLines="50" w:line="400" w:lineRule="exact"/>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注：实施方案内容存在缺陷是指以下任意一种情形：项目管理机构设置不合理，不能满足项目需求；人员配置不完善或岗位职责交叉混乱；进度计划超期或工期措施过于简略，不能满足项目要求；流程混乱、质控管理缺乏有效监督检查机制；数据保密措施不完善，不能满足本项目保密需求；套用其他项目方案内容。</w:t>
            </w:r>
          </w:p>
        </w:tc>
        <w:tc>
          <w:tcPr>
            <w:tcW w:w="133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w:t>
            </w:r>
          </w:p>
        </w:tc>
        <w:tc>
          <w:tcPr>
            <w:tcW w:w="186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人员配置</w:t>
            </w:r>
          </w:p>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20%</w:t>
            </w:r>
          </w:p>
        </w:tc>
        <w:tc>
          <w:tcPr>
            <w:tcW w:w="800" w:type="dxa"/>
            <w:vAlign w:val="center"/>
          </w:tcPr>
          <w:p>
            <w:pPr>
              <w:pStyle w:val="51"/>
              <w:rPr>
                <w:rFonts w:cs="宋体" w:asciiTheme="minorEastAsia" w:hAnsiTheme="minorEastAsia" w:eastAsiaTheme="minorEastAsia"/>
                <w:snapToGrid w:val="0"/>
                <w:color w:val="auto"/>
                <w:highlight w:val="none"/>
              </w:rPr>
            </w:pPr>
            <w:r>
              <w:rPr>
                <w:rFonts w:hint="eastAsia" w:cs="宋体" w:asciiTheme="minorEastAsia" w:hAnsiTheme="minorEastAsia" w:eastAsiaTheme="minorEastAsia"/>
                <w:snapToGrid w:val="0"/>
                <w:color w:val="auto"/>
                <w:highlight w:val="none"/>
              </w:rPr>
              <w:t>20分</w:t>
            </w:r>
          </w:p>
        </w:tc>
        <w:tc>
          <w:tcPr>
            <w:tcW w:w="5522" w:type="dxa"/>
            <w:vAlign w:val="center"/>
          </w:tcPr>
          <w:p>
            <w:pPr>
              <w:wordWrap w:val="0"/>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1.项目负责人：拟为本项目配备的项目负责人具有测绘相关专业高级及以上职称的得2分；同时具有</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测绘类资格证书</w:t>
            </w:r>
            <w:r>
              <w:rPr>
                <w:rFonts w:hint="eastAsia" w:cs="宋体" w:asciiTheme="minorEastAsia" w:hAnsiTheme="minorEastAsia" w:eastAsiaTheme="minorEastAsia"/>
                <w:snapToGrid w:val="0"/>
                <w:color w:val="auto"/>
                <w:sz w:val="21"/>
                <w:highlight w:val="none"/>
              </w:rPr>
              <w:t>的加1分。此项最高得3分。</w:t>
            </w:r>
          </w:p>
          <w:p>
            <w:pPr>
              <w:wordWrap w:val="0"/>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2.技术负责人：拟为本项目配备的技术负责人具有测绘相关专业高级及以上职称的得2分；同时具有</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测绘类资格证书</w:t>
            </w:r>
            <w:r>
              <w:rPr>
                <w:rFonts w:hint="eastAsia" w:cs="宋体" w:asciiTheme="minorEastAsia" w:hAnsiTheme="minorEastAsia" w:eastAsiaTheme="minorEastAsia"/>
                <w:snapToGrid w:val="0"/>
                <w:color w:val="auto"/>
                <w:sz w:val="21"/>
                <w:highlight w:val="none"/>
              </w:rPr>
              <w:t>的加1分。此项最高得3分。</w:t>
            </w:r>
          </w:p>
          <w:p>
            <w:pPr>
              <w:wordWrap w:val="0"/>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3.项目质量负责人：拟为本项目配备的质量负责人具有测绘相关专业高级及以上职称的得2分；同时具有</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测绘类资格证书</w:t>
            </w:r>
            <w:r>
              <w:rPr>
                <w:rFonts w:hint="eastAsia" w:cs="宋体" w:asciiTheme="minorEastAsia" w:hAnsiTheme="minorEastAsia" w:eastAsiaTheme="minorEastAsia"/>
                <w:snapToGrid w:val="0"/>
                <w:color w:val="auto"/>
                <w:sz w:val="21"/>
                <w:highlight w:val="none"/>
              </w:rPr>
              <w:t>的加1分。此项最高得3分。</w:t>
            </w:r>
          </w:p>
          <w:p>
            <w:pPr>
              <w:wordWrap w:val="0"/>
              <w:rPr>
                <w:rFonts w:cs="宋体" w:asciiTheme="minorEastAsia" w:hAnsiTheme="minorEastAsia" w:eastAsiaTheme="minorEastAsia"/>
                <w:snapToGrid w:val="0"/>
                <w:color w:val="auto"/>
                <w:sz w:val="21"/>
                <w:highlight w:val="none"/>
              </w:rPr>
            </w:pPr>
            <w:r>
              <w:rPr>
                <w:rFonts w:cs="宋体" w:asciiTheme="minorEastAsia" w:hAnsiTheme="minorEastAsia" w:eastAsiaTheme="minorEastAsia"/>
                <w:snapToGrid w:val="0"/>
                <w:color w:val="auto"/>
                <w:sz w:val="21"/>
                <w:highlight w:val="none"/>
              </w:rPr>
              <w:t>4</w:t>
            </w:r>
            <w:r>
              <w:rPr>
                <w:rFonts w:hint="eastAsia" w:cs="宋体" w:asciiTheme="minorEastAsia" w:hAnsiTheme="minorEastAsia" w:eastAsiaTheme="minorEastAsia"/>
                <w:snapToGrid w:val="0"/>
                <w:color w:val="auto"/>
                <w:sz w:val="21"/>
                <w:highlight w:val="none"/>
              </w:rPr>
              <w:t>.项目组成员：每具有1个测绘类专业高级及以上职称的，得2分；每具有1个测绘类专业中级职称的，得1分，此项最高得11分。</w:t>
            </w:r>
          </w:p>
          <w:p>
            <w:pPr>
              <w:wordWrap w:val="0"/>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注：①证明材料须提供相关人员有效的身份证复印件、资格证书复印件及在职证明材料复印件加盖</w:t>
            </w:r>
            <w:r>
              <w:rPr>
                <w:rFonts w:hint="eastAsia" w:cs="宋体" w:asciiTheme="minorEastAsia" w:hAnsiTheme="minorEastAsia" w:eastAsiaTheme="minorEastAsia"/>
                <w:snapToGrid w:val="0"/>
                <w:color w:val="000000" w:themeColor="text1"/>
                <w:sz w:val="21"/>
                <w:szCs w:val="21"/>
                <w:highlight w:val="none"/>
                <w14:textFill>
                  <w14:solidFill>
                    <w14:schemeClr w14:val="tx1"/>
                  </w14:solidFill>
                </w14:textFill>
              </w:rPr>
              <w:t>投标人公章</w:t>
            </w:r>
            <w:r>
              <w:rPr>
                <w:rFonts w:hint="eastAsia" w:cs="宋体" w:asciiTheme="minorEastAsia" w:hAnsiTheme="minorEastAsia" w:eastAsiaTheme="minorEastAsia"/>
                <w:snapToGrid w:val="0"/>
                <w:color w:val="auto"/>
                <w:sz w:val="21"/>
                <w:highlight w:val="none"/>
              </w:rPr>
              <w:t>；②人员不重复计分。</w:t>
            </w:r>
          </w:p>
        </w:tc>
        <w:tc>
          <w:tcPr>
            <w:tcW w:w="133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4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五</w:t>
            </w:r>
          </w:p>
        </w:tc>
        <w:tc>
          <w:tcPr>
            <w:tcW w:w="186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履约经验</w:t>
            </w:r>
          </w:p>
          <w:p>
            <w:pPr>
              <w:pStyle w:val="51"/>
              <w:rPr>
                <w:rFonts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8</w:t>
            </w:r>
            <w:r>
              <w:rPr>
                <w:rFonts w:hint="eastAsia" w:cs="宋体" w:asciiTheme="minorEastAsia" w:hAnsiTheme="minorEastAsia" w:eastAsiaTheme="minorEastAsia"/>
                <w:color w:val="auto"/>
                <w:highlight w:val="none"/>
              </w:rPr>
              <w:t>%</w:t>
            </w:r>
          </w:p>
        </w:tc>
        <w:tc>
          <w:tcPr>
            <w:tcW w:w="800" w:type="dxa"/>
            <w:vAlign w:val="center"/>
          </w:tcPr>
          <w:p>
            <w:pPr>
              <w:pStyle w:val="51"/>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8分</w:t>
            </w:r>
          </w:p>
        </w:tc>
        <w:tc>
          <w:tcPr>
            <w:tcW w:w="5522" w:type="dxa"/>
            <w:vAlign w:val="center"/>
          </w:tcPr>
          <w:p>
            <w:pPr>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1.投标人自2018年1月1日以来，具有数据处理类似项目，每提供一个得2分，此项最高得4分。</w:t>
            </w:r>
          </w:p>
          <w:p>
            <w:pPr>
              <w:rPr>
                <w:rFonts w:cs="宋体" w:asciiTheme="minorEastAsia" w:hAnsiTheme="minorEastAsia" w:eastAsiaTheme="minorEastAsia"/>
                <w:snapToGrid w:val="0"/>
                <w:color w:val="auto"/>
                <w:sz w:val="21"/>
                <w:highlight w:val="none"/>
              </w:rPr>
            </w:pPr>
            <w:r>
              <w:rPr>
                <w:rFonts w:hint="eastAsia" w:cs="宋体" w:asciiTheme="minorEastAsia" w:hAnsiTheme="minorEastAsia" w:eastAsiaTheme="minorEastAsia"/>
                <w:snapToGrid w:val="0"/>
                <w:color w:val="auto"/>
                <w:sz w:val="21"/>
                <w:highlight w:val="none"/>
              </w:rPr>
              <w:t>2.投标人自2018年1月1日以来，具有测绘产品质检类似项目，每提供一个得2分，此项最高得4分。</w:t>
            </w:r>
          </w:p>
          <w:p>
            <w:pPr>
              <w:pStyle w:val="47"/>
              <w:spacing w:line="440" w:lineRule="exact"/>
              <w:ind w:left="0" w:leftChars="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auto"/>
                <w:highlight w:val="none"/>
              </w:rPr>
              <w:t>注：履约经验以合同</w:t>
            </w:r>
            <w:r>
              <w:rPr>
                <w:rFonts w:hint="eastAsia" w:cs="宋体" w:asciiTheme="minorEastAsia" w:hAnsiTheme="minorEastAsia" w:eastAsiaTheme="minorEastAsia"/>
                <w:color w:val="000000" w:themeColor="text1"/>
                <w:highlight w:val="none"/>
                <w14:textFill>
                  <w14:solidFill>
                    <w14:schemeClr w14:val="tx1"/>
                  </w14:solidFill>
                </w14:textFill>
              </w:rPr>
              <w:t>签订或委托书印发的日期为准，提供合同或委托书复印件并加盖投标人公章。</w:t>
            </w:r>
          </w:p>
        </w:tc>
        <w:tc>
          <w:tcPr>
            <w:tcW w:w="133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共同评分类因素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4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六</w:t>
            </w:r>
          </w:p>
        </w:tc>
        <w:tc>
          <w:tcPr>
            <w:tcW w:w="186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扶持少数民族地区1%</w:t>
            </w:r>
          </w:p>
        </w:tc>
        <w:tc>
          <w:tcPr>
            <w:tcW w:w="800"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1分</w:t>
            </w:r>
          </w:p>
        </w:tc>
        <w:tc>
          <w:tcPr>
            <w:tcW w:w="5522" w:type="dxa"/>
            <w:vAlign w:val="center"/>
          </w:tcPr>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投标人注册在少数民族地区的得1分。</w:t>
            </w:r>
          </w:p>
          <w:p>
            <w:pPr>
              <w:pStyle w:val="51"/>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注：指投标人注册地在民族自治区、自治州、自治县(含享受少数民族待遇的区县)、民族乡，提供营业执照副本复印件。</w:t>
            </w:r>
          </w:p>
        </w:tc>
        <w:tc>
          <w:tcPr>
            <w:tcW w:w="1334" w:type="dxa"/>
            <w:vAlign w:val="center"/>
          </w:tcPr>
          <w:p>
            <w:pPr>
              <w:pStyle w:val="5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60" w:type="dxa"/>
            <w:gridSpan w:val="5"/>
            <w:vAlign w:val="center"/>
          </w:tcPr>
          <w:p>
            <w:pPr>
              <w:pStyle w:val="51"/>
              <w:jc w:val="both"/>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szCs w:val="21"/>
                <w:highlight w:val="none"/>
              </w:rPr>
              <w:t>注：</w:t>
            </w:r>
            <w:r>
              <w:rPr>
                <w:rFonts w:hint="eastAsia" w:cs="宋体" w:asciiTheme="minorEastAsia" w:hAnsiTheme="minorEastAsia" w:eastAsiaTheme="minorEastAsia"/>
                <w:color w:val="auto"/>
                <w:szCs w:val="21"/>
                <w:highlight w:val="none"/>
              </w:rPr>
              <w:fldChar w:fldCharType="begin"/>
            </w:r>
            <w:r>
              <w:rPr>
                <w:rFonts w:hint="eastAsia" w:cs="宋体" w:asciiTheme="minorEastAsia" w:hAnsiTheme="minorEastAsia" w:eastAsiaTheme="minorEastAsia"/>
                <w:color w:val="auto"/>
                <w:szCs w:val="21"/>
                <w:highlight w:val="none"/>
              </w:rPr>
              <w:instrText xml:space="preserve"> = 1 \* GB3 \* MERGEFORMAT </w:instrText>
            </w:r>
            <w:r>
              <w:rPr>
                <w:rFonts w:hint="eastAsia" w:cs="宋体" w:asciiTheme="minorEastAsia" w:hAnsiTheme="minorEastAsia" w:eastAsiaTheme="minorEastAsia"/>
                <w:color w:val="auto"/>
                <w:szCs w:val="21"/>
                <w:highlight w:val="none"/>
              </w:rPr>
              <w:fldChar w:fldCharType="separate"/>
            </w:r>
            <w:r>
              <w:rPr>
                <w:rFonts w:hint="eastAsia" w:cs="宋体" w:asciiTheme="minorEastAsia" w:hAnsiTheme="minorEastAsia" w:eastAsiaTheme="minorEastAsia"/>
                <w:color w:val="auto"/>
                <w:highlight w:val="none"/>
              </w:rPr>
              <w:t>①</w:t>
            </w:r>
            <w:r>
              <w:rPr>
                <w:rFonts w:hint="eastAsia" w:cs="宋体" w:asciiTheme="minorEastAsia" w:hAnsiTheme="minorEastAsia" w:eastAsiaTheme="minorEastAsia"/>
                <w:color w:val="auto"/>
                <w:szCs w:val="21"/>
                <w:highlight w:val="none"/>
              </w:rPr>
              <w:fldChar w:fldCharType="end"/>
            </w:r>
            <w:r>
              <w:rPr>
                <w:rFonts w:hint="eastAsia" w:cs="宋体" w:asciiTheme="minorEastAsia" w:hAnsiTheme="minorEastAsia" w:eastAsiaTheme="minorEastAsia"/>
                <w:color w:val="auto"/>
                <w:szCs w:val="21"/>
                <w:highlight w:val="none"/>
              </w:rPr>
              <w:t>评分的取值按四舍五入法，小数点后保留两位。</w:t>
            </w:r>
            <w:r>
              <w:rPr>
                <w:rFonts w:hint="eastAsia" w:cs="宋体" w:asciiTheme="minorEastAsia" w:hAnsiTheme="minorEastAsia" w:eastAsiaTheme="minorEastAsia"/>
                <w:color w:val="auto"/>
                <w:szCs w:val="21"/>
                <w:highlight w:val="none"/>
              </w:rPr>
              <w:fldChar w:fldCharType="begin"/>
            </w:r>
            <w:r>
              <w:rPr>
                <w:rFonts w:hint="eastAsia" w:cs="宋体" w:asciiTheme="minorEastAsia" w:hAnsiTheme="minorEastAsia" w:eastAsiaTheme="minorEastAsia"/>
                <w:color w:val="auto"/>
                <w:szCs w:val="21"/>
                <w:highlight w:val="none"/>
              </w:rPr>
              <w:instrText xml:space="preserve"> = 2 \* GB3 \* MERGEFORMAT </w:instrText>
            </w:r>
            <w:r>
              <w:rPr>
                <w:rFonts w:hint="eastAsia" w:cs="宋体" w:asciiTheme="minorEastAsia" w:hAnsiTheme="minorEastAsia" w:eastAsiaTheme="minorEastAsia"/>
                <w:color w:val="auto"/>
                <w:szCs w:val="21"/>
                <w:highlight w:val="none"/>
              </w:rPr>
              <w:fldChar w:fldCharType="separate"/>
            </w:r>
            <w:r>
              <w:rPr>
                <w:rFonts w:hint="eastAsia" w:cs="宋体" w:asciiTheme="minorEastAsia" w:hAnsiTheme="minorEastAsia" w:eastAsiaTheme="minorEastAsia"/>
                <w:color w:val="auto"/>
                <w:highlight w:val="none"/>
              </w:rPr>
              <w:t>②</w:t>
            </w:r>
            <w:r>
              <w:rPr>
                <w:rFonts w:hint="eastAsia" w:cs="宋体" w:asciiTheme="minorEastAsia" w:hAnsiTheme="minorEastAsia" w:eastAsiaTheme="minorEastAsia"/>
                <w:color w:val="auto"/>
                <w:szCs w:val="21"/>
                <w:highlight w:val="none"/>
              </w:rPr>
              <w:fldChar w:fldCharType="end"/>
            </w:r>
            <w:r>
              <w:rPr>
                <w:rFonts w:hint="eastAsia" w:cs="宋体" w:asciiTheme="minorEastAsia" w:hAnsiTheme="minorEastAsia" w:eastAsiaTheme="minorEastAsia"/>
                <w:color w:val="auto"/>
                <w:szCs w:val="21"/>
                <w:highlight w:val="none"/>
              </w:rPr>
              <w:t>本表中要求提供各类证明材料，均需加盖</w:t>
            </w:r>
            <w:r>
              <w:rPr>
                <w:rFonts w:hint="eastAsia" w:cs="宋体" w:asciiTheme="minorEastAsia" w:hAnsiTheme="minorEastAsia" w:eastAsiaTheme="minorEastAsia"/>
                <w:snapToGrid w:val="0"/>
                <w:color w:val="000000" w:themeColor="text1"/>
                <w:szCs w:val="21"/>
                <w:highlight w:val="none"/>
                <w14:textFill>
                  <w14:solidFill>
                    <w14:schemeClr w14:val="tx1"/>
                  </w14:solidFill>
                </w14:textFill>
              </w:rPr>
              <w:t>投标人公章</w:t>
            </w:r>
            <w:r>
              <w:rPr>
                <w:rFonts w:hint="eastAsia" w:cs="宋体" w:asciiTheme="minorEastAsia" w:hAnsiTheme="minorEastAsia" w:eastAsiaTheme="minorEastAsia"/>
                <w:color w:val="auto"/>
                <w:szCs w:val="21"/>
                <w:highlight w:val="none"/>
              </w:rPr>
              <w:t>，否则将不认可该项材料的有效性。</w:t>
            </w:r>
          </w:p>
        </w:tc>
      </w:tr>
    </w:tbl>
    <w:p>
      <w:pPr>
        <w:pStyle w:val="40"/>
        <w:numPr>
          <w:ilvl w:val="1"/>
          <w:numId w:val="11"/>
        </w:numPr>
        <w:ind w:left="0" w:firstLine="482"/>
        <w:rPr>
          <w:rFonts w:cs="宋体" w:asciiTheme="minorEastAsia" w:hAnsiTheme="minorEastAsia" w:eastAsiaTheme="minorEastAsia"/>
          <w:color w:val="auto"/>
          <w:highlight w:val="none"/>
        </w:rPr>
      </w:pPr>
      <w:bookmarkStart w:id="1158" w:name="_Toc16147"/>
      <w:bookmarkStart w:id="1159" w:name="_Toc13245"/>
      <w:bookmarkStart w:id="1160" w:name="_Toc21363"/>
      <w:bookmarkStart w:id="1161" w:name="_Toc4648"/>
      <w:bookmarkStart w:id="1162" w:name="_Toc13513"/>
      <w:bookmarkStart w:id="1163" w:name="_Toc21671"/>
      <w:r>
        <w:rPr>
          <w:rFonts w:hint="eastAsia" w:cs="宋体" w:asciiTheme="minorEastAsia" w:hAnsiTheme="minorEastAsia" w:eastAsiaTheme="minorEastAsia"/>
          <w:color w:val="auto"/>
          <w:highlight w:val="none"/>
        </w:rPr>
        <w:t>复核</w:t>
      </w:r>
      <w:bookmarkEnd w:id="1158"/>
      <w:bookmarkEnd w:id="1159"/>
    </w:p>
    <w:p>
      <w:pPr>
        <w:pStyle w:val="38"/>
        <w:numPr>
          <w:ilvl w:val="1"/>
          <w:numId w:val="55"/>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评标委员会复核</w:t>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评分汇总结束后，评标委员会应当进行复核，特别要对拟推荐为中标候选供应商的、报价最低的、投标文件被认定为无效的进行重点复核。</w:t>
      </w:r>
    </w:p>
    <w:p>
      <w:pPr>
        <w:pStyle w:val="38"/>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采购代理机构现场复核评审结果</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分值汇总计算错误的；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分项评分超出评分标准范围的；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评标委员会成员对客观评审因素评分不一致的；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经评标委员会认定评分畸高、畸低的。</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采购代理机构复核过程中，评标委员会不得离开评标现场。</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有下列情形之一的，不得修改评标结果或者重新评标：</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评标委员会已经出具评标报告并且离开评标现场的；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采购代理机构现场复核时，复核工作人员数量不足的；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采购代理机构现场复核时，没有采购监督人员现场监督的；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采购代理机构现场复核内容超出规定范围的；</w:t>
      </w:r>
    </w:p>
    <w:p>
      <w:pPr>
        <w:pStyle w:val="42"/>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采购代理机构未提供书面建议的。</w:t>
      </w:r>
    </w:p>
    <w:p>
      <w:pPr>
        <w:pStyle w:val="40"/>
        <w:numPr>
          <w:ilvl w:val="1"/>
          <w:numId w:val="11"/>
        </w:numPr>
        <w:ind w:left="0" w:firstLine="482"/>
        <w:rPr>
          <w:rFonts w:cs="宋体" w:asciiTheme="minorEastAsia" w:hAnsiTheme="minorEastAsia" w:eastAsiaTheme="minorEastAsia"/>
          <w:color w:val="auto"/>
          <w:highlight w:val="none"/>
        </w:rPr>
      </w:pPr>
      <w:bookmarkStart w:id="1164" w:name="_Toc31256"/>
      <w:bookmarkStart w:id="1165" w:name="_Toc6025"/>
      <w:r>
        <w:rPr>
          <w:rFonts w:hint="eastAsia" w:cs="宋体" w:asciiTheme="minorEastAsia" w:hAnsiTheme="minorEastAsia" w:eastAsiaTheme="minorEastAsia"/>
          <w:color w:val="auto"/>
          <w:highlight w:val="none"/>
        </w:rPr>
        <w:t>推荐中标候选供应商</w:t>
      </w:r>
      <w:bookmarkEnd w:id="1164"/>
      <w:bookmarkEnd w:id="1165"/>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40"/>
        <w:numPr>
          <w:ilvl w:val="1"/>
          <w:numId w:val="11"/>
        </w:numPr>
        <w:ind w:left="0" w:firstLine="482"/>
        <w:rPr>
          <w:rFonts w:cs="宋体" w:asciiTheme="minorEastAsia" w:hAnsiTheme="minorEastAsia" w:eastAsiaTheme="minorEastAsia"/>
          <w:color w:val="auto"/>
          <w:highlight w:val="none"/>
        </w:rPr>
      </w:pPr>
      <w:bookmarkStart w:id="1166" w:name="_Toc7685"/>
      <w:bookmarkStart w:id="1167" w:name="_Toc5611"/>
      <w:r>
        <w:rPr>
          <w:rFonts w:hint="eastAsia" w:cs="宋体" w:asciiTheme="minorEastAsia" w:hAnsiTheme="minorEastAsia" w:eastAsiaTheme="minorEastAsia"/>
          <w:color w:val="auto"/>
          <w:highlight w:val="none"/>
        </w:rPr>
        <w:t>出具评标报告</w:t>
      </w:r>
      <w:bookmarkEnd w:id="1166"/>
      <w:bookmarkEnd w:id="1167"/>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评标委员会推荐中标候选供应商后，应当向招标采购单位出具评标报告。评标报告应当包括下列内容：</w:t>
      </w:r>
    </w:p>
    <w:p>
      <w:pPr>
        <w:pStyle w:val="38"/>
        <w:numPr>
          <w:ilvl w:val="1"/>
          <w:numId w:val="56"/>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招标公告刊登的媒体名称、开标日期和地点；</w:t>
      </w:r>
    </w:p>
    <w:p>
      <w:pPr>
        <w:pStyle w:val="38"/>
        <w:numPr>
          <w:ilvl w:val="1"/>
          <w:numId w:val="56"/>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投标人名单和评标委员会成员名单；</w:t>
      </w:r>
    </w:p>
    <w:p>
      <w:pPr>
        <w:pStyle w:val="38"/>
        <w:numPr>
          <w:ilvl w:val="1"/>
          <w:numId w:val="56"/>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评标方法和标准；</w:t>
      </w:r>
    </w:p>
    <w:p>
      <w:pPr>
        <w:pStyle w:val="38"/>
        <w:numPr>
          <w:ilvl w:val="1"/>
          <w:numId w:val="56"/>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开标记录和评标情况及说明，包括无效投标人名单及原因；</w:t>
      </w:r>
    </w:p>
    <w:p>
      <w:pPr>
        <w:pStyle w:val="38"/>
        <w:numPr>
          <w:ilvl w:val="1"/>
          <w:numId w:val="56"/>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评标结果，确定的中标候选人名单或者经采购人委托直接确定的中标人；</w:t>
      </w:r>
    </w:p>
    <w:p>
      <w:pPr>
        <w:pStyle w:val="38"/>
        <w:numPr>
          <w:ilvl w:val="1"/>
          <w:numId w:val="56"/>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其他需要说明的情况，包括评标过程中投标人根据评标委员会要求进行的澄清、说明或者补正，评标委员会成员的更换等。</w:t>
      </w:r>
    </w:p>
    <w:p>
      <w:pPr>
        <w:pStyle w:val="53"/>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40"/>
        <w:numPr>
          <w:ilvl w:val="1"/>
          <w:numId w:val="11"/>
        </w:numPr>
        <w:ind w:left="0" w:firstLine="482"/>
        <w:rPr>
          <w:rFonts w:cs="宋体" w:asciiTheme="minorEastAsia" w:hAnsiTheme="minorEastAsia" w:eastAsiaTheme="minorEastAsia"/>
          <w:color w:val="auto"/>
          <w:highlight w:val="none"/>
        </w:rPr>
      </w:pPr>
      <w:bookmarkStart w:id="1168" w:name="_Toc17073"/>
      <w:bookmarkStart w:id="1169" w:name="_Toc32421"/>
      <w:r>
        <w:rPr>
          <w:rFonts w:hint="eastAsia" w:cs="宋体" w:asciiTheme="minorEastAsia" w:hAnsiTheme="minorEastAsia" w:eastAsiaTheme="minorEastAsia"/>
          <w:color w:val="auto"/>
          <w:highlight w:val="none"/>
        </w:rPr>
        <w:t>废标</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160"/>
      <w:bookmarkEnd w:id="1161"/>
      <w:bookmarkEnd w:id="1162"/>
      <w:bookmarkEnd w:id="1163"/>
      <w:bookmarkEnd w:id="1168"/>
      <w:bookmarkEnd w:id="1169"/>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本次政府采购活动中，出现下列情形之一的，予以废标：</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符合专业条件的供应商或者对招标文件作实质响应的供应商不足三家的；</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出现影响采购公正的违法、违规行为的；</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投标人的报价均超过了采购预算(含分包预算)或最高限价，采购人不能支付的；</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因重大变故，采购任务取消的。</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废标后，采购代理机构应在“四川政府采购网”公告，并公告废标的理由。对于废标的采购项目，评标委员会应当对招标文件是否存在倾向性和歧视性、是否存在不合理条款进行论证，并出具书面论证意见。</w:t>
      </w:r>
    </w:p>
    <w:p>
      <w:pPr>
        <w:pStyle w:val="40"/>
        <w:numPr>
          <w:ilvl w:val="1"/>
          <w:numId w:val="11"/>
        </w:numPr>
        <w:ind w:left="0" w:firstLine="482"/>
        <w:rPr>
          <w:rFonts w:cs="宋体" w:asciiTheme="minorEastAsia" w:hAnsiTheme="minorEastAsia" w:eastAsiaTheme="minorEastAsia"/>
          <w:color w:val="auto"/>
          <w:highlight w:val="none"/>
        </w:rPr>
      </w:pPr>
      <w:bookmarkStart w:id="1170" w:name="_Toc26437"/>
      <w:bookmarkStart w:id="1171" w:name="_Toc13169"/>
      <w:bookmarkStart w:id="1172" w:name="_Toc4794"/>
      <w:bookmarkStart w:id="1173" w:name="_Toc25875"/>
      <w:bookmarkStart w:id="1174" w:name="_Toc308084649"/>
      <w:bookmarkStart w:id="1175" w:name="_Toc307501158"/>
      <w:bookmarkStart w:id="1176" w:name="_Toc4475"/>
      <w:bookmarkStart w:id="1177" w:name="_Toc308188202"/>
      <w:bookmarkStart w:id="1178" w:name="_Toc2453"/>
      <w:bookmarkStart w:id="1179" w:name="_Toc319440193"/>
      <w:bookmarkStart w:id="1180" w:name="_Toc327196344"/>
      <w:bookmarkStart w:id="1181" w:name="_Toc31281"/>
      <w:bookmarkStart w:id="1182" w:name="_Toc307564900"/>
      <w:bookmarkStart w:id="1183" w:name="_Toc24655"/>
      <w:bookmarkStart w:id="1184" w:name="_Toc10846"/>
      <w:bookmarkStart w:id="1185" w:name="_Toc21352"/>
      <w:bookmarkStart w:id="1186" w:name="_Toc768"/>
      <w:bookmarkStart w:id="1187" w:name="_Toc319439949"/>
      <w:bookmarkStart w:id="1188" w:name="_Toc309897567"/>
      <w:bookmarkStart w:id="1189" w:name="_Toc7121"/>
      <w:r>
        <w:rPr>
          <w:rFonts w:hint="eastAsia" w:cs="宋体" w:asciiTheme="minorEastAsia" w:hAnsiTheme="minorEastAsia" w:eastAsiaTheme="minorEastAsia"/>
          <w:color w:val="auto"/>
          <w:highlight w:val="none"/>
        </w:rPr>
        <w:t>定标</w:t>
      </w:r>
      <w:bookmarkEnd w:id="1034"/>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Start w:id="1190" w:name="_Toc217446061"/>
    </w:p>
    <w:p>
      <w:pPr>
        <w:pStyle w:val="38"/>
        <w:numPr>
          <w:ilvl w:val="1"/>
          <w:numId w:val="57"/>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定标原则</w:t>
      </w:r>
      <w:bookmarkEnd w:id="1190"/>
      <w:r>
        <w:rPr>
          <w:rFonts w:hint="eastAsia" w:cs="宋体" w:asciiTheme="minorEastAsia" w:hAnsiTheme="minorEastAsia" w:eastAsiaTheme="minorEastAsia"/>
          <w:color w:val="auto"/>
          <w:highlight w:val="none"/>
        </w:rPr>
        <w:t>：本项目根据评委会推荐的中标候选人名单，按顺序确定中标人。</w:t>
      </w:r>
    </w:p>
    <w:p>
      <w:pPr>
        <w:pStyle w:val="38"/>
        <w:numPr>
          <w:ilvl w:val="1"/>
          <w:numId w:val="57"/>
        </w:numPr>
        <w:ind w:firstLine="480"/>
        <w:rPr>
          <w:rFonts w:cs="宋体" w:asciiTheme="minorEastAsia" w:hAnsiTheme="minorEastAsia" w:eastAsiaTheme="minorEastAsia"/>
          <w:color w:val="auto"/>
          <w:highlight w:val="none"/>
        </w:rPr>
      </w:pPr>
      <w:bookmarkStart w:id="1191" w:name="_Toc217446062"/>
      <w:r>
        <w:rPr>
          <w:rFonts w:hint="eastAsia" w:cs="宋体" w:asciiTheme="minorEastAsia" w:hAnsiTheme="minorEastAsia" w:eastAsiaTheme="minorEastAsia"/>
          <w:color w:val="auto"/>
          <w:highlight w:val="none"/>
        </w:rPr>
        <w:t>定标程序</w:t>
      </w:r>
      <w:bookmarkEnd w:id="1191"/>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评标委员会根据全体评标成员签字的原始评标记录和评标结果编写评标报告，推荐不少于三名中标候选人，并按照综合得分高低标明排列顺序。</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采购代理机构在评标结束后2个工作日内将评标报告送采购人。</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采购人在收到评标报告5个工作日内未按评标报告推荐的中标候选人顺序确定中标人，又不能说明合法理由的，视同按评标报告推荐的顺序确定排名第一的中标候选人为中标人。</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41"/>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采购代理机构在中标供应商确定后2个工作日内，在“四川政府采购网”发布中标公告。    6.投标人中标后应当及时领取中标通知书，不能及时领取或拒绝领取中标通知书的，采购代理机构将于中标供应商确定之日起两个工作日内采取邮寄、快递方式将中标通知书送达中标人。</w:t>
      </w:r>
    </w:p>
    <w:p>
      <w:pPr>
        <w:pStyle w:val="41"/>
        <w:numPr>
          <w:ilvl w:val="2"/>
          <w:numId w:val="0"/>
        </w:numPr>
        <w:ind w:left="480" w:left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7.招标采购单位不退回投标人投标文件和其他投标资料。</w:t>
      </w:r>
    </w:p>
    <w:bookmarkEnd w:id="1035"/>
    <w:p>
      <w:pPr>
        <w:pStyle w:val="40"/>
        <w:numPr>
          <w:ilvl w:val="1"/>
          <w:numId w:val="11"/>
        </w:numPr>
        <w:ind w:left="0" w:firstLine="482"/>
        <w:rPr>
          <w:rFonts w:cs="宋体" w:asciiTheme="minorEastAsia" w:hAnsiTheme="minorEastAsia" w:eastAsiaTheme="minorEastAsia"/>
          <w:color w:val="auto"/>
          <w:highlight w:val="none"/>
        </w:rPr>
      </w:pPr>
      <w:bookmarkStart w:id="1192" w:name="_Toc22537"/>
      <w:bookmarkStart w:id="1193" w:name="_Toc309897568"/>
      <w:bookmarkStart w:id="1194" w:name="_Toc8099"/>
      <w:bookmarkStart w:id="1195" w:name="_Toc307564901"/>
      <w:bookmarkStart w:id="1196" w:name="_Toc27662"/>
      <w:bookmarkStart w:id="1197" w:name="_Toc25198"/>
      <w:bookmarkStart w:id="1198" w:name="_Toc25084"/>
      <w:bookmarkStart w:id="1199" w:name="_Toc327196345"/>
      <w:bookmarkStart w:id="1200" w:name="_Toc307501159"/>
      <w:bookmarkStart w:id="1201" w:name="_Toc32114"/>
      <w:bookmarkStart w:id="1202" w:name="_Toc319439950"/>
      <w:bookmarkStart w:id="1203" w:name="_Toc16879"/>
      <w:bookmarkStart w:id="1204" w:name="_Toc6571"/>
      <w:bookmarkStart w:id="1205" w:name="_Toc308188203"/>
      <w:bookmarkStart w:id="1206" w:name="_Toc27423"/>
      <w:bookmarkStart w:id="1207" w:name="_Toc15982"/>
      <w:bookmarkStart w:id="1208" w:name="_Toc10903"/>
      <w:bookmarkStart w:id="1209" w:name="_Toc319440194"/>
      <w:bookmarkStart w:id="1210" w:name="_Toc308084650"/>
      <w:bookmarkStart w:id="1211" w:name="_Toc14102"/>
      <w:r>
        <w:rPr>
          <w:rFonts w:hint="eastAsia" w:cs="宋体" w:asciiTheme="minorEastAsia" w:hAnsiTheme="minorEastAsia" w:eastAsiaTheme="minorEastAsia"/>
          <w:color w:val="auto"/>
          <w:highlight w:val="none"/>
        </w:rPr>
        <w:t>评标专家在政府采购活动中承担以下义务</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pPr>
        <w:pStyle w:val="38"/>
        <w:numPr>
          <w:ilvl w:val="1"/>
          <w:numId w:val="5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遵守评标工作纪律；</w:t>
      </w:r>
    </w:p>
    <w:p>
      <w:pPr>
        <w:pStyle w:val="38"/>
        <w:numPr>
          <w:ilvl w:val="1"/>
          <w:numId w:val="5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按照客观、公正、审慎的原则，根据招标文件规定的评标程序、评标方法和评标标准进行独立评标；</w:t>
      </w:r>
    </w:p>
    <w:p>
      <w:pPr>
        <w:pStyle w:val="38"/>
        <w:numPr>
          <w:ilvl w:val="1"/>
          <w:numId w:val="5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不得泄露评标文件、评标情况和在评标过程中获悉的商业秘密；</w:t>
      </w:r>
    </w:p>
    <w:p>
      <w:pPr>
        <w:pStyle w:val="38"/>
        <w:numPr>
          <w:ilvl w:val="1"/>
          <w:numId w:val="5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及时向财政部门报告评标过程中发现的采购人、采购代理机构向评标专家做倾向性、误导性的解释或者说明，以及供应商行贿、提供虚假材料或者串通等违法行为；</w:t>
      </w:r>
    </w:p>
    <w:p>
      <w:pPr>
        <w:pStyle w:val="38"/>
        <w:numPr>
          <w:ilvl w:val="1"/>
          <w:numId w:val="5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发现招标文件内容违反国家有关强制性规定或者采购文件存在歧义、重大缺陷导致评标工作无法进行时，停止评标并向采购人或者采购代理机构书面说明情况；</w:t>
      </w:r>
    </w:p>
    <w:p>
      <w:pPr>
        <w:pStyle w:val="38"/>
        <w:numPr>
          <w:ilvl w:val="1"/>
          <w:numId w:val="5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及时向财政、监察等部门举报在评标过程中受到的非法干预情况；</w:t>
      </w:r>
    </w:p>
    <w:p>
      <w:pPr>
        <w:pStyle w:val="38"/>
        <w:numPr>
          <w:ilvl w:val="1"/>
          <w:numId w:val="5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配合答复处理供应商的询问、质疑和投诉等事项；</w:t>
      </w:r>
    </w:p>
    <w:p>
      <w:pPr>
        <w:pStyle w:val="38"/>
        <w:numPr>
          <w:ilvl w:val="1"/>
          <w:numId w:val="58"/>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法律、法规和规章规定的其他义务。</w:t>
      </w:r>
    </w:p>
    <w:p>
      <w:pPr>
        <w:pStyle w:val="40"/>
        <w:numPr>
          <w:ilvl w:val="1"/>
          <w:numId w:val="11"/>
        </w:numPr>
        <w:ind w:left="0" w:firstLine="482"/>
        <w:rPr>
          <w:rFonts w:cs="宋体" w:asciiTheme="minorEastAsia" w:hAnsiTheme="minorEastAsia" w:eastAsiaTheme="minorEastAsia"/>
          <w:color w:val="auto"/>
          <w:highlight w:val="none"/>
        </w:rPr>
      </w:pPr>
      <w:bookmarkStart w:id="1212" w:name="_Toc24913"/>
      <w:bookmarkStart w:id="1213" w:name="_Toc30872"/>
      <w:bookmarkStart w:id="1214" w:name="_Toc3688"/>
      <w:bookmarkStart w:id="1215" w:name="_Toc327196346"/>
      <w:bookmarkStart w:id="1216" w:name="_Toc12088"/>
      <w:bookmarkStart w:id="1217" w:name="_Toc29759"/>
      <w:bookmarkStart w:id="1218" w:name="_Toc19071"/>
      <w:bookmarkStart w:id="1219" w:name="_Toc319440195"/>
      <w:bookmarkStart w:id="1220" w:name="_Toc4379"/>
      <w:bookmarkStart w:id="1221" w:name="_Toc32658"/>
      <w:bookmarkStart w:id="1222" w:name="_Toc28428"/>
      <w:bookmarkStart w:id="1223" w:name="_Toc1690"/>
      <w:bookmarkStart w:id="1224" w:name="_Toc27047"/>
      <w:bookmarkStart w:id="1225" w:name="_Toc22368"/>
      <w:r>
        <w:rPr>
          <w:rFonts w:hint="eastAsia" w:cs="宋体" w:asciiTheme="minorEastAsia" w:hAnsiTheme="minorEastAsia" w:eastAsiaTheme="minorEastAsia"/>
          <w:color w:val="auto"/>
          <w:highlight w:val="none"/>
        </w:rPr>
        <w:t>评标专家在政府采购活动中应当遵守以下工作纪律</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pPr>
        <w:pStyle w:val="38"/>
        <w:numPr>
          <w:ilvl w:val="1"/>
          <w:numId w:val="59"/>
        </w:numPr>
        <w:ind w:firstLine="480"/>
        <w:rPr>
          <w:rFonts w:cs="宋体" w:asciiTheme="minorEastAsia" w:hAnsiTheme="minorEastAsia" w:eastAsiaTheme="minorEastAsia"/>
          <w:color w:val="auto"/>
          <w:highlight w:val="none"/>
        </w:rPr>
      </w:pPr>
      <w:bookmarkStart w:id="1226" w:name="_Toc28956"/>
      <w:r>
        <w:rPr>
          <w:rFonts w:hint="eastAsia" w:cs="宋体" w:asciiTheme="minorEastAsia" w:hAnsiTheme="minorEastAsia" w:eastAsiaTheme="minorEastAsia"/>
          <w:color w:val="auto"/>
          <w:highlight w:val="none"/>
        </w:rPr>
        <w:t>遵行《中华人民共和国政府采购法》第十二条和《中华人民共和国政府采购法实施条例》第九条及财政部关于回避的规定；</w:t>
      </w:r>
    </w:p>
    <w:p>
      <w:pPr>
        <w:pStyle w:val="38"/>
        <w:numPr>
          <w:ilvl w:val="1"/>
          <w:numId w:val="59"/>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评标前，应当将通讯工具或者相关电子设备交由招标采购单位统一保管；</w:t>
      </w:r>
    </w:p>
    <w:p>
      <w:pPr>
        <w:pStyle w:val="38"/>
        <w:numPr>
          <w:ilvl w:val="1"/>
          <w:numId w:val="59"/>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评标过程中，不得与外界联系，因发生不可预见情况，确实需要与外界联系的，应当在监督人员监督之下办理；</w:t>
      </w:r>
    </w:p>
    <w:p>
      <w:pPr>
        <w:pStyle w:val="38"/>
        <w:numPr>
          <w:ilvl w:val="1"/>
          <w:numId w:val="59"/>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8"/>
        <w:numPr>
          <w:ilvl w:val="1"/>
          <w:numId w:val="59"/>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在评标过程中和评标结束后，不得记录、复制或带走任何评标资料，除因规定的义务外，不得向外界透露评标内容；</w:t>
      </w:r>
    </w:p>
    <w:p>
      <w:pPr>
        <w:pStyle w:val="38"/>
        <w:numPr>
          <w:ilvl w:val="1"/>
          <w:numId w:val="59"/>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服从评标现场招标采购单位的现场秩序管理，接受评标现场监督人员的合法监督；</w:t>
      </w:r>
    </w:p>
    <w:p>
      <w:pPr>
        <w:pStyle w:val="38"/>
        <w:numPr>
          <w:ilvl w:val="1"/>
          <w:numId w:val="59"/>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遵守有关廉洁自律规定，不得私下接触供应商，不得收受供应商及有关业务单位和个人的财物或好处，不得接受招标采购单位的请托。</w:t>
      </w:r>
    </w:p>
    <w:p>
      <w:pPr>
        <w:pStyle w:val="38"/>
        <w:numPr>
          <w:ilvl w:val="1"/>
          <w:numId w:val="59"/>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有关部门(机构)制定的其他评审工作纪律。</w:t>
      </w:r>
    </w:p>
    <w:p>
      <w:pPr>
        <w:pStyle w:val="40"/>
        <w:numPr>
          <w:ilvl w:val="1"/>
          <w:numId w:val="11"/>
        </w:numPr>
        <w:ind w:left="0" w:firstLine="482"/>
        <w:rPr>
          <w:rFonts w:cs="宋体" w:asciiTheme="minorEastAsia" w:hAnsiTheme="minorEastAsia" w:eastAsiaTheme="minorEastAsia"/>
          <w:color w:val="auto"/>
          <w:highlight w:val="none"/>
        </w:rPr>
      </w:pPr>
      <w:bookmarkStart w:id="1227" w:name="_Toc26220"/>
      <w:bookmarkStart w:id="1228" w:name="_Toc30239"/>
      <w:bookmarkStart w:id="1229" w:name="_Toc20675"/>
      <w:bookmarkStart w:id="1230" w:name="_Toc8256"/>
      <w:r>
        <w:rPr>
          <w:rFonts w:hint="eastAsia" w:cs="宋体" w:asciiTheme="minorEastAsia" w:hAnsiTheme="minorEastAsia" w:eastAsiaTheme="minorEastAsia"/>
          <w:color w:val="auto"/>
          <w:highlight w:val="none"/>
        </w:rPr>
        <w:t>评标委员会及其成员不得有下列行为</w:t>
      </w:r>
      <w:bookmarkEnd w:id="1227"/>
      <w:bookmarkEnd w:id="1228"/>
      <w:bookmarkEnd w:id="1229"/>
      <w:bookmarkEnd w:id="1230"/>
    </w:p>
    <w:p>
      <w:pPr>
        <w:pStyle w:val="38"/>
        <w:numPr>
          <w:ilvl w:val="1"/>
          <w:numId w:val="60"/>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确定参与评标至评标结束前私自接触投标人；</w:t>
      </w:r>
    </w:p>
    <w:p>
      <w:pPr>
        <w:pStyle w:val="38"/>
        <w:numPr>
          <w:ilvl w:val="1"/>
          <w:numId w:val="60"/>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接受投标人提出的与投标文件不一致的澄清或者说明，《政府采购货物和服务招标投标管理办法》(财政部令第87号)第五十一条规定的情形除外；</w:t>
      </w:r>
    </w:p>
    <w:p>
      <w:pPr>
        <w:pStyle w:val="38"/>
        <w:numPr>
          <w:ilvl w:val="1"/>
          <w:numId w:val="60"/>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违反评标纪律发表倾向性意见或者征询采购人的倾向性意见；</w:t>
      </w:r>
    </w:p>
    <w:p>
      <w:pPr>
        <w:pStyle w:val="38"/>
        <w:numPr>
          <w:ilvl w:val="1"/>
          <w:numId w:val="60"/>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对需要专业判断的主观评审因素协商评分；</w:t>
      </w:r>
    </w:p>
    <w:p>
      <w:pPr>
        <w:pStyle w:val="38"/>
        <w:numPr>
          <w:ilvl w:val="1"/>
          <w:numId w:val="60"/>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在评标过程中擅离职守，影响评标程序正常进行的；</w:t>
      </w:r>
    </w:p>
    <w:p>
      <w:pPr>
        <w:pStyle w:val="38"/>
        <w:numPr>
          <w:ilvl w:val="1"/>
          <w:numId w:val="60"/>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记录、复制或者带走任何评标资料；</w:t>
      </w:r>
    </w:p>
    <w:p>
      <w:pPr>
        <w:pStyle w:val="38"/>
        <w:numPr>
          <w:ilvl w:val="1"/>
          <w:numId w:val="60"/>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其他不遵守评标纪律的行为。</w:t>
      </w:r>
    </w:p>
    <w:p>
      <w:pPr>
        <w:pStyle w:val="5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评标委员会成员有前款第一至五项行为之一的，其评审意见无效，并不得获取评审劳务报酬和报销异地评审差旅费。</w:t>
      </w:r>
    </w:p>
    <w:p>
      <w:pPr>
        <w:pStyle w:val="40"/>
        <w:numPr>
          <w:ilvl w:val="1"/>
          <w:numId w:val="11"/>
        </w:numPr>
        <w:ind w:left="0" w:firstLine="482"/>
        <w:rPr>
          <w:rFonts w:cs="宋体" w:asciiTheme="minorEastAsia" w:hAnsiTheme="minorEastAsia" w:eastAsiaTheme="minorEastAsia"/>
          <w:color w:val="auto"/>
          <w:highlight w:val="none"/>
        </w:rPr>
      </w:pPr>
      <w:bookmarkStart w:id="1231" w:name="_Toc9712"/>
      <w:bookmarkStart w:id="1232" w:name="_Toc13225"/>
      <w:r>
        <w:rPr>
          <w:rFonts w:hint="eastAsia" w:cs="宋体" w:asciiTheme="minorEastAsia" w:hAnsiTheme="minorEastAsia" w:eastAsiaTheme="minorEastAsia"/>
          <w:color w:val="auto"/>
          <w:highlight w:val="none"/>
        </w:rPr>
        <w:t>评标委员会及其成员不得有下列违约情形</w:t>
      </w:r>
      <w:bookmarkEnd w:id="1231"/>
      <w:bookmarkEnd w:id="1232"/>
    </w:p>
    <w:p>
      <w:pPr>
        <w:pStyle w:val="38"/>
        <w:numPr>
          <w:ilvl w:val="1"/>
          <w:numId w:val="61"/>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答应参加评审活动后，无正当理由不参加或者迟到，且不及时告知抽取终端工作人员，导致评审活动无法正常进行的；</w:t>
      </w:r>
    </w:p>
    <w:p>
      <w:pPr>
        <w:pStyle w:val="38"/>
        <w:numPr>
          <w:ilvl w:val="1"/>
          <w:numId w:val="61"/>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不遵守评审现场工作纪律的；</w:t>
      </w:r>
    </w:p>
    <w:p>
      <w:pPr>
        <w:pStyle w:val="38"/>
        <w:numPr>
          <w:ilvl w:val="1"/>
          <w:numId w:val="61"/>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明显故意拖延评审时间的；</w:t>
      </w:r>
    </w:p>
    <w:p>
      <w:pPr>
        <w:pStyle w:val="38"/>
        <w:numPr>
          <w:ilvl w:val="1"/>
          <w:numId w:val="61"/>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抄袭其他评审委员会成员的评审意见的；</w:t>
      </w:r>
    </w:p>
    <w:p>
      <w:pPr>
        <w:pStyle w:val="38"/>
        <w:numPr>
          <w:ilvl w:val="1"/>
          <w:numId w:val="61"/>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不按照政府采购法律制度和采购文件的规定进行评审，导致评审过程、评审结果违法违规，情节轻微不构成行政处罚的；</w:t>
      </w:r>
    </w:p>
    <w:p>
      <w:pPr>
        <w:pStyle w:val="38"/>
        <w:numPr>
          <w:ilvl w:val="1"/>
          <w:numId w:val="61"/>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索取高于规定的劳务报酬，或者要求先给付报酬再进行评审，或者因劳务报酬低而拒绝评审、拒绝签署评审报告的；</w:t>
      </w:r>
    </w:p>
    <w:p>
      <w:pPr>
        <w:pStyle w:val="38"/>
        <w:numPr>
          <w:ilvl w:val="1"/>
          <w:numId w:val="61"/>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不按照《四川省政府采购评审专家管理实施办法》的规定记录或者反馈采购人或者采购代理机构的职责履行情况的；</w:t>
      </w:r>
    </w:p>
    <w:p>
      <w:pPr>
        <w:pStyle w:val="38"/>
        <w:numPr>
          <w:ilvl w:val="1"/>
          <w:numId w:val="61"/>
        </w:num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存在其他违反政府采购法规制度，但不构成行政处罚行为的。</w:t>
      </w:r>
    </w:p>
    <w:p>
      <w:pPr>
        <w:pStyle w:val="48"/>
        <w:rPr>
          <w:rFonts w:cs="宋体" w:asciiTheme="minorEastAsia" w:hAnsiTheme="minorEastAsia" w:eastAsiaTheme="minorEastAsia"/>
          <w:color w:val="auto"/>
          <w:highlight w:val="none"/>
        </w:rPr>
      </w:pPr>
    </w:p>
    <w:p>
      <w:pPr>
        <w:pStyle w:val="54"/>
        <w:numPr>
          <w:ilvl w:val="0"/>
          <w:numId w:val="11"/>
        </w:numPr>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bookmarkEnd w:id="1226"/>
      <w:bookmarkStart w:id="1233" w:name="_Toc229"/>
      <w:bookmarkStart w:id="1234" w:name="_Toc18908"/>
      <w:bookmarkStart w:id="1235" w:name="_Toc13264"/>
      <w:bookmarkStart w:id="1236" w:name="_Toc7547"/>
      <w:bookmarkStart w:id="1237" w:name="_Toc6109"/>
      <w:r>
        <w:rPr>
          <w:rFonts w:hint="eastAsia" w:cs="宋体" w:asciiTheme="minorEastAsia" w:hAnsiTheme="minorEastAsia" w:eastAsiaTheme="minorEastAsia"/>
          <w:color w:val="auto"/>
          <w:highlight w:val="none"/>
        </w:rPr>
        <w:t>政府采购合同</w:t>
      </w:r>
      <w:bookmarkEnd w:id="1233"/>
      <w:bookmarkEnd w:id="1234"/>
      <w:bookmarkEnd w:id="1235"/>
      <w:bookmarkEnd w:id="1236"/>
      <w:r>
        <w:rPr>
          <w:rFonts w:hint="eastAsia" w:cs="宋体" w:asciiTheme="minorEastAsia" w:hAnsiTheme="minorEastAsia" w:eastAsiaTheme="minorEastAsia"/>
          <w:color w:val="auto"/>
          <w:highlight w:val="none"/>
        </w:rPr>
        <w:t>(参考文本)</w:t>
      </w:r>
      <w:bookmarkEnd w:id="1237"/>
    </w:p>
    <w:p>
      <w:pPr>
        <w:pStyle w:val="48"/>
        <w:ind w:firstLine="480" w:firstLineChars="200"/>
        <w:rPr>
          <w:rFonts w:cs="宋体" w:asciiTheme="minorEastAsia" w:hAnsiTheme="minorEastAsia" w:eastAsiaTheme="minorEastAsia"/>
          <w:color w:val="auto"/>
          <w:highlight w:val="none"/>
        </w:rPr>
      </w:pPr>
    </w:p>
    <w:p>
      <w:pPr>
        <w:pStyle w:val="54"/>
        <w:numPr>
          <w:ilvl w:val="0"/>
          <w:numId w:val="0"/>
        </w:numPr>
        <w:spacing w:before="120" w:after="120"/>
        <w:rPr>
          <w:rFonts w:cs="宋体" w:asciiTheme="minorEastAsia" w:hAnsiTheme="minorEastAsia" w:eastAsiaTheme="minorEastAsia"/>
          <w:color w:val="auto"/>
          <w:highlight w:val="none"/>
        </w:rPr>
      </w:pPr>
      <w:bookmarkStart w:id="1238" w:name="_Toc19117"/>
      <w:r>
        <w:rPr>
          <w:rFonts w:hint="eastAsia" w:cs="宋体" w:asciiTheme="minorEastAsia" w:hAnsiTheme="minorEastAsia" w:eastAsiaTheme="minorEastAsia"/>
          <w:color w:val="auto"/>
          <w:highlight w:val="none"/>
        </w:rPr>
        <w:t>新型地理实体和电子地图数据生产更新及检验入库采购</w:t>
      </w:r>
    </w:p>
    <w:p>
      <w:pPr>
        <w:pStyle w:val="54"/>
        <w:numPr>
          <w:ilvl w:val="0"/>
          <w:numId w:val="0"/>
        </w:numPr>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(第1包：地理实体数据生产与更新</w:t>
      </w:r>
      <w:bookmarkEnd w:id="1238"/>
      <w:r>
        <w:rPr>
          <w:rFonts w:hint="eastAsia" w:cs="宋体" w:asciiTheme="minorEastAsia" w:hAnsiTheme="minorEastAsia" w:eastAsiaTheme="minorEastAsia"/>
          <w:color w:val="auto"/>
          <w:highlight w:val="none"/>
        </w:rPr>
        <w:t>)</w:t>
      </w:r>
    </w:p>
    <w:p>
      <w:pPr>
        <w:spacing w:line="800" w:lineRule="exact"/>
        <w:rPr>
          <w:b/>
          <w:color w:val="auto"/>
          <w:sz w:val="36"/>
          <w:szCs w:val="36"/>
          <w:highlight w:val="none"/>
        </w:rPr>
      </w:pPr>
    </w:p>
    <w:p>
      <w:pPr>
        <w:spacing w:line="800" w:lineRule="exact"/>
        <w:rPr>
          <w:b/>
          <w:color w:val="auto"/>
          <w:sz w:val="36"/>
          <w:szCs w:val="36"/>
          <w:highlight w:val="none"/>
        </w:rPr>
      </w:pPr>
    </w:p>
    <w:p>
      <w:pPr>
        <w:spacing w:line="800" w:lineRule="exact"/>
        <w:jc w:val="center"/>
        <w:rPr>
          <w:b/>
          <w:color w:val="auto"/>
          <w:sz w:val="52"/>
          <w:szCs w:val="52"/>
          <w:highlight w:val="none"/>
        </w:rPr>
      </w:pPr>
      <w:r>
        <w:rPr>
          <w:rFonts w:hint="eastAsia"/>
          <w:b/>
          <w:color w:val="auto"/>
          <w:sz w:val="52"/>
          <w:szCs w:val="52"/>
          <w:highlight w:val="none"/>
        </w:rPr>
        <w:t>合 同 书</w:t>
      </w:r>
    </w:p>
    <w:p>
      <w:pPr>
        <w:rPr>
          <w:color w:val="auto"/>
          <w:highlight w:val="none"/>
        </w:rPr>
      </w:pPr>
    </w:p>
    <w:p>
      <w:pPr>
        <w:rPr>
          <w:color w:val="auto"/>
          <w:highlight w:val="none"/>
        </w:rPr>
      </w:pPr>
    </w:p>
    <w:p>
      <w:pPr>
        <w:rPr>
          <w:color w:val="auto"/>
          <w:highlight w:val="none"/>
        </w:rPr>
      </w:pPr>
    </w:p>
    <w:p>
      <w:pPr>
        <w:jc w:val="center"/>
        <w:rPr>
          <w:color w:val="auto"/>
          <w:sz w:val="30"/>
          <w:szCs w:val="30"/>
          <w:highlight w:val="none"/>
        </w:rPr>
      </w:pPr>
      <w:r>
        <w:rPr>
          <w:rFonts w:hint="eastAsia"/>
          <w:color w:val="auto"/>
          <w:sz w:val="30"/>
          <w:szCs w:val="30"/>
          <w:highlight w:val="none"/>
        </w:rPr>
        <w:t xml:space="preserve">(合同编号： </w:t>
      </w:r>
      <w:r>
        <w:rPr>
          <w:color w:val="auto"/>
          <w:sz w:val="30"/>
          <w:szCs w:val="30"/>
          <w:highlight w:val="none"/>
        </w:rPr>
        <w:t xml:space="preserve">                 </w:t>
      </w:r>
      <w:r>
        <w:rPr>
          <w:rFonts w:hint="eastAsia"/>
          <w:color w:val="auto"/>
          <w:sz w:val="30"/>
          <w:szCs w:val="30"/>
          <w:highlight w:val="none"/>
        </w:rPr>
        <w:t>)</w:t>
      </w:r>
    </w:p>
    <w:p>
      <w:pPr>
        <w:rPr>
          <w:color w:val="auto"/>
          <w:sz w:val="28"/>
          <w:szCs w:val="28"/>
          <w:highlight w:val="none"/>
        </w:rPr>
      </w:pPr>
    </w:p>
    <w:p>
      <w:pPr>
        <w:ind w:firstLine="560" w:firstLineChars="200"/>
        <w:jc w:val="center"/>
        <w:rPr>
          <w:color w:val="auto"/>
          <w:sz w:val="28"/>
          <w:szCs w:val="28"/>
          <w:highlight w:val="none"/>
        </w:rPr>
      </w:pPr>
    </w:p>
    <w:p>
      <w:pPr>
        <w:ind w:firstLine="560" w:firstLineChars="200"/>
        <w:jc w:val="center"/>
        <w:rPr>
          <w:color w:val="auto"/>
          <w:sz w:val="28"/>
          <w:szCs w:val="28"/>
          <w:highlight w:val="none"/>
        </w:rPr>
      </w:pPr>
    </w:p>
    <w:p>
      <w:pPr>
        <w:ind w:firstLine="560" w:firstLineChars="200"/>
        <w:jc w:val="center"/>
        <w:rPr>
          <w:color w:val="auto"/>
          <w:sz w:val="28"/>
          <w:szCs w:val="28"/>
          <w:highlight w:val="none"/>
        </w:rPr>
      </w:pPr>
    </w:p>
    <w:p>
      <w:pPr>
        <w:jc w:val="center"/>
        <w:rPr>
          <w:color w:val="auto"/>
          <w:sz w:val="28"/>
          <w:szCs w:val="28"/>
          <w:highlight w:val="none"/>
        </w:rPr>
      </w:pPr>
    </w:p>
    <w:p>
      <w:pPr>
        <w:spacing w:line="400" w:lineRule="exact"/>
        <w:ind w:firstLine="1795" w:firstLineChars="596"/>
        <w:rPr>
          <w:color w:val="auto"/>
          <w:sz w:val="30"/>
          <w:szCs w:val="30"/>
          <w:highlight w:val="none"/>
        </w:rPr>
      </w:pPr>
      <w:r>
        <w:rPr>
          <w:rFonts w:hint="eastAsia"/>
          <w:b/>
          <w:color w:val="auto"/>
          <w:sz w:val="30"/>
          <w:szCs w:val="30"/>
          <w:highlight w:val="none"/>
        </w:rPr>
        <w:t>甲方</w:t>
      </w:r>
      <w:r>
        <w:rPr>
          <w:rFonts w:hint="eastAsia"/>
          <w:color w:val="auto"/>
          <w:sz w:val="30"/>
          <w:szCs w:val="30"/>
          <w:highlight w:val="none"/>
        </w:rPr>
        <w:t>：</w:t>
      </w:r>
      <w:r>
        <w:rPr>
          <w:rFonts w:hint="eastAsia"/>
          <w:color w:val="auto"/>
          <w:sz w:val="30"/>
          <w:szCs w:val="30"/>
          <w:highlight w:val="none"/>
          <w:u w:val="single"/>
        </w:rPr>
        <w:t xml:space="preserve"> </w:t>
      </w:r>
      <w:r>
        <w:rPr>
          <w:color w:val="auto"/>
          <w:sz w:val="30"/>
          <w:szCs w:val="30"/>
          <w:highlight w:val="none"/>
          <w:u w:val="single"/>
        </w:rPr>
        <w:t xml:space="preserve"> </w:t>
      </w:r>
      <w:r>
        <w:rPr>
          <w:rFonts w:hint="eastAsia"/>
          <w:b/>
          <w:color w:val="auto"/>
          <w:sz w:val="30"/>
          <w:szCs w:val="30"/>
          <w:highlight w:val="none"/>
          <w:u w:val="single"/>
        </w:rPr>
        <w:t xml:space="preserve">成都市规划和自然资源局  </w:t>
      </w:r>
    </w:p>
    <w:p>
      <w:pPr>
        <w:spacing w:line="400" w:lineRule="exact"/>
        <w:ind w:firstLine="956" w:firstLineChars="299"/>
        <w:rPr>
          <w:color w:val="auto"/>
          <w:sz w:val="32"/>
          <w:szCs w:val="32"/>
          <w:highlight w:val="none"/>
        </w:rPr>
      </w:pPr>
    </w:p>
    <w:p>
      <w:pPr>
        <w:spacing w:line="400" w:lineRule="exact"/>
        <w:ind w:firstLine="1795" w:firstLineChars="596"/>
        <w:rPr>
          <w:color w:val="auto"/>
          <w:sz w:val="30"/>
          <w:szCs w:val="30"/>
          <w:highlight w:val="none"/>
        </w:rPr>
      </w:pPr>
      <w:r>
        <w:rPr>
          <w:rFonts w:hint="eastAsia"/>
          <w:b/>
          <w:color w:val="auto"/>
          <w:sz w:val="30"/>
          <w:szCs w:val="30"/>
          <w:highlight w:val="none"/>
        </w:rPr>
        <w:t>乙方：</w:t>
      </w:r>
      <w:r>
        <w:rPr>
          <w:b/>
          <w:color w:val="auto"/>
          <w:sz w:val="30"/>
          <w:szCs w:val="30"/>
          <w:highlight w:val="none"/>
          <w:u w:val="single"/>
        </w:rPr>
        <w:t xml:space="preserve">                          </w:t>
      </w:r>
    </w:p>
    <w:p>
      <w:pPr>
        <w:spacing w:line="400" w:lineRule="exact"/>
        <w:jc w:val="center"/>
        <w:rPr>
          <w:color w:val="auto"/>
          <w:sz w:val="30"/>
          <w:szCs w:val="30"/>
          <w:highlight w:val="none"/>
        </w:rPr>
      </w:pPr>
    </w:p>
    <w:p>
      <w:pPr>
        <w:spacing w:line="400" w:lineRule="exact"/>
        <w:jc w:val="center"/>
        <w:rPr>
          <w:color w:val="auto"/>
          <w:sz w:val="30"/>
          <w:szCs w:val="30"/>
          <w:highlight w:val="none"/>
        </w:rPr>
      </w:pPr>
      <w:r>
        <w:rPr>
          <w:rFonts w:hint="eastAsia"/>
          <w:color w:val="auto"/>
          <w:sz w:val="30"/>
          <w:szCs w:val="30"/>
          <w:highlight w:val="none"/>
          <w:u w:val="single"/>
        </w:rPr>
        <w:t>20</w:t>
      </w:r>
      <w:r>
        <w:rPr>
          <w:color w:val="auto"/>
          <w:sz w:val="30"/>
          <w:szCs w:val="30"/>
          <w:highlight w:val="none"/>
          <w:u w:val="single"/>
        </w:rPr>
        <w:t>21</w:t>
      </w:r>
      <w:r>
        <w:rPr>
          <w:rFonts w:hint="eastAsia"/>
          <w:color w:val="auto"/>
          <w:sz w:val="30"/>
          <w:szCs w:val="30"/>
          <w:highlight w:val="none"/>
        </w:rPr>
        <w:t>年</w:t>
      </w:r>
      <w:r>
        <w:rPr>
          <w:rFonts w:hint="eastAsia"/>
          <w:color w:val="auto"/>
          <w:sz w:val="30"/>
          <w:szCs w:val="30"/>
          <w:highlight w:val="none"/>
          <w:u w:val="single"/>
        </w:rPr>
        <w:t xml:space="preserve"> </w:t>
      </w:r>
      <w:r>
        <w:rPr>
          <w:color w:val="auto"/>
          <w:sz w:val="30"/>
          <w:szCs w:val="30"/>
          <w:highlight w:val="none"/>
          <w:u w:val="single"/>
        </w:rPr>
        <w:t xml:space="preserve">  </w:t>
      </w:r>
      <w:r>
        <w:rPr>
          <w:rFonts w:hint="eastAsia"/>
          <w:color w:val="auto"/>
          <w:sz w:val="30"/>
          <w:szCs w:val="30"/>
          <w:highlight w:val="none"/>
          <w:u w:val="single"/>
        </w:rPr>
        <w:t xml:space="preserve"> </w:t>
      </w:r>
      <w:r>
        <w:rPr>
          <w:rFonts w:hint="eastAsia"/>
          <w:color w:val="auto"/>
          <w:sz w:val="30"/>
          <w:szCs w:val="30"/>
          <w:highlight w:val="none"/>
        </w:rPr>
        <w:t>月</w:t>
      </w:r>
    </w:p>
    <w:p>
      <w:pPr>
        <w:rPr>
          <w:color w:val="auto"/>
          <w:sz w:val="30"/>
          <w:szCs w:val="30"/>
          <w:highlight w:val="none"/>
        </w:rPr>
      </w:pPr>
      <w:r>
        <w:rPr>
          <w:rFonts w:hint="eastAsia"/>
          <w:color w:val="auto"/>
          <w:sz w:val="30"/>
          <w:szCs w:val="30"/>
          <w:highlight w:val="none"/>
        </w:rPr>
        <w:br w:type="page"/>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合同编号：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(与项目编号一致)</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计划号/备案号：</w:t>
      </w:r>
      <w:r>
        <w:rPr>
          <w:rFonts w:hint="eastAsia" w:cs="宋体" w:asciiTheme="minorEastAsia" w:hAnsiTheme="minorEastAsia" w:eastAsiaTheme="minorEastAsia"/>
          <w:color w:val="auto"/>
          <w:highlight w:val="none"/>
          <w:u w:val="single"/>
        </w:rPr>
        <w:t xml:space="preserve">                </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签订地点：</w:t>
      </w:r>
      <w:r>
        <w:rPr>
          <w:rFonts w:hint="eastAsia" w:cs="宋体" w:asciiTheme="minorEastAsia" w:hAnsiTheme="minorEastAsia" w:eastAsiaTheme="minorEastAsia"/>
          <w:color w:val="auto"/>
          <w:highlight w:val="none"/>
          <w:u w:val="single"/>
        </w:rPr>
        <w:t xml:space="preserve">                     </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签订时间：</w:t>
      </w:r>
      <w:r>
        <w:rPr>
          <w:rFonts w:hint="eastAsia" w:cs="宋体" w:asciiTheme="minorEastAsia" w:hAnsiTheme="minorEastAsia" w:eastAsiaTheme="minorEastAsia"/>
          <w:color w:val="auto"/>
          <w:highlight w:val="none"/>
          <w:u w:val="single"/>
        </w:rPr>
        <w:t xml:space="preserve">                     </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采购人名称(甲方)：</w:t>
      </w:r>
      <w:r>
        <w:rPr>
          <w:rFonts w:hint="eastAsia" w:cs="宋体" w:asciiTheme="minorEastAsia" w:hAnsiTheme="minorEastAsia" w:eastAsiaTheme="minorEastAsia"/>
          <w:color w:val="auto"/>
          <w:highlight w:val="none"/>
          <w:u w:val="single"/>
        </w:rPr>
        <w:t xml:space="preserve">                              </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中标人名称(乙方)：</w:t>
      </w:r>
      <w:r>
        <w:rPr>
          <w:rFonts w:hint="eastAsia" w:cs="宋体" w:asciiTheme="minorEastAsia" w:hAnsiTheme="minorEastAsia" w:eastAsiaTheme="minorEastAsia"/>
          <w:color w:val="auto"/>
          <w:highlight w:val="none"/>
          <w:u w:val="single"/>
        </w:rPr>
        <w:t xml:space="preserve">                          </w:t>
      </w:r>
    </w:p>
    <w:p>
      <w:pPr>
        <w:pStyle w:val="48"/>
        <w:ind w:firstLine="482" w:firstLineChars="200"/>
        <w:rPr>
          <w:rFonts w:cs="宋体" w:asciiTheme="minorEastAsia" w:hAnsiTheme="minorEastAsia" w:eastAsiaTheme="minorEastAsia"/>
          <w:b/>
          <w:bCs/>
          <w:color w:val="000000" w:themeColor="text1"/>
          <w:highlight w:val="none"/>
          <w14:textFill>
            <w14:solidFill>
              <w14:schemeClr w14:val="tx1"/>
            </w14:solidFill>
          </w14:textFill>
        </w:rPr>
      </w:pPr>
      <w:r>
        <w:rPr>
          <w:rFonts w:hint="eastAsia" w:cs="宋体" w:asciiTheme="minorEastAsia" w:hAnsiTheme="minorEastAsia" w:eastAsiaTheme="minorEastAsia"/>
          <w:b/>
          <w:bCs/>
          <w:color w:val="000000" w:themeColor="text1"/>
          <w:highlight w:val="none"/>
          <w14:textFill>
            <w14:solidFill>
              <w14:schemeClr w14:val="tx1"/>
            </w14:solidFill>
          </w14:textFill>
        </w:rPr>
        <w:t>合同类型：</w:t>
      </w:r>
      <w:r>
        <w:rPr>
          <w:rFonts w:hint="eastAsia" w:cs="宋体" w:asciiTheme="minorEastAsia" w:hAnsiTheme="minorEastAsia" w:eastAsiaTheme="minorEastAsia"/>
          <w:b/>
          <w:bCs/>
          <w:color w:val="000000" w:themeColor="text1"/>
          <w:highlight w:val="none"/>
          <w:u w:val="single"/>
          <w14:textFill>
            <w14:solidFill>
              <w14:schemeClr w14:val="tx1"/>
            </w14:solidFill>
          </w14:textFill>
        </w:rPr>
        <w:t>本合同为中小企业预留合同</w:t>
      </w:r>
    </w:p>
    <w:p>
      <w:pPr>
        <w:pStyle w:val="48"/>
        <w:rPr>
          <w:rFonts w:cs="宋体" w:asciiTheme="minorEastAsia" w:hAnsiTheme="minorEastAsia" w:eastAsiaTheme="minorEastAsia"/>
          <w:color w:val="auto"/>
          <w:highlight w:val="none"/>
        </w:rPr>
      </w:pP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根据《中华人民共和国民法典》、《中华人民共和国政府采购法》、《中华人民共和国政府采购法实施条例》、《政府采购货物和服务招标投标管理办法》(财政部令第87号)及</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(采购项目的名称)(项目编号：</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(采购项目的编号))的《招标文件》、乙方的《投</w:t>
      </w:r>
      <w:r>
        <w:rPr>
          <w:rFonts w:hint="eastAsia" w:cs="宋体" w:asciiTheme="minorEastAsia" w:hAnsiTheme="minorEastAsia" w:eastAsiaTheme="minorEastAsia"/>
          <w:color w:val="auto"/>
          <w:highlight w:val="none"/>
        </w:rPr>
        <w:t>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1、项目名称</w:t>
      </w:r>
    </w:p>
    <w:p>
      <w:pPr>
        <w:pStyle w:val="14"/>
        <w:spacing w:after="0"/>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新型地理实体和电子地图数据生产更新及检验入库项目(地理实体数据生产与更新)。</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2、合同组成</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2.1下列文件应被认为是本合同的组成部分</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(1)合同协议书；</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(2)双方有关本项目的洽商、变更、调整等书面协议或文件；</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(3)招标文件及附件；</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(4)中标通知书；</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(5)投标文件及附件；</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w:t>
      </w:r>
      <w:r>
        <w:rPr>
          <w:rFonts w:cs="宋体" w:asciiTheme="minorEastAsia" w:hAnsiTheme="minorEastAsia" w:eastAsiaTheme="minorEastAsia"/>
          <w:color w:val="auto"/>
          <w:kern w:val="0"/>
          <w:highlight w:val="none"/>
        </w:rPr>
        <w:t>6</w:t>
      </w:r>
      <w:r>
        <w:rPr>
          <w:rFonts w:hint="eastAsia" w:cs="宋体" w:asciiTheme="minorEastAsia" w:hAnsiTheme="minorEastAsia" w:eastAsiaTheme="minorEastAsia"/>
          <w:color w:val="auto"/>
          <w:kern w:val="0"/>
          <w:highlight w:val="none"/>
        </w:rPr>
        <w:t>)</w:t>
      </w:r>
      <w:r>
        <w:rPr>
          <w:rFonts w:cs="宋体" w:asciiTheme="minorEastAsia" w:hAnsiTheme="minorEastAsia" w:eastAsiaTheme="minorEastAsia"/>
          <w:color w:val="auto"/>
          <w:kern w:val="0"/>
          <w:highlight w:val="none"/>
        </w:rPr>
        <w:t>分包意向协议；</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(7)国家或行业颁布的适用于本工程的强制性规范、技术标准。</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以上文本构成此合同不可分割的部分并与合同正文具有同等法律效力。</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2.2本合同文件解释。解释合同文件的优先顺序按第2.1款顺序，当合同文件出现含糊不清或不一致时，由双方协商解决。</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3、项目内容及要求</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3.1完善技术标准</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在现有标准的基础上结合地理实体生产更新需求，对《成都市二维地理实体生产与更新技术要求》、《成都市三维地理实体生产技术要求》进行优化完善。</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3.2二维地理实体数据更新</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利用2020年1:500DLG(覆盖五城区及其他区(市)县部分区域，预计面积748平方公里)、1:2000DLG(覆盖成都市域各区县部分区域，预计面积3800平方公里)、市域各区县规划竣工成果(预计面积10平方公里)及已有地名地址数据对二维地理实体数据库进行全要素更新(管理单元除外)；</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(2)利用2021年四个季度卫星影像(覆盖成都市域重点区域，预计面积4874平方公里)、以及2021年年度卫星影像(预计面积12000平方公里)对二维地理实体数据库中的重要要素(包括交通、水系、居民地等)进行更新。</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注：实际工作量以卫星影像有效覆盖面积、DLG和规划竣工实际提供面积计算。</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3.3三维地理实体数据生产</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(1)完成现有实景三维产品的实体化改造。对五城区区域(面积约420平方公里)现有实景三维中的建筑物、道路、植被等要素进行实体化表达，并实现与二维地理实体的关联。</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(2)开展道路全要素三维地理实体数据生产试点工作，试点区域为成都中轴线(人民北路-人民中路-人民南路，北二环至火车南站)，道路长度约10.8公里。 </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具体要求以本项目招标文件第六章中的技术、服务要求为准。</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4、工期要求</w:t>
      </w:r>
    </w:p>
    <w:p>
      <w:pPr>
        <w:pStyle w:val="14"/>
        <w:spacing w:after="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4.1  2022年3月20日前完成全部生产工作，分批提交合格成果至甲方指定的质量检验单位进行质量检验并按质检意见进行整改完善；2022年5月31日前配合甲方完成项目验收及资料归档工作。</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4.2具体提交时间节点如下：</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乙方需严格按以下时间节点完成相应工作内容，并提交相应成果：</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(1)2</w:t>
      </w:r>
      <w:r>
        <w:rPr>
          <w:rFonts w:cs="宋体" w:asciiTheme="minorEastAsia" w:hAnsiTheme="minorEastAsia" w:eastAsiaTheme="minorEastAsia"/>
          <w:color w:val="000000" w:themeColor="text1"/>
          <w:highlight w:val="none"/>
          <w14:textFill>
            <w14:solidFill>
              <w14:schemeClr w14:val="tx1"/>
            </w14:solidFill>
          </w14:textFill>
        </w:rPr>
        <w:t>021</w:t>
      </w:r>
      <w:r>
        <w:rPr>
          <w:rFonts w:hint="eastAsia" w:cs="宋体" w:asciiTheme="minorEastAsia" w:hAnsiTheme="minorEastAsia" w:eastAsiaTheme="minorEastAsia"/>
          <w:color w:val="000000" w:themeColor="text1"/>
          <w:highlight w:val="none"/>
          <w14:textFill>
            <w14:solidFill>
              <w14:schemeClr w14:val="tx1"/>
            </w14:solidFill>
          </w14:textFill>
        </w:rPr>
        <w:t>年7月</w:t>
      </w:r>
      <w:r>
        <w:rPr>
          <w:rFonts w:cs="宋体" w:asciiTheme="minorEastAsia" w:hAnsiTheme="minorEastAsia" w:eastAsiaTheme="minorEastAsia"/>
          <w:color w:val="000000" w:themeColor="text1"/>
          <w:highlight w:val="none"/>
          <w14:textFill>
            <w14:solidFill>
              <w14:schemeClr w14:val="tx1"/>
            </w14:solidFill>
          </w14:textFill>
        </w:rPr>
        <w:t>20</w:t>
      </w:r>
      <w:r>
        <w:rPr>
          <w:rFonts w:hint="eastAsia" w:cs="宋体" w:asciiTheme="minorEastAsia" w:hAnsiTheme="minorEastAsia" w:eastAsiaTheme="minorEastAsia"/>
          <w:color w:val="000000" w:themeColor="text1"/>
          <w:highlight w:val="none"/>
          <w14:textFill>
            <w14:solidFill>
              <w14:schemeClr w14:val="tx1"/>
            </w14:solidFill>
          </w14:textFill>
        </w:rPr>
        <w:t>日前、利用2021年第一季度影像及竣工测量成果，完成二维地理实体数据更新并提交更新成果及变化数据库；</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(2)2021年</w:t>
      </w:r>
      <w:r>
        <w:rPr>
          <w:rFonts w:cs="宋体" w:asciiTheme="minorEastAsia" w:hAnsiTheme="minorEastAsia" w:eastAsiaTheme="minorEastAsia"/>
          <w:color w:val="000000" w:themeColor="text1"/>
          <w:highlight w:val="none"/>
          <w14:textFill>
            <w14:solidFill>
              <w14:schemeClr w14:val="tx1"/>
            </w14:solidFill>
          </w14:textFill>
        </w:rPr>
        <w:t>9</w:t>
      </w:r>
      <w:r>
        <w:rPr>
          <w:rFonts w:hint="eastAsia" w:cs="宋体" w:asciiTheme="minorEastAsia" w:hAnsiTheme="minorEastAsia" w:eastAsiaTheme="minorEastAsia"/>
          <w:color w:val="000000" w:themeColor="text1"/>
          <w:highlight w:val="none"/>
          <w14:textFill>
            <w14:solidFill>
              <w14:schemeClr w14:val="tx1"/>
            </w14:solidFill>
          </w14:textFill>
        </w:rPr>
        <w:t>月20日前、利用2021年第二季度影像及竣工测量成果，完成二维地理实体数据更新并提交更新成果及变化数据库；</w:t>
      </w:r>
    </w:p>
    <w:p>
      <w:pPr>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(3)2021年12月10日前、利用 2020年生产的1:500DLG、1:2000DLG、2021年第三季度卫星影像与竣工测量成果、2021年年度卫星影像，完成二维地理实体数据更新并提交更新成果及变化数据库；完成五城区面积约420平方公里区域内现有实景三维产品的实体化改造，以及成都中轴线道路全要素三维地理实体试点数据生产，并提交三维地理实体成果。</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(4)2022年3月20日前、利用2021年第四季度影像及竣工测量成果，完成二维地理实体数据更新并提交更新成果</w:t>
      </w:r>
      <w:r>
        <w:rPr>
          <w:rFonts w:hint="eastAsia" w:cs="宋体" w:asciiTheme="minorEastAsia" w:hAnsiTheme="minorEastAsia" w:eastAsiaTheme="minorEastAsia"/>
          <w:color w:val="000000" w:themeColor="text1"/>
          <w:highlight w:val="none"/>
          <w14:textFill>
            <w14:solidFill>
              <w14:schemeClr w14:val="tx1"/>
            </w14:solidFill>
          </w14:textFill>
        </w:rPr>
        <w:t>及变化数据库</w:t>
      </w:r>
      <w:r>
        <w:rPr>
          <w:rFonts w:hint="eastAsia" w:cs="宋体" w:asciiTheme="minorEastAsia" w:hAnsiTheme="minorEastAsia" w:eastAsiaTheme="minorEastAsia"/>
          <w:color w:val="auto"/>
          <w:highlight w:val="none"/>
        </w:rPr>
        <w:t>。</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5、成果提交</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5.1提交地点：成都市规划和自然资源局</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5.2提交内容要求：</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5.2.</w:t>
      </w:r>
      <w:r>
        <w:rPr>
          <w:rFonts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二维地理实体数据成果</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(1)更新后的二维地理实体数据库，GDB格式，成都市平面坐标系和2000国家大地坐标系成果各1套；</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(2)变化数据库，GDB格式，成都市平面坐标系和2000国家大地坐标系成果各1套；</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(3)2021年度影像变化图斑数据库，MDB格式，成都市平面坐标系和2000国家大地坐标系成果各1套(仅年度影像更新提交)；</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(4)竣工范围：SHP格式，成都市平面坐标系成果1套(仅基于竣工成果更新时提交)；</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(5)技术文档：包括技术设计、技术总结(每批次)、检查报告(每批次)、成果清单(每批次)，均提供纸质文件及电子文档，DOC格式；</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(6)其它相关资料。</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5.2.3三维地理实体数据成果</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(1)三维地理实体数据，MAX格式，成都市平面坐标系成果1套；</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(2)三维地理实体数据对应的矢量数据库，GDB格式，成都市平面坐标系成果1套；</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(3)新型地理实体研究报告，提供纸质文件及电子文档，DOC格式；</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(4)技术文档，包括技术设计、技术总结、检查报告、成果清单，均提供纸质文件及电子文档，DOC格式；</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color w:val="auto"/>
          <w:highlight w:val="none"/>
        </w:rPr>
        <w:t>5</w:t>
      </w:r>
      <w:r>
        <w:rPr>
          <w:rFonts w:hint="eastAsia" w:cs="宋体" w:asciiTheme="minorEastAsia" w:hAnsiTheme="minorEastAsia" w:eastAsiaTheme="minorEastAsia"/>
          <w:color w:val="auto"/>
          <w:highlight w:val="none"/>
        </w:rPr>
        <w:t>)其它相关资料。</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5.3 提交成果的形式要求</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纸质文件乙方需盖鲜章，电子文件和数据成果以硬磁盘或光盘为数据承载介质提交。</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6、合同价款与支付</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6.1 合同价款</w:t>
      </w:r>
    </w:p>
    <w:p>
      <w:pPr>
        <w:tabs>
          <w:tab w:val="left" w:pos="1620"/>
          <w:tab w:val="clear" w:pos="0"/>
        </w:tabs>
        <w:autoSpaceDE w:val="0"/>
        <w:autoSpaceDN w:val="0"/>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本合同总价为</w:t>
      </w:r>
      <w:r>
        <w:rPr>
          <w:rFonts w:hint="eastAsia" w:cs="宋体" w:asciiTheme="minorEastAsia" w:hAnsiTheme="minorEastAsia" w:eastAsiaTheme="minorEastAsia"/>
          <w:color w:val="auto"/>
          <w:kern w:val="0"/>
          <w:highlight w:val="none"/>
          <w:u w:val="single"/>
        </w:rPr>
        <w:t xml:space="preserve">      </w:t>
      </w:r>
      <w:r>
        <w:rPr>
          <w:rFonts w:hint="eastAsia" w:cs="宋体" w:asciiTheme="minorEastAsia" w:hAnsiTheme="minorEastAsia" w:eastAsiaTheme="minorEastAsia"/>
          <w:color w:val="auto"/>
          <w:kern w:val="0"/>
          <w:highlight w:val="none"/>
        </w:rPr>
        <w:t>万元(大写：</w:t>
      </w:r>
      <w:r>
        <w:rPr>
          <w:rFonts w:hint="eastAsia" w:cs="宋体" w:asciiTheme="minorEastAsia" w:hAnsiTheme="minorEastAsia" w:eastAsiaTheme="minorEastAsia"/>
          <w:color w:val="auto"/>
          <w:kern w:val="0"/>
          <w:highlight w:val="none"/>
          <w:u w:val="single"/>
        </w:rPr>
        <w:t>XXXX元整</w:t>
      </w:r>
      <w:r>
        <w:rPr>
          <w:rFonts w:hint="eastAsia" w:cs="宋体" w:asciiTheme="minorEastAsia" w:hAnsiTheme="minorEastAsia" w:eastAsiaTheme="minorEastAsia"/>
          <w:color w:val="auto"/>
          <w:kern w:val="0"/>
          <w:highlight w:val="none"/>
        </w:rPr>
        <w:t>)。</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6.2 支付方式</w:t>
      </w:r>
    </w:p>
    <w:p>
      <w:pPr>
        <w:ind w:firstLine="480" w:firstLineChars="200"/>
        <w:rPr>
          <w:rFonts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6.2.1</w:t>
      </w:r>
      <w:r>
        <w:rPr>
          <w:rFonts w:hint="eastAsia" w:cs="宋体" w:asciiTheme="minorEastAsia" w:hAnsiTheme="minorEastAsia" w:eastAsiaTheme="minorEastAsia"/>
          <w:color w:val="auto"/>
          <w:highlight w:val="none"/>
        </w:rPr>
        <w:t>支付节点及支付条件</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(1)政府采购合同签订生效后30个日历日内，甲方向乙方支付合同金额的50%作为首付款，付款金额为</w:t>
      </w:r>
      <w:r>
        <w:rPr>
          <w:rFonts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万元；</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2021年12月10日前，乙方完成约定的二维地理实体数据更新、三维地理实体数据生产及道路全要素三维地理实体试点数据生产并提交相应成果后30个日历日内，甲方向乙方支付进度款，支付金额为合同金额的30%，付款金额为</w:t>
      </w:r>
      <w:r>
        <w:rPr>
          <w:rFonts w:hint="eastAsia" w:cs="宋体" w:asciiTheme="minorEastAsia" w:hAnsiTheme="minorEastAsia" w:eastAsiaTheme="minorEastAsia"/>
          <w:color w:val="auto"/>
          <w:highlight w:val="none"/>
          <w:u w:val="single"/>
        </w:rPr>
        <w:t xml:space="preserve"> </w:t>
      </w:r>
      <w:r>
        <w:rPr>
          <w:rFonts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万元；</w:t>
      </w:r>
    </w:p>
    <w:p>
      <w:pPr>
        <w:ind w:firstLine="480" w:firstLineChars="200"/>
        <w:rPr>
          <w:color w:val="auto"/>
          <w:highlight w:val="none"/>
        </w:rPr>
      </w:pPr>
      <w:r>
        <w:rPr>
          <w:rFonts w:hint="eastAsia" w:cs="宋体" w:asciiTheme="minorEastAsia" w:hAnsiTheme="minorEastAsia" w:eastAsiaTheme="minorEastAsia"/>
          <w:color w:val="auto"/>
          <w:highlight w:val="none"/>
        </w:rPr>
        <w:t>(3)</w:t>
      </w:r>
      <w:r>
        <w:rPr>
          <w:rFonts w:hint="eastAsia" w:cs="华文中宋"/>
          <w:color w:val="auto"/>
          <w:highlight w:val="none"/>
        </w:rPr>
        <w:t>乙方按约完成全部工作，</w:t>
      </w:r>
      <w:r>
        <w:rPr>
          <w:rFonts w:hint="eastAsia"/>
          <w:color w:val="auto"/>
          <w:highlight w:val="none"/>
        </w:rPr>
        <w:t>且项目通过甲方组织的履约验收后</w:t>
      </w:r>
      <w:r>
        <w:rPr>
          <w:rFonts w:ascii="Times New Roman" w:hAnsi="Times New Roman"/>
          <w:color w:val="auto"/>
          <w:highlight w:val="none"/>
        </w:rPr>
        <w:t>30</w:t>
      </w:r>
      <w:r>
        <w:rPr>
          <w:rFonts w:hint="eastAsia" w:ascii="Times New Roman" w:hAnsi="Times New Roman"/>
          <w:color w:val="auto"/>
          <w:highlight w:val="none"/>
        </w:rPr>
        <w:t>个日历日</w:t>
      </w:r>
      <w:r>
        <w:rPr>
          <w:rFonts w:hint="eastAsia"/>
          <w:color w:val="auto"/>
          <w:highlight w:val="none"/>
        </w:rPr>
        <w:t>内支付尾款，尾款金额为合同金额的2</w:t>
      </w:r>
      <w:r>
        <w:rPr>
          <w:color w:val="auto"/>
          <w:highlight w:val="none"/>
        </w:rPr>
        <w:t>0%</w:t>
      </w:r>
      <w:r>
        <w:rPr>
          <w:rFonts w:hint="eastAsia" w:cs="宋体" w:asciiTheme="minorEastAsia" w:hAnsiTheme="minorEastAsia" w:eastAsiaTheme="minorEastAsia"/>
          <w:color w:val="auto"/>
          <w:highlight w:val="none"/>
        </w:rPr>
        <w:t>，付款金额为</w:t>
      </w:r>
      <w:r>
        <w:rPr>
          <w:rFonts w:hint="eastAsia" w:cs="宋体" w:asciiTheme="minorEastAsia" w:hAnsiTheme="minorEastAsia" w:eastAsiaTheme="minorEastAsia"/>
          <w:color w:val="auto"/>
          <w:highlight w:val="none"/>
          <w:u w:val="single"/>
        </w:rPr>
        <w:t xml:space="preserve"> </w:t>
      </w:r>
      <w:r>
        <w:rPr>
          <w:rFonts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万元</w:t>
      </w:r>
      <w:r>
        <w:rPr>
          <w:rFonts w:hint="eastAsia" w:ascii="Times New Roman" w:hAnsi="Times New Roman"/>
          <w:color w:val="auto"/>
          <w:highlight w:val="none"/>
        </w:rPr>
        <w:t>。</w:t>
      </w:r>
      <w:r>
        <w:rPr>
          <w:rFonts w:hint="eastAsia"/>
          <w:color w:val="auto"/>
          <w:highlight w:val="none"/>
        </w:rPr>
        <w:t>但是，项目验收后需要依法接受审计的，支付尾款时按审计结果的要求执行。</w:t>
      </w:r>
    </w:p>
    <w:p>
      <w:pPr>
        <w:ind w:firstLine="480" w:firstLineChars="200"/>
        <w:rPr>
          <w:rFonts w:cs="宋体" w:asciiTheme="minorEastAsia" w:hAnsiTheme="minorEastAsia" w:eastAsiaTheme="minorEastAsia"/>
          <w:bCs/>
          <w:color w:val="auto"/>
          <w:highlight w:val="none"/>
        </w:rPr>
      </w:pPr>
      <w:r>
        <w:rPr>
          <w:rFonts w:cs="宋体" w:asciiTheme="minorEastAsia" w:hAnsiTheme="minorEastAsia" w:eastAsiaTheme="minorEastAsia"/>
          <w:color w:val="auto"/>
          <w:highlight w:val="none"/>
        </w:rPr>
        <w:t>6.2.2</w:t>
      </w:r>
      <w:r>
        <w:rPr>
          <w:rFonts w:hint="eastAsia" w:cs="宋体" w:asciiTheme="minorEastAsia" w:hAnsiTheme="minorEastAsia" w:eastAsiaTheme="minorEastAsia"/>
          <w:bCs/>
          <w:color w:val="auto"/>
          <w:highlight w:val="none"/>
        </w:rPr>
        <w:t>乙方须向甲方出具合法有效完整的完税发票及凭证资料后进行支付结算，付款方式均采用公对公的银行转账，乙方接受转账的开户信息以采购合同载明的为准。</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7、履约保证金</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7.1金额：</w:t>
      </w:r>
      <w:r>
        <w:rPr>
          <w:rFonts w:hint="eastAsia" w:cs="宋体" w:asciiTheme="minorEastAsia" w:hAnsiTheme="minorEastAsia" w:eastAsiaTheme="minorEastAsia"/>
          <w:color w:val="000000" w:themeColor="text1"/>
          <w:sz w:val="24"/>
          <w:highlight w:val="none"/>
          <w14:textFill>
            <w14:solidFill>
              <w14:schemeClr w14:val="tx1"/>
            </w14:solidFill>
          </w14:textFill>
        </w:rPr>
        <w:t>采购合同金额</w:t>
      </w:r>
      <w:r>
        <w:rPr>
          <w:rFonts w:cs="宋体" w:asciiTheme="minorEastAsia" w:hAnsiTheme="minorEastAsia" w:eastAsiaTheme="minorEastAsia"/>
          <w:color w:val="000000" w:themeColor="text1"/>
          <w:sz w:val="24"/>
          <w:highlight w:val="none"/>
          <w14:textFill>
            <w14:solidFill>
              <w14:schemeClr w14:val="tx1"/>
            </w14:solidFill>
          </w14:textFill>
        </w:rPr>
        <w:t>的5%。</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7.</w:t>
      </w:r>
      <w:r>
        <w:rPr>
          <w:rFonts w:hint="eastAsia" w:cs="宋体" w:asciiTheme="minorEastAsia" w:hAnsiTheme="minorEastAsia" w:eastAsiaTheme="minorEastAsia"/>
          <w:color w:val="000000" w:themeColor="text1"/>
          <w:sz w:val="24"/>
          <w:highlight w:val="none"/>
          <w14:textFill>
            <w14:solidFill>
              <w14:schemeClr w14:val="tx1"/>
            </w14:solidFill>
          </w14:textFill>
        </w:rPr>
        <w:t>2</w:t>
      </w:r>
      <w:r>
        <w:rPr>
          <w:rFonts w:cs="宋体" w:asciiTheme="minorEastAsia" w:hAnsiTheme="minorEastAsia" w:eastAsiaTheme="minorEastAsia"/>
          <w:color w:val="000000" w:themeColor="text1"/>
          <w:sz w:val="24"/>
          <w:highlight w:val="none"/>
          <w14:textFill>
            <w14:solidFill>
              <w14:schemeClr w14:val="tx1"/>
            </w14:solidFill>
          </w14:textFill>
        </w:rPr>
        <w:t>交款方式：履约保证金可以以支票、汇票、本票或者金融机构出具的保函等非现金形式提交</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包括网银转账，电汇等方式</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。不接受以现金及个人名义汇款交纳的履约保证金。</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7.</w:t>
      </w:r>
      <w:r>
        <w:rPr>
          <w:rFonts w:hint="eastAsia" w:cs="宋体" w:asciiTheme="minorEastAsia" w:hAnsiTheme="minorEastAsia" w:eastAsiaTheme="minorEastAsia"/>
          <w:color w:val="000000" w:themeColor="text1"/>
          <w:sz w:val="24"/>
          <w:highlight w:val="none"/>
          <w14:textFill>
            <w14:solidFill>
              <w14:schemeClr w14:val="tx1"/>
            </w14:solidFill>
          </w14:textFill>
        </w:rPr>
        <w:t>3</w:t>
      </w:r>
      <w:r>
        <w:rPr>
          <w:rFonts w:cs="宋体" w:asciiTheme="minorEastAsia" w:hAnsiTheme="minorEastAsia" w:eastAsiaTheme="minorEastAsia"/>
          <w:color w:val="000000" w:themeColor="text1"/>
          <w:sz w:val="24"/>
          <w:highlight w:val="none"/>
          <w14:textFill>
            <w14:solidFill>
              <w14:schemeClr w14:val="tx1"/>
            </w14:solidFill>
          </w14:textFill>
        </w:rPr>
        <w:t>交纳要求：转款户名必须与</w:t>
      </w:r>
      <w:r>
        <w:rPr>
          <w:rFonts w:hint="eastAsia" w:cs="宋体" w:asciiTheme="minorEastAsia" w:hAnsiTheme="minorEastAsia" w:eastAsiaTheme="minorEastAsia"/>
          <w:color w:val="000000" w:themeColor="text1"/>
          <w:sz w:val="24"/>
          <w:highlight w:val="none"/>
          <w14:textFill>
            <w14:solidFill>
              <w14:schemeClr w14:val="tx1"/>
            </w14:solidFill>
          </w14:textFill>
        </w:rPr>
        <w:t>投标单位</w:t>
      </w:r>
      <w:r>
        <w:rPr>
          <w:rFonts w:cs="宋体" w:asciiTheme="minorEastAsia" w:hAnsiTheme="minorEastAsia" w:eastAsiaTheme="minorEastAsia"/>
          <w:color w:val="000000" w:themeColor="text1"/>
          <w:sz w:val="24"/>
          <w:highlight w:val="none"/>
          <w14:textFill>
            <w14:solidFill>
              <w14:schemeClr w14:val="tx1"/>
            </w14:solidFill>
          </w14:textFill>
        </w:rPr>
        <w:t>名称一致，不接受其它方式交纳。</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7.</w:t>
      </w:r>
      <w:r>
        <w:rPr>
          <w:rFonts w:hint="eastAsia" w:cs="宋体" w:asciiTheme="minorEastAsia" w:hAnsiTheme="minorEastAsia" w:eastAsiaTheme="minorEastAsia"/>
          <w:color w:val="000000" w:themeColor="text1"/>
          <w:sz w:val="24"/>
          <w:highlight w:val="none"/>
          <w14:textFill>
            <w14:solidFill>
              <w14:schemeClr w14:val="tx1"/>
            </w14:solidFill>
          </w14:textFill>
        </w:rPr>
        <w:t>4</w:t>
      </w:r>
      <w:r>
        <w:rPr>
          <w:rFonts w:cs="宋体" w:asciiTheme="minorEastAsia" w:hAnsiTheme="minorEastAsia" w:eastAsiaTheme="minorEastAsia"/>
          <w:color w:val="000000" w:themeColor="text1"/>
          <w:sz w:val="24"/>
          <w:highlight w:val="none"/>
          <w14:textFill>
            <w14:solidFill>
              <w14:schemeClr w14:val="tx1"/>
            </w14:solidFill>
          </w14:textFill>
        </w:rPr>
        <w:t>交款时间：中标通知书发放后，政府采购合同签订前</w:t>
      </w:r>
      <w:r>
        <w:rPr>
          <w:rFonts w:hint="eastAsia" w:cs="宋体" w:asciiTheme="minorEastAsia" w:hAnsiTheme="minorEastAsia" w:eastAsiaTheme="minorEastAsia"/>
          <w:color w:val="000000" w:themeColor="text1"/>
          <w:sz w:val="24"/>
          <w:highlight w:val="none"/>
          <w14:textFill>
            <w14:solidFill>
              <w14:schemeClr w14:val="tx1"/>
            </w14:solidFill>
          </w14:textFill>
        </w:rPr>
        <w:t>交至采购人</w:t>
      </w:r>
      <w:r>
        <w:rPr>
          <w:rFonts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br w:type="textWrapping"/>
      </w:r>
      <w:r>
        <w:rPr>
          <w:rFonts w:cs="宋体" w:asciiTheme="minorEastAsia" w:hAnsiTheme="minorEastAsia" w:eastAsiaTheme="minorEastAsia"/>
          <w:color w:val="000000" w:themeColor="text1"/>
          <w:sz w:val="24"/>
          <w:highlight w:val="none"/>
          <w14:textFill>
            <w14:solidFill>
              <w14:schemeClr w14:val="tx1"/>
            </w14:solidFill>
          </w14:textFill>
        </w:rPr>
        <w:t>注：</w:t>
      </w:r>
      <w:r>
        <w:rPr>
          <w:rFonts w:hint="eastAsia" w:cs="宋体" w:asciiTheme="minorEastAsia" w:hAnsiTheme="minorEastAsia" w:eastAsiaTheme="minorEastAsia"/>
          <w:color w:val="000000" w:themeColor="text1"/>
          <w:sz w:val="24"/>
          <w:highlight w:val="none"/>
          <w14:textFill>
            <w14:solidFill>
              <w14:schemeClr w14:val="tx1"/>
            </w14:solidFill>
          </w14:textFill>
        </w:rPr>
        <w:t>①</w:t>
      </w:r>
      <w:r>
        <w:rPr>
          <w:rFonts w:cs="宋体" w:asciiTheme="minorEastAsia" w:hAnsiTheme="minorEastAsia" w:eastAsiaTheme="minorEastAsia"/>
          <w:color w:val="000000" w:themeColor="text1"/>
          <w:sz w:val="24"/>
          <w:highlight w:val="none"/>
          <w14:textFill>
            <w14:solidFill>
              <w14:schemeClr w14:val="tx1"/>
            </w14:solidFill>
          </w14:textFill>
        </w:rPr>
        <w:t>提供保函的的担保机构必须是依法成立的具有相关资质和偿付能力的担保机构。保函是银行等金融机构出具的，保函必须要在中国人民银行征信系统能够进行查询，否则将取消</w:t>
      </w:r>
      <w:r>
        <w:rPr>
          <w:rFonts w:hint="eastAsia" w:cs="宋体" w:asciiTheme="minorEastAsia" w:hAnsiTheme="minorEastAsia" w:eastAsiaTheme="minorEastAsia"/>
          <w:color w:val="000000" w:themeColor="text1"/>
          <w:sz w:val="24"/>
          <w:highlight w:val="none"/>
          <w14:textFill>
            <w14:solidFill>
              <w14:schemeClr w14:val="tx1"/>
            </w14:solidFill>
          </w14:textFill>
        </w:rPr>
        <w:t>中标</w:t>
      </w:r>
      <w:r>
        <w:rPr>
          <w:rFonts w:cs="宋体" w:asciiTheme="minorEastAsia" w:hAnsiTheme="minorEastAsia" w:eastAsiaTheme="minorEastAsia"/>
          <w:color w:val="000000" w:themeColor="text1"/>
          <w:sz w:val="24"/>
          <w:highlight w:val="none"/>
          <w14:textFill>
            <w14:solidFill>
              <w14:schemeClr w14:val="tx1"/>
            </w14:solidFill>
          </w14:textFill>
        </w:rPr>
        <w:t>资格，采购人将重新确定</w:t>
      </w:r>
      <w:r>
        <w:rPr>
          <w:rFonts w:hint="eastAsia" w:cs="宋体" w:asciiTheme="minorEastAsia" w:hAnsiTheme="minorEastAsia" w:eastAsiaTheme="minorEastAsia"/>
          <w:color w:val="000000" w:themeColor="text1"/>
          <w:sz w:val="24"/>
          <w:highlight w:val="none"/>
          <w14:textFill>
            <w14:solidFill>
              <w14:schemeClr w14:val="tx1"/>
            </w14:solidFill>
          </w14:textFill>
        </w:rPr>
        <w:t>中标单位</w:t>
      </w:r>
      <w:r>
        <w:rPr>
          <w:rFonts w:cs="宋体" w:asciiTheme="minorEastAsia" w:hAnsiTheme="minorEastAsia" w:eastAsiaTheme="minorEastAsia"/>
          <w:color w:val="000000" w:themeColor="text1"/>
          <w:sz w:val="24"/>
          <w:highlight w:val="none"/>
          <w14:textFill>
            <w14:solidFill>
              <w14:schemeClr w14:val="tx1"/>
            </w14:solidFill>
          </w14:textFill>
        </w:rPr>
        <w:t>，并依法追究法律责任。</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②</w:t>
      </w:r>
      <w:r>
        <w:rPr>
          <w:rFonts w:cs="宋体" w:asciiTheme="minorEastAsia" w:hAnsiTheme="minorEastAsia" w:eastAsiaTheme="minorEastAsia"/>
          <w:color w:val="000000" w:themeColor="text1"/>
          <w:sz w:val="24"/>
          <w:highlight w:val="none"/>
          <w14:textFill>
            <w14:solidFill>
              <w14:schemeClr w14:val="tx1"/>
            </w14:solidFill>
          </w14:textFill>
        </w:rPr>
        <w:t>履约保证金退还方式：</w:t>
      </w:r>
      <w:r>
        <w:rPr>
          <w:rFonts w:hint="eastAsia" w:cs="宋体" w:asciiTheme="minorEastAsia" w:hAnsiTheme="minorEastAsia" w:eastAsiaTheme="minorEastAsia"/>
          <w:color w:val="000000" w:themeColor="text1"/>
          <w:sz w:val="24"/>
          <w:highlight w:val="none"/>
          <w14:textFill>
            <w14:solidFill>
              <w14:schemeClr w14:val="tx1"/>
            </w14:solidFill>
          </w14:textFill>
        </w:rPr>
        <w:t>验收通过后</w:t>
      </w:r>
      <w:r>
        <w:rPr>
          <w:rFonts w:cs="宋体" w:asciiTheme="minorEastAsia" w:hAnsiTheme="minorEastAsia" w:eastAsiaTheme="minorEastAsia"/>
          <w:color w:val="000000" w:themeColor="text1"/>
          <w:sz w:val="24"/>
          <w:highlight w:val="none"/>
          <w14:textFill>
            <w14:solidFill>
              <w14:schemeClr w14:val="tx1"/>
            </w14:solidFill>
          </w14:textFill>
        </w:rPr>
        <w:t>30个工作日内按原路径退还。</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③</w:t>
      </w:r>
      <w:r>
        <w:rPr>
          <w:rFonts w:cs="宋体" w:asciiTheme="minorEastAsia" w:hAnsiTheme="minorEastAsia" w:eastAsiaTheme="minorEastAsia"/>
          <w:color w:val="000000" w:themeColor="text1"/>
          <w:sz w:val="24"/>
          <w:highlight w:val="none"/>
          <w14:textFill>
            <w14:solidFill>
              <w14:schemeClr w14:val="tx1"/>
            </w14:solidFill>
          </w14:textFill>
        </w:rPr>
        <w:t>履约保证金退还时间：</w:t>
      </w:r>
      <w:r>
        <w:rPr>
          <w:rFonts w:hint="eastAsia" w:cs="宋体" w:asciiTheme="minorEastAsia" w:hAnsiTheme="minorEastAsia" w:eastAsiaTheme="minorEastAsia"/>
          <w:color w:val="000000" w:themeColor="text1"/>
          <w:sz w:val="24"/>
          <w:highlight w:val="none"/>
          <w14:textFill>
            <w14:solidFill>
              <w14:schemeClr w14:val="tx1"/>
            </w14:solidFill>
          </w14:textFill>
        </w:rPr>
        <w:t>除中标合同规定的不予退还的情形及法律法规规定的其他情形外，中标单位按时如约履行合同后，采购人应在本项目通过验收后</w:t>
      </w:r>
      <w:r>
        <w:rPr>
          <w:rFonts w:cs="宋体" w:asciiTheme="minorEastAsia" w:hAnsiTheme="minorEastAsia" w:eastAsiaTheme="minorEastAsia"/>
          <w:color w:val="000000" w:themeColor="text1"/>
          <w:sz w:val="24"/>
          <w:highlight w:val="none"/>
          <w14:textFill>
            <w14:solidFill>
              <w14:schemeClr w14:val="tx1"/>
            </w14:solidFill>
          </w14:textFill>
        </w:rPr>
        <w:t>30个工作日内退还履约保证金。</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④</w:t>
      </w:r>
      <w:r>
        <w:rPr>
          <w:rFonts w:cs="宋体" w:asciiTheme="minorEastAsia" w:hAnsiTheme="minorEastAsia" w:eastAsiaTheme="minorEastAsia"/>
          <w:color w:val="000000" w:themeColor="text1"/>
          <w:sz w:val="24"/>
          <w:highlight w:val="none"/>
          <w14:textFill>
            <w14:solidFill>
              <w14:schemeClr w14:val="tx1"/>
            </w14:solidFill>
          </w14:textFill>
        </w:rPr>
        <w:t>履约保证金不予退还情形：</w:t>
      </w:r>
      <w:r>
        <w:rPr>
          <w:rFonts w:hint="eastAsia" w:cs="宋体" w:asciiTheme="minorEastAsia" w:hAnsiTheme="minorEastAsia" w:eastAsiaTheme="minorEastAsia"/>
          <w:color w:val="000000" w:themeColor="text1"/>
          <w:sz w:val="24"/>
          <w:highlight w:val="none"/>
          <w14:textFill>
            <w14:solidFill>
              <w14:schemeClr w14:val="tx1"/>
            </w14:solidFill>
          </w14:textFill>
        </w:rPr>
        <w:t>中标合同规定的不予退还的情形及法律法规规定的其他情形</w:t>
      </w:r>
      <w:r>
        <w:rPr>
          <w:rFonts w:cs="宋体" w:asciiTheme="minorEastAsia" w:hAnsiTheme="minorEastAsia" w:eastAsiaTheme="minorEastAsia"/>
          <w:color w:val="000000" w:themeColor="text1"/>
          <w:sz w:val="24"/>
          <w:highlight w:val="none"/>
          <w14:textFill>
            <w14:solidFill>
              <w14:schemeClr w14:val="tx1"/>
            </w14:solidFill>
          </w14:textFill>
        </w:rPr>
        <w:t>。</w:t>
      </w:r>
    </w:p>
    <w:p>
      <w:pPr>
        <w:ind w:firstLine="480" w:firstLineChars="200"/>
        <w:rPr>
          <w:color w:val="auto"/>
          <w:highlight w:val="none"/>
        </w:rPr>
      </w:pPr>
      <w:r>
        <w:rPr>
          <w:rFonts w:hint="eastAsia" w:cs="宋体" w:asciiTheme="minorEastAsia" w:hAnsiTheme="minorEastAsia" w:eastAsiaTheme="minorEastAsia"/>
          <w:color w:val="000000" w:themeColor="text1"/>
          <w:highlight w:val="none"/>
          <w14:textFill>
            <w14:solidFill>
              <w14:schemeClr w14:val="tx1"/>
            </w14:solidFill>
          </w14:textFill>
        </w:rPr>
        <w:t>⑤履约保证金不予退还的，将按照有关规定上缴国库。逾期退还履约保证金的，将依法承担法律责任，并赔偿供应商损失。</w:t>
      </w:r>
    </w:p>
    <w:p>
      <w:pPr>
        <w:pStyle w:val="14"/>
        <w:spacing w:after="0"/>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8、知识产权</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乙方应保证在本项目使用的任何产品和服务(包括部分使用)时，不会产生因第三方提出侵犯其著作权或其它知识产权而引起的法律和经济纠纷，如因著作权或其它知识产权而引起法律和经济纠纷，由乙方承担全部相关责任，由此造成甲方无法完成本合同约定的项目内容，甲方有权解除合同，不予退还乙方交纳的履约保证金，并要求乙方全额退还已收的全部款项。</w:t>
      </w:r>
    </w:p>
    <w:p>
      <w:pPr>
        <w:ind w:firstLine="482" w:firstLineChars="200"/>
        <w:rPr>
          <w:rFonts w:cs="宋体" w:asciiTheme="minorEastAsia" w:hAnsiTheme="minorEastAsia" w:eastAsiaTheme="minorEastAsia"/>
          <w:bCs/>
          <w:color w:val="auto"/>
          <w:kern w:val="0"/>
          <w:highlight w:val="none"/>
        </w:rPr>
      </w:pPr>
      <w:r>
        <w:rPr>
          <w:rFonts w:hint="eastAsia" w:cs="宋体" w:asciiTheme="minorEastAsia" w:hAnsiTheme="minorEastAsia" w:eastAsiaTheme="minorEastAsia"/>
          <w:b/>
          <w:bCs/>
          <w:color w:val="auto"/>
          <w:kern w:val="0"/>
          <w:highlight w:val="none"/>
        </w:rPr>
        <w:t>9、质检和验收</w:t>
      </w:r>
    </w:p>
    <w:p>
      <w:pPr>
        <w:ind w:firstLine="480" w:firstLineChars="200"/>
        <w:rPr>
          <w:rFonts w:cs="宋体" w:asciiTheme="minorEastAsia" w:hAnsiTheme="minorEastAsia" w:eastAsiaTheme="minorEastAsia"/>
          <w:bCs/>
          <w:color w:val="auto"/>
          <w:kern w:val="0"/>
          <w:highlight w:val="none"/>
        </w:rPr>
      </w:pPr>
      <w:r>
        <w:rPr>
          <w:rFonts w:hint="eastAsia" w:cs="宋体" w:asciiTheme="minorEastAsia" w:hAnsiTheme="minorEastAsia" w:eastAsiaTheme="minorEastAsia"/>
          <w:bCs/>
          <w:color w:val="auto"/>
          <w:kern w:val="0"/>
          <w:highlight w:val="none"/>
        </w:rPr>
        <w:t>9</w:t>
      </w:r>
      <w:r>
        <w:rPr>
          <w:rFonts w:cs="宋体" w:asciiTheme="minorEastAsia" w:hAnsiTheme="minorEastAsia" w:eastAsiaTheme="minorEastAsia"/>
          <w:bCs/>
          <w:color w:val="auto"/>
          <w:kern w:val="0"/>
          <w:highlight w:val="none"/>
        </w:rPr>
        <w:t>.1乙方完成本合同约定的成果后，应当提交甲方进行质量检验，经甲方委托的</w:t>
      </w:r>
      <w:r>
        <w:rPr>
          <w:rFonts w:hint="eastAsia" w:cs="宋体" w:asciiTheme="minorEastAsia" w:hAnsiTheme="minorEastAsia" w:eastAsiaTheme="minorEastAsia"/>
          <w:bCs/>
          <w:color w:val="auto"/>
          <w:kern w:val="0"/>
          <w:highlight w:val="none"/>
        </w:rPr>
        <w:t>地理实体数据</w:t>
      </w:r>
      <w:r>
        <w:rPr>
          <w:rFonts w:cs="宋体" w:asciiTheme="minorEastAsia" w:hAnsiTheme="minorEastAsia" w:eastAsiaTheme="minorEastAsia"/>
          <w:bCs/>
          <w:color w:val="auto"/>
          <w:kern w:val="0"/>
          <w:highlight w:val="none"/>
        </w:rPr>
        <w:t>检验入库单位质检合格的，由</w:t>
      </w:r>
      <w:r>
        <w:rPr>
          <w:rFonts w:hint="eastAsia" w:cs="宋体" w:asciiTheme="minorEastAsia" w:hAnsiTheme="minorEastAsia" w:eastAsiaTheme="minorEastAsia"/>
          <w:bCs/>
          <w:color w:val="auto"/>
          <w:kern w:val="0"/>
          <w:highlight w:val="none"/>
        </w:rPr>
        <w:t>地理实体数据</w:t>
      </w:r>
      <w:r>
        <w:rPr>
          <w:rFonts w:cs="宋体" w:asciiTheme="minorEastAsia" w:hAnsiTheme="minorEastAsia" w:eastAsiaTheme="minorEastAsia"/>
          <w:bCs/>
          <w:color w:val="auto"/>
          <w:kern w:val="0"/>
          <w:highlight w:val="none"/>
        </w:rPr>
        <w:t>检验入库单位向乙方出具质量检验报告。</w:t>
      </w:r>
    </w:p>
    <w:p>
      <w:pPr>
        <w:ind w:firstLine="480" w:firstLineChars="200"/>
        <w:rPr>
          <w:rFonts w:cs="宋体" w:asciiTheme="minorEastAsia" w:hAnsiTheme="minorEastAsia" w:eastAsiaTheme="minorEastAsia"/>
          <w:bCs/>
          <w:color w:val="auto"/>
          <w:kern w:val="0"/>
          <w:highlight w:val="none"/>
        </w:rPr>
      </w:pPr>
      <w:r>
        <w:rPr>
          <w:rFonts w:hint="eastAsia" w:cs="宋体" w:asciiTheme="minorEastAsia" w:hAnsiTheme="minorEastAsia" w:eastAsiaTheme="minorEastAsia"/>
          <w:bCs/>
          <w:color w:val="auto"/>
          <w:kern w:val="0"/>
          <w:highlight w:val="none"/>
        </w:rPr>
        <w:t>9</w:t>
      </w:r>
      <w:r>
        <w:rPr>
          <w:rFonts w:cs="宋体" w:asciiTheme="minorEastAsia" w:hAnsiTheme="minorEastAsia" w:eastAsiaTheme="minorEastAsia"/>
          <w:bCs/>
          <w:color w:val="auto"/>
          <w:kern w:val="0"/>
          <w:highlight w:val="none"/>
        </w:rPr>
        <w:t>.2待提交成果质检合格后，甲方委托</w:t>
      </w:r>
      <w:r>
        <w:rPr>
          <w:rFonts w:hint="eastAsia" w:cs="宋体" w:asciiTheme="minorEastAsia" w:hAnsiTheme="minorEastAsia" w:eastAsiaTheme="minorEastAsia"/>
          <w:bCs/>
          <w:color w:val="auto"/>
          <w:kern w:val="0"/>
          <w:highlight w:val="none"/>
        </w:rPr>
        <w:t>地理实体</w:t>
      </w:r>
      <w:r>
        <w:rPr>
          <w:rFonts w:cs="宋体" w:asciiTheme="minorEastAsia" w:hAnsiTheme="minorEastAsia" w:eastAsiaTheme="minorEastAsia"/>
          <w:bCs/>
          <w:color w:val="auto"/>
          <w:kern w:val="0"/>
          <w:highlight w:val="none"/>
        </w:rPr>
        <w:t>检验入库单位对成果进行入库。具备验收条件后，乙方应当向甲方申请项目验收，甲方在收到乙方提交的验收申请后，应在5个工作日内组织进行验收。甲方在验收过程中发现不符合要求或合同约定的事项，乙方应立即予以整改。验收通过后，甲方出具验收意见。</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10、甲方的权利和义务</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10.1督促乙方在合同约定时间内保质保量完成项目规定的工作内容，对乙方在服务活动中的不合理处提出整改要求。</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10.2在项目服务范围内要求乙方提供技术、服务支持。</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10.3在乙方提交成果后5个工作日内甲方组织</w:t>
      </w:r>
      <w:r>
        <w:rPr>
          <w:rFonts w:hint="eastAsia" w:cs="宋体" w:asciiTheme="minorEastAsia" w:hAnsiTheme="minorEastAsia" w:eastAsiaTheme="minorEastAsia"/>
          <w:bCs/>
          <w:color w:val="auto"/>
          <w:kern w:val="0"/>
          <w:highlight w:val="none"/>
        </w:rPr>
        <w:t>地理实体数据</w:t>
      </w:r>
      <w:r>
        <w:rPr>
          <w:rFonts w:cs="宋体" w:asciiTheme="minorEastAsia" w:hAnsiTheme="minorEastAsia" w:eastAsiaTheme="minorEastAsia"/>
          <w:bCs/>
          <w:color w:val="auto"/>
          <w:kern w:val="0"/>
          <w:highlight w:val="none"/>
        </w:rPr>
        <w:t>检验入库单位</w:t>
      </w:r>
      <w:r>
        <w:rPr>
          <w:rFonts w:hint="eastAsia" w:cs="宋体" w:asciiTheme="minorEastAsia" w:hAnsiTheme="minorEastAsia" w:eastAsiaTheme="minorEastAsia"/>
          <w:color w:val="auto"/>
          <w:kern w:val="0"/>
          <w:highlight w:val="none"/>
        </w:rPr>
        <w:t>开展检验，若经检验不合格，甲方应在正式检验报告出具后5个工作日内要求乙方进行整改。</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10.4按时向乙方支付应付服务费用。</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10.5国家法律、法规所规定由甲方承担的其它责任。</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11、乙方的权利和义务</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11.1在合同约定时间内保质保量完成项目规定的工作内容。接受甲方的监督并及时配合整改。</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11.2及时响应甲方提出的技术、服务支持要求。</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11.3督促甲方及时组织检验，及时响应甲方根据检验结果提出的整改要求。</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11.4根据约定条款向甲方收取服务费用。</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11.5国家法律、法规所规定由乙方承担的其它责任。</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12、甲方违约责任</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由于甲方原因导致乙方未能按期完成工作的，则工期顺延，但顺延时间不能超过甲方原因所影响的时间。因不可抗力因素导致本合同终止，甲方不负违约责任。</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13、乙方违约责任</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13.1 合同签订后，由于乙方原因而终止合同的，没收履约保证金，乙方应退还甲方全部已付款及相关资料，并按合同金额的</w:t>
      </w:r>
      <w:r>
        <w:rPr>
          <w:rFonts w:hint="eastAsia" w:cs="宋体" w:asciiTheme="minorEastAsia" w:hAnsiTheme="minorEastAsia" w:eastAsiaTheme="minorEastAsia"/>
          <w:color w:val="auto"/>
          <w:kern w:val="0"/>
          <w:highlight w:val="none"/>
          <w:u w:val="single"/>
        </w:rPr>
        <w:t xml:space="preserve"> 10% </w:t>
      </w:r>
      <w:r>
        <w:rPr>
          <w:rFonts w:hint="eastAsia" w:cs="宋体" w:asciiTheme="minorEastAsia" w:hAnsiTheme="minorEastAsia" w:eastAsiaTheme="minorEastAsia"/>
          <w:color w:val="auto"/>
          <w:kern w:val="0"/>
          <w:highlight w:val="none"/>
        </w:rPr>
        <w:t>向甲方支付违约金。</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13.2乙方提交的成果不满足合同第4条约定，即未能按合同约定的日期提交成果时，乙方应向甲方支付延期损失费，累计每15天的延期损失费按合同金额的0.5‰计算(不足15天的按15天计算，延期时间以2022年5月31日截止次日起开始计算)。</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13.3因乙方原因, 提交的成果未能通过首次检验的，重复检验的费用由乙方承担。</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13.4 乙方合格成果提交延期两个月以上的，甲方有权视情况解除合同，不予退还履约保证金，要求乙方全额退还已收款项，按合同金额的10%向甲方支付违约金，并追究相关责任。</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13.5 乙方应当支付的违约金及延期损失费，甲方有权从未支付款项和收取的履约保证金中予以扣除。</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13.6 验收结果不</w:t>
      </w:r>
      <w:r>
        <w:rPr>
          <w:rFonts w:hint="eastAsia" w:cs="宋体" w:asciiTheme="minorEastAsia" w:hAnsiTheme="minorEastAsia" w:eastAsiaTheme="minorEastAsia"/>
          <w:color w:val="000000" w:themeColor="text1"/>
          <w:kern w:val="0"/>
          <w:highlight w:val="none"/>
          <w14:textFill>
            <w14:solidFill>
              <w14:schemeClr w14:val="tx1"/>
            </w14:solidFill>
          </w14:textFill>
        </w:rPr>
        <w:t>合格且经整改仍不合格的,甲方将不予支付采购资金，并追回已付资金，按照政府采购法律法规及</w:t>
      </w:r>
      <w:r>
        <w:rPr>
          <w:rFonts w:hint="eastAsia" w:cs="宋体" w:asciiTheme="minorEastAsia" w:hAnsiTheme="minorEastAsia" w:eastAsiaTheme="minorEastAsia"/>
          <w:bCs/>
          <w:color w:val="000000" w:themeColor="text1"/>
          <w:kern w:val="0"/>
          <w:highlight w:val="none"/>
          <w14:textFill>
            <w14:solidFill>
              <w14:schemeClr w14:val="tx1"/>
            </w14:solidFill>
          </w14:textFill>
        </w:rPr>
        <w:t>《财政部关于进一步加强政府采购需求和履约验收管理的指导意见》</w:t>
      </w:r>
      <w:r>
        <w:rPr>
          <w:rFonts w:cs="宋体" w:asciiTheme="minorEastAsia" w:hAnsiTheme="minorEastAsia" w:eastAsiaTheme="minorEastAsia"/>
          <w:bCs/>
          <w:color w:val="000000" w:themeColor="text1"/>
          <w:kern w:val="0"/>
          <w:highlight w:val="none"/>
          <w14:textFill>
            <w14:solidFill>
              <w14:schemeClr w14:val="tx1"/>
            </w14:solidFill>
          </w14:textFill>
        </w:rPr>
        <w:t>(财库〔2016〕205号)</w:t>
      </w:r>
      <w:r>
        <w:rPr>
          <w:rFonts w:hint="eastAsia" w:cs="宋体" w:asciiTheme="minorEastAsia" w:hAnsiTheme="minorEastAsia" w:eastAsiaTheme="minorEastAsia"/>
          <w:color w:val="000000" w:themeColor="text1"/>
          <w:kern w:val="0"/>
          <w:highlight w:val="none"/>
          <w14:textFill>
            <w14:solidFill>
              <w14:schemeClr w14:val="tx1"/>
            </w14:solidFill>
          </w14:textFill>
        </w:rPr>
        <w:t>等有关规定给予乙方行政处罚。</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14、合同的变更和修改、中止和终止</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14.1本合同一经生效，合同双方均不得擅自对本合同的内容作任何单方的修改。但任何一方均可以对合同内容以书面形式提出变更、修改、取消或补充的建议，经双方同意后，由双方法人代表或委托代理人(须经法定表人书面授权委托)签字后生效。</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14.2如遇政府采购任务取消，甲方有权取消、中止或终止合同；如果甲方认定乙方在竞标或执行合同中有腐败或欺诈行为，有权在任何时候发出书面通知终止合同，并不承担任何责任。</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14.3甲方因乙方不履约或乙方其他原因而解除合同的，甲方不退还履约保证金，乙方须返还甲方所有已付款项、赔偿甲方由此产生的损失并承担其他相关责任。</w:t>
      </w:r>
    </w:p>
    <w:p>
      <w:pPr>
        <w:tabs>
          <w:tab w:val="left" w:pos="1620"/>
          <w:tab w:val="clear" w:pos="0"/>
        </w:tabs>
        <w:ind w:firstLine="482"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b/>
          <w:bCs/>
          <w:color w:val="auto"/>
          <w:kern w:val="0"/>
          <w:highlight w:val="none"/>
        </w:rPr>
        <w:t>15、不可抗力</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15.1不可抗力是指合同签字后发生的非甲乙双方所能控制的、并非合同方过失的、无法中止的、不能预防的事件。合同双方中的任何一方，由于不可抗力事件而影响合同义务的执行时，则延迟履行合同义务的期限相当于不可抗力事件影响的时间，但是不能因为不可抗力的延迟而调整合同价格。</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15.2受到不可抗力影响的一方应在不可抗力事故发生后，尽快将所发生的不可抗力事件的情况以传真或电报通知另一方，并尽快取得另一方审阅确认，受影响的一方同时应尽量设法缩小这种影响和由此而引起的延误，一旦不可抗力的影响消除后，应将此情况立即通知对方。</w:t>
      </w:r>
    </w:p>
    <w:p>
      <w:pPr>
        <w:tabs>
          <w:tab w:val="left" w:pos="1620"/>
          <w:tab w:val="clear" w:pos="0"/>
        </w:tabs>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16、争议的解决方式</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16.1 本合同适用法律为中华人民共和国法律。</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16.2凡与本合同有关的一切争议，甲乙双方应通过友好协商解决。如经协商后仍不能达成协议时，任何一方都有权提交成都仲裁委员会仲裁。</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16.3仲裁结果对双方都有约束力，双方应遵照执行。</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16.4上述过程发生的费用，除仲裁结果另有规定外，应由败诉方承担。</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16.5在进行仲裁期间，除提交仲裁的事项外，合同仍应继续履行。</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17、合同生效及其它事项</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17.1本合同经双方法定代表人或授权代表签字、盖章后生效。全部成果交接完毕和费用结算完成后，本合同终止。</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17.2本合同一式</w:t>
      </w:r>
      <w:r>
        <w:rPr>
          <w:rFonts w:hint="eastAsia" w:cs="宋体" w:asciiTheme="minorEastAsia" w:hAnsiTheme="minorEastAsia" w:eastAsiaTheme="minorEastAsia"/>
          <w:color w:val="auto"/>
          <w:kern w:val="0"/>
          <w:highlight w:val="none"/>
          <w:u w:val="single"/>
        </w:rPr>
        <w:t xml:space="preserve"> 伍 </w:t>
      </w:r>
      <w:r>
        <w:rPr>
          <w:rFonts w:hint="eastAsia" w:cs="宋体" w:asciiTheme="minorEastAsia" w:hAnsiTheme="minorEastAsia" w:eastAsiaTheme="minorEastAsia"/>
          <w:color w:val="auto"/>
          <w:kern w:val="0"/>
          <w:highlight w:val="none"/>
        </w:rPr>
        <w:t>份，甲方</w:t>
      </w:r>
      <w:r>
        <w:rPr>
          <w:rFonts w:hint="eastAsia" w:cs="宋体" w:asciiTheme="minorEastAsia" w:hAnsiTheme="minorEastAsia" w:eastAsiaTheme="minorEastAsia"/>
          <w:color w:val="auto"/>
          <w:kern w:val="0"/>
          <w:highlight w:val="none"/>
          <w:u w:val="single"/>
        </w:rPr>
        <w:t xml:space="preserve"> 叁 </w:t>
      </w:r>
      <w:r>
        <w:rPr>
          <w:rFonts w:hint="eastAsia" w:cs="宋体" w:asciiTheme="minorEastAsia" w:hAnsiTheme="minorEastAsia" w:eastAsiaTheme="minorEastAsia"/>
          <w:color w:val="auto"/>
          <w:kern w:val="0"/>
          <w:highlight w:val="none"/>
        </w:rPr>
        <w:t>份，乙方</w:t>
      </w:r>
      <w:r>
        <w:rPr>
          <w:rFonts w:hint="eastAsia" w:cs="宋体" w:asciiTheme="minorEastAsia" w:hAnsiTheme="minorEastAsia" w:eastAsiaTheme="minorEastAsia"/>
          <w:color w:val="auto"/>
          <w:kern w:val="0"/>
          <w:highlight w:val="none"/>
          <w:u w:val="single"/>
        </w:rPr>
        <w:t xml:space="preserve"> 贰 </w:t>
      </w:r>
      <w:r>
        <w:rPr>
          <w:rFonts w:hint="eastAsia" w:cs="宋体" w:asciiTheme="minorEastAsia" w:hAnsiTheme="minorEastAsia" w:eastAsiaTheme="minorEastAsia"/>
          <w:color w:val="auto"/>
          <w:kern w:val="0"/>
          <w:highlight w:val="none"/>
        </w:rPr>
        <w:t>份，具有同等法律效力。</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17.3其它未尽事宜由甲乙双方共同协商签订补充协议。</w:t>
      </w:r>
    </w:p>
    <w:p>
      <w:pPr>
        <w:tabs>
          <w:tab w:val="left" w:pos="1620"/>
          <w:tab w:val="clear" w:pos="0"/>
        </w:tabs>
        <w:ind w:firstLine="482" w:firstLineChars="200"/>
        <w:jc w:val="center"/>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(以下无正文，为签署区)</w:t>
      </w:r>
    </w:p>
    <w:p>
      <w:pPr>
        <w:pStyle w:val="39"/>
        <w:pageBreakBefore/>
        <w:spacing w:before="240" w:beforeLines="100" w:after="240" w:afterLines="100"/>
        <w:jc w:val="center"/>
        <w:rPr>
          <w:rFonts w:cs="宋体" w:asciiTheme="minorEastAsia" w:hAnsiTheme="minorEastAsia" w:eastAsiaTheme="minorEastAsia"/>
          <w:b/>
          <w:bCs/>
          <w:color w:val="auto"/>
          <w:highlight w:val="none"/>
        </w:rPr>
      </w:pPr>
    </w:p>
    <w:tbl>
      <w:tblPr>
        <w:tblStyle w:val="27"/>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甲方：   (盖章)</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法定代表人(授权代表)：</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地址(住所)：</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开户银行：</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账号：</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电话： </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传真：</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签约日期：XX年XX月XX日</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签约日期：XX年XX月XX日</w:t>
            </w:r>
          </w:p>
        </w:tc>
      </w:tr>
    </w:tbl>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54"/>
        <w:numPr>
          <w:ilvl w:val="0"/>
          <w:numId w:val="0"/>
        </w:numPr>
        <w:spacing w:before="120" w:after="120"/>
        <w:rPr>
          <w:rFonts w:cs="宋体" w:asciiTheme="minorEastAsia" w:hAnsiTheme="minorEastAsia" w:eastAsiaTheme="minorEastAsia"/>
          <w:color w:val="auto"/>
          <w:highlight w:val="none"/>
        </w:rPr>
      </w:pPr>
      <w:bookmarkStart w:id="1239" w:name="_Toc16802"/>
      <w:r>
        <w:rPr>
          <w:rFonts w:hint="eastAsia" w:cs="宋体" w:asciiTheme="minorEastAsia" w:hAnsiTheme="minorEastAsia" w:eastAsiaTheme="minorEastAsia"/>
          <w:color w:val="auto"/>
          <w:highlight w:val="none"/>
        </w:rPr>
        <w:t>新型地理实体和电子地图数据生产更新及检验入库采购</w:t>
      </w:r>
    </w:p>
    <w:p>
      <w:pPr>
        <w:pStyle w:val="54"/>
        <w:numPr>
          <w:ilvl w:val="0"/>
          <w:numId w:val="0"/>
        </w:numPr>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w:t>
      </w:r>
      <w:r>
        <w:rPr>
          <w:rFonts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包：地理实体成果检验入库及天地图融合</w:t>
      </w:r>
      <w:bookmarkEnd w:id="1239"/>
      <w:r>
        <w:rPr>
          <w:rFonts w:hint="eastAsia" w:cs="宋体" w:asciiTheme="minorEastAsia" w:hAnsiTheme="minorEastAsia" w:eastAsiaTheme="minorEastAsia"/>
          <w:color w:val="auto"/>
          <w:highlight w:val="none"/>
        </w:rPr>
        <w:t>)</w:t>
      </w:r>
    </w:p>
    <w:p>
      <w:pPr>
        <w:spacing w:line="800" w:lineRule="exact"/>
        <w:rPr>
          <w:b/>
          <w:color w:val="auto"/>
          <w:sz w:val="36"/>
          <w:szCs w:val="36"/>
          <w:highlight w:val="none"/>
        </w:rPr>
      </w:pPr>
    </w:p>
    <w:p>
      <w:pPr>
        <w:spacing w:line="800" w:lineRule="exact"/>
        <w:rPr>
          <w:b/>
          <w:color w:val="auto"/>
          <w:sz w:val="36"/>
          <w:szCs w:val="36"/>
          <w:highlight w:val="none"/>
        </w:rPr>
      </w:pPr>
    </w:p>
    <w:p>
      <w:pPr>
        <w:spacing w:line="800" w:lineRule="exact"/>
        <w:jc w:val="center"/>
        <w:rPr>
          <w:b/>
          <w:color w:val="auto"/>
          <w:sz w:val="52"/>
          <w:szCs w:val="52"/>
          <w:highlight w:val="none"/>
        </w:rPr>
      </w:pPr>
      <w:r>
        <w:rPr>
          <w:rFonts w:hint="eastAsia"/>
          <w:b/>
          <w:color w:val="auto"/>
          <w:sz w:val="52"/>
          <w:szCs w:val="52"/>
          <w:highlight w:val="none"/>
        </w:rPr>
        <w:t>合 同 书</w:t>
      </w:r>
    </w:p>
    <w:p>
      <w:pPr>
        <w:rPr>
          <w:color w:val="auto"/>
          <w:highlight w:val="none"/>
        </w:rPr>
      </w:pPr>
    </w:p>
    <w:p>
      <w:pPr>
        <w:rPr>
          <w:color w:val="auto"/>
          <w:highlight w:val="none"/>
        </w:rPr>
      </w:pPr>
    </w:p>
    <w:p>
      <w:pPr>
        <w:rPr>
          <w:color w:val="auto"/>
          <w:highlight w:val="none"/>
        </w:rPr>
      </w:pPr>
    </w:p>
    <w:p>
      <w:pPr>
        <w:jc w:val="center"/>
        <w:rPr>
          <w:color w:val="auto"/>
          <w:sz w:val="30"/>
          <w:szCs w:val="30"/>
          <w:highlight w:val="none"/>
        </w:rPr>
      </w:pPr>
      <w:r>
        <w:rPr>
          <w:rFonts w:hint="eastAsia"/>
          <w:color w:val="auto"/>
          <w:sz w:val="30"/>
          <w:szCs w:val="30"/>
          <w:highlight w:val="none"/>
        </w:rPr>
        <w:t xml:space="preserve">(合同编号： </w:t>
      </w:r>
      <w:r>
        <w:rPr>
          <w:color w:val="auto"/>
          <w:sz w:val="30"/>
          <w:szCs w:val="30"/>
          <w:highlight w:val="none"/>
        </w:rPr>
        <w:t xml:space="preserve">                 </w:t>
      </w:r>
      <w:r>
        <w:rPr>
          <w:rFonts w:hint="eastAsia"/>
          <w:color w:val="auto"/>
          <w:sz w:val="30"/>
          <w:szCs w:val="30"/>
          <w:highlight w:val="none"/>
        </w:rPr>
        <w:t>)</w:t>
      </w:r>
    </w:p>
    <w:p>
      <w:pPr>
        <w:rPr>
          <w:color w:val="auto"/>
          <w:sz w:val="28"/>
          <w:szCs w:val="28"/>
          <w:highlight w:val="none"/>
        </w:rPr>
      </w:pPr>
    </w:p>
    <w:p>
      <w:pPr>
        <w:rPr>
          <w:color w:val="auto"/>
          <w:sz w:val="28"/>
          <w:szCs w:val="28"/>
          <w:highlight w:val="none"/>
        </w:rPr>
      </w:pPr>
    </w:p>
    <w:p>
      <w:pPr>
        <w:rPr>
          <w:color w:val="auto"/>
          <w:highlight w:val="none"/>
        </w:rPr>
      </w:pPr>
    </w:p>
    <w:p>
      <w:pPr>
        <w:jc w:val="center"/>
        <w:rPr>
          <w:color w:val="auto"/>
          <w:sz w:val="28"/>
          <w:szCs w:val="28"/>
          <w:highlight w:val="none"/>
        </w:rPr>
      </w:pPr>
    </w:p>
    <w:p>
      <w:pPr>
        <w:jc w:val="center"/>
        <w:rPr>
          <w:color w:val="auto"/>
          <w:sz w:val="28"/>
          <w:szCs w:val="28"/>
          <w:highlight w:val="none"/>
        </w:rPr>
      </w:pPr>
    </w:p>
    <w:p>
      <w:pPr>
        <w:spacing w:line="400" w:lineRule="exact"/>
        <w:ind w:firstLine="1795" w:firstLineChars="596"/>
        <w:rPr>
          <w:color w:val="auto"/>
          <w:sz w:val="30"/>
          <w:szCs w:val="30"/>
          <w:highlight w:val="none"/>
        </w:rPr>
      </w:pPr>
      <w:r>
        <w:rPr>
          <w:rFonts w:hint="eastAsia"/>
          <w:b/>
          <w:color w:val="auto"/>
          <w:sz w:val="30"/>
          <w:szCs w:val="30"/>
          <w:highlight w:val="none"/>
        </w:rPr>
        <w:t>甲方</w:t>
      </w:r>
      <w:r>
        <w:rPr>
          <w:rFonts w:hint="eastAsia"/>
          <w:color w:val="auto"/>
          <w:sz w:val="30"/>
          <w:szCs w:val="30"/>
          <w:highlight w:val="none"/>
        </w:rPr>
        <w:t>：</w:t>
      </w:r>
      <w:r>
        <w:rPr>
          <w:rFonts w:hint="eastAsia"/>
          <w:color w:val="auto"/>
          <w:sz w:val="30"/>
          <w:szCs w:val="30"/>
          <w:highlight w:val="none"/>
          <w:u w:val="single"/>
        </w:rPr>
        <w:t xml:space="preserve"> </w:t>
      </w:r>
      <w:r>
        <w:rPr>
          <w:color w:val="auto"/>
          <w:sz w:val="30"/>
          <w:szCs w:val="30"/>
          <w:highlight w:val="none"/>
          <w:u w:val="single"/>
        </w:rPr>
        <w:t xml:space="preserve"> </w:t>
      </w:r>
      <w:r>
        <w:rPr>
          <w:rFonts w:hint="eastAsia"/>
          <w:b/>
          <w:color w:val="auto"/>
          <w:sz w:val="30"/>
          <w:szCs w:val="30"/>
          <w:highlight w:val="none"/>
          <w:u w:val="single"/>
        </w:rPr>
        <w:t xml:space="preserve">成都市规划和自然资源局  </w:t>
      </w:r>
    </w:p>
    <w:p>
      <w:pPr>
        <w:spacing w:line="400" w:lineRule="exact"/>
        <w:ind w:firstLine="956" w:firstLineChars="299"/>
        <w:rPr>
          <w:color w:val="auto"/>
          <w:sz w:val="32"/>
          <w:szCs w:val="32"/>
          <w:highlight w:val="none"/>
        </w:rPr>
      </w:pPr>
    </w:p>
    <w:p>
      <w:pPr>
        <w:spacing w:line="400" w:lineRule="exact"/>
        <w:ind w:firstLine="1795" w:firstLineChars="596"/>
        <w:rPr>
          <w:color w:val="auto"/>
          <w:sz w:val="30"/>
          <w:szCs w:val="30"/>
          <w:highlight w:val="none"/>
        </w:rPr>
      </w:pPr>
      <w:r>
        <w:rPr>
          <w:rFonts w:hint="eastAsia"/>
          <w:b/>
          <w:color w:val="auto"/>
          <w:sz w:val="30"/>
          <w:szCs w:val="30"/>
          <w:highlight w:val="none"/>
        </w:rPr>
        <w:t>乙方：</w:t>
      </w:r>
      <w:r>
        <w:rPr>
          <w:b/>
          <w:color w:val="auto"/>
          <w:sz w:val="30"/>
          <w:szCs w:val="30"/>
          <w:highlight w:val="none"/>
          <w:u w:val="single"/>
        </w:rPr>
        <w:t xml:space="preserve">                          </w:t>
      </w:r>
    </w:p>
    <w:p>
      <w:pPr>
        <w:spacing w:line="400" w:lineRule="exact"/>
        <w:jc w:val="center"/>
        <w:rPr>
          <w:color w:val="auto"/>
          <w:sz w:val="30"/>
          <w:szCs w:val="30"/>
          <w:highlight w:val="none"/>
        </w:rPr>
      </w:pPr>
    </w:p>
    <w:p>
      <w:pPr>
        <w:spacing w:line="400" w:lineRule="exact"/>
        <w:jc w:val="center"/>
        <w:rPr>
          <w:color w:val="auto"/>
          <w:sz w:val="30"/>
          <w:szCs w:val="30"/>
          <w:highlight w:val="none"/>
        </w:rPr>
      </w:pPr>
      <w:r>
        <w:rPr>
          <w:rFonts w:hint="eastAsia"/>
          <w:color w:val="auto"/>
          <w:sz w:val="30"/>
          <w:szCs w:val="30"/>
          <w:highlight w:val="none"/>
          <w:u w:val="single"/>
        </w:rPr>
        <w:t>20</w:t>
      </w:r>
      <w:r>
        <w:rPr>
          <w:color w:val="auto"/>
          <w:sz w:val="30"/>
          <w:szCs w:val="30"/>
          <w:highlight w:val="none"/>
          <w:u w:val="single"/>
        </w:rPr>
        <w:t>21</w:t>
      </w:r>
      <w:r>
        <w:rPr>
          <w:rFonts w:hint="eastAsia"/>
          <w:color w:val="auto"/>
          <w:sz w:val="30"/>
          <w:szCs w:val="30"/>
          <w:highlight w:val="none"/>
        </w:rPr>
        <w:t>年</w:t>
      </w:r>
      <w:r>
        <w:rPr>
          <w:rFonts w:hint="eastAsia"/>
          <w:color w:val="auto"/>
          <w:sz w:val="30"/>
          <w:szCs w:val="30"/>
          <w:highlight w:val="none"/>
          <w:u w:val="single"/>
        </w:rPr>
        <w:t xml:space="preserve"> </w:t>
      </w:r>
      <w:r>
        <w:rPr>
          <w:color w:val="auto"/>
          <w:sz w:val="30"/>
          <w:szCs w:val="30"/>
          <w:highlight w:val="none"/>
          <w:u w:val="single"/>
        </w:rPr>
        <w:t xml:space="preserve">  </w:t>
      </w:r>
      <w:r>
        <w:rPr>
          <w:rFonts w:hint="eastAsia"/>
          <w:color w:val="auto"/>
          <w:sz w:val="30"/>
          <w:szCs w:val="30"/>
          <w:highlight w:val="none"/>
          <w:u w:val="single"/>
        </w:rPr>
        <w:t xml:space="preserve"> </w:t>
      </w:r>
      <w:r>
        <w:rPr>
          <w:rFonts w:hint="eastAsia"/>
          <w:color w:val="auto"/>
          <w:sz w:val="30"/>
          <w:szCs w:val="30"/>
          <w:highlight w:val="none"/>
        </w:rPr>
        <w:t>月</w:t>
      </w:r>
    </w:p>
    <w:p>
      <w:pPr>
        <w:ind w:firstLine="600" w:firstLineChars="200"/>
        <w:rPr>
          <w:rFonts w:cs="宋体" w:asciiTheme="minorEastAsia" w:hAnsiTheme="minorEastAsia" w:eastAsiaTheme="minorEastAsia"/>
          <w:b/>
          <w:bCs/>
          <w:color w:val="auto"/>
          <w:sz w:val="30"/>
          <w:szCs w:val="30"/>
          <w:highlight w:val="none"/>
        </w:rPr>
      </w:pPr>
      <w:r>
        <w:rPr>
          <w:rFonts w:hint="eastAsia"/>
          <w:color w:val="auto"/>
          <w:sz w:val="30"/>
          <w:szCs w:val="30"/>
          <w:highlight w:val="none"/>
        </w:rPr>
        <w:br w:type="page"/>
      </w:r>
    </w:p>
    <w:p>
      <w:pPr>
        <w:pStyle w:val="48"/>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合同编号：</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(与项目编号一致)</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计划号/备案号：</w:t>
      </w:r>
      <w:r>
        <w:rPr>
          <w:rFonts w:hint="eastAsia" w:cs="宋体" w:asciiTheme="minorEastAsia" w:hAnsiTheme="minorEastAsia" w:eastAsiaTheme="minorEastAsia"/>
          <w:color w:val="auto"/>
          <w:highlight w:val="none"/>
          <w:u w:val="single"/>
        </w:rPr>
        <w:t xml:space="preserve">                </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签订地点：</w:t>
      </w:r>
      <w:r>
        <w:rPr>
          <w:rFonts w:hint="eastAsia" w:cs="宋体" w:asciiTheme="minorEastAsia" w:hAnsiTheme="minorEastAsia" w:eastAsiaTheme="minorEastAsia"/>
          <w:color w:val="auto"/>
          <w:highlight w:val="none"/>
          <w:u w:val="single"/>
        </w:rPr>
        <w:t xml:space="preserve">                     </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签订时间：</w:t>
      </w:r>
      <w:r>
        <w:rPr>
          <w:rFonts w:hint="eastAsia" w:cs="宋体" w:asciiTheme="minorEastAsia" w:hAnsiTheme="minorEastAsia" w:eastAsiaTheme="minorEastAsia"/>
          <w:color w:val="auto"/>
          <w:highlight w:val="none"/>
          <w:u w:val="single"/>
        </w:rPr>
        <w:t xml:space="preserve">                     </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采购人名称(甲方)：</w:t>
      </w:r>
      <w:r>
        <w:rPr>
          <w:rFonts w:hint="eastAsia" w:cs="宋体" w:asciiTheme="minorEastAsia" w:hAnsiTheme="minorEastAsia" w:eastAsiaTheme="minorEastAsia"/>
          <w:color w:val="auto"/>
          <w:highlight w:val="none"/>
          <w:u w:val="single"/>
        </w:rPr>
        <w:t xml:space="preserve">                              </w:t>
      </w:r>
    </w:p>
    <w:p>
      <w:pPr>
        <w:pStyle w:val="48"/>
        <w:ind w:firstLine="480" w:firstLineChars="20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中标人名称(乙方)：</w:t>
      </w:r>
      <w:r>
        <w:rPr>
          <w:rFonts w:hint="eastAsia" w:cs="宋体" w:asciiTheme="minorEastAsia" w:hAnsiTheme="minorEastAsia" w:eastAsiaTheme="minorEastAsia"/>
          <w:color w:val="auto"/>
          <w:highlight w:val="none"/>
          <w:u w:val="single"/>
        </w:rPr>
        <w:t xml:space="preserve">                          </w:t>
      </w:r>
    </w:p>
    <w:p>
      <w:pPr>
        <w:pStyle w:val="48"/>
        <w:ind w:firstLine="482" w:firstLineChars="200"/>
        <w:rPr>
          <w:rFonts w:cs="宋体" w:asciiTheme="minorEastAsia" w:hAnsiTheme="minorEastAsia" w:eastAsiaTheme="minorEastAsia"/>
          <w:b/>
          <w:bCs/>
          <w:color w:val="auto"/>
          <w:highlight w:val="none"/>
        </w:rPr>
      </w:pPr>
    </w:p>
    <w:p>
      <w:pPr>
        <w:pStyle w:val="48"/>
        <w:ind w:firstLine="48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auto"/>
          <w:highlight w:val="none"/>
        </w:rPr>
        <w:t>根据《中华人民共和国民法典》、《中华人民共和国政府采购法》、《中华人民共和国政府采购法实施条例》、《政府采购货物和服务招标投标管理办法》(财政部令第87号)及</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(采购项目的名称)(项目编号：</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采购项目的编号))的《招标文件》、乙方的《投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p>
    <w:p>
      <w:pPr>
        <w:ind w:firstLine="482" w:firstLineChars="200"/>
        <w:rPr>
          <w:rFonts w:cs="宋体" w:asciiTheme="minorEastAsia" w:hAnsiTheme="minorEastAsia" w:eastAsiaTheme="minorEastAsia"/>
          <w:b/>
          <w:bCs/>
          <w:color w:val="000000" w:themeColor="text1"/>
          <w:kern w:val="0"/>
          <w:highlight w:val="none"/>
          <w14:textFill>
            <w14:solidFill>
              <w14:schemeClr w14:val="tx1"/>
            </w14:solidFill>
          </w14:textFill>
        </w:rPr>
      </w:pPr>
      <w:bookmarkStart w:id="1240" w:name="_Toc28848"/>
      <w:r>
        <w:rPr>
          <w:rFonts w:hint="eastAsia" w:cs="宋体" w:asciiTheme="minorEastAsia" w:hAnsiTheme="minorEastAsia" w:eastAsiaTheme="minorEastAsia"/>
          <w:b/>
          <w:bCs/>
          <w:color w:val="000000" w:themeColor="text1"/>
          <w:kern w:val="0"/>
          <w:highlight w:val="none"/>
          <w14:textFill>
            <w14:solidFill>
              <w14:schemeClr w14:val="tx1"/>
            </w14:solidFill>
          </w14:textFill>
        </w:rPr>
        <w:t>1、项目名称</w:t>
      </w:r>
    </w:p>
    <w:p>
      <w:pPr>
        <w:pStyle w:val="14"/>
        <w:spacing w:after="0"/>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000000" w:themeColor="text1"/>
          <w:kern w:val="0"/>
          <w:highlight w:val="none"/>
          <w14:textFill>
            <w14:solidFill>
              <w14:schemeClr w14:val="tx1"/>
            </w14:solidFill>
          </w14:textFill>
        </w:rPr>
        <w:t>新型地理实体和电子地图数据生产更新及检验入库项目(地理实体成果检验入库及天地图</w:t>
      </w:r>
      <w:r>
        <w:rPr>
          <w:rFonts w:hint="eastAsia" w:cs="宋体" w:asciiTheme="minorEastAsia" w:hAnsiTheme="minorEastAsia" w:eastAsiaTheme="minorEastAsia"/>
          <w:color w:val="auto"/>
          <w:kern w:val="0"/>
          <w:highlight w:val="none"/>
        </w:rPr>
        <w:t>融合)。</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2、合同组成</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2.1下列文件应被认为是本合同的组成部分</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(1)合同协议书；</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(2)双方有关本项目的洽商、变更、调整等书面协议或文件；</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(3)招标文件及附件；</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(4)中标通知书；</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(5)投标文件及附件；</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(6)国家或行业颁布的适用于本工程的强制性规范、技术标准。</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以上文本构成此合同不可分割的部分并与合同正文具有同等法律效力。</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2.2本合同文件解释。解释合同文件的优先顺序按第2.1款顺序，当合同文件出现含糊不清或不一致时，由双方协商解决。</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3、项目内容及要求</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3</w:t>
      </w:r>
      <w:r>
        <w:rPr>
          <w:rFonts w:cs="宋体" w:asciiTheme="minorEastAsia" w:hAnsiTheme="minorEastAsia" w:eastAsiaTheme="minorEastAsia"/>
          <w:b/>
          <w:color w:val="auto"/>
          <w:highlight w:val="none"/>
        </w:rPr>
        <w:t>.1</w:t>
      </w:r>
      <w:r>
        <w:rPr>
          <w:rFonts w:hint="eastAsia" w:cs="宋体" w:asciiTheme="minorEastAsia" w:hAnsiTheme="minorEastAsia" w:eastAsiaTheme="minorEastAsia"/>
          <w:b/>
          <w:color w:val="auto"/>
          <w:highlight w:val="none"/>
        </w:rPr>
        <w:t>完善技术标准</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在现有标准的基础上结合时空大数据与云平台、地理实体生产及后期应用的需求，对《成都市二维地理实体数据库建库规定》进行优化完善。</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3</w:t>
      </w:r>
      <w:r>
        <w:rPr>
          <w:rFonts w:cs="宋体" w:asciiTheme="minorEastAsia" w:hAnsiTheme="minorEastAsia" w:eastAsiaTheme="minorEastAsia"/>
          <w:b/>
          <w:color w:val="auto"/>
          <w:highlight w:val="none"/>
        </w:rPr>
        <w:t>.2</w:t>
      </w:r>
      <w:r>
        <w:rPr>
          <w:rFonts w:hint="eastAsia" w:cs="宋体" w:asciiTheme="minorEastAsia" w:hAnsiTheme="minorEastAsia" w:eastAsiaTheme="minorEastAsia"/>
          <w:b/>
          <w:color w:val="auto"/>
          <w:highlight w:val="none"/>
        </w:rPr>
        <w:t>天地图融合</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按天地图规范和省市数据融合要求，完成成都市域范围内天地图数据的融合。</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3</w:t>
      </w:r>
      <w:r>
        <w:rPr>
          <w:rFonts w:cs="宋体" w:asciiTheme="minorEastAsia" w:hAnsiTheme="minorEastAsia" w:eastAsiaTheme="minorEastAsia"/>
          <w:b/>
          <w:color w:val="auto"/>
          <w:highlight w:val="none"/>
        </w:rPr>
        <w:t>.3</w:t>
      </w:r>
      <w:r>
        <w:rPr>
          <w:rFonts w:hint="eastAsia" w:cs="宋体" w:asciiTheme="minorEastAsia" w:hAnsiTheme="minorEastAsia" w:eastAsiaTheme="minorEastAsia"/>
          <w:b/>
          <w:color w:val="auto"/>
          <w:highlight w:val="none"/>
        </w:rPr>
        <w:t>地理实体数据成果质量检验</w:t>
      </w:r>
    </w:p>
    <w:p>
      <w:pPr>
        <w:tabs>
          <w:tab w:val="left" w:pos="1620"/>
          <w:tab w:val="clear" w:pos="0"/>
        </w:tabs>
        <w:autoSpaceDE w:val="0"/>
        <w:autoSpaceDN w:val="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szCs w:val="28"/>
          <w:highlight w:val="none"/>
        </w:rPr>
        <w:t>按照相关规范要求，分批对二维地理实体数据更新成果、三维地理实体数据生产成果进行质量检验工作，并按要求出具检验报告</w:t>
      </w:r>
      <w:r>
        <w:rPr>
          <w:rFonts w:hint="eastAsia" w:cs="宋体" w:asciiTheme="minorEastAsia" w:hAnsiTheme="minorEastAsia" w:eastAsiaTheme="minorEastAsia"/>
          <w:color w:val="auto"/>
          <w:highlight w:val="none"/>
        </w:rPr>
        <w:t>。</w:t>
      </w:r>
    </w:p>
    <w:p>
      <w:pPr>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3</w:t>
      </w:r>
      <w:r>
        <w:rPr>
          <w:rFonts w:cs="宋体" w:asciiTheme="minorEastAsia" w:hAnsiTheme="minorEastAsia" w:eastAsiaTheme="minorEastAsia"/>
          <w:b/>
          <w:color w:val="auto"/>
          <w:highlight w:val="none"/>
        </w:rPr>
        <w:t>.4</w:t>
      </w:r>
      <w:r>
        <w:rPr>
          <w:rFonts w:hint="eastAsia" w:cs="宋体" w:asciiTheme="minorEastAsia" w:hAnsiTheme="minorEastAsia" w:eastAsiaTheme="minorEastAsia"/>
          <w:b/>
          <w:color w:val="auto"/>
          <w:highlight w:val="none"/>
        </w:rPr>
        <w:t>地理实体数据成果入库</w:t>
      </w:r>
    </w:p>
    <w:p>
      <w:pPr>
        <w:tabs>
          <w:tab w:val="left" w:pos="1620"/>
          <w:tab w:val="clear" w:pos="0"/>
        </w:tabs>
        <w:autoSpaceDE w:val="0"/>
        <w:autoSpaceDN w:val="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按照相关要求，对检验合格的</w:t>
      </w:r>
      <w:r>
        <w:rPr>
          <w:rFonts w:hint="eastAsia" w:cs="宋体" w:asciiTheme="minorEastAsia" w:hAnsiTheme="minorEastAsia" w:eastAsiaTheme="minorEastAsia"/>
          <w:color w:val="auto"/>
          <w:szCs w:val="28"/>
          <w:highlight w:val="none"/>
        </w:rPr>
        <w:t>二三维</w:t>
      </w:r>
      <w:r>
        <w:rPr>
          <w:rFonts w:hint="eastAsia" w:cs="宋体" w:asciiTheme="minorEastAsia" w:hAnsiTheme="minorEastAsia" w:eastAsiaTheme="minorEastAsia"/>
          <w:color w:val="auto"/>
          <w:highlight w:val="none"/>
        </w:rPr>
        <w:t>地理实体数据进行入库前的各项检查，并完成相应数据库入库工作。</w:t>
      </w:r>
    </w:p>
    <w:p>
      <w:pPr>
        <w:pStyle w:val="17"/>
        <w:spacing w:line="440" w:lineRule="exac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具体要求以本项目采购文件第六章中的技术、服务要求为准。</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4、工期要求</w:t>
      </w:r>
    </w:p>
    <w:p>
      <w:pPr>
        <w:pStyle w:val="14"/>
        <w:spacing w:after="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4.1服务期限：2021年12月10日前完成天地图数据融合并提交融合成果，</w:t>
      </w:r>
      <w:r>
        <w:rPr>
          <w:rFonts w:hint="eastAsia" w:asciiTheme="minorEastAsia" w:hAnsiTheme="minorEastAsia" w:eastAsiaTheme="minorEastAsia"/>
          <w:color w:val="auto"/>
          <w:highlight w:val="none"/>
        </w:rPr>
        <w:t>数据提交时间与内容若与省级主管部门要求发生冲突，中标方通过与采购方签订补充协议的形式重新确定数据提交时间及内容。</w:t>
      </w:r>
      <w:r>
        <w:rPr>
          <w:rFonts w:hint="eastAsia" w:cs="宋体" w:asciiTheme="minorEastAsia" w:hAnsiTheme="minorEastAsia" w:eastAsiaTheme="minorEastAsia"/>
          <w:color w:val="auto"/>
          <w:highlight w:val="none"/>
        </w:rPr>
        <w:t>2022年4月30日前分批完成二三维地理实体成果数据检验工作，并出具检验报告，将质检合格的成果录入对应的成果库，同时出具入库通知单。2022年5月31日前配合采购人完成项目验收及资料归档工作。</w:t>
      </w:r>
    </w:p>
    <w:p>
      <w:pPr>
        <w:pStyle w:val="14"/>
        <w:spacing w:after="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4.2具体提交时间节点如下：</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乙方需严格按以下时间节点完成相应工作内容，并提交相应成果：</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(1)接收完整待检的、利用2021年第一季度影像及竣工测量成果更新的二维地理实体数据后，30个自然日内完成数据检验工作，检验报告出具后10个自然日内完成数据成果入库；</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(2)接收完整待检的、利用2021年第二季度影像及竣工测量成果更新的二维地理实体数据后，30个自然日内完成数据检验工作，检验报告出具后10个自然日内完成数据成果入库；</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w:t>
      </w:r>
      <w:r>
        <w:rPr>
          <w:rFonts w:hint="eastAsia" w:asciiTheme="minorEastAsia" w:hAnsiTheme="minorEastAsia" w:eastAsiaTheme="minorEastAsia"/>
          <w:color w:val="auto"/>
          <w:highlight w:val="none"/>
        </w:rPr>
        <w:t>接收完整待检的、利用2020年生产的1:500DLG、1:2000DLG、2021年第三季度卫星影像与竣工测量成果、2021年年度卫星影像更新的二维地理实体数据，</w:t>
      </w:r>
      <w:r>
        <w:rPr>
          <w:rFonts w:hint="eastAsia" w:cs="宋体" w:asciiTheme="minorEastAsia" w:hAnsiTheme="minorEastAsia" w:eastAsiaTheme="minorEastAsia"/>
          <w:color w:val="auto"/>
          <w:highlight w:val="none"/>
        </w:rPr>
        <w:t>五城区面积约420平方公里区域内三维</w:t>
      </w:r>
      <w:r>
        <w:rPr>
          <w:rFonts w:cs="宋体" w:asciiTheme="minorEastAsia" w:hAnsiTheme="minorEastAsia" w:eastAsiaTheme="minorEastAsia"/>
          <w:color w:val="auto"/>
          <w:highlight w:val="none"/>
        </w:rPr>
        <w:t>实体数据</w:t>
      </w:r>
      <w:r>
        <w:rPr>
          <w:rFonts w:hint="eastAsia" w:asciiTheme="minorEastAsia" w:hAnsiTheme="minorEastAsia" w:eastAsiaTheme="minorEastAsia"/>
          <w:color w:val="auto"/>
          <w:highlight w:val="none"/>
        </w:rPr>
        <w:t>及成都中轴线道路全要素三维地理实体试点数据成果后，30个自然日内完成数据检验工作，检验报告出具后10个自然日内完成数据成果入库</w:t>
      </w:r>
      <w:r>
        <w:rPr>
          <w:rFonts w:hint="eastAsia" w:cs="宋体" w:asciiTheme="minorEastAsia" w:hAnsiTheme="minorEastAsia" w:eastAsiaTheme="minorEastAsia"/>
          <w:color w:val="auto"/>
          <w:highlight w:val="none"/>
        </w:rPr>
        <w:t>；</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(4)接收完整待检的、利用2021年第四季度影像及竣工测量成果更新的二维地理实体数据后，30个自然日内完成数据检验工作，检验报告出具后10个自然日内完成数据成果入库；</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(5)2021年12月10日前完成天地图数据融合并提交融合成果；</w:t>
      </w:r>
      <w:r>
        <w:rPr>
          <w:rFonts w:hint="eastAsia" w:asciiTheme="minorEastAsia" w:hAnsiTheme="minorEastAsia" w:eastAsiaTheme="minorEastAsia"/>
          <w:color w:val="auto"/>
          <w:highlight w:val="none"/>
        </w:rPr>
        <w:t>数据提交时间及内容要求若与省级主管部门要求发生冲突，中标方通过与采购方签订补充协议的形式重新确定数据提交时间及内容</w:t>
      </w:r>
      <w:r>
        <w:rPr>
          <w:rFonts w:hint="eastAsia" w:cs="宋体" w:asciiTheme="minorEastAsia" w:hAnsiTheme="minorEastAsia" w:eastAsiaTheme="minorEastAsia"/>
          <w:color w:val="auto"/>
          <w:highlight w:val="none"/>
        </w:rPr>
        <w:t>。</w:t>
      </w:r>
    </w:p>
    <w:p>
      <w:pPr>
        <w:pStyle w:val="17"/>
        <w:spacing w:line="440" w:lineRule="exact"/>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5、成果提交</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5.1提交地点：成都市规划和自然资源局</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5.2提交内容要求：</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5.2.</w:t>
      </w:r>
      <w:r>
        <w:rPr>
          <w:rFonts w:cs="宋体" w:asciiTheme="minorEastAsia" w:hAnsiTheme="minorEastAsia" w:eastAsiaTheme="minorEastAsia"/>
          <w:color w:val="auto"/>
          <w:highlight w:val="none"/>
        </w:rPr>
        <w:t>1</w:t>
      </w:r>
      <w:r>
        <w:rPr>
          <w:rFonts w:hint="eastAsia" w:cs="宋体" w:asciiTheme="minorEastAsia" w:hAnsiTheme="minorEastAsia" w:eastAsiaTheme="minorEastAsia"/>
          <w:color w:val="auto"/>
          <w:highlight w:val="none"/>
        </w:rPr>
        <w:t>天地图融合数据成果</w:t>
      </w:r>
    </w:p>
    <w:tbl>
      <w:tblPr>
        <w:tblStyle w:val="26"/>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36"/>
        <w:gridCol w:w="2125"/>
        <w:gridCol w:w="1255"/>
        <w:gridCol w:w="939"/>
        <w:gridCol w:w="939"/>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jc w:val="center"/>
        </w:trPr>
        <w:tc>
          <w:tcPr>
            <w:tcW w:w="378"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序号</w:t>
            </w:r>
          </w:p>
        </w:tc>
        <w:tc>
          <w:tcPr>
            <w:tcW w:w="1304" w:type="pct"/>
            <w:gridSpan w:val="2"/>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成果类型</w:t>
            </w:r>
          </w:p>
        </w:tc>
        <w:tc>
          <w:tcPr>
            <w:tcW w:w="639"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数据格式</w:t>
            </w:r>
          </w:p>
        </w:tc>
        <w:tc>
          <w:tcPr>
            <w:tcW w:w="478"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套数</w:t>
            </w:r>
          </w:p>
        </w:tc>
        <w:tc>
          <w:tcPr>
            <w:tcW w:w="478"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介质</w:t>
            </w:r>
          </w:p>
        </w:tc>
        <w:tc>
          <w:tcPr>
            <w:tcW w:w="1723"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auto"/>
                <w:sz w:val="21"/>
                <w:szCs w:val="21"/>
                <w:highlight w:val="none"/>
              </w:rPr>
            </w:pPr>
          </w:p>
        </w:tc>
        <w:tc>
          <w:tcPr>
            <w:tcW w:w="222"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数据成果</w:t>
            </w: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成果清单</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478" w:type="pct"/>
            <w:vMerge w:val="restar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电子文档以均以蓝光光盘或U盘提交</w:t>
            </w: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auto"/>
                <w:sz w:val="21"/>
                <w:szCs w:val="21"/>
                <w:highlight w:val="none"/>
              </w:rPr>
            </w:pP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矢量数据</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GDB</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000000" w:themeColor="text1"/>
                <w:sz w:val="21"/>
                <w:szCs w:val="21"/>
                <w:highlight w:val="none"/>
                <w14:textFill>
                  <w14:solidFill>
                    <w14:schemeClr w14:val="tx1"/>
                  </w14:solidFill>
                </w14:textFill>
              </w:rPr>
            </w:pPr>
          </w:p>
        </w:tc>
        <w:tc>
          <w:tcPr>
            <w:tcW w:w="222" w:type="pct"/>
            <w:vMerge w:val="continue"/>
            <w:shd w:val="clear" w:color="auto" w:fill="auto"/>
            <w:vAlign w:val="center"/>
          </w:tcPr>
          <w:p>
            <w:pPr>
              <w:widowControl/>
              <w:rPr>
                <w:rFonts w:cs="宋体" w:asciiTheme="minorEastAsia" w:hAnsiTheme="minorEastAsia" w:eastAsiaTheme="minorEastAsia"/>
                <w:bCs/>
                <w:color w:val="000000" w:themeColor="text1"/>
                <w:kern w:val="0"/>
                <w:sz w:val="21"/>
                <w:szCs w:val="21"/>
                <w:highlight w:val="none"/>
                <w14:textFill>
                  <w14:solidFill>
                    <w14:schemeClr w14:val="tx1"/>
                  </w14:solidFill>
                </w14:textFill>
              </w:rPr>
            </w:pPr>
          </w:p>
        </w:tc>
        <w:tc>
          <w:tcPr>
            <w:tcW w:w="1082"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地名地址与兴趣点数据</w:t>
            </w:r>
          </w:p>
        </w:tc>
        <w:tc>
          <w:tcPr>
            <w:tcW w:w="639"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GDB</w:t>
            </w:r>
          </w:p>
        </w:tc>
        <w:tc>
          <w:tcPr>
            <w:tcW w:w="478"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1</w:t>
            </w:r>
          </w:p>
        </w:tc>
        <w:tc>
          <w:tcPr>
            <w:tcW w:w="0" w:type="auto"/>
            <w:vMerge w:val="continue"/>
            <w:shd w:val="clear" w:color="auto" w:fill="auto"/>
            <w:vAlign w:val="center"/>
          </w:tcPr>
          <w:p>
            <w:pPr>
              <w:widowControl/>
              <w:rPr>
                <w:rFonts w:cs="宋体" w:asciiTheme="minorEastAsia" w:hAnsiTheme="minorEastAsia" w:eastAsiaTheme="minorEastAsia"/>
                <w:color w:val="000000" w:themeColor="text1"/>
                <w:kern w:val="0"/>
                <w:sz w:val="21"/>
                <w:szCs w:val="21"/>
                <w:highlight w:val="none"/>
                <w14:textFill>
                  <w14:solidFill>
                    <w14:schemeClr w14:val="tx1"/>
                  </w14:solidFill>
                </w14:textFill>
              </w:rPr>
            </w:pPr>
          </w:p>
        </w:tc>
        <w:tc>
          <w:tcPr>
            <w:tcW w:w="1723" w:type="pct"/>
            <w:shd w:val="clear" w:color="auto" w:fill="auto"/>
            <w:vAlign w:val="center"/>
          </w:tcPr>
          <w:p>
            <w:pPr>
              <w:pStyle w:val="82"/>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auto"/>
                <w:sz w:val="21"/>
                <w:szCs w:val="21"/>
                <w:highlight w:val="none"/>
              </w:rPr>
            </w:pP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遥感影像数据</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GeoTIFF、IMG</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auto"/>
                <w:sz w:val="21"/>
                <w:szCs w:val="21"/>
                <w:highlight w:val="none"/>
              </w:rPr>
            </w:pP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影像瓦片数据</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JPG 、Bun dle</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auto"/>
                <w:sz w:val="21"/>
                <w:szCs w:val="21"/>
                <w:highlight w:val="none"/>
              </w:rPr>
            </w:pP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92"/>
              <w:jc w:val="center"/>
              <w:rPr>
                <w:color w:val="auto"/>
                <w:sz w:val="23"/>
                <w:szCs w:val="23"/>
                <w:highlight w:val="none"/>
              </w:rPr>
            </w:pPr>
            <w:r>
              <w:rPr>
                <w:color w:val="auto"/>
                <w:sz w:val="23"/>
                <w:szCs w:val="23"/>
                <w:highlight w:val="none"/>
              </w:rPr>
              <w:t>影像切图范围及元数据</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Shapefile</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auto"/>
                <w:sz w:val="21"/>
                <w:szCs w:val="21"/>
                <w:highlight w:val="none"/>
              </w:rPr>
            </w:pPr>
          </w:p>
        </w:tc>
        <w:tc>
          <w:tcPr>
            <w:tcW w:w="222"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项目文档</w:t>
            </w: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融合更新效果对比及成果说明</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auto"/>
                <w:sz w:val="21"/>
                <w:szCs w:val="21"/>
                <w:highlight w:val="none"/>
              </w:rPr>
            </w:pP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成都市融合更新技术方案及附件</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DOCX</w:t>
            </w: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纸质文件及电子文档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2"/>
              </w:numPr>
              <w:tabs>
                <w:tab w:val="clear" w:pos="0"/>
              </w:tabs>
              <w:adjustRightInd/>
              <w:snapToGrid/>
              <w:spacing w:line="240" w:lineRule="auto"/>
              <w:jc w:val="left"/>
              <w:rPr>
                <w:rFonts w:asciiTheme="minorEastAsia" w:hAnsiTheme="minorEastAsia" w:eastAsiaTheme="minorEastAsia"/>
                <w:bCs/>
                <w:color w:val="auto"/>
                <w:sz w:val="21"/>
                <w:szCs w:val="21"/>
                <w:highlight w:val="none"/>
              </w:rPr>
            </w:pPr>
          </w:p>
        </w:tc>
        <w:tc>
          <w:tcPr>
            <w:tcW w:w="222"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2"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其他相关资料</w:t>
            </w:r>
          </w:p>
        </w:tc>
        <w:tc>
          <w:tcPr>
            <w:tcW w:w="639"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8" w:type="pct"/>
            <w:shd w:val="clear" w:color="auto" w:fill="auto"/>
            <w:vAlign w:val="center"/>
          </w:tcPr>
          <w:p>
            <w:pPr>
              <w:pStyle w:val="82"/>
              <w:rPr>
                <w:rFonts w:asciiTheme="minorEastAsia" w:hAnsiTheme="minorEastAsia" w:eastAsiaTheme="minorEastAsia"/>
                <w:color w:val="auto"/>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p>
        </w:tc>
      </w:tr>
    </w:tbl>
    <w:p>
      <w:pPr>
        <w:keepNext/>
        <w:keepLines/>
        <w:rPr>
          <w:rFonts w:cs="宋体"/>
          <w:color w:val="auto"/>
          <w:sz w:val="21"/>
          <w:highlight w:val="none"/>
        </w:rPr>
      </w:pPr>
      <w:r>
        <w:rPr>
          <w:rFonts w:hint="eastAsia" w:cs="宋体"/>
          <w:color w:val="auto"/>
          <w:sz w:val="21"/>
          <w:highlight w:val="none"/>
        </w:rPr>
        <w:t>注：天地图融合成果内容最终以四川省测绘地理信息局要求为准。</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5.2.3地理实体数据检验入库</w:t>
      </w:r>
    </w:p>
    <w:tbl>
      <w:tblPr>
        <w:tblStyle w:val="26"/>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26"/>
        <w:gridCol w:w="2127"/>
        <w:gridCol w:w="1257"/>
        <w:gridCol w:w="941"/>
        <w:gridCol w:w="941"/>
        <w:gridCol w:w="3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jc w:val="center"/>
        </w:trPr>
        <w:tc>
          <w:tcPr>
            <w:tcW w:w="378"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序号</w:t>
            </w:r>
          </w:p>
        </w:tc>
        <w:tc>
          <w:tcPr>
            <w:tcW w:w="1300" w:type="pct"/>
            <w:gridSpan w:val="2"/>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成果类型</w:t>
            </w:r>
          </w:p>
        </w:tc>
        <w:tc>
          <w:tcPr>
            <w:tcW w:w="640"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数据格式</w:t>
            </w:r>
          </w:p>
        </w:tc>
        <w:tc>
          <w:tcPr>
            <w:tcW w:w="479"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套数</w:t>
            </w:r>
          </w:p>
        </w:tc>
        <w:tc>
          <w:tcPr>
            <w:tcW w:w="479"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介质</w:t>
            </w:r>
          </w:p>
        </w:tc>
        <w:tc>
          <w:tcPr>
            <w:tcW w:w="1723" w:type="pct"/>
            <w:shd w:val="clear" w:color="auto" w:fill="auto"/>
            <w:vAlign w:val="center"/>
          </w:tcPr>
          <w:p>
            <w:pPr>
              <w:pStyle w:val="82"/>
              <w:rPr>
                <w:rFonts w:asciiTheme="minorEastAsia" w:hAnsiTheme="minorEastAsia" w:eastAsiaTheme="minorEastAsia"/>
                <w:b/>
                <w:color w:val="auto"/>
                <w:sz w:val="21"/>
                <w:szCs w:val="21"/>
                <w:highlight w:val="none"/>
              </w:rPr>
            </w:pPr>
            <w:r>
              <w:rPr>
                <w:rFonts w:hint="eastAsia" w:asciiTheme="minorEastAsia" w:hAnsiTheme="minorEastAsia" w:eastAsiaTheme="minorEastAsia"/>
                <w:b/>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3"/>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7" w:type="pct"/>
            <w:vMerge w:val="restart"/>
            <w:shd w:val="clear" w:color="auto" w:fill="auto"/>
            <w:vAlign w:val="center"/>
          </w:tcPr>
          <w:p>
            <w:pPr>
              <w:pStyle w:val="82"/>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项目文档</w:t>
            </w: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每批次二维地理实体数据更新成果检验报告</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0" w:type="auto"/>
            <w:vMerge w:val="restart"/>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3"/>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7"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三维地理实体数据生产成果检验报告</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3"/>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7"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入库通知单</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w:t>纸质</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2</w:t>
            </w:r>
          </w:p>
        </w:tc>
        <w:tc>
          <w:tcPr>
            <w:tcW w:w="0" w:type="auto"/>
            <w:vMerge w:val="continue"/>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3"/>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7"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检验方案</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w:t>
            </w: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w:t>
            </w:r>
          </w:p>
        </w:tc>
        <w:tc>
          <w:tcPr>
            <w:tcW w:w="0" w:type="auto"/>
            <w:shd w:val="clear" w:color="auto" w:fill="auto"/>
            <w:vAlign w:val="center"/>
          </w:tcPr>
          <w:p>
            <w:pPr>
              <w:widowControl/>
              <w:rPr>
                <w:rFonts w:cs="宋体" w:asciiTheme="minorEastAsia" w:hAnsiTheme="minorEastAsia" w:eastAsiaTheme="minorEastAsia"/>
                <w:color w:val="auto"/>
                <w:kern w:val="0"/>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78" w:type="pct"/>
            <w:shd w:val="clear" w:color="auto" w:fill="auto"/>
            <w:vAlign w:val="center"/>
          </w:tcPr>
          <w:p>
            <w:pPr>
              <w:pStyle w:val="82"/>
              <w:widowControl w:val="0"/>
              <w:numPr>
                <w:ilvl w:val="0"/>
                <w:numId w:val="63"/>
              </w:numPr>
              <w:tabs>
                <w:tab w:val="clear" w:pos="0"/>
              </w:tabs>
              <w:adjustRightInd/>
              <w:snapToGrid/>
              <w:spacing w:line="240" w:lineRule="auto"/>
              <w:rPr>
                <w:rFonts w:asciiTheme="minorEastAsia" w:hAnsiTheme="minorEastAsia" w:eastAsiaTheme="minorEastAsia"/>
                <w:bCs/>
                <w:color w:val="auto"/>
                <w:sz w:val="21"/>
                <w:szCs w:val="21"/>
                <w:highlight w:val="none"/>
              </w:rPr>
            </w:pPr>
          </w:p>
        </w:tc>
        <w:tc>
          <w:tcPr>
            <w:tcW w:w="217" w:type="pct"/>
            <w:vMerge w:val="continue"/>
            <w:shd w:val="clear" w:color="auto" w:fill="auto"/>
            <w:vAlign w:val="center"/>
          </w:tcPr>
          <w:p>
            <w:pPr>
              <w:widowControl/>
              <w:rPr>
                <w:rFonts w:cs="宋体" w:asciiTheme="minorEastAsia" w:hAnsiTheme="minorEastAsia" w:eastAsiaTheme="minorEastAsia"/>
                <w:bCs/>
                <w:color w:val="auto"/>
                <w:kern w:val="0"/>
                <w:sz w:val="21"/>
                <w:szCs w:val="21"/>
                <w:highlight w:val="none"/>
              </w:rPr>
            </w:pPr>
          </w:p>
        </w:tc>
        <w:tc>
          <w:tcPr>
            <w:tcW w:w="1083" w:type="pct"/>
            <w:shd w:val="clear" w:color="auto" w:fill="auto"/>
            <w:vAlign w:val="center"/>
          </w:tcPr>
          <w:p>
            <w:pPr>
              <w:pStyle w:val="82"/>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其他相关资料</w:t>
            </w:r>
          </w:p>
        </w:tc>
        <w:tc>
          <w:tcPr>
            <w:tcW w:w="640"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p>
        </w:tc>
        <w:tc>
          <w:tcPr>
            <w:tcW w:w="479" w:type="pct"/>
            <w:shd w:val="clear" w:color="auto" w:fill="auto"/>
            <w:vAlign w:val="center"/>
          </w:tcPr>
          <w:p>
            <w:pPr>
              <w:pStyle w:val="82"/>
              <w:rPr>
                <w:rFonts w:asciiTheme="minorEastAsia" w:hAnsiTheme="minorEastAsia" w:eastAsiaTheme="minorEastAsia"/>
                <w:color w:val="auto"/>
                <w:sz w:val="21"/>
                <w:szCs w:val="21"/>
                <w:highlight w:val="none"/>
              </w:rPr>
            </w:pPr>
          </w:p>
        </w:tc>
        <w:tc>
          <w:tcPr>
            <w:tcW w:w="1723" w:type="pct"/>
            <w:shd w:val="clear" w:color="auto" w:fill="auto"/>
            <w:vAlign w:val="center"/>
          </w:tcPr>
          <w:p>
            <w:pPr>
              <w:pStyle w:val="82"/>
              <w:rPr>
                <w:rFonts w:asciiTheme="minorEastAsia" w:hAnsiTheme="minorEastAsia" w:eastAsiaTheme="minorEastAsia"/>
                <w:color w:val="auto"/>
                <w:sz w:val="21"/>
                <w:szCs w:val="21"/>
                <w:highlight w:val="none"/>
              </w:rPr>
            </w:pPr>
          </w:p>
        </w:tc>
      </w:tr>
    </w:tbl>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5.3 提交成果的形式要求</w:t>
      </w:r>
    </w:p>
    <w:p>
      <w:pPr>
        <w:pStyle w:val="17"/>
        <w:spacing w:line="44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纸质文件乙方需盖鲜章，电子文件和数据成果以硬磁盘或光盘为数据承载介质提交。</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6、合同价款与支付</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6.1 合同价款</w:t>
      </w:r>
    </w:p>
    <w:p>
      <w:pPr>
        <w:tabs>
          <w:tab w:val="left" w:pos="1620"/>
          <w:tab w:val="clear" w:pos="0"/>
        </w:tabs>
        <w:autoSpaceDE w:val="0"/>
        <w:autoSpaceDN w:val="0"/>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本合同总价为</w:t>
      </w:r>
      <w:r>
        <w:rPr>
          <w:rFonts w:hint="eastAsia" w:cs="宋体" w:asciiTheme="minorEastAsia" w:hAnsiTheme="minorEastAsia" w:eastAsiaTheme="minorEastAsia"/>
          <w:color w:val="auto"/>
          <w:kern w:val="0"/>
          <w:highlight w:val="none"/>
          <w:u w:val="single"/>
        </w:rPr>
        <w:t xml:space="preserve">      </w:t>
      </w:r>
      <w:r>
        <w:rPr>
          <w:rFonts w:hint="eastAsia" w:cs="宋体" w:asciiTheme="minorEastAsia" w:hAnsiTheme="minorEastAsia" w:eastAsiaTheme="minorEastAsia"/>
          <w:color w:val="auto"/>
          <w:kern w:val="0"/>
          <w:highlight w:val="none"/>
        </w:rPr>
        <w:t>万元(大写：</w:t>
      </w:r>
      <w:r>
        <w:rPr>
          <w:rFonts w:hint="eastAsia" w:cs="宋体" w:asciiTheme="minorEastAsia" w:hAnsiTheme="minorEastAsia" w:eastAsiaTheme="minorEastAsia"/>
          <w:color w:val="auto"/>
          <w:kern w:val="0"/>
          <w:highlight w:val="none"/>
          <w:u w:val="single"/>
        </w:rPr>
        <w:t>XXXX元整</w:t>
      </w:r>
      <w:r>
        <w:rPr>
          <w:rFonts w:hint="eastAsia" w:cs="宋体" w:asciiTheme="minorEastAsia" w:hAnsiTheme="minorEastAsia" w:eastAsiaTheme="minorEastAsia"/>
          <w:color w:val="auto"/>
          <w:kern w:val="0"/>
          <w:highlight w:val="none"/>
        </w:rPr>
        <w:t>)。</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6.2 支付方式</w:t>
      </w:r>
    </w:p>
    <w:p>
      <w:pPr>
        <w:ind w:firstLine="480" w:firstLineChars="200"/>
        <w:rPr>
          <w:rFonts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6.2.1</w:t>
      </w:r>
      <w:r>
        <w:rPr>
          <w:rFonts w:hint="eastAsia" w:cs="宋体" w:asciiTheme="minorEastAsia" w:hAnsiTheme="minorEastAsia" w:eastAsiaTheme="minorEastAsia"/>
          <w:color w:val="auto"/>
          <w:highlight w:val="none"/>
        </w:rPr>
        <w:t>支付节点及支付条件</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(1)政府采购合同签订生效后30个日历日内，甲方向乙方支付合同金额的50%作为首付款，付款金额为</w:t>
      </w:r>
      <w:r>
        <w:rPr>
          <w:rFonts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万元；</w:t>
      </w:r>
    </w:p>
    <w:p>
      <w:pPr>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(2)乙方完成利用</w:t>
      </w:r>
      <w:r>
        <w:rPr>
          <w:rFonts w:cs="宋体" w:asciiTheme="minorEastAsia" w:hAnsiTheme="minorEastAsia" w:eastAsiaTheme="minorEastAsia"/>
          <w:color w:val="auto"/>
          <w:highlight w:val="none"/>
        </w:rPr>
        <w:t>2021年第一季度影像、第二季度影像及竣工测量成果更新的二维地理实体数据质量检验工作，出具检验报告及入库通知单</w:t>
      </w:r>
      <w:r>
        <w:rPr>
          <w:rFonts w:hint="eastAsia" w:cs="宋体" w:asciiTheme="minorEastAsia" w:hAnsiTheme="minorEastAsia" w:eastAsiaTheme="minorEastAsia"/>
          <w:color w:val="auto"/>
          <w:highlight w:val="none"/>
        </w:rPr>
        <w:t>，并完成天地图融合数据成果提交</w:t>
      </w:r>
      <w:r>
        <w:rPr>
          <w:rFonts w:cs="宋体" w:asciiTheme="minorEastAsia" w:hAnsiTheme="minorEastAsia" w:eastAsiaTheme="minorEastAsia"/>
          <w:color w:val="auto"/>
          <w:highlight w:val="none"/>
        </w:rPr>
        <w:t>后30个日历日内。</w:t>
      </w:r>
      <w:r>
        <w:rPr>
          <w:rFonts w:hint="eastAsia" w:cs="宋体" w:asciiTheme="minorEastAsia" w:hAnsiTheme="minorEastAsia" w:eastAsiaTheme="minorEastAsia"/>
          <w:color w:val="auto"/>
          <w:highlight w:val="none"/>
        </w:rPr>
        <w:t>甲方向乙方支付进度款，支付金额为合同金额的30%，付款金额为</w:t>
      </w:r>
      <w:r>
        <w:rPr>
          <w:rFonts w:hint="eastAsia" w:cs="宋体" w:asciiTheme="minorEastAsia" w:hAnsiTheme="minorEastAsia" w:eastAsiaTheme="minorEastAsia"/>
          <w:color w:val="auto"/>
          <w:highlight w:val="none"/>
          <w:u w:val="single"/>
        </w:rPr>
        <w:t xml:space="preserve"> </w:t>
      </w:r>
      <w:r>
        <w:rPr>
          <w:rFonts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万元；</w:t>
      </w:r>
    </w:p>
    <w:p>
      <w:pPr>
        <w:ind w:firstLine="480" w:firstLineChars="200"/>
        <w:rPr>
          <w:rFonts w:cs="宋体" w:asciiTheme="minorEastAsia" w:hAnsiTheme="minorEastAsia" w:eastAsiaTheme="minorEastAsia"/>
          <w:bCs/>
          <w:color w:val="auto"/>
          <w:highlight w:val="none"/>
        </w:rPr>
      </w:pPr>
      <w:r>
        <w:rPr>
          <w:rFonts w:hint="eastAsia" w:cs="宋体" w:asciiTheme="minorEastAsia" w:hAnsiTheme="minorEastAsia" w:eastAsiaTheme="minorEastAsia"/>
          <w:color w:val="auto"/>
          <w:highlight w:val="none"/>
        </w:rPr>
        <w:t>(3)乙方</w:t>
      </w:r>
      <w:r>
        <w:rPr>
          <w:rFonts w:hint="eastAsia" w:cs="华文中宋"/>
          <w:color w:val="auto"/>
          <w:highlight w:val="none"/>
        </w:rPr>
        <w:t>按约完成全部工作，</w:t>
      </w:r>
      <w:r>
        <w:rPr>
          <w:rFonts w:hint="eastAsia"/>
          <w:color w:val="auto"/>
          <w:highlight w:val="none"/>
        </w:rPr>
        <w:t>且项目通过甲方组织的履约验收后</w:t>
      </w:r>
      <w:r>
        <w:rPr>
          <w:rFonts w:ascii="Times New Roman" w:hAnsi="Times New Roman"/>
          <w:color w:val="auto"/>
          <w:highlight w:val="none"/>
        </w:rPr>
        <w:t>30</w:t>
      </w:r>
      <w:r>
        <w:rPr>
          <w:rFonts w:hint="eastAsia" w:ascii="Times New Roman" w:hAnsi="Times New Roman"/>
          <w:color w:val="auto"/>
          <w:highlight w:val="none"/>
        </w:rPr>
        <w:t>个日历日</w:t>
      </w:r>
      <w:r>
        <w:rPr>
          <w:rFonts w:hint="eastAsia"/>
          <w:color w:val="auto"/>
          <w:highlight w:val="none"/>
        </w:rPr>
        <w:t>内支付尾款，尾款金额为合同总金额的2</w:t>
      </w:r>
      <w:r>
        <w:rPr>
          <w:color w:val="auto"/>
          <w:highlight w:val="none"/>
        </w:rPr>
        <w:t>0%</w:t>
      </w:r>
      <w:r>
        <w:rPr>
          <w:rFonts w:hint="eastAsia" w:cs="宋体" w:asciiTheme="minorEastAsia" w:hAnsiTheme="minorEastAsia" w:eastAsiaTheme="minorEastAsia"/>
          <w:color w:val="auto"/>
          <w:highlight w:val="none"/>
        </w:rPr>
        <w:t>，付款金额为</w:t>
      </w:r>
      <w:r>
        <w:rPr>
          <w:rFonts w:hint="eastAsia" w:cs="宋体" w:asciiTheme="minorEastAsia" w:hAnsiTheme="minorEastAsia" w:eastAsiaTheme="minorEastAsia"/>
          <w:color w:val="auto"/>
          <w:highlight w:val="none"/>
          <w:u w:val="single"/>
        </w:rPr>
        <w:t xml:space="preserve"> </w:t>
      </w:r>
      <w:r>
        <w:rPr>
          <w:rFonts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万元</w:t>
      </w:r>
      <w:r>
        <w:rPr>
          <w:rFonts w:hint="eastAsia" w:ascii="Times New Roman" w:hAnsi="Times New Roman"/>
          <w:color w:val="auto"/>
          <w:highlight w:val="none"/>
        </w:rPr>
        <w:t>。</w:t>
      </w:r>
      <w:r>
        <w:rPr>
          <w:rFonts w:hint="eastAsia"/>
          <w:color w:val="auto"/>
          <w:highlight w:val="none"/>
        </w:rPr>
        <w:t>但是，项目验收后需要依法接受审计的，支付尾款时按审计结果的要求执行。</w:t>
      </w:r>
    </w:p>
    <w:p>
      <w:pPr>
        <w:ind w:firstLine="480" w:firstLineChars="200"/>
        <w:rPr>
          <w:rFonts w:cs="宋体" w:asciiTheme="minorEastAsia" w:hAnsiTheme="minorEastAsia" w:eastAsiaTheme="minorEastAsia"/>
          <w:bCs/>
          <w:color w:val="auto"/>
          <w:highlight w:val="none"/>
        </w:rPr>
      </w:pPr>
      <w:r>
        <w:rPr>
          <w:rFonts w:cs="宋体" w:asciiTheme="minorEastAsia" w:hAnsiTheme="minorEastAsia" w:eastAsiaTheme="minorEastAsia"/>
          <w:bCs/>
          <w:color w:val="auto"/>
          <w:highlight w:val="none"/>
        </w:rPr>
        <w:t>6.2.2</w:t>
      </w:r>
      <w:r>
        <w:rPr>
          <w:rFonts w:hint="eastAsia" w:cs="宋体" w:asciiTheme="minorEastAsia" w:hAnsiTheme="minorEastAsia" w:eastAsiaTheme="minorEastAsia"/>
          <w:bCs/>
          <w:color w:val="auto"/>
          <w:highlight w:val="none"/>
        </w:rPr>
        <w:t>乙方须向甲方出具合法有效完整的完税发票及凭证资料后进行支付结算，付款方式均采用公对公的银行转账，乙方接受转账的开户信息以采购合同载明的为准。</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7、履约保证金</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7.1金额：</w:t>
      </w:r>
      <w:r>
        <w:rPr>
          <w:rFonts w:hint="eastAsia" w:cs="宋体" w:asciiTheme="minorEastAsia" w:hAnsiTheme="minorEastAsia" w:eastAsiaTheme="minorEastAsia"/>
          <w:color w:val="000000" w:themeColor="text1"/>
          <w:sz w:val="24"/>
          <w:highlight w:val="none"/>
          <w14:textFill>
            <w14:solidFill>
              <w14:schemeClr w14:val="tx1"/>
            </w14:solidFill>
          </w14:textFill>
        </w:rPr>
        <w:t>采购合同金额</w:t>
      </w:r>
      <w:r>
        <w:rPr>
          <w:rFonts w:cs="宋体" w:asciiTheme="minorEastAsia" w:hAnsiTheme="minorEastAsia" w:eastAsiaTheme="minorEastAsia"/>
          <w:color w:val="000000" w:themeColor="text1"/>
          <w:sz w:val="24"/>
          <w:highlight w:val="none"/>
          <w14:textFill>
            <w14:solidFill>
              <w14:schemeClr w14:val="tx1"/>
            </w14:solidFill>
          </w14:textFill>
        </w:rPr>
        <w:t>的5%。</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7.</w:t>
      </w:r>
      <w:r>
        <w:rPr>
          <w:rFonts w:hint="eastAsia" w:cs="宋体" w:asciiTheme="minorEastAsia" w:hAnsiTheme="minorEastAsia" w:eastAsiaTheme="minorEastAsia"/>
          <w:color w:val="000000" w:themeColor="text1"/>
          <w:sz w:val="24"/>
          <w:highlight w:val="none"/>
          <w14:textFill>
            <w14:solidFill>
              <w14:schemeClr w14:val="tx1"/>
            </w14:solidFill>
          </w14:textFill>
        </w:rPr>
        <w:t>2</w:t>
      </w:r>
      <w:r>
        <w:rPr>
          <w:rFonts w:cs="宋体" w:asciiTheme="minorEastAsia" w:hAnsiTheme="minorEastAsia" w:eastAsiaTheme="minorEastAsia"/>
          <w:color w:val="000000" w:themeColor="text1"/>
          <w:sz w:val="24"/>
          <w:highlight w:val="none"/>
          <w14:textFill>
            <w14:solidFill>
              <w14:schemeClr w14:val="tx1"/>
            </w14:solidFill>
          </w14:textFill>
        </w:rPr>
        <w:t>交款方式：履约保证金可以以支票、汇票、本票或者金融机构出具的保函等非现金形式提交</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包括网银转账，电汇等方式</w:t>
      </w:r>
      <w:r>
        <w:rPr>
          <w:rFonts w:hint="eastAsia"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t>。不接受以现金及个人名义汇款交纳的履约保证金。</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7.</w:t>
      </w:r>
      <w:r>
        <w:rPr>
          <w:rFonts w:hint="eastAsia" w:cs="宋体" w:asciiTheme="minorEastAsia" w:hAnsiTheme="minorEastAsia" w:eastAsiaTheme="minorEastAsia"/>
          <w:color w:val="000000" w:themeColor="text1"/>
          <w:sz w:val="24"/>
          <w:highlight w:val="none"/>
          <w14:textFill>
            <w14:solidFill>
              <w14:schemeClr w14:val="tx1"/>
            </w14:solidFill>
          </w14:textFill>
        </w:rPr>
        <w:t>3</w:t>
      </w:r>
      <w:r>
        <w:rPr>
          <w:rFonts w:cs="宋体" w:asciiTheme="minorEastAsia" w:hAnsiTheme="minorEastAsia" w:eastAsiaTheme="minorEastAsia"/>
          <w:color w:val="000000" w:themeColor="text1"/>
          <w:sz w:val="24"/>
          <w:highlight w:val="none"/>
          <w14:textFill>
            <w14:solidFill>
              <w14:schemeClr w14:val="tx1"/>
            </w14:solidFill>
          </w14:textFill>
        </w:rPr>
        <w:t>交纳要求：转款户名必须与</w:t>
      </w:r>
      <w:r>
        <w:rPr>
          <w:rFonts w:hint="eastAsia" w:cs="宋体" w:asciiTheme="minorEastAsia" w:hAnsiTheme="minorEastAsia" w:eastAsiaTheme="minorEastAsia"/>
          <w:color w:val="000000" w:themeColor="text1"/>
          <w:sz w:val="24"/>
          <w:highlight w:val="none"/>
          <w14:textFill>
            <w14:solidFill>
              <w14:schemeClr w14:val="tx1"/>
            </w14:solidFill>
          </w14:textFill>
        </w:rPr>
        <w:t>投标单位</w:t>
      </w:r>
      <w:r>
        <w:rPr>
          <w:rFonts w:cs="宋体" w:asciiTheme="minorEastAsia" w:hAnsiTheme="minorEastAsia" w:eastAsiaTheme="minorEastAsia"/>
          <w:color w:val="000000" w:themeColor="text1"/>
          <w:sz w:val="24"/>
          <w:highlight w:val="none"/>
          <w14:textFill>
            <w14:solidFill>
              <w14:schemeClr w14:val="tx1"/>
            </w14:solidFill>
          </w14:textFill>
        </w:rPr>
        <w:t>名称一致，不接受其它方式交纳。</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7.</w:t>
      </w:r>
      <w:r>
        <w:rPr>
          <w:rFonts w:hint="eastAsia" w:cs="宋体" w:asciiTheme="minorEastAsia" w:hAnsiTheme="minorEastAsia" w:eastAsiaTheme="minorEastAsia"/>
          <w:color w:val="000000" w:themeColor="text1"/>
          <w:sz w:val="24"/>
          <w:highlight w:val="none"/>
          <w14:textFill>
            <w14:solidFill>
              <w14:schemeClr w14:val="tx1"/>
            </w14:solidFill>
          </w14:textFill>
        </w:rPr>
        <w:t>4</w:t>
      </w:r>
      <w:r>
        <w:rPr>
          <w:rFonts w:cs="宋体" w:asciiTheme="minorEastAsia" w:hAnsiTheme="minorEastAsia" w:eastAsiaTheme="minorEastAsia"/>
          <w:color w:val="000000" w:themeColor="text1"/>
          <w:sz w:val="24"/>
          <w:highlight w:val="none"/>
          <w14:textFill>
            <w14:solidFill>
              <w14:schemeClr w14:val="tx1"/>
            </w14:solidFill>
          </w14:textFill>
        </w:rPr>
        <w:t>交款时间：中标通知书发放后，政府采购合同签订前</w:t>
      </w:r>
      <w:r>
        <w:rPr>
          <w:rFonts w:hint="eastAsia" w:cs="宋体" w:asciiTheme="minorEastAsia" w:hAnsiTheme="minorEastAsia" w:eastAsiaTheme="minorEastAsia"/>
          <w:color w:val="000000" w:themeColor="text1"/>
          <w:sz w:val="24"/>
          <w:highlight w:val="none"/>
          <w14:textFill>
            <w14:solidFill>
              <w14:schemeClr w14:val="tx1"/>
            </w14:solidFill>
          </w14:textFill>
        </w:rPr>
        <w:t>交至采购人</w:t>
      </w:r>
      <w:r>
        <w:rPr>
          <w:rFonts w:cs="宋体" w:asciiTheme="minorEastAsia" w:hAnsiTheme="minorEastAsia" w:eastAsiaTheme="minorEastAsia"/>
          <w:color w:val="000000" w:themeColor="text1"/>
          <w:sz w:val="24"/>
          <w:highlight w:val="none"/>
          <w14:textFill>
            <w14:solidFill>
              <w14:schemeClr w14:val="tx1"/>
            </w14:solidFill>
          </w14:textFill>
        </w:rPr>
        <w:t>。</w:t>
      </w:r>
      <w:r>
        <w:rPr>
          <w:rFonts w:cs="宋体" w:asciiTheme="minorEastAsia" w:hAnsiTheme="minorEastAsia" w:eastAsiaTheme="minorEastAsia"/>
          <w:color w:val="000000" w:themeColor="text1"/>
          <w:sz w:val="24"/>
          <w:highlight w:val="none"/>
          <w14:textFill>
            <w14:solidFill>
              <w14:schemeClr w14:val="tx1"/>
            </w14:solidFill>
          </w14:textFill>
        </w:rPr>
        <w:br w:type="textWrapping"/>
      </w:r>
      <w:r>
        <w:rPr>
          <w:rFonts w:cs="宋体" w:asciiTheme="minorEastAsia" w:hAnsiTheme="minorEastAsia" w:eastAsiaTheme="minorEastAsia"/>
          <w:color w:val="000000" w:themeColor="text1"/>
          <w:sz w:val="24"/>
          <w:highlight w:val="none"/>
          <w14:textFill>
            <w14:solidFill>
              <w14:schemeClr w14:val="tx1"/>
            </w14:solidFill>
          </w14:textFill>
        </w:rPr>
        <w:t>注：</w:t>
      </w:r>
      <w:r>
        <w:rPr>
          <w:rFonts w:hint="eastAsia" w:cs="宋体" w:asciiTheme="minorEastAsia" w:hAnsiTheme="minorEastAsia" w:eastAsiaTheme="minorEastAsia"/>
          <w:color w:val="000000" w:themeColor="text1"/>
          <w:sz w:val="24"/>
          <w:highlight w:val="none"/>
          <w14:textFill>
            <w14:solidFill>
              <w14:schemeClr w14:val="tx1"/>
            </w14:solidFill>
          </w14:textFill>
        </w:rPr>
        <w:t>①</w:t>
      </w:r>
      <w:r>
        <w:rPr>
          <w:rFonts w:cs="宋体" w:asciiTheme="minorEastAsia" w:hAnsiTheme="minorEastAsia" w:eastAsiaTheme="minorEastAsia"/>
          <w:color w:val="000000" w:themeColor="text1"/>
          <w:sz w:val="24"/>
          <w:highlight w:val="none"/>
          <w14:textFill>
            <w14:solidFill>
              <w14:schemeClr w14:val="tx1"/>
            </w14:solidFill>
          </w14:textFill>
        </w:rPr>
        <w:t>提供保函的担保机构必须是依法成立的具有相关资质和偿付能力的担保机构。保函是银行等金融机构出具的，保函必须要在中国人民银行征信系统能够进行查询，否则将取消</w:t>
      </w:r>
      <w:r>
        <w:rPr>
          <w:rFonts w:hint="eastAsia" w:cs="宋体" w:asciiTheme="minorEastAsia" w:hAnsiTheme="minorEastAsia" w:eastAsiaTheme="minorEastAsia"/>
          <w:color w:val="000000" w:themeColor="text1"/>
          <w:sz w:val="24"/>
          <w:highlight w:val="none"/>
          <w14:textFill>
            <w14:solidFill>
              <w14:schemeClr w14:val="tx1"/>
            </w14:solidFill>
          </w14:textFill>
        </w:rPr>
        <w:t>中标</w:t>
      </w:r>
      <w:r>
        <w:rPr>
          <w:rFonts w:cs="宋体" w:asciiTheme="minorEastAsia" w:hAnsiTheme="minorEastAsia" w:eastAsiaTheme="minorEastAsia"/>
          <w:color w:val="000000" w:themeColor="text1"/>
          <w:sz w:val="24"/>
          <w:highlight w:val="none"/>
          <w14:textFill>
            <w14:solidFill>
              <w14:schemeClr w14:val="tx1"/>
            </w14:solidFill>
          </w14:textFill>
        </w:rPr>
        <w:t>资格，采购人将重新确定</w:t>
      </w:r>
      <w:r>
        <w:rPr>
          <w:rFonts w:hint="eastAsia" w:cs="宋体" w:asciiTheme="minorEastAsia" w:hAnsiTheme="minorEastAsia" w:eastAsiaTheme="minorEastAsia"/>
          <w:color w:val="000000" w:themeColor="text1"/>
          <w:sz w:val="24"/>
          <w:highlight w:val="none"/>
          <w14:textFill>
            <w14:solidFill>
              <w14:schemeClr w14:val="tx1"/>
            </w14:solidFill>
          </w14:textFill>
        </w:rPr>
        <w:t>中标单位</w:t>
      </w:r>
      <w:r>
        <w:rPr>
          <w:rFonts w:cs="宋体" w:asciiTheme="minorEastAsia" w:hAnsiTheme="minorEastAsia" w:eastAsiaTheme="minorEastAsia"/>
          <w:color w:val="000000" w:themeColor="text1"/>
          <w:sz w:val="24"/>
          <w:highlight w:val="none"/>
          <w14:textFill>
            <w14:solidFill>
              <w14:schemeClr w14:val="tx1"/>
            </w14:solidFill>
          </w14:textFill>
        </w:rPr>
        <w:t>，并依法追究法律责任。</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②</w:t>
      </w:r>
      <w:r>
        <w:rPr>
          <w:rFonts w:cs="宋体" w:asciiTheme="minorEastAsia" w:hAnsiTheme="minorEastAsia" w:eastAsiaTheme="minorEastAsia"/>
          <w:color w:val="000000" w:themeColor="text1"/>
          <w:sz w:val="24"/>
          <w:highlight w:val="none"/>
          <w14:textFill>
            <w14:solidFill>
              <w14:schemeClr w14:val="tx1"/>
            </w14:solidFill>
          </w14:textFill>
        </w:rPr>
        <w:t>履约保证金退还方式：</w:t>
      </w:r>
      <w:r>
        <w:rPr>
          <w:rFonts w:hint="eastAsia" w:cs="宋体" w:asciiTheme="minorEastAsia" w:hAnsiTheme="minorEastAsia" w:eastAsiaTheme="minorEastAsia"/>
          <w:color w:val="000000" w:themeColor="text1"/>
          <w:sz w:val="24"/>
          <w:highlight w:val="none"/>
          <w14:textFill>
            <w14:solidFill>
              <w14:schemeClr w14:val="tx1"/>
            </w14:solidFill>
          </w14:textFill>
        </w:rPr>
        <w:t>验收通过后</w:t>
      </w:r>
      <w:r>
        <w:rPr>
          <w:rFonts w:cs="宋体" w:asciiTheme="minorEastAsia" w:hAnsiTheme="minorEastAsia" w:eastAsiaTheme="minorEastAsia"/>
          <w:color w:val="000000" w:themeColor="text1"/>
          <w:sz w:val="24"/>
          <w:highlight w:val="none"/>
          <w14:textFill>
            <w14:solidFill>
              <w14:schemeClr w14:val="tx1"/>
            </w14:solidFill>
          </w14:textFill>
        </w:rPr>
        <w:t>30个工作日内按原路径退还。</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③</w:t>
      </w:r>
      <w:r>
        <w:rPr>
          <w:rFonts w:cs="宋体" w:asciiTheme="minorEastAsia" w:hAnsiTheme="minorEastAsia" w:eastAsiaTheme="minorEastAsia"/>
          <w:color w:val="000000" w:themeColor="text1"/>
          <w:sz w:val="24"/>
          <w:highlight w:val="none"/>
          <w14:textFill>
            <w14:solidFill>
              <w14:schemeClr w14:val="tx1"/>
            </w14:solidFill>
          </w14:textFill>
        </w:rPr>
        <w:t>履约保证金退还时间：</w:t>
      </w:r>
      <w:r>
        <w:rPr>
          <w:rFonts w:hint="eastAsia" w:cs="宋体" w:asciiTheme="minorEastAsia" w:hAnsiTheme="minorEastAsia" w:eastAsiaTheme="minorEastAsia"/>
          <w:color w:val="000000" w:themeColor="text1"/>
          <w:sz w:val="24"/>
          <w:highlight w:val="none"/>
          <w14:textFill>
            <w14:solidFill>
              <w14:schemeClr w14:val="tx1"/>
            </w14:solidFill>
          </w14:textFill>
        </w:rPr>
        <w:t>除中标合同规定的不予退还的情形及法律法规规定的其他情形外，中标单位按时如约履行合同后，采购人应在本项目通过验收后</w:t>
      </w:r>
      <w:r>
        <w:rPr>
          <w:rFonts w:cs="宋体" w:asciiTheme="minorEastAsia" w:hAnsiTheme="minorEastAsia" w:eastAsiaTheme="minorEastAsia"/>
          <w:color w:val="000000" w:themeColor="text1"/>
          <w:sz w:val="24"/>
          <w:highlight w:val="none"/>
          <w14:textFill>
            <w14:solidFill>
              <w14:schemeClr w14:val="tx1"/>
            </w14:solidFill>
          </w14:textFill>
        </w:rPr>
        <w:t>30个工作日内退还履约保证金。</w:t>
      </w:r>
    </w:p>
    <w:p>
      <w:pPr>
        <w:pStyle w:val="47"/>
        <w:spacing w:line="440" w:lineRule="exact"/>
        <w:ind w:left="0" w:leftChars="0"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④</w:t>
      </w:r>
      <w:r>
        <w:rPr>
          <w:rFonts w:cs="宋体" w:asciiTheme="minorEastAsia" w:hAnsiTheme="minorEastAsia" w:eastAsiaTheme="minorEastAsia"/>
          <w:color w:val="000000" w:themeColor="text1"/>
          <w:sz w:val="24"/>
          <w:highlight w:val="none"/>
          <w14:textFill>
            <w14:solidFill>
              <w14:schemeClr w14:val="tx1"/>
            </w14:solidFill>
          </w14:textFill>
        </w:rPr>
        <w:t>履约保证金不予退还情形：</w:t>
      </w:r>
      <w:r>
        <w:rPr>
          <w:rFonts w:hint="eastAsia" w:cs="宋体" w:asciiTheme="minorEastAsia" w:hAnsiTheme="minorEastAsia" w:eastAsiaTheme="minorEastAsia"/>
          <w:color w:val="000000" w:themeColor="text1"/>
          <w:sz w:val="24"/>
          <w:highlight w:val="none"/>
          <w14:textFill>
            <w14:solidFill>
              <w14:schemeClr w14:val="tx1"/>
            </w14:solidFill>
          </w14:textFill>
        </w:rPr>
        <w:t>中标合同规定的不予退还的情形及法律法规规定的其他情形</w:t>
      </w:r>
      <w:r>
        <w:rPr>
          <w:rFonts w:cs="宋体" w:asciiTheme="minorEastAsia" w:hAnsiTheme="minorEastAsia" w:eastAsiaTheme="minorEastAsia"/>
          <w:color w:val="000000" w:themeColor="text1"/>
          <w:sz w:val="24"/>
          <w:highlight w:val="none"/>
          <w14:textFill>
            <w14:solidFill>
              <w14:schemeClr w14:val="tx1"/>
            </w14:solidFill>
          </w14:textFill>
        </w:rPr>
        <w:t>。</w:t>
      </w:r>
    </w:p>
    <w:p>
      <w:pPr>
        <w:ind w:firstLine="480" w:firstLineChars="200"/>
        <w:rPr>
          <w:color w:val="auto"/>
          <w:highlight w:val="none"/>
        </w:rPr>
      </w:pPr>
      <w:r>
        <w:rPr>
          <w:rFonts w:hint="eastAsia" w:cs="宋体" w:asciiTheme="minorEastAsia" w:hAnsiTheme="minorEastAsia" w:eastAsiaTheme="minorEastAsia"/>
          <w:color w:val="000000" w:themeColor="text1"/>
          <w:highlight w:val="none"/>
          <w14:textFill>
            <w14:solidFill>
              <w14:schemeClr w14:val="tx1"/>
            </w14:solidFill>
          </w14:textFill>
        </w:rPr>
        <w:t>⑤履约保证金不予退还的，将按照有关规定上缴国库。逾期退还履约保证金的，将依法承担法律责任，并赔偿供应商损失。</w:t>
      </w:r>
    </w:p>
    <w:p>
      <w:pPr>
        <w:pStyle w:val="14"/>
        <w:spacing w:after="0"/>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8、知识产权</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乙方应保证在本项目使用的任何产品和服务(包括部分使用)时，不会产生因第三方提出侵犯其著作权或其它知识产权而引起的法律和经济纠纷，如因著作权或其它知识产权而引起法律和经济纠纷，由乙方承担全部相关责任，由此造成甲方无法完成本合同约定的项目内容，甲方有权解除合同，不予退还乙方交纳的履约保证金，并要求乙方全额退还已收的全部款项。</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9、验收</w:t>
      </w:r>
    </w:p>
    <w:p>
      <w:pPr>
        <w:ind w:firstLine="480" w:firstLineChars="200"/>
        <w:rPr>
          <w:rFonts w:cs="宋体" w:asciiTheme="minorEastAsia" w:hAnsiTheme="minorEastAsia" w:eastAsiaTheme="minorEastAsia"/>
          <w:bCs/>
          <w:color w:val="auto"/>
          <w:kern w:val="0"/>
          <w:highlight w:val="none"/>
        </w:rPr>
      </w:pPr>
      <w:r>
        <w:rPr>
          <w:rFonts w:hint="eastAsia" w:cs="宋体" w:asciiTheme="minorEastAsia" w:hAnsiTheme="minorEastAsia" w:eastAsiaTheme="minorEastAsia"/>
          <w:bCs/>
          <w:color w:val="auto"/>
          <w:kern w:val="0"/>
          <w:highlight w:val="none"/>
        </w:rPr>
        <w:t>待项目</w:t>
      </w:r>
      <w:r>
        <w:rPr>
          <w:rFonts w:cs="宋体" w:asciiTheme="minorEastAsia" w:hAnsiTheme="minorEastAsia" w:eastAsiaTheme="minorEastAsia"/>
          <w:bCs/>
          <w:color w:val="auto"/>
          <w:kern w:val="0"/>
          <w:highlight w:val="none"/>
        </w:rPr>
        <w:t>具备验收条件后，乙方应当向甲方申请项目验收，甲方在收到乙方提交的验收申请后，应在5个工作日内组织进行验收。甲方在验收过程中发现不符合要求或合同约定的事项，乙方应立即予以整改。验收通过后，甲方出具验收意见。</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10、甲方的权利和义务</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10.1督促乙方在合同约定时间内保质保量完成项目规定的工作内容，对乙方在服务活动中的不合理处提出整改要求。</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10.2在项目服务范围内要求乙方提供技术、服务支持。</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w:t>
      </w:r>
      <w:r>
        <w:rPr>
          <w:rFonts w:cs="宋体" w:asciiTheme="minorEastAsia" w:hAnsiTheme="minorEastAsia" w:eastAsiaTheme="minorEastAsia"/>
          <w:color w:val="auto"/>
          <w:kern w:val="0"/>
          <w:highlight w:val="none"/>
        </w:rPr>
        <w:t>3</w:t>
      </w:r>
      <w:r>
        <w:rPr>
          <w:rFonts w:hint="eastAsia" w:cs="宋体" w:asciiTheme="minorEastAsia" w:hAnsiTheme="minorEastAsia" w:eastAsiaTheme="minorEastAsia"/>
          <w:color w:val="auto"/>
          <w:kern w:val="0"/>
          <w:highlight w:val="none"/>
        </w:rPr>
        <w:t>按时向乙方支付应付服务费用。</w:t>
      </w:r>
    </w:p>
    <w:p>
      <w:pPr>
        <w:tabs>
          <w:tab w:val="left" w:pos="1440"/>
          <w:tab w:val="clear" w:pos="0"/>
        </w:tabs>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10.</w:t>
      </w:r>
      <w:r>
        <w:rPr>
          <w:rFonts w:cs="宋体" w:asciiTheme="minorEastAsia" w:hAnsiTheme="minorEastAsia" w:eastAsiaTheme="minorEastAsia"/>
          <w:color w:val="auto"/>
          <w:kern w:val="0"/>
          <w:highlight w:val="none"/>
        </w:rPr>
        <w:t>4</w:t>
      </w:r>
      <w:r>
        <w:rPr>
          <w:rFonts w:hint="eastAsia" w:cs="宋体" w:asciiTheme="minorEastAsia" w:hAnsiTheme="minorEastAsia" w:eastAsiaTheme="minorEastAsia"/>
          <w:color w:val="auto"/>
          <w:kern w:val="0"/>
          <w:highlight w:val="none"/>
        </w:rPr>
        <w:t>国家法律、法规所规定由甲方承担的其它责任。</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11、乙方的权利和义务</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11.1在合同约定时间内保质保量完成项目规定的工作内容。接受甲方的监督并及时配合整改。</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11.2及时响应甲方提出的技术、服务支持要求。</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w:t>
      </w:r>
      <w:r>
        <w:rPr>
          <w:rFonts w:cs="宋体" w:asciiTheme="minorEastAsia" w:hAnsiTheme="minorEastAsia" w:eastAsiaTheme="minorEastAsia"/>
          <w:color w:val="auto"/>
          <w:kern w:val="0"/>
          <w:highlight w:val="none"/>
        </w:rPr>
        <w:t>3</w:t>
      </w:r>
      <w:r>
        <w:rPr>
          <w:rFonts w:hint="eastAsia" w:cs="宋体" w:asciiTheme="minorEastAsia" w:hAnsiTheme="minorEastAsia" w:eastAsiaTheme="minorEastAsia"/>
          <w:color w:val="auto"/>
          <w:kern w:val="0"/>
          <w:highlight w:val="none"/>
        </w:rPr>
        <w:t>根据约定条款向甲方收取服务费用。</w:t>
      </w:r>
    </w:p>
    <w:p>
      <w:pPr>
        <w:ind w:firstLine="480" w:firstLineChars="200"/>
        <w:textAlignment w:val="baseline"/>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11.</w:t>
      </w:r>
      <w:r>
        <w:rPr>
          <w:rFonts w:cs="宋体" w:asciiTheme="minorEastAsia" w:hAnsiTheme="minorEastAsia" w:eastAsiaTheme="minorEastAsia"/>
          <w:color w:val="auto"/>
          <w:kern w:val="0"/>
          <w:highlight w:val="none"/>
        </w:rPr>
        <w:t>4</w:t>
      </w:r>
      <w:r>
        <w:rPr>
          <w:rFonts w:hint="eastAsia" w:cs="宋体" w:asciiTheme="minorEastAsia" w:hAnsiTheme="minorEastAsia" w:eastAsiaTheme="minorEastAsia"/>
          <w:color w:val="auto"/>
          <w:kern w:val="0"/>
          <w:highlight w:val="none"/>
        </w:rPr>
        <w:t>国家法律、法规所规定由乙方承担的其它责任。</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12、甲方违约责任</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由于甲方原因导致乙方未能按期完成工作的，则工期顺延，但顺延时间不能超过甲方原因所影响的时间。因不可抗力因素导致本合同终止，甲方不负违约责任。</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13、乙方违约责任</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13.1 合同签订后，由于乙方原因而终止合同的，没收履约保证金，乙方应退还甲方全部已付款及相关资料，并按合同金额的</w:t>
      </w:r>
      <w:r>
        <w:rPr>
          <w:rFonts w:hint="eastAsia" w:cs="宋体" w:asciiTheme="minorEastAsia" w:hAnsiTheme="minorEastAsia" w:eastAsiaTheme="minorEastAsia"/>
          <w:color w:val="auto"/>
          <w:kern w:val="0"/>
          <w:highlight w:val="none"/>
          <w:u w:val="single"/>
        </w:rPr>
        <w:t xml:space="preserve"> 10% </w:t>
      </w:r>
      <w:r>
        <w:rPr>
          <w:rFonts w:hint="eastAsia" w:cs="宋体" w:asciiTheme="minorEastAsia" w:hAnsiTheme="minorEastAsia" w:eastAsiaTheme="minorEastAsia"/>
          <w:color w:val="auto"/>
          <w:kern w:val="0"/>
          <w:highlight w:val="none"/>
        </w:rPr>
        <w:t>向甲方支付违约金。</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13.2乙方提交的成果不满足合同第4条约定，即未能按合同约定的日期提交成果时，乙方应向甲方支付延期损失费，累计每15天的延期损失费按合同金额的0.5‰计算(不足15天的按15天计算，延期时间以</w:t>
      </w:r>
      <w:r>
        <w:rPr>
          <w:rFonts w:hint="eastAsia" w:cs="宋体" w:asciiTheme="minorEastAsia" w:hAnsiTheme="minorEastAsia" w:eastAsiaTheme="minorEastAsia"/>
          <w:color w:val="000000" w:themeColor="text1"/>
          <w:highlight w:val="none"/>
          <w14:textFill>
            <w14:solidFill>
              <w14:schemeClr w14:val="tx1"/>
            </w14:solidFill>
          </w14:textFill>
        </w:rPr>
        <w:t>2022年5月31日</w:t>
      </w:r>
      <w:r>
        <w:rPr>
          <w:rFonts w:hint="eastAsia" w:cs="宋体" w:asciiTheme="minorEastAsia" w:hAnsiTheme="minorEastAsia" w:eastAsiaTheme="minorEastAsia"/>
          <w:color w:val="auto"/>
          <w:kern w:val="0"/>
          <w:highlight w:val="none"/>
        </w:rPr>
        <w:t>截止次日起开始计算)。</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13.3因乙方原因, 提交的成果未能通过首次检验的，重复检验的费用由乙方承担。</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13.4 乙方合格成果提交延期两个月以上的，甲方有权视情况解除合同，不予退还履约保证金，要求乙方全额退还已收款项，按合同金额的10%向甲方支付违约金，并追究相关责任。</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13.5 乙方应当支付的违约金及延期损失费，甲方有权从未支付款项(进度款和尾款)和收取的履约保证金中予以扣除。</w:t>
      </w:r>
    </w:p>
    <w:p>
      <w:pPr>
        <w:pStyle w:val="14"/>
        <w:spacing w:after="0"/>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 xml:space="preserve">13.6 </w:t>
      </w:r>
      <w:r>
        <w:rPr>
          <w:rFonts w:hint="eastAsia" w:cs="宋体" w:asciiTheme="minorEastAsia" w:hAnsiTheme="minorEastAsia" w:eastAsiaTheme="minorEastAsia"/>
          <w:color w:val="000000" w:themeColor="text1"/>
          <w:kern w:val="0"/>
          <w:highlight w:val="none"/>
          <w14:textFill>
            <w14:solidFill>
              <w14:schemeClr w14:val="tx1"/>
            </w14:solidFill>
          </w14:textFill>
        </w:rPr>
        <w:t>验收结果不合格且经整改仍不合格的,甲方将不予支付采购资金，并追回已付资金，按照政府采购法律法规及</w:t>
      </w:r>
      <w:r>
        <w:rPr>
          <w:rFonts w:hint="eastAsia" w:cs="宋体" w:asciiTheme="minorEastAsia" w:hAnsiTheme="minorEastAsia" w:eastAsiaTheme="minorEastAsia"/>
          <w:bCs/>
          <w:color w:val="000000" w:themeColor="text1"/>
          <w:kern w:val="0"/>
          <w:highlight w:val="none"/>
          <w14:textFill>
            <w14:solidFill>
              <w14:schemeClr w14:val="tx1"/>
            </w14:solidFill>
          </w14:textFill>
        </w:rPr>
        <w:t>《财政部关于进一步加强政府采购需求和履约验收管理的指导意见》(财库〔2016〕205号)</w:t>
      </w:r>
      <w:r>
        <w:rPr>
          <w:rFonts w:hint="eastAsia" w:cs="宋体" w:asciiTheme="minorEastAsia" w:hAnsiTheme="minorEastAsia" w:eastAsiaTheme="minorEastAsia"/>
          <w:color w:val="000000" w:themeColor="text1"/>
          <w:kern w:val="0"/>
          <w:highlight w:val="none"/>
          <w14:textFill>
            <w14:solidFill>
              <w14:schemeClr w14:val="tx1"/>
            </w14:solidFill>
          </w14:textFill>
        </w:rPr>
        <w:t>等有关规定给予乙方</w:t>
      </w:r>
      <w:r>
        <w:rPr>
          <w:rFonts w:hint="eastAsia" w:cs="宋体" w:asciiTheme="minorEastAsia" w:hAnsiTheme="minorEastAsia" w:eastAsiaTheme="minorEastAsia"/>
          <w:color w:val="auto"/>
          <w:kern w:val="0"/>
          <w:highlight w:val="none"/>
        </w:rPr>
        <w:t>行政处罚。</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14、合同的变更和修改、中止和终止</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14.1本合同一经生效，合同双方均不得擅自对本合同的内容作任何单方的修改。但任何一方均可以对合同内容以书面形式提出变更、修改、取消或补充的建议，经双方同意后，由双方法人代表或委托代理人(须经法定表人书面授权委托)签字后生效。</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14.2如遇政府采购任务取消，甲方有权取消、中止或终止合同；如果甲方认定乙方在竞标或执行合同中有腐败或欺诈行为，有权在任何时候发出书面通知终止合同，并不承担任何责任。</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14.3甲方因乙方不履约或乙方其他原因而解除合同的，甲方不退还履约保证金，乙方须返还甲方所有已付款项、赔偿甲方由此产生的损失并承担其他相关责任。</w:t>
      </w:r>
    </w:p>
    <w:p>
      <w:pPr>
        <w:tabs>
          <w:tab w:val="left" w:pos="1620"/>
          <w:tab w:val="clear" w:pos="0"/>
        </w:tabs>
        <w:ind w:firstLine="482"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b/>
          <w:bCs/>
          <w:color w:val="auto"/>
          <w:kern w:val="0"/>
          <w:highlight w:val="none"/>
        </w:rPr>
        <w:t>15、不可抗力</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15.1不可抗力是指合同签字后发生的非甲乙双方所能控制的、并非合同方过失的、无法中止的、不能预防的事件。合同双方中的任何一方，由于不可抗力事件而影响合同义务的执行时，则延迟履行合同义务的期限相当于不可抗力事件影响的时间，但是不能因为不可抗力的延迟而调整合同价格。</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15.2受到不可抗力影响的一方应在不可抗力事故发生后，尽快将所发生的不可抗力事件的情况以传真或电报通知另一方，并尽快取得另一方审阅确认，受影响的一方同时应尽量设法缩小这种影响和由此而引起的延误，一旦不可抗力的影响消除后，应将此情况立即通知对方。</w:t>
      </w:r>
    </w:p>
    <w:p>
      <w:pPr>
        <w:tabs>
          <w:tab w:val="left" w:pos="1620"/>
          <w:tab w:val="clear" w:pos="0"/>
        </w:tabs>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16、争议的解决方式</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16.1 本合同适用法律为中华人民共和国法律。</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16.2凡与本合同有关的一切争议，甲乙双方应通过友好协商解决。如经协商后仍不能达成协议时，任何一方都有权提交成都仲裁委员会仲裁。</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16.3仲裁结果对双方都有约束力，双方应遵照执行。</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16.4上述过程发生的费用，除仲裁结果另有规定外，应由败诉方承担。</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16.5在进行仲裁期间，除提交仲裁的事项外，合同仍应继续履行。</w:t>
      </w:r>
    </w:p>
    <w:p>
      <w:pPr>
        <w:ind w:firstLine="482" w:firstLineChars="200"/>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17、合同生效及其它事项</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17.1本合同经双方法定代表人或授权代表签字、盖章后生效。全部成果交接完毕和费用结算完成后，本合同终止。</w:t>
      </w:r>
    </w:p>
    <w:p>
      <w:pPr>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17.2本合同一式</w:t>
      </w:r>
      <w:r>
        <w:rPr>
          <w:rFonts w:hint="eastAsia" w:cs="宋体" w:asciiTheme="minorEastAsia" w:hAnsiTheme="minorEastAsia" w:eastAsiaTheme="minorEastAsia"/>
          <w:color w:val="auto"/>
          <w:kern w:val="0"/>
          <w:highlight w:val="none"/>
          <w:u w:val="single"/>
        </w:rPr>
        <w:t xml:space="preserve"> 伍 </w:t>
      </w:r>
      <w:r>
        <w:rPr>
          <w:rFonts w:hint="eastAsia" w:cs="宋体" w:asciiTheme="minorEastAsia" w:hAnsiTheme="minorEastAsia" w:eastAsiaTheme="minorEastAsia"/>
          <w:color w:val="auto"/>
          <w:kern w:val="0"/>
          <w:highlight w:val="none"/>
        </w:rPr>
        <w:t>份，甲方</w:t>
      </w:r>
      <w:r>
        <w:rPr>
          <w:rFonts w:hint="eastAsia" w:cs="宋体" w:asciiTheme="minorEastAsia" w:hAnsiTheme="minorEastAsia" w:eastAsiaTheme="minorEastAsia"/>
          <w:color w:val="auto"/>
          <w:kern w:val="0"/>
          <w:highlight w:val="none"/>
          <w:u w:val="single"/>
        </w:rPr>
        <w:t xml:space="preserve"> 叁 </w:t>
      </w:r>
      <w:r>
        <w:rPr>
          <w:rFonts w:hint="eastAsia" w:cs="宋体" w:asciiTheme="minorEastAsia" w:hAnsiTheme="minorEastAsia" w:eastAsiaTheme="minorEastAsia"/>
          <w:color w:val="auto"/>
          <w:kern w:val="0"/>
          <w:highlight w:val="none"/>
        </w:rPr>
        <w:t>份，乙方</w:t>
      </w:r>
      <w:r>
        <w:rPr>
          <w:rFonts w:hint="eastAsia" w:cs="宋体" w:asciiTheme="minorEastAsia" w:hAnsiTheme="minorEastAsia" w:eastAsiaTheme="minorEastAsia"/>
          <w:color w:val="auto"/>
          <w:kern w:val="0"/>
          <w:highlight w:val="none"/>
          <w:u w:val="single"/>
        </w:rPr>
        <w:t xml:space="preserve"> 贰 </w:t>
      </w:r>
      <w:r>
        <w:rPr>
          <w:rFonts w:hint="eastAsia" w:cs="宋体" w:asciiTheme="minorEastAsia" w:hAnsiTheme="minorEastAsia" w:eastAsiaTheme="minorEastAsia"/>
          <w:color w:val="auto"/>
          <w:kern w:val="0"/>
          <w:highlight w:val="none"/>
        </w:rPr>
        <w:t>份，具有同等法律效力。</w:t>
      </w:r>
    </w:p>
    <w:p>
      <w:pPr>
        <w:tabs>
          <w:tab w:val="left" w:pos="1620"/>
          <w:tab w:val="clear" w:pos="0"/>
        </w:tabs>
        <w:ind w:firstLine="480" w:firstLineChars="20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rPr>
        <w:t>17.3其它未尽事宜由甲乙双方共同协商签订补充协议。</w:t>
      </w:r>
    </w:p>
    <w:p>
      <w:pPr>
        <w:tabs>
          <w:tab w:val="left" w:pos="1620"/>
          <w:tab w:val="clear" w:pos="0"/>
        </w:tabs>
        <w:ind w:firstLine="482" w:firstLineChars="200"/>
        <w:jc w:val="center"/>
        <w:rPr>
          <w:rFonts w:cs="宋体" w:asciiTheme="minorEastAsia" w:hAnsiTheme="minorEastAsia" w:eastAsiaTheme="minorEastAsia"/>
          <w:b/>
          <w:bCs/>
          <w:color w:val="auto"/>
          <w:kern w:val="0"/>
          <w:highlight w:val="none"/>
        </w:rPr>
      </w:pPr>
      <w:r>
        <w:rPr>
          <w:rFonts w:hint="eastAsia" w:cs="宋体" w:asciiTheme="minorEastAsia" w:hAnsiTheme="minorEastAsia" w:eastAsiaTheme="minorEastAsia"/>
          <w:b/>
          <w:bCs/>
          <w:color w:val="auto"/>
          <w:kern w:val="0"/>
          <w:highlight w:val="none"/>
        </w:rPr>
        <w:t>(以下无正文，为签署区)</w:t>
      </w:r>
    </w:p>
    <w:tbl>
      <w:tblPr>
        <w:tblStyle w:val="27"/>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r>
              <w:rPr>
                <w:rFonts w:hint="eastAsia" w:cs="宋体" w:asciiTheme="minorEastAsia" w:hAnsiTheme="minorEastAsia" w:eastAsiaTheme="minorEastAsia"/>
                <w:color w:val="auto"/>
                <w:highlight w:val="none"/>
              </w:rPr>
              <w:t>甲方：   (盖章)</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法定代表人(授权代表)：</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地址(住所)：</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开户银行：</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账号：</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电话： </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传真：</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签约日期：XX年XX月XX日</w:t>
            </w:r>
          </w:p>
        </w:tc>
        <w:tc>
          <w:tcPr>
            <w:tcW w:w="4981" w:type="dxa"/>
            <w:vAlign w:val="center"/>
          </w:tcPr>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签约日期：XX年XX月XX日</w:t>
            </w:r>
          </w:p>
        </w:tc>
      </w:tr>
    </w:tbl>
    <w:p>
      <w:pPr>
        <w:rPr>
          <w:rFonts w:cs="宋体" w:asciiTheme="minorEastAsia" w:hAnsiTheme="minorEastAsia" w:eastAsiaTheme="minorEastAsia"/>
          <w:color w:val="auto"/>
          <w:highlight w:val="none"/>
        </w:rPr>
      </w:pPr>
    </w:p>
    <w:p>
      <w:pPr>
        <w:rPr>
          <w:rFonts w:cs="宋体" w:asciiTheme="minorEastAsia" w:hAnsiTheme="minorEastAsia" w:eastAsiaTheme="minorEastAsia"/>
          <w:color w:val="auto"/>
          <w:highlight w:val="none"/>
        </w:rPr>
      </w:pPr>
      <w:bookmarkStart w:id="1241" w:name="_Toc29441"/>
      <w:r>
        <w:rPr>
          <w:rFonts w:hint="eastAsia" w:cs="宋体" w:asciiTheme="minorEastAsia" w:hAnsiTheme="minorEastAsia" w:eastAsiaTheme="minorEastAsia"/>
          <w:color w:val="auto"/>
          <w:highlight w:val="none"/>
        </w:rPr>
        <w:br w:type="page"/>
      </w:r>
    </w:p>
    <w:p>
      <w:pPr>
        <w:pStyle w:val="54"/>
        <w:numPr>
          <w:ilvl w:val="0"/>
          <w:numId w:val="11"/>
        </w:numPr>
        <w:spacing w:before="120" w:after="12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附件</w:t>
      </w:r>
      <w:bookmarkEnd w:id="1240"/>
      <w:bookmarkEnd w:id="1241"/>
    </w:p>
    <w:p>
      <w:pPr>
        <w:pStyle w:val="48"/>
        <w:jc w:val="both"/>
        <w:outlineLvl w:val="2"/>
        <w:rPr>
          <w:rFonts w:cs="宋体" w:asciiTheme="minorEastAsia" w:hAnsiTheme="minorEastAsia" w:eastAsiaTheme="minorEastAsia"/>
          <w:b/>
          <w:bCs/>
          <w:color w:val="auto"/>
          <w:sz w:val="36"/>
          <w:szCs w:val="36"/>
          <w:highlight w:val="none"/>
        </w:rPr>
      </w:pPr>
      <w:r>
        <w:rPr>
          <w:rFonts w:hint="eastAsia" w:cs="宋体" w:asciiTheme="minorEastAsia" w:hAnsiTheme="minorEastAsia" w:eastAsiaTheme="minorEastAsia"/>
          <w:b/>
          <w:bCs/>
          <w:color w:val="auto"/>
          <w:highlight w:val="none"/>
        </w:rPr>
        <w:t>附件一：《2021年度信用评价服务效果调查表(供应商)》</w:t>
      </w:r>
    </w:p>
    <w:p>
      <w:pPr>
        <w:pStyle w:val="48"/>
        <w:jc w:val="center"/>
        <w:rPr>
          <w:rFonts w:cs="宋体" w:asciiTheme="minorEastAsia" w:hAnsiTheme="minorEastAsia" w:eastAsiaTheme="minorEastAsia"/>
          <w:b/>
          <w:bCs/>
          <w:color w:val="auto"/>
          <w:sz w:val="36"/>
          <w:szCs w:val="36"/>
          <w:highlight w:val="none"/>
        </w:rPr>
      </w:pPr>
      <w:r>
        <w:rPr>
          <w:rFonts w:hint="eastAsia" w:cs="宋体" w:asciiTheme="minorEastAsia" w:hAnsiTheme="minorEastAsia" w:eastAsiaTheme="minorEastAsia"/>
          <w:b/>
          <w:bCs/>
          <w:color w:val="auto"/>
          <w:sz w:val="36"/>
          <w:szCs w:val="36"/>
          <w:highlight w:val="none"/>
        </w:rPr>
        <w:t>2021年度信用评价服务效果调查表(供应商)</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项目名称：</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u w:val="single"/>
        </w:rPr>
        <w:t xml:space="preserve">                               </w:t>
      </w:r>
    </w:p>
    <w:p>
      <w:pPr>
        <w:pStyle w:val="48"/>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被评价代理机构名称：四川乾新招投标代理有限公司</w:t>
      </w:r>
    </w:p>
    <w:tbl>
      <w:tblPr>
        <w:tblStyle w:val="26"/>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 xml:space="preserve">满意 </w:t>
            </w:r>
          </w:p>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 xml:space="preserve">基本满意 </w:t>
            </w:r>
          </w:p>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 xml:space="preserve">一般 </w:t>
            </w:r>
          </w:p>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不满意</w:t>
            </w:r>
          </w:p>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rFonts w:cs="宋体" w:asciiTheme="minorEastAsia" w:hAnsiTheme="minorEastAsia" w:eastAsiaTheme="minorEastAsia"/>
                <w:b/>
                <w:bCs/>
                <w:color w:val="auto"/>
                <w:highlight w:val="none"/>
              </w:rPr>
            </w:pPr>
          </w:p>
        </w:tc>
      </w:tr>
      <w:tr>
        <w:tblPrEx>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对代理机构工作的其他建议：</w:t>
            </w:r>
          </w:p>
        </w:tc>
      </w:tr>
      <w:tr>
        <w:tblPrEx>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rFonts w:cs="宋体" w:asciiTheme="minorEastAsia" w:hAnsiTheme="minorEastAsia" w:eastAsiaTheme="minorEastAsia"/>
                <w:b/>
                <w:bCs/>
                <w:color w:val="auto"/>
                <w:highlight w:val="none"/>
              </w:rPr>
            </w:pPr>
          </w:p>
        </w:tc>
      </w:tr>
      <w:tr>
        <w:tblPrEx>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供应商名称：</w:t>
            </w:r>
            <w:r>
              <w:rPr>
                <w:rFonts w:hint="eastAsia" w:cs="宋体" w:asciiTheme="minorEastAsia" w:hAnsiTheme="minorEastAsia" w:eastAsiaTheme="minorEastAsia"/>
                <w:b/>
                <w:bCs/>
                <w:color w:val="auto"/>
                <w:highlight w:val="none"/>
                <w:u w:val="single"/>
              </w:rPr>
              <w:t xml:space="preserve">                     </w:t>
            </w:r>
            <w:r>
              <w:rPr>
                <w:rFonts w:hint="eastAsia" w:cs="宋体" w:asciiTheme="minorEastAsia" w:hAnsiTheme="minorEastAsia" w:eastAsiaTheme="minorEastAsia"/>
                <w:b/>
                <w:bCs/>
                <w:color w:val="auto"/>
                <w:highlight w:val="none"/>
              </w:rPr>
              <w:t>(加盖鲜章)</w:t>
            </w:r>
          </w:p>
        </w:tc>
      </w:tr>
    </w:tbl>
    <w:p>
      <w:pPr>
        <w:pStyle w:val="53"/>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说明：请贵公司根据政府采购代理机构2021年度政府采购项目的实际情况，在“满意”、“基本满意”、“一般”、“不满意”四个评价档次栏中选取一栏打“√”，并加盖鲜章。</w:t>
      </w:r>
    </w:p>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pStyle w:val="48"/>
        <w:jc w:val="both"/>
        <w:outlineLvl w:val="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附件二</w:t>
      </w:r>
    </w:p>
    <w:p>
      <w:pPr>
        <w:widowControl/>
        <w:spacing w:line="330" w:lineRule="atLeast"/>
        <w:jc w:val="center"/>
        <w:rPr>
          <w:rFonts w:cs="宋体" w:asciiTheme="minorEastAsia" w:hAnsiTheme="minorEastAsia" w:eastAsiaTheme="minorEastAsia"/>
          <w:color w:val="000000"/>
          <w:kern w:val="0"/>
          <w:sz w:val="32"/>
          <w:szCs w:val="32"/>
          <w:highlight w:val="none"/>
        </w:rPr>
      </w:pPr>
      <w:r>
        <w:rPr>
          <w:rFonts w:hint="eastAsia" w:cs="宋体" w:asciiTheme="minorEastAsia" w:hAnsiTheme="minorEastAsia" w:eastAsiaTheme="minorEastAsia"/>
          <w:color w:val="000000"/>
          <w:kern w:val="0"/>
          <w:sz w:val="32"/>
          <w:szCs w:val="32"/>
          <w:highlight w:val="none"/>
        </w:rPr>
        <w:t>统计上大中小微型企业划分标准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vAlign w:val="center"/>
          </w:tcPr>
          <w:p>
            <w:pPr>
              <w:widowControl/>
              <w:spacing w:line="240" w:lineRule="exact"/>
              <w:jc w:val="center"/>
              <w:rPr>
                <w:rFonts w:cs="宋体" w:asciiTheme="minorEastAsia" w:hAnsiTheme="minorEastAsia" w:eastAsiaTheme="minorEastAsia"/>
                <w:b/>
                <w:bCs/>
                <w:color w:val="000000"/>
                <w:kern w:val="0"/>
                <w:sz w:val="15"/>
                <w:szCs w:val="15"/>
                <w:highlight w:val="none"/>
              </w:rPr>
            </w:pPr>
            <w:r>
              <w:rPr>
                <w:rFonts w:hint="eastAsia" w:cs="宋体" w:asciiTheme="minorEastAsia" w:hAnsiTheme="minorEastAsia" w:eastAsiaTheme="minorEastAsia"/>
                <w:b/>
                <w:bCs/>
                <w:color w:val="000000"/>
                <w:kern w:val="0"/>
                <w:sz w:val="15"/>
                <w:szCs w:val="15"/>
                <w:highlight w:val="none"/>
              </w:rPr>
              <w:t>行业名称</w:t>
            </w:r>
          </w:p>
        </w:tc>
        <w:tc>
          <w:tcPr>
            <w:tcW w:w="725" w:type="pct"/>
            <w:vAlign w:val="center"/>
          </w:tcPr>
          <w:p>
            <w:pPr>
              <w:widowControl/>
              <w:jc w:val="center"/>
              <w:rPr>
                <w:rFonts w:cs="宋体" w:asciiTheme="minorEastAsia" w:hAnsiTheme="minorEastAsia" w:eastAsiaTheme="minorEastAsia"/>
                <w:b/>
                <w:bCs/>
                <w:color w:val="000000"/>
                <w:kern w:val="0"/>
                <w:sz w:val="15"/>
                <w:szCs w:val="15"/>
                <w:highlight w:val="none"/>
              </w:rPr>
            </w:pPr>
            <w:r>
              <w:rPr>
                <w:rFonts w:hint="eastAsia" w:cs="宋体" w:asciiTheme="minorEastAsia" w:hAnsiTheme="minorEastAsia" w:eastAsiaTheme="minorEastAsia"/>
                <w:b/>
                <w:bCs/>
                <w:color w:val="000000"/>
                <w:kern w:val="0"/>
                <w:sz w:val="15"/>
                <w:szCs w:val="15"/>
                <w:highlight w:val="none"/>
              </w:rPr>
              <w:t>指标名称</w:t>
            </w:r>
          </w:p>
        </w:tc>
        <w:tc>
          <w:tcPr>
            <w:tcW w:w="375" w:type="pct"/>
            <w:vAlign w:val="center"/>
          </w:tcPr>
          <w:p>
            <w:pPr>
              <w:widowControl/>
              <w:jc w:val="center"/>
              <w:rPr>
                <w:rFonts w:cs="宋体" w:asciiTheme="minorEastAsia" w:hAnsiTheme="minorEastAsia" w:eastAsiaTheme="minorEastAsia"/>
                <w:b/>
                <w:bCs/>
                <w:color w:val="000000"/>
                <w:kern w:val="0"/>
                <w:sz w:val="15"/>
                <w:szCs w:val="15"/>
                <w:highlight w:val="none"/>
              </w:rPr>
            </w:pPr>
            <w:r>
              <w:rPr>
                <w:rFonts w:hint="eastAsia" w:cs="宋体" w:asciiTheme="minorEastAsia" w:hAnsiTheme="minorEastAsia" w:eastAsiaTheme="minorEastAsia"/>
                <w:b/>
                <w:bCs/>
                <w:color w:val="000000"/>
                <w:kern w:val="0"/>
                <w:sz w:val="15"/>
                <w:szCs w:val="15"/>
                <w:highlight w:val="none"/>
              </w:rPr>
              <w:t>计量</w:t>
            </w:r>
            <w:r>
              <w:rPr>
                <w:rFonts w:hint="eastAsia" w:cs="宋体" w:asciiTheme="minorEastAsia" w:hAnsiTheme="minorEastAsia" w:eastAsiaTheme="minorEastAsia"/>
                <w:b/>
                <w:bCs/>
                <w:color w:val="000000"/>
                <w:kern w:val="0"/>
                <w:sz w:val="15"/>
                <w:szCs w:val="15"/>
                <w:highlight w:val="none"/>
              </w:rPr>
              <w:br w:type="textWrapping"/>
            </w:r>
            <w:r>
              <w:rPr>
                <w:rFonts w:hint="eastAsia" w:cs="宋体" w:asciiTheme="minorEastAsia" w:hAnsiTheme="minorEastAsia" w:eastAsiaTheme="minorEastAsia"/>
                <w:b/>
                <w:bCs/>
                <w:color w:val="000000"/>
                <w:kern w:val="0"/>
                <w:sz w:val="15"/>
                <w:szCs w:val="15"/>
                <w:highlight w:val="none"/>
              </w:rPr>
              <w:t>单位</w:t>
            </w:r>
          </w:p>
        </w:tc>
        <w:tc>
          <w:tcPr>
            <w:tcW w:w="595" w:type="pct"/>
            <w:vAlign w:val="center"/>
          </w:tcPr>
          <w:p>
            <w:pPr>
              <w:widowControl/>
              <w:jc w:val="center"/>
              <w:rPr>
                <w:rFonts w:cs="宋体" w:asciiTheme="minorEastAsia" w:hAnsiTheme="minorEastAsia" w:eastAsiaTheme="minorEastAsia"/>
                <w:b/>
                <w:bCs/>
                <w:color w:val="000000"/>
                <w:kern w:val="0"/>
                <w:sz w:val="15"/>
                <w:szCs w:val="15"/>
                <w:highlight w:val="none"/>
              </w:rPr>
            </w:pPr>
            <w:r>
              <w:rPr>
                <w:rFonts w:hint="eastAsia" w:cs="宋体" w:asciiTheme="minorEastAsia" w:hAnsiTheme="minorEastAsia" w:eastAsiaTheme="minorEastAsia"/>
                <w:b/>
                <w:bCs/>
                <w:color w:val="000000"/>
                <w:kern w:val="0"/>
                <w:sz w:val="15"/>
                <w:szCs w:val="15"/>
                <w:highlight w:val="none"/>
              </w:rPr>
              <w:t>大型</w:t>
            </w:r>
          </w:p>
        </w:tc>
        <w:tc>
          <w:tcPr>
            <w:tcW w:w="901" w:type="pct"/>
            <w:vAlign w:val="center"/>
          </w:tcPr>
          <w:p>
            <w:pPr>
              <w:widowControl/>
              <w:jc w:val="center"/>
              <w:rPr>
                <w:rFonts w:cs="宋体" w:asciiTheme="minorEastAsia" w:hAnsiTheme="minorEastAsia" w:eastAsiaTheme="minorEastAsia"/>
                <w:b/>
                <w:bCs/>
                <w:color w:val="000000"/>
                <w:kern w:val="0"/>
                <w:sz w:val="15"/>
                <w:szCs w:val="15"/>
                <w:highlight w:val="none"/>
              </w:rPr>
            </w:pPr>
            <w:r>
              <w:rPr>
                <w:rFonts w:hint="eastAsia" w:cs="宋体" w:asciiTheme="minorEastAsia" w:hAnsiTheme="minorEastAsia" w:eastAsiaTheme="minorEastAsia"/>
                <w:b/>
                <w:bCs/>
                <w:color w:val="000000"/>
                <w:kern w:val="0"/>
                <w:sz w:val="15"/>
                <w:szCs w:val="15"/>
                <w:highlight w:val="none"/>
              </w:rPr>
              <w:t>中型</w:t>
            </w:r>
          </w:p>
        </w:tc>
        <w:tc>
          <w:tcPr>
            <w:tcW w:w="755" w:type="pct"/>
            <w:vAlign w:val="center"/>
          </w:tcPr>
          <w:p>
            <w:pPr>
              <w:widowControl/>
              <w:jc w:val="center"/>
              <w:rPr>
                <w:rFonts w:cs="宋体" w:asciiTheme="minorEastAsia" w:hAnsiTheme="minorEastAsia" w:eastAsiaTheme="minorEastAsia"/>
                <w:b/>
                <w:bCs/>
                <w:color w:val="000000"/>
                <w:kern w:val="0"/>
                <w:sz w:val="15"/>
                <w:szCs w:val="15"/>
                <w:highlight w:val="none"/>
              </w:rPr>
            </w:pPr>
            <w:r>
              <w:rPr>
                <w:rFonts w:hint="eastAsia" w:cs="宋体" w:asciiTheme="minorEastAsia" w:hAnsiTheme="minorEastAsia" w:eastAsiaTheme="minorEastAsia"/>
                <w:b/>
                <w:bCs/>
                <w:color w:val="000000"/>
                <w:kern w:val="0"/>
                <w:sz w:val="15"/>
                <w:szCs w:val="15"/>
                <w:highlight w:val="none"/>
              </w:rPr>
              <w:t>小型</w:t>
            </w:r>
          </w:p>
        </w:tc>
        <w:tc>
          <w:tcPr>
            <w:tcW w:w="525" w:type="pct"/>
            <w:vAlign w:val="center"/>
          </w:tcPr>
          <w:p>
            <w:pPr>
              <w:widowControl/>
              <w:jc w:val="center"/>
              <w:rPr>
                <w:rFonts w:cs="宋体" w:asciiTheme="minorEastAsia" w:hAnsiTheme="minorEastAsia" w:eastAsiaTheme="minorEastAsia"/>
                <w:b/>
                <w:bCs/>
                <w:color w:val="000000"/>
                <w:kern w:val="0"/>
                <w:sz w:val="15"/>
                <w:szCs w:val="15"/>
                <w:highlight w:val="none"/>
              </w:rPr>
            </w:pPr>
            <w:r>
              <w:rPr>
                <w:rFonts w:hint="eastAsia" w:cs="宋体" w:asciiTheme="minorEastAsia" w:hAnsiTheme="minorEastAsia" w:eastAsiaTheme="minorEastAsia"/>
                <w:b/>
                <w:bCs/>
                <w:color w:val="000000"/>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农、林、牧、渔业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Y≥20000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500≤Y＜20000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50≤Y＜500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工业 *</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300≤X＜1000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20≤X＜300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Y≥40000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2000≤Y＜40000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300≤Y＜2000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建筑业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Y≥80000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6000≤Y＜80000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300≤Y＜6000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资产总额(Z)</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Z≥80000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5000≤Z＜80000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300≤Z＜5000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批发业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X≥200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20≤X＜200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5≤X＜20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Y≥40000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5000≤Y＜40000</w:t>
            </w:r>
          </w:p>
        </w:tc>
        <w:tc>
          <w:tcPr>
            <w:tcW w:w="755" w:type="pct"/>
            <w:vAlign w:val="center"/>
          </w:tcPr>
          <w:p>
            <w:pPr>
              <w:widowControl/>
              <w:ind w:left="-1" w:leftChars="-1" w:hanging="1"/>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1000≤Y＜5000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零售业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X≥300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50≤X＜300</w:t>
            </w:r>
          </w:p>
        </w:tc>
        <w:tc>
          <w:tcPr>
            <w:tcW w:w="755" w:type="pct"/>
            <w:vAlign w:val="center"/>
          </w:tcPr>
          <w:p>
            <w:pPr>
              <w:widowControl/>
              <w:ind w:left="-1" w:leftChars="-1" w:hanging="1"/>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10≤X＜50 </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Y≥20000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500≤Y＜20000</w:t>
            </w:r>
          </w:p>
        </w:tc>
        <w:tc>
          <w:tcPr>
            <w:tcW w:w="755" w:type="pct"/>
            <w:vAlign w:val="center"/>
          </w:tcPr>
          <w:p>
            <w:pPr>
              <w:widowControl/>
              <w:ind w:left="-1" w:leftChars="-1" w:hanging="1"/>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100≤Y＜500 </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交通运输业 *</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300≤X＜1000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20≤X＜300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Y≥30000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3000≤Y＜30000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200≤Y＜3000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仓储业*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X≥200</w:t>
            </w:r>
          </w:p>
        </w:tc>
        <w:tc>
          <w:tcPr>
            <w:tcW w:w="901" w:type="pct"/>
            <w:vAlign w:val="center"/>
          </w:tcPr>
          <w:p>
            <w:pPr>
              <w:widowControl/>
              <w:ind w:left="-32" w:leftChars="-51" w:hanging="90" w:hangingChars="60"/>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100≤X＜200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20≤X＜100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Y≥30000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1000≤Y＜30000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100≤Y＜1000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邮政业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300≤X＜1000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20≤X＜300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Y≥30000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2000≤Y＜30000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100≤Y＜2000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住宿业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X≥300</w:t>
            </w:r>
          </w:p>
        </w:tc>
        <w:tc>
          <w:tcPr>
            <w:tcW w:w="901" w:type="pct"/>
            <w:vAlign w:val="center"/>
          </w:tcPr>
          <w:p>
            <w:pPr>
              <w:widowControl/>
              <w:ind w:left="-32" w:leftChars="-51" w:hanging="90" w:hangingChars="60"/>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100≤X＜300 </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10≤X＜100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2000≤Y＜10000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100≤Y＜2000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餐饮业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X≥300</w:t>
            </w:r>
          </w:p>
        </w:tc>
        <w:tc>
          <w:tcPr>
            <w:tcW w:w="901" w:type="pct"/>
            <w:vAlign w:val="center"/>
          </w:tcPr>
          <w:p>
            <w:pPr>
              <w:widowControl/>
              <w:ind w:left="-32" w:leftChars="-51" w:hanging="90" w:hangingChars="60"/>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100≤X＜300 </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10≤X＜100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2000≤Y＜10000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100≤Y＜2000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信息传输业 *</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X≥2000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100≤X＜2000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10≤X＜100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1000≤Y＜100000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100≤Y＜1000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spacing w:val="-12"/>
                <w:kern w:val="0"/>
                <w:sz w:val="15"/>
                <w:szCs w:val="15"/>
                <w:highlight w:val="none"/>
              </w:rPr>
            </w:pPr>
            <w:r>
              <w:rPr>
                <w:rFonts w:hint="eastAsia" w:cs="宋体" w:asciiTheme="minorEastAsia" w:hAnsiTheme="minorEastAsia" w:eastAsiaTheme="minorEastAsia"/>
                <w:color w:val="000000"/>
                <w:spacing w:val="-12"/>
                <w:kern w:val="0"/>
                <w:sz w:val="15"/>
                <w:szCs w:val="15"/>
                <w:highlight w:val="none"/>
              </w:rPr>
              <w:t>软件和信息技术服</w:t>
            </w:r>
            <w:r>
              <w:rPr>
                <w:rFonts w:hint="eastAsia" w:cs="宋体" w:asciiTheme="minorEastAsia" w:hAnsiTheme="minorEastAsia" w:eastAsiaTheme="minorEastAsia"/>
                <w:color w:val="000000"/>
                <w:kern w:val="0"/>
                <w:sz w:val="15"/>
                <w:szCs w:val="15"/>
                <w:highlight w:val="none"/>
              </w:rPr>
              <w:t>务业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X≥300</w:t>
            </w:r>
          </w:p>
        </w:tc>
        <w:tc>
          <w:tcPr>
            <w:tcW w:w="901" w:type="pct"/>
            <w:vAlign w:val="center"/>
          </w:tcPr>
          <w:p>
            <w:pPr>
              <w:widowControl/>
              <w:ind w:left="-32" w:leftChars="-51" w:hanging="90" w:hangingChars="60"/>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100≤X＜300 </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10≤X＜100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rPr>
                <w:rFonts w:cs="宋体" w:asciiTheme="minorEastAsia" w:hAnsiTheme="minorEastAsia" w:eastAsiaTheme="minorEastAsia"/>
                <w:color w:val="000000"/>
                <w:spacing w:val="-12"/>
                <w:kern w:val="0"/>
                <w:sz w:val="15"/>
                <w:szCs w:val="15"/>
                <w:highlight w:val="none"/>
              </w:rPr>
            </w:pP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1000≤Y＜10000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50≤Y＜1000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房地产开发经营</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Y≥200000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1000≤Y＜200000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100≤Y＜1000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资产总额(Z)</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Z≥10000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5000≤Z＜10000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2000≤Z＜5000   </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物业管理</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300≤X＜1000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100≤X＜300 </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营业收入(Y)</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Y≥5000</w:t>
            </w:r>
          </w:p>
        </w:tc>
        <w:tc>
          <w:tcPr>
            <w:tcW w:w="901" w:type="pct"/>
            <w:vAlign w:val="center"/>
          </w:tcPr>
          <w:p>
            <w:pPr>
              <w:widowControl/>
              <w:ind w:left="-32" w:leftChars="-51" w:hanging="90" w:hangingChars="60"/>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1000≤Y＜5000 </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500≤Y＜1000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restar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租赁和商务服务业</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X≥300</w:t>
            </w:r>
          </w:p>
        </w:tc>
        <w:tc>
          <w:tcPr>
            <w:tcW w:w="901" w:type="pct"/>
            <w:vAlign w:val="center"/>
          </w:tcPr>
          <w:p>
            <w:pPr>
              <w:widowControl/>
              <w:ind w:left="-32" w:leftChars="-51" w:hanging="90" w:hangingChars="60"/>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100≤X＜300 </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10≤X＜100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rPr>
                <w:rFonts w:cs="宋体" w:asciiTheme="minorEastAsia" w:hAnsiTheme="minorEastAsia" w:eastAsiaTheme="minorEastAsia"/>
                <w:color w:val="000000"/>
                <w:kern w:val="0"/>
                <w:sz w:val="15"/>
                <w:szCs w:val="15"/>
                <w:highlight w:val="none"/>
              </w:rPr>
            </w:pPr>
          </w:p>
        </w:tc>
        <w:tc>
          <w:tcPr>
            <w:tcW w:w="725" w:type="pct"/>
            <w:vAlign w:val="center"/>
          </w:tcPr>
          <w:p>
            <w:pPr>
              <w:widowControl/>
              <w:spacing w:line="240" w:lineRule="exact"/>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资产总额(Z)</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万元</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Z≥120000</w:t>
            </w:r>
          </w:p>
        </w:tc>
        <w:tc>
          <w:tcPr>
            <w:tcW w:w="901"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8000≤Z＜120000</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100≤Z＜8000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exact"/>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其他未列明行业 *</w:t>
            </w:r>
          </w:p>
        </w:tc>
        <w:tc>
          <w:tcPr>
            <w:tcW w:w="7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从业人员(X)</w:t>
            </w:r>
          </w:p>
        </w:tc>
        <w:tc>
          <w:tcPr>
            <w:tcW w:w="37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人</w:t>
            </w:r>
          </w:p>
        </w:tc>
        <w:tc>
          <w:tcPr>
            <w:tcW w:w="59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X≥300</w:t>
            </w:r>
          </w:p>
        </w:tc>
        <w:tc>
          <w:tcPr>
            <w:tcW w:w="901" w:type="pct"/>
            <w:vAlign w:val="center"/>
          </w:tcPr>
          <w:p>
            <w:pPr>
              <w:widowControl/>
              <w:ind w:left="-32" w:leftChars="-51" w:hanging="90" w:hangingChars="60"/>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100≤X＜300 </w:t>
            </w:r>
          </w:p>
        </w:tc>
        <w:tc>
          <w:tcPr>
            <w:tcW w:w="75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 xml:space="preserve"> 10≤X＜100</w:t>
            </w:r>
          </w:p>
        </w:tc>
        <w:tc>
          <w:tcPr>
            <w:tcW w:w="525" w:type="pct"/>
            <w:vAlign w:val="center"/>
          </w:tcPr>
          <w:p>
            <w:pPr>
              <w:widowControl/>
              <w:jc w:val="center"/>
              <w:rPr>
                <w:rFonts w:cs="宋体" w:asciiTheme="minorEastAsia" w:hAnsiTheme="minorEastAsia" w:eastAsiaTheme="minorEastAsia"/>
                <w:color w:val="000000"/>
                <w:kern w:val="0"/>
                <w:sz w:val="15"/>
                <w:szCs w:val="15"/>
                <w:highlight w:val="none"/>
              </w:rPr>
            </w:pPr>
            <w:r>
              <w:rPr>
                <w:rFonts w:hint="eastAsia" w:cs="宋体" w:asciiTheme="minorEastAsia" w:hAnsiTheme="minorEastAsia" w:eastAsiaTheme="minorEastAsia"/>
                <w:color w:val="000000"/>
                <w:kern w:val="0"/>
                <w:sz w:val="15"/>
                <w:szCs w:val="15"/>
                <w:highlight w:val="none"/>
              </w:rPr>
              <w:t>X＜10</w:t>
            </w:r>
          </w:p>
        </w:tc>
      </w:tr>
    </w:tbl>
    <w:p>
      <w:pPr>
        <w:widowControl/>
        <w:adjustRightInd/>
        <w:snapToGrid/>
        <w:ind w:firstLine="512" w:firstLineChars="200"/>
        <w:rPr>
          <w:rFonts w:cs="宋体" w:asciiTheme="minorEastAsia" w:hAnsiTheme="minorEastAsia" w:eastAsiaTheme="minorEastAsia"/>
          <w:color w:val="000000"/>
          <w:spacing w:val="8"/>
          <w:kern w:val="0"/>
          <w:highlight w:val="none"/>
        </w:rPr>
      </w:pPr>
      <w:r>
        <w:rPr>
          <w:rFonts w:hint="eastAsia" w:cs="宋体" w:asciiTheme="minorEastAsia" w:hAnsiTheme="minorEastAsia" w:eastAsiaTheme="minorEastAsia"/>
          <w:color w:val="000000"/>
          <w:spacing w:val="8"/>
          <w:kern w:val="0"/>
          <w:highlight w:val="none"/>
        </w:rPr>
        <w:t>说明：</w:t>
      </w:r>
    </w:p>
    <w:p>
      <w:pPr>
        <w:adjustRightInd/>
        <w:snapToGrid/>
        <w:ind w:firstLine="512" w:firstLineChars="200"/>
        <w:rPr>
          <w:rFonts w:cs="宋体" w:asciiTheme="minorEastAsia" w:hAnsiTheme="minorEastAsia" w:eastAsiaTheme="minorEastAsia"/>
          <w:color w:val="000000"/>
          <w:spacing w:val="8"/>
          <w:kern w:val="0"/>
          <w:highlight w:val="none"/>
        </w:rPr>
      </w:pPr>
      <w:r>
        <w:rPr>
          <w:rFonts w:hint="eastAsia" w:cs="宋体" w:asciiTheme="minorEastAsia" w:hAnsiTheme="minorEastAsia" w:eastAsiaTheme="minorEastAsia"/>
          <w:color w:val="000000"/>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asciiTheme="minorEastAsia" w:hAnsiTheme="minorEastAsia" w:eastAsiaTheme="minorEastAsia"/>
          <w:color w:val="000000"/>
          <w:spacing w:val="8"/>
          <w:kern w:val="0"/>
          <w:highlight w:val="none"/>
        </w:rPr>
      </w:pPr>
      <w:r>
        <w:rPr>
          <w:rFonts w:hint="eastAsia" w:cs="宋体" w:asciiTheme="minorEastAsia" w:hAnsiTheme="minorEastAsia" w:eastAsiaTheme="minorEastAsia"/>
          <w:color w:val="000000"/>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asciiTheme="minorEastAsia" w:hAnsiTheme="minorEastAsia" w:eastAsiaTheme="minorEastAsia"/>
          <w:b/>
          <w:bCs/>
          <w:color w:val="auto"/>
          <w:highlight w:val="none"/>
        </w:rPr>
      </w:pPr>
      <w:r>
        <w:rPr>
          <w:rFonts w:hint="eastAsia" w:cs="宋体" w:asciiTheme="minorEastAsia" w:hAnsiTheme="minorEastAsia" w:eastAsiaTheme="minorEastAsia"/>
          <w:color w:val="000000"/>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asciiTheme="minorEastAsia" w:hAnsiTheme="minorEastAsia" w:eastAsiaTheme="minorEastAsia"/>
          <w:b/>
          <w:bCs/>
          <w:color w:val="auto"/>
          <w:highlight w:val="none"/>
        </w:rPr>
        <w:br w:type="page"/>
      </w:r>
    </w:p>
    <w:p>
      <w:pPr>
        <w:widowControl/>
        <w:adjustRightInd/>
        <w:snapToGrid/>
        <w:outlineLvl w:val="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附件三：《四川省财政厅关于推进四川省政府采购供应商信用融资工作的通知》(川财采〔2018〕123号文)</w:t>
      </w:r>
    </w:p>
    <w:p>
      <w:pPr>
        <w:pStyle w:val="24"/>
        <w:widowControl/>
        <w:wordWrap w:val="0"/>
        <w:adjustRightInd/>
        <w:snapToGrid/>
        <w:spacing w:beforeAutospacing="0" w:afterAutospacing="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查询链接：http：//www.ccgp-sichuan.gov.cn/view/staticpags/sjzcfg/40288687657ff75501672fd954532414.html</w:t>
      </w:r>
    </w:p>
    <w:p>
      <w:pPr>
        <w:widowControl/>
        <w:adjustRightInd/>
        <w:snapToGrid/>
        <w:rPr>
          <w:rFonts w:cs="宋体" w:asciiTheme="minorEastAsia" w:hAnsiTheme="minorEastAsia" w:eastAsiaTheme="minorEastAsia"/>
          <w:color w:val="auto"/>
          <w:highlight w:val="none"/>
        </w:rPr>
      </w:pPr>
    </w:p>
    <w:p>
      <w:pPr>
        <w:widowControl/>
        <w:adjustRightInd/>
        <w:snapToGrid/>
        <w:spacing w:line="240" w:lineRule="auto"/>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1"/>
                    <a:stretch>
                      <a:fillRect/>
                    </a:stretch>
                  </pic:blipFill>
                  <pic:spPr>
                    <a:xfrm>
                      <a:off x="0" y="0"/>
                      <a:ext cx="5302250" cy="1859915"/>
                    </a:xfrm>
                    <a:prstGeom prst="rect">
                      <a:avLst/>
                    </a:prstGeom>
                    <a:noFill/>
                    <a:ln w="9525">
                      <a:noFill/>
                    </a:ln>
                  </pic:spPr>
                </pic:pic>
              </a:graphicData>
            </a:graphic>
          </wp:inline>
        </w:drawing>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各市(州)、扩权县(市)财政局，各省直机关、事业单位、团体组织，各金融机构，各采购代理机构，各政府采购供应商：</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一、融资概念</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二、基本原则</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(一)财政引导，市场运行</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财政部门推进“政采贷”，银行和供应商按照自愿原则参与。供应商自愿选择是否申请“政采贷”，银行依据其内部审查制度和决策程序决定是否为供应商提供融资，自担风险。</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(二)建立机制，服务银企</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财政部门与银行建立“政采贷”工作机制，推动政府采购政策功能和金融资源的有机结合，拓宽银行的融资业务，助力解决政府采购中标、中标人资金不足、融资难、融资贵的困难，促进企业健康发展。</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(三)优质优惠，加强扶持</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三、基本条件</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(一)银行暨“政采贷”金融产品</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1、征集。</w:t>
      </w:r>
      <w:r>
        <w:rPr>
          <w:rFonts w:hint="eastAsia" w:cs="宋体" w:asciiTheme="minorEastAsia" w:hAnsiTheme="minorEastAsia" w:eastAsiaTheme="minorEastAsia"/>
          <w:color w:val="auto"/>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申请材料应当包括银行基本情况、“政采贷”产品名称、申请贷款条件、申请贷款方式、申请贷款程序、贷款审查流程、贷款额度、发放贷款时间、收款方式及其他优质服务和优惠承诺等。</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银行提供的“政采贷”产品应当满足“无抵押担保、程序简便、利率优惠、放款及时”的基本条件以及本通知其他相关规定。</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银行申请材料中应当载明其自愿提供“政采贷”产品，自担风险，不得要求或者变相要求财政部门和采购人为其提供风险担保、承诺。</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2、公示。</w:t>
      </w:r>
      <w:r>
        <w:rPr>
          <w:rFonts w:hint="eastAsia" w:cs="宋体" w:asciiTheme="minorEastAsia" w:hAnsiTheme="minorEastAsia" w:eastAsiaTheme="minorEastAsia"/>
          <w:color w:val="auto"/>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(二)供应商</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政府采购供应商向银行申请“政采贷”，应当满足下列基本条件：</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1、</w:t>
      </w:r>
      <w:r>
        <w:rPr>
          <w:rFonts w:hint="eastAsia" w:cs="宋体" w:asciiTheme="minorEastAsia" w:hAnsiTheme="minorEastAsia" w:eastAsiaTheme="minorEastAsia"/>
          <w:color w:val="auto"/>
          <w:highlight w:val="none"/>
        </w:rPr>
        <w:t>具有依法承担民事责任的能力；</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2、</w:t>
      </w:r>
      <w:r>
        <w:rPr>
          <w:rFonts w:hint="eastAsia" w:cs="宋体" w:asciiTheme="minorEastAsia" w:hAnsiTheme="minorEastAsia" w:eastAsiaTheme="minorEastAsia"/>
          <w:color w:val="auto"/>
          <w:highlight w:val="none"/>
        </w:rPr>
        <w:t>具有依法履行政府采购合同的能力；</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3、</w:t>
      </w:r>
      <w:r>
        <w:rPr>
          <w:rFonts w:hint="eastAsia" w:cs="宋体" w:asciiTheme="minorEastAsia" w:hAnsiTheme="minorEastAsia" w:eastAsiaTheme="minorEastAsia"/>
          <w:color w:val="auto"/>
          <w:highlight w:val="none"/>
        </w:rPr>
        <w:t>参加的政府采购活动未被财政部门依法暂停、责令重新开展或者认定中标、成交无效；</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4、</w:t>
      </w:r>
      <w:r>
        <w:rPr>
          <w:rFonts w:hint="eastAsia" w:cs="宋体" w:asciiTheme="minorEastAsia" w:hAnsiTheme="minorEastAsia" w:eastAsiaTheme="minorEastAsia"/>
          <w:color w:val="auto"/>
          <w:highlight w:val="none"/>
        </w:rPr>
        <w:t>无《政府采购法》第二十二条第一款第(五)项所称的重大违法记录；</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5、</w:t>
      </w:r>
      <w:r>
        <w:rPr>
          <w:rFonts w:hint="eastAsia" w:cs="宋体" w:asciiTheme="minorEastAsia" w:hAnsiTheme="minorEastAsia" w:eastAsiaTheme="minorEastAsia"/>
          <w:color w:val="auto"/>
          <w:highlight w:val="none"/>
        </w:rPr>
        <w:t>未被法院、市场监管、税务、银行等部门单位纳入失信名单且在有效期内；</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6、</w:t>
      </w:r>
      <w:r>
        <w:rPr>
          <w:rFonts w:hint="eastAsia" w:cs="宋体" w:asciiTheme="minorEastAsia" w:hAnsiTheme="minorEastAsia" w:eastAsiaTheme="minorEastAsia"/>
          <w:color w:val="auto"/>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7、</w:t>
      </w:r>
      <w:r>
        <w:rPr>
          <w:rFonts w:hint="eastAsia" w:cs="宋体" w:asciiTheme="minorEastAsia" w:hAnsiTheme="minorEastAsia" w:eastAsiaTheme="minorEastAsia"/>
          <w:color w:val="auto"/>
          <w:highlight w:val="none"/>
        </w:rPr>
        <w:t>其他银行要求的不属于提供财产抵押或第三方担保的条件。</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四、构建平台</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四川省财政厅将在“四川政府采购网”统一构建四川省“政采贷”信息化服务平台，推进四川省“政采贷”工作信息化建设。</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五、财金互动</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六、基本流程</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(一)意向申请</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4"/>
        <w:widowControl/>
        <w:adjustRightInd/>
        <w:snapToGrid/>
        <w:spacing w:beforeAutospacing="0" w:afterAutospacing="0"/>
        <w:ind w:firstLine="482" w:firstLineChars="200"/>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(二)正式申请</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(三)贷款审查</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(四)信息报送</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(五)资金支付</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政府采购资金支付过程中，银行需要查询采购资金支付进程有关信息的，财政部门和采购人应当支持。</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七、职责要求</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(一)</w:t>
      </w:r>
      <w:r>
        <w:rPr>
          <w:rFonts w:hint="eastAsia" w:cs="宋体" w:asciiTheme="minorEastAsia" w:hAnsiTheme="minorEastAsia" w:eastAsiaTheme="minorEastAsia"/>
          <w:color w:val="auto"/>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(二)</w:t>
      </w:r>
      <w:r>
        <w:rPr>
          <w:rFonts w:hint="eastAsia" w:cs="宋体" w:asciiTheme="minorEastAsia" w:hAnsiTheme="minorEastAsia" w:eastAsiaTheme="minorEastAsia"/>
          <w:color w:val="auto"/>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(三)</w:t>
      </w:r>
      <w:r>
        <w:rPr>
          <w:rFonts w:hint="eastAsia" w:cs="宋体" w:asciiTheme="minorEastAsia" w:hAnsiTheme="minorEastAsia" w:eastAsiaTheme="minorEastAsia"/>
          <w:color w:val="auto"/>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(四)</w:t>
      </w:r>
      <w:r>
        <w:rPr>
          <w:rFonts w:hint="eastAsia" w:cs="宋体" w:asciiTheme="minorEastAsia" w:hAnsiTheme="minorEastAsia" w:eastAsiaTheme="minorEastAsia"/>
          <w:color w:val="auto"/>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(五)</w:t>
      </w:r>
      <w:r>
        <w:rPr>
          <w:rFonts w:hint="eastAsia" w:cs="宋体" w:asciiTheme="minorEastAsia" w:hAnsiTheme="minorEastAsia" w:eastAsiaTheme="minorEastAsia"/>
          <w:color w:val="auto"/>
          <w:highlight w:val="none"/>
        </w:rPr>
        <w:t>供应商应当依法参加政府采购活动，公平竞争，诚实守信，严格按照政府采购合同履约，严格按照借款合同偿还债务。</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(六)</w:t>
      </w:r>
      <w:r>
        <w:rPr>
          <w:rFonts w:hint="eastAsia" w:cs="宋体" w:asciiTheme="minorEastAsia" w:hAnsiTheme="minorEastAsia" w:eastAsiaTheme="minorEastAsia"/>
          <w:color w:val="auto"/>
          <w:highlight w:val="none"/>
        </w:rPr>
        <w:t>财政部门、采购人、采购代理机构及其他有关单位和个人不得违规干预供应商选择“政采贷”银行及其产品，也不得违规干预银行向供应商进行贷款。</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(七)</w:t>
      </w:r>
      <w:r>
        <w:rPr>
          <w:rFonts w:hint="eastAsia" w:cs="宋体" w:asciiTheme="minorEastAsia" w:hAnsiTheme="minorEastAsia" w:eastAsiaTheme="minorEastAsia"/>
          <w:color w:val="auto"/>
          <w:highlight w:val="none"/>
        </w:rPr>
        <w:t>相关单位和个人在开展“政采贷”工作过程中，发现新问题、新情况或者有意见建议的，请及时向四川省财政厅反馈。</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八、违规处理</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(一)银行违规处理</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(二)供应商违规处理</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24"/>
        <w:widowControl/>
        <w:adjustRightInd/>
        <w:snapToGrid/>
        <w:spacing w:beforeAutospacing="0" w:afterAutospacing="0"/>
        <w:ind w:firstLine="482"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b/>
          <w:color w:val="auto"/>
          <w:highlight w:val="none"/>
        </w:rPr>
        <w:t>(三)其他违规处理</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4"/>
        <w:widowControl/>
        <w:adjustRightInd/>
        <w:snapToGrid/>
        <w:spacing w:beforeAutospacing="0" w:afterAutospacing="0"/>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w:t>
      </w:r>
    </w:p>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highlight w:val="none"/>
        </w:rPr>
        <w:drawing>
          <wp:anchor distT="0" distB="0" distL="114300" distR="114300" simplePos="0" relativeHeight="251664384"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2"/>
                    <a:stretch>
                      <a:fillRect/>
                    </a:stretch>
                  </pic:blipFill>
                  <pic:spPr>
                    <a:xfrm>
                      <a:off x="0" y="0"/>
                      <a:ext cx="1771650" cy="1781175"/>
                    </a:xfrm>
                    <a:prstGeom prst="rect">
                      <a:avLst/>
                    </a:prstGeom>
                    <a:noFill/>
                    <a:ln w="9525">
                      <a:noFill/>
                    </a:ln>
                  </pic:spPr>
                </pic:pic>
              </a:graphicData>
            </a:graphic>
          </wp:anchor>
        </w:drawing>
      </w:r>
      <w:r>
        <w:rPr>
          <w:rFonts w:hint="eastAsia" w:cs="宋体" w:asciiTheme="minorEastAsia" w:hAnsiTheme="minorEastAsia" w:eastAsiaTheme="minorEastAsia"/>
          <w:color w:val="auto"/>
          <w:highlight w:val="none"/>
        </w:rPr>
        <w:br w:type="page"/>
      </w:r>
    </w:p>
    <w:p>
      <w:pPr>
        <w:widowControl/>
        <w:adjustRightInd/>
        <w:snapToGrid/>
        <w:outlineLvl w:val="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附件四：成都市财政局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查询链接：</w:t>
      </w:r>
      <w:r>
        <w:rPr>
          <w:color w:val="auto"/>
          <w:highlight w:val="none"/>
        </w:rPr>
        <w:fldChar w:fldCharType="begin"/>
      </w:r>
      <w:r>
        <w:rPr>
          <w:color w:val="auto"/>
          <w:highlight w:val="none"/>
        </w:rPr>
        <w:instrText xml:space="preserve"> HYPERLINK "http://cdcz.chengdu.gov.cn/cdsczj/c116726/2019-03/13/content_7d81ae9c2a1e48968c7839a9c5b88ccd.shtml" </w:instrText>
      </w:r>
      <w:r>
        <w:rPr>
          <w:color w:val="auto"/>
          <w:highlight w:val="none"/>
        </w:rPr>
        <w:fldChar w:fldCharType="separate"/>
      </w:r>
      <w:r>
        <w:rPr>
          <w:rStyle w:val="30"/>
          <w:rFonts w:hint="eastAsia" w:cs="宋体" w:asciiTheme="minorEastAsia" w:hAnsiTheme="minorEastAsia" w:eastAsiaTheme="minorEastAsia"/>
          <w:b/>
          <w:bCs/>
          <w:color w:val="auto"/>
          <w:highlight w:val="none"/>
        </w:rPr>
        <w:t>http：//cdcz.chengdu.gov.cn/cdsczj/c116726/2019-03/13/content_7d81ae9c2a1e48968c7839a9c5b88ccd.shtml</w:t>
      </w:r>
      <w:r>
        <w:rPr>
          <w:rStyle w:val="30"/>
          <w:rFonts w:hint="eastAsia" w:cs="宋体" w:asciiTheme="minorEastAsia" w:hAnsiTheme="minorEastAsia" w:eastAsiaTheme="minorEastAsia"/>
          <w:b/>
          <w:bCs/>
          <w:color w:val="auto"/>
          <w:highlight w:val="none"/>
        </w:rPr>
        <w:fldChar w:fldCharType="end"/>
      </w:r>
    </w:p>
    <w:p>
      <w:pPr>
        <w:widowControl/>
        <w:wordWrap w:val="0"/>
        <w:adjustRightInd/>
        <w:snapToGrid/>
        <w:rPr>
          <w:rFonts w:cs="宋体" w:asciiTheme="minorEastAsia" w:hAnsiTheme="minorEastAsia" w:eastAsiaTheme="minorEastAsia"/>
          <w:b/>
          <w:bCs/>
          <w:color w:val="auto"/>
          <w:highlight w:val="none"/>
        </w:rPr>
      </w:pPr>
    </w:p>
    <w:tbl>
      <w:tblPr>
        <w:tblStyle w:val="26"/>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vAlign w:val="center"/>
          </w:tcPr>
          <w:p>
            <w:pPr>
              <w:spacing w:line="240" w:lineRule="auto"/>
              <w:jc w:val="distribute"/>
              <w:rPr>
                <w:rFonts w:cs="宋体" w:asciiTheme="minorEastAsia" w:hAnsiTheme="minorEastAsia" w:eastAsiaTheme="minorEastAsia"/>
                <w:color w:val="FF0000"/>
                <w:sz w:val="66"/>
                <w:szCs w:val="66"/>
                <w:highlight w:val="none"/>
              </w:rPr>
            </w:pPr>
            <w:r>
              <w:rPr>
                <w:rFonts w:hint="eastAsia" w:cs="宋体" w:asciiTheme="minorEastAsia" w:hAnsiTheme="minorEastAsia" w:eastAsiaTheme="minorEastAsia"/>
                <w:color w:val="FF0000"/>
                <w:sz w:val="66"/>
                <w:szCs w:val="66"/>
                <w:highlight w:val="none"/>
              </w:rPr>
              <w:t>成都市财政局</w:t>
            </w:r>
          </w:p>
        </w:tc>
        <w:tc>
          <w:tcPr>
            <w:tcW w:w="1580" w:type="dxa"/>
            <w:vMerge w:val="restart"/>
            <w:vAlign w:val="center"/>
          </w:tcPr>
          <w:p>
            <w:pPr>
              <w:spacing w:line="240" w:lineRule="auto"/>
              <w:jc w:val="center"/>
              <w:rPr>
                <w:rFonts w:cs="宋体" w:asciiTheme="minorEastAsia" w:hAnsiTheme="minorEastAsia" w:eastAsiaTheme="minorEastAsia"/>
                <w:color w:val="FF0000"/>
                <w:sz w:val="66"/>
                <w:szCs w:val="66"/>
                <w:highlight w:val="none"/>
              </w:rPr>
            </w:pPr>
            <w:r>
              <w:rPr>
                <w:rFonts w:hint="eastAsia" w:cs="宋体" w:asciiTheme="minorEastAsia" w:hAnsiTheme="minorEastAsia" w:eastAsiaTheme="minorEastAsia"/>
                <w:color w:val="FF0000"/>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cs="宋体" w:asciiTheme="minorEastAsia" w:hAnsiTheme="minorEastAsia" w:eastAsiaTheme="minorEastAsia"/>
                <w:color w:val="FF0000"/>
                <w:spacing w:val="-20"/>
                <w:w w:val="82"/>
                <w:sz w:val="62"/>
                <w:szCs w:val="62"/>
                <w:highlight w:val="none"/>
              </w:rPr>
            </w:pPr>
            <w:r>
              <w:rPr>
                <w:rFonts w:hint="eastAsia" w:cs="宋体" w:asciiTheme="minorEastAsia" w:hAnsiTheme="minorEastAsia" w:eastAsiaTheme="minorEastAsia"/>
                <w:color w:val="FF0000"/>
                <w:spacing w:val="-20"/>
                <w:w w:val="82"/>
                <w:sz w:val="62"/>
                <w:szCs w:val="62"/>
                <w:highlight w:val="none"/>
              </w:rPr>
              <w:t>中国人民银行成都分行营业管理部</w:t>
            </w:r>
          </w:p>
        </w:tc>
        <w:tc>
          <w:tcPr>
            <w:tcW w:w="1580" w:type="dxa"/>
            <w:vMerge w:val="continue"/>
            <w:vAlign w:val="center"/>
          </w:tcPr>
          <w:p>
            <w:pPr>
              <w:spacing w:line="240" w:lineRule="auto"/>
              <w:jc w:val="center"/>
              <w:rPr>
                <w:rFonts w:cs="宋体" w:asciiTheme="minorEastAsia" w:hAnsiTheme="minorEastAsia" w:eastAsiaTheme="minorEastAsia"/>
                <w:color w:val="FF0000"/>
                <w:sz w:val="66"/>
                <w:szCs w:val="66"/>
                <w:highlight w:val="none"/>
              </w:rPr>
            </w:pPr>
          </w:p>
        </w:tc>
      </w:tr>
    </w:tbl>
    <w:p>
      <w:pPr>
        <w:jc w:val="center"/>
        <w:rPr>
          <w:rFonts w:cs="宋体" w:asciiTheme="minorEastAsia" w:hAnsiTheme="minorEastAsia" w:eastAsiaTheme="minorEastAsia"/>
          <w:color w:val="auto"/>
          <w:highlight w:val="none"/>
        </w:rPr>
      </w:pPr>
    </w:p>
    <w:p>
      <w:pPr>
        <w:jc w:val="center"/>
        <w:rPr>
          <w:rFonts w:cs="宋体" w:asciiTheme="minorEastAsia" w:hAnsiTheme="minorEastAsia" w:eastAsiaTheme="minorEastAsia"/>
          <w:color w:val="000000"/>
          <w:highlight w:val="none"/>
        </w:rPr>
      </w:pPr>
      <w:r>
        <w:rPr>
          <w:rFonts w:hint="eastAsia" w:cs="宋体" w:asciiTheme="minorEastAsia" w:hAnsiTheme="minorEastAsia" w:eastAsiaTheme="minorEastAsia"/>
          <w:color w:val="FF0000"/>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5.25pt;height:0pt;width:442.4pt;z-index:251665408;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uPvWAAAABgEAAA8AAAAAAAAAAQAgAAAAIgAAAGRycy9kb3ducmV2LnhtbFBLAQIUABQAAAAI&#10;AIdO4kBhC1wm7wEAANkDAAAOAAAAAAAAAAEAIAAAACUBAABkcnMvZTJvRG9jLnhtbFBLBQYAAAAA&#10;BgAGAFkBAACGBQAAAAA=&#10;">
                <v:fill on="f" focussize="0,0"/>
                <v:stroke weight="1.5pt" color="#FF0000" joinstyle="round"/>
                <v:imagedata o:title=""/>
                <o:lock v:ext="edit" aspectratio="f"/>
              </v:line>
            </w:pict>
          </mc:Fallback>
        </mc:AlternateContent>
      </w:r>
      <w:r>
        <w:rPr>
          <w:rFonts w:hint="eastAsia" w:cs="宋体" w:asciiTheme="minorEastAsia" w:hAnsiTheme="minorEastAsia" w:eastAsiaTheme="minorEastAsia"/>
          <w:color w:val="auto"/>
          <w:highlight w:val="none"/>
        </w:rPr>
        <w:t>成财采〔2019〕17号</w:t>
      </w:r>
    </w:p>
    <w:p>
      <w:pPr>
        <w:topLinePunct/>
        <w:jc w:val="center"/>
        <w:rPr>
          <w:rFonts w:cs="宋体" w:asciiTheme="minorEastAsia" w:hAnsiTheme="minorEastAsia" w:eastAsiaTheme="minorEastAsia"/>
          <w:color w:val="auto"/>
          <w:highlight w:val="none"/>
        </w:rPr>
      </w:pPr>
    </w:p>
    <w:p>
      <w:pPr>
        <w:topLinePunct/>
        <w:jc w:val="center"/>
        <w:rPr>
          <w:rFonts w:cs="宋体" w:asciiTheme="minorEastAsia" w:hAnsiTheme="minorEastAsia" w:eastAsiaTheme="minorEastAsia"/>
          <w:color w:val="auto"/>
          <w:spacing w:val="-18"/>
          <w:sz w:val="44"/>
          <w:szCs w:val="44"/>
          <w:highlight w:val="none"/>
        </w:rPr>
      </w:pPr>
      <w:r>
        <w:rPr>
          <w:rFonts w:hint="eastAsia" w:cs="宋体" w:asciiTheme="minorEastAsia" w:hAnsiTheme="minorEastAsia" w:eastAsiaTheme="minorEastAsia"/>
          <w:color w:val="auto"/>
          <w:spacing w:val="-18"/>
          <w:sz w:val="44"/>
          <w:szCs w:val="44"/>
          <w:highlight w:val="none"/>
        </w:rPr>
        <w:t>成都市财政局  中国人民银行成都分行营业管理部</w:t>
      </w:r>
    </w:p>
    <w:p>
      <w:pPr>
        <w:topLinePunct/>
        <w:jc w:val="center"/>
        <w:rPr>
          <w:rFonts w:cs="宋体" w:asciiTheme="minorEastAsia" w:hAnsiTheme="minorEastAsia" w:eastAsiaTheme="minorEastAsia"/>
          <w:color w:val="auto"/>
          <w:sz w:val="44"/>
          <w:szCs w:val="44"/>
          <w:highlight w:val="none"/>
        </w:rPr>
      </w:pPr>
      <w:r>
        <w:rPr>
          <w:rFonts w:hint="eastAsia" w:cs="宋体" w:asciiTheme="minorEastAsia" w:hAnsiTheme="minorEastAsia" w:eastAsiaTheme="minorEastAsia"/>
          <w:color w:val="auto"/>
          <w:sz w:val="44"/>
          <w:szCs w:val="44"/>
          <w:highlight w:val="none"/>
        </w:rPr>
        <w:t>关于印发《成都市中小企业政府采购信用融资</w:t>
      </w:r>
    </w:p>
    <w:p>
      <w:pPr>
        <w:topLinePunct/>
        <w:jc w:val="center"/>
        <w:rPr>
          <w:rFonts w:cs="宋体" w:asciiTheme="minorEastAsia" w:hAnsiTheme="minorEastAsia" w:eastAsiaTheme="minorEastAsia"/>
          <w:color w:val="auto"/>
          <w:sz w:val="44"/>
          <w:szCs w:val="44"/>
          <w:highlight w:val="none"/>
        </w:rPr>
      </w:pPr>
      <w:r>
        <w:rPr>
          <w:rFonts w:hint="eastAsia" w:cs="宋体" w:asciiTheme="minorEastAsia" w:hAnsiTheme="minorEastAsia" w:eastAsiaTheme="minorEastAsia"/>
          <w:color w:val="auto"/>
          <w:sz w:val="44"/>
          <w:szCs w:val="44"/>
          <w:highlight w:val="none"/>
        </w:rPr>
        <w:t>暂行办法》和《成都市级支持中小企业</w:t>
      </w:r>
    </w:p>
    <w:p>
      <w:pPr>
        <w:topLinePunct/>
        <w:jc w:val="center"/>
        <w:rPr>
          <w:rFonts w:cs="宋体" w:asciiTheme="minorEastAsia" w:hAnsiTheme="minorEastAsia" w:eastAsiaTheme="minorEastAsia"/>
          <w:color w:val="auto"/>
          <w:sz w:val="44"/>
          <w:szCs w:val="44"/>
          <w:highlight w:val="none"/>
        </w:rPr>
      </w:pPr>
      <w:r>
        <w:rPr>
          <w:rFonts w:hint="eastAsia" w:cs="宋体" w:asciiTheme="minorEastAsia" w:hAnsiTheme="minorEastAsia" w:eastAsiaTheme="minorEastAsia"/>
          <w:color w:val="auto"/>
          <w:sz w:val="44"/>
          <w:szCs w:val="44"/>
          <w:highlight w:val="none"/>
        </w:rPr>
        <w:t>政府采购信用融资实施方案》的通知</w:t>
      </w:r>
    </w:p>
    <w:p>
      <w:pPr>
        <w:jc w:val="center"/>
        <w:rPr>
          <w:rFonts w:cs="宋体" w:asciiTheme="minorEastAsia" w:hAnsiTheme="minorEastAsia" w:eastAsiaTheme="minorEastAsia"/>
          <w:color w:val="auto"/>
          <w:highlight w:val="none"/>
        </w:rPr>
      </w:pP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成都天府新区、高新区财政金融局，各区(市)县财政局，市级各部门、单位，各银行业金融机构：</w:t>
      </w: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一、高度重视、迅速行动</w:t>
      </w: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二、明确责任、压茬推进</w:t>
      </w: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三、优化服务、营造氛围</w:t>
      </w: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asciiTheme="minorEastAsia" w:hAnsiTheme="minorEastAsia" w:eastAsiaTheme="minorEastAsia"/>
          <w:color w:val="auto"/>
          <w:highlight w:val="none"/>
        </w:rPr>
      </w:pP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附件：1．成都市中小企业政府采购信用融资暂行办法 </w:t>
      </w:r>
    </w:p>
    <w:p>
      <w:pPr>
        <w:widowControl/>
        <w:adjustRightInd/>
        <w:snapToGri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2．成都市级支持中小企业政府采购信用融资实施方案</w:t>
      </w:r>
    </w:p>
    <w:p>
      <w:pPr>
        <w:pStyle w:val="15"/>
        <w:widowControl/>
        <w:topLinePunct/>
        <w:adjustRightInd/>
        <w:snapToGrid/>
        <w:ind w:firstLine="480" w:firstLineChars="200"/>
        <w:rPr>
          <w:rFonts w:cs="宋体" w:asciiTheme="minorEastAsia" w:hAnsiTheme="minorEastAsia" w:eastAsiaTheme="minorEastAsia"/>
          <w:color w:val="auto"/>
          <w:sz w:val="24"/>
          <w:highlight w:val="none"/>
        </w:rPr>
      </w:pPr>
    </w:p>
    <w:p>
      <w:pPr>
        <w:pStyle w:val="15"/>
        <w:widowControl/>
        <w:topLinePunct/>
        <w:adjustRightInd/>
        <w:snapToGrid/>
        <w:ind w:firstLine="480" w:firstLineChars="200"/>
        <w:rPr>
          <w:rFonts w:cs="宋体" w:asciiTheme="minorEastAsia" w:hAnsiTheme="minorEastAsia" w:eastAsiaTheme="minorEastAsia"/>
          <w:color w:val="auto"/>
          <w:sz w:val="24"/>
          <w:highlight w:val="none"/>
        </w:rPr>
      </w:pPr>
    </w:p>
    <w:p>
      <w:pPr>
        <w:pStyle w:val="15"/>
        <w:widowControl/>
        <w:topLinePunct/>
        <w:adjustRightInd/>
        <w:snapToGrid/>
        <w:ind w:firstLine="480" w:firstLineChars="200"/>
        <w:rPr>
          <w:rFonts w:cs="宋体" w:asciiTheme="minorEastAsia" w:hAnsiTheme="minorEastAsia" w:eastAsiaTheme="minorEastAsia"/>
          <w:color w:val="auto"/>
          <w:sz w:val="24"/>
          <w:highlight w:val="none"/>
        </w:rPr>
      </w:pPr>
    </w:p>
    <w:p>
      <w:pPr>
        <w:widowControl/>
        <w:tabs>
          <w:tab w:val="left" w:pos="7584"/>
          <w:tab w:val="clear" w:pos="0"/>
        </w:tabs>
        <w:topLinePunct/>
        <w:adjustRightInd/>
        <w:snapToGrid/>
        <w:ind w:firstLine="480" w:firstLineChars="200"/>
        <w:jc w:val="righ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成都市财政局         中国人民银行成都分行营业管理部</w:t>
      </w:r>
    </w:p>
    <w:p>
      <w:pPr>
        <w:widowControl/>
        <w:tabs>
          <w:tab w:val="left" w:pos="7584"/>
          <w:tab w:val="clear" w:pos="0"/>
        </w:tabs>
        <w:topLinePunct/>
        <w:adjustRightInd/>
        <w:snapToGrid/>
        <w:ind w:firstLine="480" w:firstLineChars="200"/>
        <w:jc w:val="righ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2019年2月26日</w:t>
      </w:r>
    </w:p>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topLinePunct/>
        <w:adjustRightInd/>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附件1</w:t>
      </w:r>
    </w:p>
    <w:p>
      <w:pPr>
        <w:topLinePunct/>
        <w:adjustRightInd/>
        <w:rPr>
          <w:rFonts w:cs="宋体" w:asciiTheme="minorEastAsia" w:hAnsiTheme="minorEastAsia" w:eastAsiaTheme="minorEastAsia"/>
          <w:color w:val="auto"/>
          <w:highlight w:val="none"/>
        </w:rPr>
      </w:pPr>
    </w:p>
    <w:p>
      <w:pPr>
        <w:topLinePunct/>
        <w:adjustRightInd/>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成都市中小企业</w:t>
      </w:r>
      <w:r>
        <w:rPr>
          <w:rFonts w:hint="eastAsia" w:cs="宋体" w:asciiTheme="minorEastAsia" w:hAnsiTheme="minorEastAsia" w:eastAsiaTheme="minorEastAsia"/>
          <w:color w:val="000000"/>
          <w:highlight w:val="none"/>
        </w:rPr>
        <w:t>政府采购信用融资暂行</w:t>
      </w:r>
      <w:r>
        <w:rPr>
          <w:rFonts w:hint="eastAsia" w:cs="宋体" w:asciiTheme="minorEastAsia" w:hAnsiTheme="minorEastAsia" w:eastAsiaTheme="minorEastAsia"/>
          <w:color w:val="auto"/>
          <w:highlight w:val="none"/>
        </w:rPr>
        <w:t>办法</w:t>
      </w:r>
    </w:p>
    <w:p>
      <w:pPr>
        <w:topLinePunct/>
        <w:adjustRightInd/>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第一章  总  则</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第一条(政策依据)</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第二条(适用范围)</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成都市行政区域内政府采购信用融资适用本办法。</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第三条(术语定义)</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本办法所称中小企业，包括中型、小型及微型企业，其划型标准按照国家相关规定执行。</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第四条(基本原则)</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第二章  融资优惠</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第五条(融资方式)</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第六条(融资额度)</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融资额度原则上不超过政府采购合同金额。</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第七条(融资利率)</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第八条(融资期限)</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融资期限原则上与政府采购合同履行期限一致。</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第九条(融资效率)</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第十条(融资业务升级)</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第十一条(贷款风险补贴)</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第三章  融资流程</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第十二条(融资流程)</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(一)信息发布。采购人应当在发布的采购公告和采购文件中载明采购项目可提供信用融资的信息。</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(二)融资申请。有融资需求的供应商自主选择提供政府采购信用融资服务的融资机构及产品，并按要求提供申请资料。</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(三)融资审查。融资机构对供应商的融资申请进行审查，并向供应商反馈审查及融资额度等情况。</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(五)放款。融资机构对政府采购合同及融资相关信息进行确认，并向供应商提供相应的融资产品。</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(六)贷款归还。采购人按相关规定和合同约定将合同资金支付至约定的唯一收款账户。</w:t>
      </w:r>
    </w:p>
    <w:p>
      <w:pPr>
        <w:topLinePunct/>
        <w:adjustRightInd/>
        <w:ind w:firstLine="480" w:firstLineChars="200"/>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第四章  职责分工</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第十三条(财政部门职责)</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第十四条(融资机构主管部门职责)</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第十五条(采购人职责)</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第十六条(融资机构职责)</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第十七条(供应商职责)</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第五章 监督管理</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第十八条(采购人监管)</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第十九条(融资机构监管)</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第二十条(供应商监管)</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第二十一条</w:t>
      </w:r>
      <w:bookmarkStart w:id="1242" w:name="BM24558847_25425864_3"/>
      <w:bookmarkEnd w:id="1242"/>
      <w:r>
        <w:rPr>
          <w:rFonts w:hint="eastAsia" w:cs="宋体" w:asciiTheme="minorEastAsia" w:hAnsiTheme="minorEastAsia" w:eastAsiaTheme="minorEastAsia"/>
          <w:color w:val="auto"/>
          <w:highlight w:val="none"/>
        </w:rPr>
        <w:t>(相关单位及工作人员监管)</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第六章  附  则</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第二十二条(解释相关)</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本办法由市财政局会同中国人民银行成都分行营业管理部负责解释。</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第二十三条(施行相关)</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本办法自印发之日起施行。市财政局、市金融办2013年12月9日印发的《关于开展中小企业政府采购信用担保及融资试点工作的通知》(成财采〔2013〕200号)同时废止。</w:t>
      </w:r>
    </w:p>
    <w:p>
      <w:pP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br w:type="page"/>
      </w:r>
    </w:p>
    <w:p>
      <w:pPr>
        <w:topLinePunct/>
        <w:adjustRightInd/>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附件2</w:t>
      </w:r>
    </w:p>
    <w:p>
      <w:pPr>
        <w:topLinePunct/>
        <w:adjustRightInd/>
        <w:ind w:firstLine="480" w:firstLineChars="200"/>
        <w:rPr>
          <w:rFonts w:cs="宋体" w:asciiTheme="minorEastAsia" w:hAnsiTheme="minorEastAsia" w:eastAsiaTheme="minorEastAsia"/>
          <w:color w:val="auto"/>
          <w:highlight w:val="none"/>
        </w:rPr>
      </w:pPr>
    </w:p>
    <w:p>
      <w:pPr>
        <w:topLinePunct/>
        <w:adjustRightInd/>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成都市级支持中小企业政府采购</w:t>
      </w:r>
    </w:p>
    <w:p>
      <w:pPr>
        <w:topLinePunct/>
        <w:adjustRightInd/>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信用融资实施方案</w:t>
      </w:r>
    </w:p>
    <w:p>
      <w:pPr>
        <w:topLinePunct/>
        <w:adjustRightInd/>
        <w:ind w:firstLine="480" w:firstLineChars="200"/>
        <w:rPr>
          <w:rFonts w:cs="宋体" w:asciiTheme="minorEastAsia" w:hAnsiTheme="minorEastAsia" w:eastAsiaTheme="minorEastAsia"/>
          <w:color w:val="auto"/>
          <w:highlight w:val="none"/>
        </w:rPr>
      </w:pP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一、目标任务</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二、适用范围</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本《实施方案》适用于成都市本级政府采购信用融资工作。</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三、基本原则 </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四、组织实施</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(一)宣传动员</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auto"/>
          <w:highlight w:val="none"/>
        </w:rPr>
        <w:t>相关部门和单位采取多种方式积极宣传《暂行办法》和《实</w:t>
      </w:r>
      <w:r>
        <w:rPr>
          <w:rFonts w:hint="eastAsia" w:cs="宋体" w:asciiTheme="minorEastAsia" w:hAnsiTheme="minorEastAsia" w:eastAsiaTheme="minorEastAsia"/>
          <w:color w:val="000000"/>
          <w:highlight w:val="none"/>
        </w:rPr>
        <w:t>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(二)融资机构选择</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(1)融资机构基本情况；</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(2)政府采购信用融资实施方案(包括授信政策、融资产品、贷款利率及其它优惠措施、业务流程及各环节办结时间、联系方式等)；</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(3)关于遵照《暂行办法》和《实施方案》开展政府采购信用融资业务的承诺；</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(4)关于政府采购信用融资业务风险及系统对接研发费用自行承担的承诺。</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2．系统对接。融资机构成功报名后，须按要求完成政府采购信用融资业务与成都市政府采购监督管理系统的技术对接。</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(三)其他事项</w:t>
      </w:r>
    </w:p>
    <w:p>
      <w:pPr>
        <w:topLinePunct/>
        <w:adjustRightInd/>
        <w:ind w:firstLine="480" w:firstLineChars="200"/>
        <w:rPr>
          <w:rFonts w:cs="宋体" w:asciiTheme="minorEastAsia" w:hAnsiTheme="minorEastAsia" w:eastAsiaTheme="minorEastAsia"/>
          <w:color w:val="000000"/>
          <w:highlight w:val="none"/>
        </w:rPr>
      </w:pPr>
      <w:r>
        <w:rPr>
          <w:rFonts w:hint="eastAsia" w:cs="宋体" w:asciiTheme="minorEastAsia" w:hAnsiTheme="minorEastAsia" w:eastAsiaTheme="minorEastAsia"/>
          <w:color w:val="000000"/>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五、相关要求</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(一)加强组织领导。</w:t>
      </w:r>
      <w:r>
        <w:rPr>
          <w:rFonts w:hint="eastAsia" w:cs="宋体" w:asciiTheme="minorEastAsia" w:hAnsiTheme="minorEastAsia" w:eastAsiaTheme="minorEastAsia"/>
          <w:color w:val="000000"/>
          <w:kern w:val="0"/>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asciiTheme="minorEastAsia" w:hAnsiTheme="minorEastAsia" w:eastAsiaTheme="minorEastAsia"/>
          <w:color w:val="auto"/>
          <w:highlight w:val="none"/>
        </w:rPr>
        <w:t>全面、有序、科学推进政府采购信用融资工作。</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(二)注重协调配合。</w:t>
      </w:r>
      <w:r>
        <w:rPr>
          <w:rFonts w:hint="eastAsia" w:cs="宋体" w:asciiTheme="minorEastAsia" w:hAnsiTheme="minorEastAsia" w:eastAsiaTheme="minorEastAsia"/>
          <w:color w:val="000000"/>
          <w:kern w:val="0"/>
          <w:highlight w:val="none"/>
        </w:rPr>
        <w:t>市财政局、中国人民银行成都分行营业管理部及采购人</w:t>
      </w:r>
      <w:r>
        <w:rPr>
          <w:rFonts w:hint="eastAsia" w:cs="宋体" w:asciiTheme="minorEastAsia" w:hAnsiTheme="minorEastAsia" w:eastAsiaTheme="minorEastAsia"/>
          <w:color w:val="auto"/>
          <w:highlight w:val="none"/>
        </w:rPr>
        <w:t>等有关单位要根据职责任务，及时协调解决工作中遇到的困难和问题，积极</w:t>
      </w:r>
      <w:r>
        <w:rPr>
          <w:rFonts w:hint="eastAsia" w:cs="宋体" w:asciiTheme="minorEastAsia" w:hAnsiTheme="minorEastAsia" w:eastAsiaTheme="minorEastAsia"/>
          <w:color w:val="000000"/>
          <w:kern w:val="0"/>
          <w:highlight w:val="none"/>
        </w:rPr>
        <w:t>创造条件主动服务，帮助有融资需求、符合条件的供应商实现政府采购信用融资，促进中小企业又好又快发展</w:t>
      </w:r>
      <w:r>
        <w:rPr>
          <w:rFonts w:hint="eastAsia" w:cs="宋体" w:asciiTheme="minorEastAsia" w:hAnsiTheme="minorEastAsia" w:eastAsiaTheme="minorEastAsia"/>
          <w:color w:val="auto"/>
          <w:highlight w:val="none"/>
        </w:rPr>
        <w:t>。</w:t>
      </w:r>
    </w:p>
    <w:p>
      <w:pPr>
        <w:topLinePunct/>
        <w:adjustRightInd/>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sectPr>
      <w:headerReference r:id="rId15" w:type="first"/>
      <w:footerReference r:id="rId17" w:type="first"/>
      <w:headerReference r:id="rId14" w:type="default"/>
      <w:footerReference r:id="rId16" w:type="default"/>
      <w:pgSz w:w="11906" w:h="16838"/>
      <w:pgMar w:top="1440" w:right="1080" w:bottom="1440" w:left="1080" w:header="851" w:footer="992" w:gutter="0"/>
      <w:pgNumType w:start="1"/>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3F9967-9164-4D68-8966-3E62105CE05D}"/>
  </w:font>
  <w:font w:name="黑体">
    <w:panose1 w:val="02010609060101010101"/>
    <w:charset w:val="86"/>
    <w:family w:val="auto"/>
    <w:pitch w:val="default"/>
    <w:sig w:usb0="800002BF" w:usb1="38CF7CFA" w:usb2="00000016" w:usb3="00000000" w:csb0="00040001" w:csb1="00000000"/>
    <w:embedRegular r:id="rId2" w:fontKey="{65508C03-68A7-442F-A180-8A87127828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1FD30E4F-7EF4-4108-9A9E-E42828DCC497}"/>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embedRegular r:id="rId4" w:fontKey="{180964DF-1329-439D-8A27-05E667C47E7B}"/>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5" w:fontKey="{3503F74B-AD88-4EF6-9BBE-C1F125AF09A4}"/>
  </w:font>
  <w:font w:name="Calibri Light">
    <w:panose1 w:val="020F0302020204030204"/>
    <w:charset w:val="00"/>
    <w:family w:val="swiss"/>
    <w:pitch w:val="default"/>
    <w:sig w:usb0="E0002AFF" w:usb1="C000247B" w:usb2="00000009" w:usb3="00000000" w:csb0="200001FF" w:csb1="00000000"/>
  </w:font>
  <w:font w:name="Wingdings 2">
    <w:panose1 w:val="05020102010507070707"/>
    <w:charset w:val="02"/>
    <w:family w:val="roman"/>
    <w:pitch w:val="default"/>
    <w:sig w:usb0="00000000" w:usb1="00000000" w:usb2="00000000" w:usb3="00000000" w:csb0="80000000" w:csb1="00000000"/>
    <w:embedRegular r:id="rId6" w:fontKey="{EA71B92C-AFD3-49CF-A34D-FF590E4F6263}"/>
  </w:font>
  <w:font w:name="华文中宋">
    <w:panose1 w:val="02010600040101010101"/>
    <w:charset w:val="86"/>
    <w:family w:val="auto"/>
    <w:pitch w:val="default"/>
    <w:sig w:usb0="00000287" w:usb1="080F0000" w:usb2="00000000" w:usb3="00000000" w:csb0="0004009F" w:csb1="DFD70000"/>
    <w:embedRegular r:id="rId7" w:fontKey="{12466A15-5B95-45F7-A3E9-9475E19DC9DD}"/>
  </w:font>
  <w:font w:name="AdobeSongStd-Light">
    <w:altName w:val="宋体"/>
    <w:panose1 w:val="00000000000000000000"/>
    <w:charset w:val="86"/>
    <w:family w:val="auto"/>
    <w:pitch w:val="default"/>
    <w:sig w:usb0="00000000" w:usb1="00000000" w:usb2="00000010" w:usb3="00000000" w:csb0="00040000" w:csb1="00000000"/>
    <w:embedRegular r:id="rId8" w:fontKey="{EE0A7C83-D404-47D4-889F-FCCA078A6DE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2336"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2336;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20"/>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0"/>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0"/>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0"/>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tabs>
        <w:tab w:val="center" w:pos="4153"/>
        <w:tab w:val="right" w:pos="8306"/>
        <w:tab w:val="clear" w:pos="0"/>
      </w:tabs>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21"/>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54"/>
      <w:suff w:val="nothing"/>
      <w:lvlText w:val="第%1章 "/>
      <w:lvlJc w:val="left"/>
      <w:pPr>
        <w:tabs>
          <w:tab w:val="left" w:pos="937"/>
        </w:tabs>
        <w:ind w:left="937" w:firstLine="0"/>
      </w:pPr>
      <w:rPr>
        <w:rFonts w:hint="eastAsia" w:ascii="宋体" w:hAnsi="宋体" w:eastAsia="宋体" w:cs="宋体"/>
      </w:rPr>
    </w:lvl>
    <w:lvl w:ilvl="1" w:tentative="0">
      <w:start w:val="1"/>
      <w:numFmt w:val="chineseCounting"/>
      <w:pStyle w:val="40"/>
      <w:suff w:val="nothing"/>
      <w:lvlText w:val="%2、"/>
      <w:lvlJc w:val="left"/>
      <w:pPr>
        <w:ind w:left="1417" w:firstLine="0"/>
      </w:pPr>
      <w:rPr>
        <w:rFonts w:hint="eastAsia" w:ascii="宋体" w:hAnsi="宋体" w:eastAsia="宋体" w:cs="宋体"/>
      </w:rPr>
    </w:lvl>
    <w:lvl w:ilvl="2" w:tentative="0">
      <w:start w:val="1"/>
      <w:numFmt w:val="chineseCounting"/>
      <w:pStyle w:val="55"/>
      <w:suff w:val="nothing"/>
      <w:lvlText w:val="(%3)"/>
      <w:lvlJc w:val="left"/>
      <w:pPr>
        <w:tabs>
          <w:tab w:val="left" w:pos="937"/>
        </w:tabs>
        <w:ind w:left="937" w:firstLine="0"/>
      </w:pPr>
      <w:rPr>
        <w:rFonts w:hint="eastAsia" w:ascii="宋体" w:hAnsi="宋体" w:eastAsia="宋体" w:cs="宋体"/>
      </w:rPr>
    </w:lvl>
    <w:lvl w:ilvl="3" w:tentative="0">
      <w:start w:val="1"/>
      <w:numFmt w:val="decimal"/>
      <w:pStyle w:val="69"/>
      <w:suff w:val="nothing"/>
      <w:lvlText w:val="%4."/>
      <w:lvlJc w:val="left"/>
      <w:pPr>
        <w:tabs>
          <w:tab w:val="left" w:pos="937"/>
        </w:tabs>
        <w:ind w:left="937" w:firstLine="0"/>
      </w:pPr>
      <w:rPr>
        <w:rFonts w:hint="eastAsia" w:ascii="宋体" w:hAnsi="宋体" w:eastAsia="宋体" w:cs="宋体"/>
      </w:rPr>
    </w:lvl>
    <w:lvl w:ilvl="4" w:tentative="0">
      <w:start w:val="1"/>
      <w:numFmt w:val="decimal"/>
      <w:pStyle w:val="70"/>
      <w:suff w:val="nothing"/>
      <w:lvlText w:val="%4.%5"/>
      <w:lvlJc w:val="left"/>
      <w:pPr>
        <w:ind w:left="937" w:firstLine="0"/>
      </w:pPr>
      <w:rPr>
        <w:rFonts w:hint="eastAsia" w:ascii="宋体" w:hAnsi="宋体" w:eastAsia="宋体" w:cs="宋体"/>
      </w:rPr>
    </w:lvl>
    <w:lvl w:ilvl="5" w:tentative="0">
      <w:start w:val="1"/>
      <w:numFmt w:val="decimal"/>
      <w:pStyle w:val="71"/>
      <w:suff w:val="nothing"/>
      <w:lvlText w:val="(%6)"/>
      <w:lvlJc w:val="left"/>
      <w:pPr>
        <w:ind w:left="937" w:firstLine="0"/>
      </w:pPr>
      <w:rPr>
        <w:rFonts w:hint="eastAsia" w:ascii="宋体" w:hAnsi="宋体" w:eastAsia="宋体" w:cs="宋体"/>
      </w:rPr>
    </w:lvl>
    <w:lvl w:ilvl="6" w:tentative="0">
      <w:start w:val="1"/>
      <w:numFmt w:val="lowerLetter"/>
      <w:suff w:val="nothing"/>
      <w:lvlText w:val="%7．"/>
      <w:lvlJc w:val="left"/>
      <w:pPr>
        <w:ind w:left="937" w:firstLine="402"/>
      </w:pPr>
      <w:rPr>
        <w:rFonts w:hint="eastAsia"/>
      </w:rPr>
    </w:lvl>
    <w:lvl w:ilvl="7" w:tentative="0">
      <w:start w:val="1"/>
      <w:numFmt w:val="lowerLetter"/>
      <w:suff w:val="nothing"/>
      <w:lvlText w:val="%8）"/>
      <w:lvlJc w:val="left"/>
      <w:pPr>
        <w:ind w:left="937" w:firstLine="402"/>
      </w:pPr>
      <w:rPr>
        <w:rFonts w:hint="eastAsia"/>
      </w:rPr>
    </w:lvl>
    <w:lvl w:ilvl="8" w:tentative="0">
      <w:start w:val="1"/>
      <w:numFmt w:val="lowerRoman"/>
      <w:suff w:val="nothing"/>
      <w:lvlText w:val="%9. "/>
      <w:lvlJc w:val="left"/>
      <w:pPr>
        <w:ind w:left="937" w:firstLine="402"/>
      </w:pPr>
      <w:rPr>
        <w:rFonts w:hint="eastAsia"/>
      </w:rPr>
    </w:lvl>
  </w:abstractNum>
  <w:abstractNum w:abstractNumId="1">
    <w:nsid w:val="B194A321"/>
    <w:multiLevelType w:val="singleLevel"/>
    <w:tmpl w:val="B194A321"/>
    <w:lvl w:ilvl="0" w:tentative="0">
      <w:start w:val="1"/>
      <w:numFmt w:val="decimal"/>
      <w:suff w:val="nothing"/>
      <w:lvlText w:val="%1、"/>
      <w:lvlJc w:val="left"/>
    </w:lvl>
  </w:abstractNum>
  <w:abstractNum w:abstractNumId="2">
    <w:nsid w:val="C7F53590"/>
    <w:multiLevelType w:val="multilevel"/>
    <w:tmpl w:val="C7F53590"/>
    <w:lvl w:ilvl="0" w:tentative="0">
      <w:start w:val="1"/>
      <w:numFmt w:val="decimal"/>
      <w:pStyle w:val="44"/>
      <w:suff w:val="nothing"/>
      <w:lvlText w:val="%1."/>
      <w:lvlJc w:val="left"/>
      <w:pPr>
        <w:tabs>
          <w:tab w:val="left" w:pos="420"/>
        </w:tabs>
        <w:ind w:left="0" w:firstLine="0"/>
      </w:pPr>
      <w:rPr>
        <w:rFonts w:hint="default" w:ascii="宋体" w:hAnsi="宋体" w:eastAsia="宋体" w:cs="宋体"/>
      </w:rPr>
    </w:lvl>
    <w:lvl w:ilvl="1" w:tentative="0">
      <w:start w:val="1"/>
      <w:numFmt w:val="decimal"/>
      <w:pStyle w:val="45"/>
      <w:suff w:val="nothing"/>
      <w:lvlText w:val="%1.%2"/>
      <w:lvlJc w:val="left"/>
      <w:pPr>
        <w:tabs>
          <w:tab w:val="left" w:pos="420"/>
        </w:tabs>
        <w:ind w:left="0" w:firstLine="0"/>
      </w:pPr>
      <w:rPr>
        <w:rFonts w:hint="default" w:ascii="宋体" w:hAnsi="宋体" w:eastAsia="宋体" w:cs="宋体"/>
      </w:rPr>
    </w:lvl>
    <w:lvl w:ilvl="2" w:tentative="0">
      <w:start w:val="1"/>
      <w:numFmt w:val="decimal"/>
      <w:pStyle w:val="46"/>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CA240A61"/>
    <w:multiLevelType w:val="singleLevel"/>
    <w:tmpl w:val="CA240A61"/>
    <w:lvl w:ilvl="0" w:tentative="0">
      <w:start w:val="1"/>
      <w:numFmt w:val="chineseCounting"/>
      <w:pStyle w:val="79"/>
      <w:suff w:val="nothing"/>
      <w:lvlText w:val="(%1)"/>
      <w:lvlJc w:val="left"/>
      <w:pPr>
        <w:ind w:left="0" w:firstLine="0"/>
      </w:pPr>
      <w:rPr>
        <w:rFonts w:hint="eastAsia"/>
      </w:rPr>
    </w:lvl>
  </w:abstractNum>
  <w:abstractNum w:abstractNumId="4">
    <w:nsid w:val="D2F3B81A"/>
    <w:multiLevelType w:val="singleLevel"/>
    <w:tmpl w:val="D2F3B81A"/>
    <w:lvl w:ilvl="0" w:tentative="0">
      <w:start w:val="1"/>
      <w:numFmt w:val="chineseCounting"/>
      <w:pStyle w:val="49"/>
      <w:suff w:val="nothing"/>
      <w:lvlText w:val="%1、"/>
      <w:lvlJc w:val="left"/>
      <w:pPr>
        <w:ind w:left="0" w:firstLine="0"/>
      </w:pPr>
      <w:rPr>
        <w:rFonts w:hint="eastAsia"/>
      </w:rPr>
    </w:lvl>
  </w:abstractNum>
  <w:abstractNum w:abstractNumId="5">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6">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8"/>
      <w:suff w:val="nothing"/>
      <w:lvlText w:val="(%2)"/>
      <w:lvlJc w:val="left"/>
      <w:pPr>
        <w:ind w:left="0" w:firstLine="0"/>
      </w:pPr>
      <w:rPr>
        <w:rFonts w:hint="eastAsia" w:ascii="宋体" w:hAnsi="宋体" w:eastAsia="宋体" w:cs="宋体"/>
      </w:rPr>
    </w:lvl>
    <w:lvl w:ilvl="2" w:tentative="0">
      <w:start w:val="1"/>
      <w:numFmt w:val="decimal"/>
      <w:pStyle w:val="41"/>
      <w:suff w:val="nothing"/>
      <w:lvlText w:val="%3."/>
      <w:lvlJc w:val="left"/>
      <w:pPr>
        <w:ind w:left="0" w:firstLine="0"/>
      </w:pPr>
      <w:rPr>
        <w:rFonts w:hint="eastAsia" w:ascii="宋体" w:hAnsi="宋体" w:eastAsia="宋体" w:cs="宋体"/>
      </w:rPr>
    </w:lvl>
    <w:lvl w:ilvl="3" w:tentative="0">
      <w:start w:val="1"/>
      <w:numFmt w:val="decimal"/>
      <w:pStyle w:val="42"/>
      <w:suff w:val="nothing"/>
      <w:lvlText w:val="%3.%4"/>
      <w:lvlJc w:val="left"/>
      <w:pPr>
        <w:ind w:left="0" w:firstLine="0"/>
      </w:pPr>
      <w:rPr>
        <w:rFonts w:hint="eastAsia" w:ascii="宋体" w:hAnsi="宋体" w:eastAsia="宋体" w:cs="宋体"/>
      </w:rPr>
    </w:lvl>
    <w:lvl w:ilvl="4" w:tentative="0">
      <w:start w:val="1"/>
      <w:numFmt w:val="decimal"/>
      <w:pStyle w:val="43"/>
      <w:suff w:val="nothing"/>
      <w:lvlText w:val="(%5)"/>
      <w:lvlJc w:val="left"/>
      <w:pPr>
        <w:ind w:left="0" w:firstLine="0"/>
      </w:pPr>
      <w:rPr>
        <w:rFonts w:hint="eastAsia" w:ascii="宋体" w:hAnsi="宋体" w:eastAsia="宋体" w:cs="宋体"/>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7">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8">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9">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0">
    <w:nsid w:val="0D8027F6"/>
    <w:multiLevelType w:val="multilevel"/>
    <w:tmpl w:val="0D8027F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02C1729"/>
    <w:multiLevelType w:val="multilevel"/>
    <w:tmpl w:val="102C172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12A2354"/>
    <w:multiLevelType w:val="multilevel"/>
    <w:tmpl w:val="112A2354"/>
    <w:lvl w:ilvl="0" w:tentative="0">
      <w:start w:val="1"/>
      <w:numFmt w:val="decimal"/>
      <w:lvlText w:val="%1."/>
      <w:lvlJc w:val="left"/>
      <w:pPr>
        <w:ind w:left="66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3943CD8"/>
    <w:multiLevelType w:val="multilevel"/>
    <w:tmpl w:val="13943CD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1B606703"/>
    <w:multiLevelType w:val="multilevel"/>
    <w:tmpl w:val="1B60670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21503163"/>
    <w:multiLevelType w:val="multilevel"/>
    <w:tmpl w:val="2150316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1EC2209"/>
    <w:multiLevelType w:val="multilevel"/>
    <w:tmpl w:val="21EC2209"/>
    <w:lvl w:ilvl="0" w:tentative="0">
      <w:start w:val="1"/>
      <w:numFmt w:val="decimal"/>
      <w:lvlText w:val="%1)"/>
      <w:lvlJc w:val="left"/>
      <w:pPr>
        <w:ind w:left="902" w:hanging="420"/>
      </w:pPr>
      <w:rPr>
        <w:rFonts w:hint="default"/>
        <w:b w:val="0"/>
        <w:i w:val="0"/>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7">
    <w:nsid w:val="34E91A90"/>
    <w:multiLevelType w:val="multilevel"/>
    <w:tmpl w:val="34E91A9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3839101D"/>
    <w:multiLevelType w:val="multilevel"/>
    <w:tmpl w:val="3839101D"/>
    <w:lvl w:ilvl="0" w:tentative="0">
      <w:start w:val="1"/>
      <w:numFmt w:val="decimal"/>
      <w:pStyle w:val="81"/>
      <w:lvlText w:val="（%1）"/>
      <w:lvlJc w:val="left"/>
      <w:pPr>
        <w:ind w:left="1008" w:hanging="420"/>
      </w:pPr>
    </w:lvl>
    <w:lvl w:ilvl="1" w:tentative="0">
      <w:start w:val="1"/>
      <w:numFmt w:val="lowerLetter"/>
      <w:lvlText w:val="%2)"/>
      <w:lvlJc w:val="left"/>
      <w:pPr>
        <w:ind w:left="528" w:hanging="420"/>
      </w:pPr>
    </w:lvl>
    <w:lvl w:ilvl="2" w:tentative="0">
      <w:start w:val="1"/>
      <w:numFmt w:val="lowerRoman"/>
      <w:lvlText w:val="%3."/>
      <w:lvlJc w:val="right"/>
      <w:pPr>
        <w:ind w:left="948" w:hanging="420"/>
      </w:pPr>
    </w:lvl>
    <w:lvl w:ilvl="3" w:tentative="0">
      <w:start w:val="1"/>
      <w:numFmt w:val="decimal"/>
      <w:lvlText w:val="%4."/>
      <w:lvlJc w:val="left"/>
      <w:pPr>
        <w:ind w:left="1368" w:hanging="420"/>
      </w:pPr>
    </w:lvl>
    <w:lvl w:ilvl="4" w:tentative="0">
      <w:start w:val="1"/>
      <w:numFmt w:val="lowerLetter"/>
      <w:lvlText w:val="%5)"/>
      <w:lvlJc w:val="left"/>
      <w:pPr>
        <w:ind w:left="1788" w:hanging="420"/>
      </w:pPr>
    </w:lvl>
    <w:lvl w:ilvl="5" w:tentative="0">
      <w:start w:val="1"/>
      <w:numFmt w:val="lowerRoman"/>
      <w:lvlText w:val="%6."/>
      <w:lvlJc w:val="right"/>
      <w:pPr>
        <w:ind w:left="2208" w:hanging="420"/>
      </w:pPr>
    </w:lvl>
    <w:lvl w:ilvl="6" w:tentative="0">
      <w:start w:val="1"/>
      <w:numFmt w:val="decimal"/>
      <w:lvlText w:val="%7."/>
      <w:lvlJc w:val="left"/>
      <w:pPr>
        <w:ind w:left="2628" w:hanging="420"/>
      </w:pPr>
    </w:lvl>
    <w:lvl w:ilvl="7" w:tentative="0">
      <w:start w:val="1"/>
      <w:numFmt w:val="lowerLetter"/>
      <w:lvlText w:val="%8)"/>
      <w:lvlJc w:val="left"/>
      <w:pPr>
        <w:ind w:left="3048" w:hanging="420"/>
      </w:pPr>
    </w:lvl>
    <w:lvl w:ilvl="8" w:tentative="0">
      <w:start w:val="1"/>
      <w:numFmt w:val="lowerRoman"/>
      <w:lvlText w:val="%9."/>
      <w:lvlJc w:val="right"/>
      <w:pPr>
        <w:ind w:left="3468" w:hanging="420"/>
      </w:pPr>
    </w:lvl>
  </w:abstractNum>
  <w:abstractNum w:abstractNumId="19">
    <w:nsid w:val="395A6A25"/>
    <w:multiLevelType w:val="singleLevel"/>
    <w:tmpl w:val="395A6A25"/>
    <w:lvl w:ilvl="0" w:tentative="0">
      <w:start w:val="1"/>
      <w:numFmt w:val="decimal"/>
      <w:suff w:val="nothing"/>
      <w:lvlText w:val="（%1）"/>
      <w:lvlJc w:val="left"/>
      <w:pPr>
        <w:ind w:left="0" w:firstLine="0"/>
      </w:pPr>
    </w:lvl>
  </w:abstractNum>
  <w:abstractNum w:abstractNumId="2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3"/>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1">
    <w:nsid w:val="40624354"/>
    <w:multiLevelType w:val="multilevel"/>
    <w:tmpl w:val="4062435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5631DB9"/>
    <w:multiLevelType w:val="multilevel"/>
    <w:tmpl w:val="45631DB9"/>
    <w:lvl w:ilvl="0" w:tentative="0">
      <w:start w:val="1"/>
      <w:numFmt w:val="decimal"/>
      <w:lvlText w:val="%1)"/>
      <w:lvlJc w:val="left"/>
      <w:pPr>
        <w:ind w:left="902" w:hanging="420"/>
      </w:pPr>
      <w:rPr>
        <w:rFonts w:hint="default"/>
        <w:b w:val="0"/>
        <w:i w:val="0"/>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3">
    <w:nsid w:val="4D335983"/>
    <w:multiLevelType w:val="multilevel"/>
    <w:tmpl w:val="4D33598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D615632"/>
    <w:multiLevelType w:val="multilevel"/>
    <w:tmpl w:val="4D61563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E7228DF"/>
    <w:multiLevelType w:val="multilevel"/>
    <w:tmpl w:val="4E7228DF"/>
    <w:lvl w:ilvl="0" w:tentative="0">
      <w:start w:val="1"/>
      <w:numFmt w:val="decimal"/>
      <w:lvlText w:val="%1)"/>
      <w:lvlJc w:val="left"/>
      <w:pPr>
        <w:ind w:left="691" w:hanging="420"/>
      </w:pPr>
    </w:lvl>
    <w:lvl w:ilvl="1" w:tentative="0">
      <w:start w:val="1"/>
      <w:numFmt w:val="lowerLetter"/>
      <w:lvlText w:val="%2)"/>
      <w:lvlJc w:val="left"/>
      <w:pPr>
        <w:ind w:left="1111" w:hanging="420"/>
      </w:pPr>
    </w:lvl>
    <w:lvl w:ilvl="2" w:tentative="0">
      <w:start w:val="1"/>
      <w:numFmt w:val="lowerRoman"/>
      <w:lvlText w:val="%3."/>
      <w:lvlJc w:val="right"/>
      <w:pPr>
        <w:ind w:left="1531" w:hanging="420"/>
      </w:pPr>
    </w:lvl>
    <w:lvl w:ilvl="3" w:tentative="0">
      <w:start w:val="1"/>
      <w:numFmt w:val="decimal"/>
      <w:lvlText w:val="%4."/>
      <w:lvlJc w:val="left"/>
      <w:pPr>
        <w:ind w:left="1951" w:hanging="420"/>
      </w:pPr>
    </w:lvl>
    <w:lvl w:ilvl="4" w:tentative="0">
      <w:start w:val="1"/>
      <w:numFmt w:val="lowerLetter"/>
      <w:lvlText w:val="%5)"/>
      <w:lvlJc w:val="left"/>
      <w:pPr>
        <w:ind w:left="2371" w:hanging="420"/>
      </w:pPr>
    </w:lvl>
    <w:lvl w:ilvl="5" w:tentative="0">
      <w:start w:val="1"/>
      <w:numFmt w:val="lowerRoman"/>
      <w:lvlText w:val="%6."/>
      <w:lvlJc w:val="right"/>
      <w:pPr>
        <w:ind w:left="2791" w:hanging="420"/>
      </w:pPr>
    </w:lvl>
    <w:lvl w:ilvl="6" w:tentative="0">
      <w:start w:val="1"/>
      <w:numFmt w:val="decimal"/>
      <w:lvlText w:val="%7."/>
      <w:lvlJc w:val="left"/>
      <w:pPr>
        <w:ind w:left="3211" w:hanging="420"/>
      </w:pPr>
    </w:lvl>
    <w:lvl w:ilvl="7" w:tentative="0">
      <w:start w:val="1"/>
      <w:numFmt w:val="lowerLetter"/>
      <w:lvlText w:val="%8)"/>
      <w:lvlJc w:val="left"/>
      <w:pPr>
        <w:ind w:left="3631" w:hanging="420"/>
      </w:pPr>
    </w:lvl>
    <w:lvl w:ilvl="8" w:tentative="0">
      <w:start w:val="1"/>
      <w:numFmt w:val="lowerRoman"/>
      <w:lvlText w:val="%9."/>
      <w:lvlJc w:val="right"/>
      <w:pPr>
        <w:ind w:left="4051" w:hanging="420"/>
      </w:pPr>
    </w:lvl>
  </w:abstractNum>
  <w:abstractNum w:abstractNumId="26">
    <w:nsid w:val="4F6F2A64"/>
    <w:multiLevelType w:val="multilevel"/>
    <w:tmpl w:val="4F6F2A6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5CAF7A35"/>
    <w:multiLevelType w:val="multilevel"/>
    <w:tmpl w:val="5CAF7A3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5CBF52EA"/>
    <w:multiLevelType w:val="multilevel"/>
    <w:tmpl w:val="5CBF52E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30">
    <w:nsid w:val="5F534B8F"/>
    <w:multiLevelType w:val="multilevel"/>
    <w:tmpl w:val="5F534B8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616D712C"/>
    <w:multiLevelType w:val="multilevel"/>
    <w:tmpl w:val="616D712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309166E"/>
    <w:multiLevelType w:val="multilevel"/>
    <w:tmpl w:val="6309166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D6B7DE1"/>
    <w:multiLevelType w:val="multilevel"/>
    <w:tmpl w:val="6D6B7DE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DEC4179"/>
    <w:multiLevelType w:val="multilevel"/>
    <w:tmpl w:val="6DEC417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737B6AFA"/>
    <w:multiLevelType w:val="singleLevel"/>
    <w:tmpl w:val="737B6AFA"/>
    <w:lvl w:ilvl="0" w:tentative="0">
      <w:start w:val="1"/>
      <w:numFmt w:val="chineseCounting"/>
      <w:suff w:val="nothing"/>
      <w:lvlText w:val="（%1）"/>
      <w:lvlJc w:val="left"/>
      <w:pPr>
        <w:ind w:left="0" w:firstLine="420"/>
      </w:pPr>
      <w:rPr>
        <w:rFonts w:hint="eastAsia"/>
      </w:rPr>
    </w:lvl>
  </w:abstractNum>
  <w:abstractNum w:abstractNumId="36">
    <w:nsid w:val="763B074A"/>
    <w:multiLevelType w:val="multilevel"/>
    <w:tmpl w:val="763B074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763E09BA"/>
    <w:multiLevelType w:val="multilevel"/>
    <w:tmpl w:val="763E09B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20"/>
  </w:num>
  <w:num w:numId="3">
    <w:abstractNumId w:val="0"/>
  </w:num>
  <w:num w:numId="4">
    <w:abstractNumId w:val="2"/>
  </w:num>
  <w:num w:numId="5">
    <w:abstractNumId w:val="4"/>
  </w:num>
  <w:num w:numId="6">
    <w:abstractNumId w:val="3"/>
  </w:num>
  <w:num w:numId="7">
    <w:abstractNumId w:val="18"/>
  </w:num>
  <w:num w:numId="8">
    <w:abstractNumId w:val="9"/>
  </w:num>
  <w:num w:numId="9">
    <w:abstractNumId w:val="5"/>
  </w:num>
  <w:num w:numId="10">
    <w:abstractNumId w:val="3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7"/>
  </w:num>
  <w:num w:numId="39">
    <w:abstractNumId w:val="18"/>
    <w:lvlOverride w:ilvl="0">
      <w:startOverride w:val="1"/>
    </w:lvlOverride>
  </w:num>
  <w:num w:numId="40">
    <w:abstractNumId w:val="33"/>
  </w:num>
  <w:num w:numId="41">
    <w:abstractNumId w:val="37"/>
  </w:num>
  <w:num w:numId="42">
    <w:abstractNumId w:val="13"/>
  </w:num>
  <w:num w:numId="43">
    <w:abstractNumId w:val="27"/>
  </w:num>
  <w:num w:numId="44">
    <w:abstractNumId w:val="32"/>
  </w:num>
  <w:num w:numId="45">
    <w:abstractNumId w:val="26"/>
  </w:num>
  <w:num w:numId="46">
    <w:abstractNumId w:val="31"/>
  </w:num>
  <w:num w:numId="47">
    <w:abstractNumId w:val="34"/>
  </w:num>
  <w:num w:numId="48">
    <w:abstractNumId w:val="30"/>
  </w:num>
  <w:num w:numId="49">
    <w:abstractNumId w:val="14"/>
  </w:num>
  <w:num w:numId="50">
    <w:abstractNumId w:val="16"/>
  </w:num>
  <w:num w:numId="51">
    <w:abstractNumId w:val="22"/>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num>
  <w:num w:numId="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hideSpellingErrors/>
  <w:revisionView w:markup="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811"/>
    <w:rsid w:val="0000400A"/>
    <w:rsid w:val="000062C3"/>
    <w:rsid w:val="00006D24"/>
    <w:rsid w:val="00012ED2"/>
    <w:rsid w:val="000168D4"/>
    <w:rsid w:val="00022543"/>
    <w:rsid w:val="00024078"/>
    <w:rsid w:val="00035B48"/>
    <w:rsid w:val="00037BD4"/>
    <w:rsid w:val="0004139D"/>
    <w:rsid w:val="00044F05"/>
    <w:rsid w:val="00047B35"/>
    <w:rsid w:val="000504D4"/>
    <w:rsid w:val="00050929"/>
    <w:rsid w:val="00056FA7"/>
    <w:rsid w:val="00071F90"/>
    <w:rsid w:val="00072379"/>
    <w:rsid w:val="00080967"/>
    <w:rsid w:val="00083410"/>
    <w:rsid w:val="00083A85"/>
    <w:rsid w:val="000856C8"/>
    <w:rsid w:val="000869AF"/>
    <w:rsid w:val="00091DEF"/>
    <w:rsid w:val="000A22EE"/>
    <w:rsid w:val="000A6D66"/>
    <w:rsid w:val="000B24DC"/>
    <w:rsid w:val="000C1EE9"/>
    <w:rsid w:val="000C229C"/>
    <w:rsid w:val="000D605E"/>
    <w:rsid w:val="000D7DD0"/>
    <w:rsid w:val="000E6E7C"/>
    <w:rsid w:val="000F0F29"/>
    <w:rsid w:val="0010191C"/>
    <w:rsid w:val="001025A9"/>
    <w:rsid w:val="0010309E"/>
    <w:rsid w:val="0010414B"/>
    <w:rsid w:val="00107E22"/>
    <w:rsid w:val="00120324"/>
    <w:rsid w:val="0012071D"/>
    <w:rsid w:val="00121B65"/>
    <w:rsid w:val="00125D54"/>
    <w:rsid w:val="00127F82"/>
    <w:rsid w:val="001339D1"/>
    <w:rsid w:val="00142EBB"/>
    <w:rsid w:val="0014335E"/>
    <w:rsid w:val="00144159"/>
    <w:rsid w:val="00145A8B"/>
    <w:rsid w:val="00152049"/>
    <w:rsid w:val="00156EDE"/>
    <w:rsid w:val="001602AA"/>
    <w:rsid w:val="00160E10"/>
    <w:rsid w:val="00164FFF"/>
    <w:rsid w:val="00172A27"/>
    <w:rsid w:val="001747EE"/>
    <w:rsid w:val="00175998"/>
    <w:rsid w:val="00177915"/>
    <w:rsid w:val="00180AAC"/>
    <w:rsid w:val="00190708"/>
    <w:rsid w:val="001948CD"/>
    <w:rsid w:val="001A0999"/>
    <w:rsid w:val="001A1D69"/>
    <w:rsid w:val="001B6050"/>
    <w:rsid w:val="001B7BB6"/>
    <w:rsid w:val="001C1785"/>
    <w:rsid w:val="001C2309"/>
    <w:rsid w:val="001C3F0C"/>
    <w:rsid w:val="001C42C5"/>
    <w:rsid w:val="001C6FF4"/>
    <w:rsid w:val="001D0F33"/>
    <w:rsid w:val="001D52EF"/>
    <w:rsid w:val="001D6BA7"/>
    <w:rsid w:val="001E15CD"/>
    <w:rsid w:val="001E2AED"/>
    <w:rsid w:val="001E6880"/>
    <w:rsid w:val="001E6888"/>
    <w:rsid w:val="001F0849"/>
    <w:rsid w:val="001F1FC2"/>
    <w:rsid w:val="001F7034"/>
    <w:rsid w:val="0021438C"/>
    <w:rsid w:val="00214888"/>
    <w:rsid w:val="002168C7"/>
    <w:rsid w:val="00220354"/>
    <w:rsid w:val="002214E7"/>
    <w:rsid w:val="00222314"/>
    <w:rsid w:val="00225683"/>
    <w:rsid w:val="002278C8"/>
    <w:rsid w:val="00227943"/>
    <w:rsid w:val="002322AF"/>
    <w:rsid w:val="00234073"/>
    <w:rsid w:val="0024118A"/>
    <w:rsid w:val="002435A0"/>
    <w:rsid w:val="00243FF7"/>
    <w:rsid w:val="00247B38"/>
    <w:rsid w:val="00252157"/>
    <w:rsid w:val="00255073"/>
    <w:rsid w:val="0025536B"/>
    <w:rsid w:val="002565E2"/>
    <w:rsid w:val="00267611"/>
    <w:rsid w:val="00275C84"/>
    <w:rsid w:val="00282CD9"/>
    <w:rsid w:val="00285129"/>
    <w:rsid w:val="00285259"/>
    <w:rsid w:val="00290AF1"/>
    <w:rsid w:val="00294441"/>
    <w:rsid w:val="002A089C"/>
    <w:rsid w:val="002A1924"/>
    <w:rsid w:val="002A4654"/>
    <w:rsid w:val="002B5527"/>
    <w:rsid w:val="002B5D9A"/>
    <w:rsid w:val="002B5EF1"/>
    <w:rsid w:val="002B6AE7"/>
    <w:rsid w:val="002B79CA"/>
    <w:rsid w:val="002C1340"/>
    <w:rsid w:val="002C3D6E"/>
    <w:rsid w:val="002C53EF"/>
    <w:rsid w:val="002C65EA"/>
    <w:rsid w:val="002C7C91"/>
    <w:rsid w:val="002D421D"/>
    <w:rsid w:val="002D7CCF"/>
    <w:rsid w:val="002E06BF"/>
    <w:rsid w:val="002E1A1C"/>
    <w:rsid w:val="002E25F6"/>
    <w:rsid w:val="002E5F48"/>
    <w:rsid w:val="002F05A6"/>
    <w:rsid w:val="002F3BB7"/>
    <w:rsid w:val="00315B60"/>
    <w:rsid w:val="003274CB"/>
    <w:rsid w:val="00335456"/>
    <w:rsid w:val="00335B2E"/>
    <w:rsid w:val="00342FE8"/>
    <w:rsid w:val="00343C64"/>
    <w:rsid w:val="00346B27"/>
    <w:rsid w:val="00347724"/>
    <w:rsid w:val="00353E82"/>
    <w:rsid w:val="003546CE"/>
    <w:rsid w:val="00356255"/>
    <w:rsid w:val="00360133"/>
    <w:rsid w:val="003669E9"/>
    <w:rsid w:val="003750BD"/>
    <w:rsid w:val="00382367"/>
    <w:rsid w:val="00382AB1"/>
    <w:rsid w:val="00393627"/>
    <w:rsid w:val="00396369"/>
    <w:rsid w:val="003A0FDD"/>
    <w:rsid w:val="003A240E"/>
    <w:rsid w:val="003A5A36"/>
    <w:rsid w:val="003B2228"/>
    <w:rsid w:val="003B507C"/>
    <w:rsid w:val="003B620D"/>
    <w:rsid w:val="003C13E4"/>
    <w:rsid w:val="003C2AC7"/>
    <w:rsid w:val="003C7993"/>
    <w:rsid w:val="003D0B30"/>
    <w:rsid w:val="003D21F1"/>
    <w:rsid w:val="003E1DCC"/>
    <w:rsid w:val="003E40A1"/>
    <w:rsid w:val="003E4AA3"/>
    <w:rsid w:val="003E4E02"/>
    <w:rsid w:val="003F4651"/>
    <w:rsid w:val="0040032D"/>
    <w:rsid w:val="00400AD8"/>
    <w:rsid w:val="00410967"/>
    <w:rsid w:val="00411E40"/>
    <w:rsid w:val="00415E21"/>
    <w:rsid w:val="00417457"/>
    <w:rsid w:val="00422018"/>
    <w:rsid w:val="0043062D"/>
    <w:rsid w:val="004308D8"/>
    <w:rsid w:val="0043427D"/>
    <w:rsid w:val="00436087"/>
    <w:rsid w:val="00444AC1"/>
    <w:rsid w:val="00445ADF"/>
    <w:rsid w:val="00456633"/>
    <w:rsid w:val="00457C93"/>
    <w:rsid w:val="0046727E"/>
    <w:rsid w:val="004702BA"/>
    <w:rsid w:val="004709D8"/>
    <w:rsid w:val="00470A3A"/>
    <w:rsid w:val="00482071"/>
    <w:rsid w:val="00483674"/>
    <w:rsid w:val="004861AE"/>
    <w:rsid w:val="00486D20"/>
    <w:rsid w:val="004914BC"/>
    <w:rsid w:val="00495036"/>
    <w:rsid w:val="004A1264"/>
    <w:rsid w:val="004A6781"/>
    <w:rsid w:val="004A7D40"/>
    <w:rsid w:val="004B4092"/>
    <w:rsid w:val="004C0256"/>
    <w:rsid w:val="004C1560"/>
    <w:rsid w:val="004C1A58"/>
    <w:rsid w:val="004C40AA"/>
    <w:rsid w:val="004C6F6E"/>
    <w:rsid w:val="004C723E"/>
    <w:rsid w:val="004D37D9"/>
    <w:rsid w:val="004E0FDD"/>
    <w:rsid w:val="004E3510"/>
    <w:rsid w:val="004E3A5F"/>
    <w:rsid w:val="004E4590"/>
    <w:rsid w:val="004F0B09"/>
    <w:rsid w:val="004F2F95"/>
    <w:rsid w:val="004F4409"/>
    <w:rsid w:val="004F6228"/>
    <w:rsid w:val="00503CBE"/>
    <w:rsid w:val="00506600"/>
    <w:rsid w:val="00507A22"/>
    <w:rsid w:val="00514550"/>
    <w:rsid w:val="00514CEB"/>
    <w:rsid w:val="00526D76"/>
    <w:rsid w:val="00527F3E"/>
    <w:rsid w:val="00535703"/>
    <w:rsid w:val="00536360"/>
    <w:rsid w:val="005378A1"/>
    <w:rsid w:val="00545FB7"/>
    <w:rsid w:val="00551430"/>
    <w:rsid w:val="00554499"/>
    <w:rsid w:val="00557A19"/>
    <w:rsid w:val="00570E40"/>
    <w:rsid w:val="00573162"/>
    <w:rsid w:val="00576AB6"/>
    <w:rsid w:val="00590DF2"/>
    <w:rsid w:val="005A09E5"/>
    <w:rsid w:val="005A6FF8"/>
    <w:rsid w:val="005B2E12"/>
    <w:rsid w:val="005C3A99"/>
    <w:rsid w:val="005C5D4B"/>
    <w:rsid w:val="005E29E1"/>
    <w:rsid w:val="005F381E"/>
    <w:rsid w:val="005F3F05"/>
    <w:rsid w:val="005F5017"/>
    <w:rsid w:val="0060449E"/>
    <w:rsid w:val="00604A27"/>
    <w:rsid w:val="006058A4"/>
    <w:rsid w:val="006109FE"/>
    <w:rsid w:val="00613B37"/>
    <w:rsid w:val="00614BF4"/>
    <w:rsid w:val="00616B6E"/>
    <w:rsid w:val="0062542E"/>
    <w:rsid w:val="006269AF"/>
    <w:rsid w:val="00630C76"/>
    <w:rsid w:val="00633858"/>
    <w:rsid w:val="00640EA9"/>
    <w:rsid w:val="00644BF1"/>
    <w:rsid w:val="00650206"/>
    <w:rsid w:val="00651388"/>
    <w:rsid w:val="00657053"/>
    <w:rsid w:val="006628E9"/>
    <w:rsid w:val="00666D38"/>
    <w:rsid w:val="00667B30"/>
    <w:rsid w:val="006703A8"/>
    <w:rsid w:val="00670841"/>
    <w:rsid w:val="006708EE"/>
    <w:rsid w:val="00676E43"/>
    <w:rsid w:val="006906EC"/>
    <w:rsid w:val="0069300F"/>
    <w:rsid w:val="006934B4"/>
    <w:rsid w:val="00694C4F"/>
    <w:rsid w:val="006A4A1C"/>
    <w:rsid w:val="006A532B"/>
    <w:rsid w:val="006A56CE"/>
    <w:rsid w:val="006A5A73"/>
    <w:rsid w:val="006B1D4C"/>
    <w:rsid w:val="006C21DD"/>
    <w:rsid w:val="006D6F48"/>
    <w:rsid w:val="006F14EC"/>
    <w:rsid w:val="006F2FA6"/>
    <w:rsid w:val="006F6EF3"/>
    <w:rsid w:val="007115D3"/>
    <w:rsid w:val="0071227C"/>
    <w:rsid w:val="00722E70"/>
    <w:rsid w:val="007359FF"/>
    <w:rsid w:val="00735F80"/>
    <w:rsid w:val="0074524D"/>
    <w:rsid w:val="007455E6"/>
    <w:rsid w:val="00745C4E"/>
    <w:rsid w:val="007501C3"/>
    <w:rsid w:val="00761CF2"/>
    <w:rsid w:val="00784579"/>
    <w:rsid w:val="00793128"/>
    <w:rsid w:val="007950AB"/>
    <w:rsid w:val="00795B4D"/>
    <w:rsid w:val="007A40A7"/>
    <w:rsid w:val="007A6EC1"/>
    <w:rsid w:val="007B1F36"/>
    <w:rsid w:val="007C0DCA"/>
    <w:rsid w:val="007C14DF"/>
    <w:rsid w:val="007D09EC"/>
    <w:rsid w:val="007D74F3"/>
    <w:rsid w:val="007E07E2"/>
    <w:rsid w:val="007F1CE1"/>
    <w:rsid w:val="007F300C"/>
    <w:rsid w:val="007F3D84"/>
    <w:rsid w:val="008003F4"/>
    <w:rsid w:val="008016F9"/>
    <w:rsid w:val="00801AE6"/>
    <w:rsid w:val="008062AE"/>
    <w:rsid w:val="00811328"/>
    <w:rsid w:val="00815C57"/>
    <w:rsid w:val="00815F35"/>
    <w:rsid w:val="0082614F"/>
    <w:rsid w:val="0084758C"/>
    <w:rsid w:val="00850B71"/>
    <w:rsid w:val="008517E1"/>
    <w:rsid w:val="0085639C"/>
    <w:rsid w:val="0087454D"/>
    <w:rsid w:val="00876614"/>
    <w:rsid w:val="008876D8"/>
    <w:rsid w:val="00890D7F"/>
    <w:rsid w:val="0089494F"/>
    <w:rsid w:val="00896D15"/>
    <w:rsid w:val="008A0EB1"/>
    <w:rsid w:val="008A2076"/>
    <w:rsid w:val="008B2362"/>
    <w:rsid w:val="008E44C3"/>
    <w:rsid w:val="008E659E"/>
    <w:rsid w:val="008F1529"/>
    <w:rsid w:val="008F1CB6"/>
    <w:rsid w:val="008F717E"/>
    <w:rsid w:val="008F74EB"/>
    <w:rsid w:val="0090025C"/>
    <w:rsid w:val="00902627"/>
    <w:rsid w:val="00905455"/>
    <w:rsid w:val="00914D07"/>
    <w:rsid w:val="009174C6"/>
    <w:rsid w:val="00925194"/>
    <w:rsid w:val="00927F49"/>
    <w:rsid w:val="00931981"/>
    <w:rsid w:val="00932AFD"/>
    <w:rsid w:val="00942ED3"/>
    <w:rsid w:val="00945986"/>
    <w:rsid w:val="00946F94"/>
    <w:rsid w:val="009529E4"/>
    <w:rsid w:val="00952AB3"/>
    <w:rsid w:val="00962DCB"/>
    <w:rsid w:val="0096305F"/>
    <w:rsid w:val="00981F57"/>
    <w:rsid w:val="00990893"/>
    <w:rsid w:val="009952FC"/>
    <w:rsid w:val="009A59A6"/>
    <w:rsid w:val="009C43E6"/>
    <w:rsid w:val="009C6614"/>
    <w:rsid w:val="009D01D2"/>
    <w:rsid w:val="009D10D6"/>
    <w:rsid w:val="009D4FC0"/>
    <w:rsid w:val="009E1E4F"/>
    <w:rsid w:val="009E2200"/>
    <w:rsid w:val="009E75EA"/>
    <w:rsid w:val="009F3172"/>
    <w:rsid w:val="009F3BC4"/>
    <w:rsid w:val="009F4A8A"/>
    <w:rsid w:val="009F5992"/>
    <w:rsid w:val="00A15477"/>
    <w:rsid w:val="00A16628"/>
    <w:rsid w:val="00A20F7F"/>
    <w:rsid w:val="00A21EEB"/>
    <w:rsid w:val="00A23AFB"/>
    <w:rsid w:val="00A3181A"/>
    <w:rsid w:val="00A3273B"/>
    <w:rsid w:val="00A36BEA"/>
    <w:rsid w:val="00A40C1A"/>
    <w:rsid w:val="00A412A2"/>
    <w:rsid w:val="00A429AD"/>
    <w:rsid w:val="00A466E6"/>
    <w:rsid w:val="00A47F1F"/>
    <w:rsid w:val="00A506B7"/>
    <w:rsid w:val="00A50EAD"/>
    <w:rsid w:val="00A52421"/>
    <w:rsid w:val="00A64634"/>
    <w:rsid w:val="00A7054B"/>
    <w:rsid w:val="00A723D0"/>
    <w:rsid w:val="00A75A1A"/>
    <w:rsid w:val="00A81030"/>
    <w:rsid w:val="00A837A5"/>
    <w:rsid w:val="00A87311"/>
    <w:rsid w:val="00A95C07"/>
    <w:rsid w:val="00AA147B"/>
    <w:rsid w:val="00AA51C1"/>
    <w:rsid w:val="00AB1CC4"/>
    <w:rsid w:val="00AB65CA"/>
    <w:rsid w:val="00AB67D8"/>
    <w:rsid w:val="00AC2F78"/>
    <w:rsid w:val="00AC5E59"/>
    <w:rsid w:val="00AE0D37"/>
    <w:rsid w:val="00AE3DAC"/>
    <w:rsid w:val="00AE67F6"/>
    <w:rsid w:val="00AF188E"/>
    <w:rsid w:val="00AF3998"/>
    <w:rsid w:val="00AF5404"/>
    <w:rsid w:val="00B07B2E"/>
    <w:rsid w:val="00B10BDF"/>
    <w:rsid w:val="00B16FDF"/>
    <w:rsid w:val="00B20A25"/>
    <w:rsid w:val="00B23D41"/>
    <w:rsid w:val="00B26263"/>
    <w:rsid w:val="00B31CC3"/>
    <w:rsid w:val="00B33068"/>
    <w:rsid w:val="00B35705"/>
    <w:rsid w:val="00B40209"/>
    <w:rsid w:val="00B44223"/>
    <w:rsid w:val="00B47973"/>
    <w:rsid w:val="00B5240D"/>
    <w:rsid w:val="00B66392"/>
    <w:rsid w:val="00B6648B"/>
    <w:rsid w:val="00B670B9"/>
    <w:rsid w:val="00B75BA1"/>
    <w:rsid w:val="00B96BCC"/>
    <w:rsid w:val="00B9799A"/>
    <w:rsid w:val="00BA3603"/>
    <w:rsid w:val="00BA69F4"/>
    <w:rsid w:val="00BA6D13"/>
    <w:rsid w:val="00BB299F"/>
    <w:rsid w:val="00BC36FA"/>
    <w:rsid w:val="00BD5882"/>
    <w:rsid w:val="00BD68EA"/>
    <w:rsid w:val="00BE1766"/>
    <w:rsid w:val="00BF4E9E"/>
    <w:rsid w:val="00BF5CAB"/>
    <w:rsid w:val="00BF7E2D"/>
    <w:rsid w:val="00C00F81"/>
    <w:rsid w:val="00C03C0D"/>
    <w:rsid w:val="00C04A6D"/>
    <w:rsid w:val="00C11558"/>
    <w:rsid w:val="00C125CA"/>
    <w:rsid w:val="00C17A63"/>
    <w:rsid w:val="00C2398A"/>
    <w:rsid w:val="00C35487"/>
    <w:rsid w:val="00C3573D"/>
    <w:rsid w:val="00C37C9E"/>
    <w:rsid w:val="00C40383"/>
    <w:rsid w:val="00C43BC1"/>
    <w:rsid w:val="00C57F45"/>
    <w:rsid w:val="00C75BE7"/>
    <w:rsid w:val="00C912FE"/>
    <w:rsid w:val="00CA0AAA"/>
    <w:rsid w:val="00CA28B2"/>
    <w:rsid w:val="00CC2D1D"/>
    <w:rsid w:val="00CC629E"/>
    <w:rsid w:val="00CC62D0"/>
    <w:rsid w:val="00CD2969"/>
    <w:rsid w:val="00CD401B"/>
    <w:rsid w:val="00CD437E"/>
    <w:rsid w:val="00CD43B3"/>
    <w:rsid w:val="00CD58A7"/>
    <w:rsid w:val="00CE226F"/>
    <w:rsid w:val="00CF29DE"/>
    <w:rsid w:val="00CF53F3"/>
    <w:rsid w:val="00D02609"/>
    <w:rsid w:val="00D117D1"/>
    <w:rsid w:val="00D13A8C"/>
    <w:rsid w:val="00D174EB"/>
    <w:rsid w:val="00D23AEC"/>
    <w:rsid w:val="00D26697"/>
    <w:rsid w:val="00D336B6"/>
    <w:rsid w:val="00D373B2"/>
    <w:rsid w:val="00D37D24"/>
    <w:rsid w:val="00D51F4F"/>
    <w:rsid w:val="00D5406A"/>
    <w:rsid w:val="00D61B58"/>
    <w:rsid w:val="00D61C1E"/>
    <w:rsid w:val="00D80201"/>
    <w:rsid w:val="00D827D3"/>
    <w:rsid w:val="00D84AE6"/>
    <w:rsid w:val="00D87B92"/>
    <w:rsid w:val="00D87C93"/>
    <w:rsid w:val="00DA31C4"/>
    <w:rsid w:val="00DA3BE8"/>
    <w:rsid w:val="00DA65C9"/>
    <w:rsid w:val="00DB5C76"/>
    <w:rsid w:val="00DB6142"/>
    <w:rsid w:val="00DC2AFC"/>
    <w:rsid w:val="00DC4298"/>
    <w:rsid w:val="00DC68DD"/>
    <w:rsid w:val="00DC6BAE"/>
    <w:rsid w:val="00DD368E"/>
    <w:rsid w:val="00DD5925"/>
    <w:rsid w:val="00DD654B"/>
    <w:rsid w:val="00DE5C5F"/>
    <w:rsid w:val="00DE7616"/>
    <w:rsid w:val="00DE7BF0"/>
    <w:rsid w:val="00DF10BC"/>
    <w:rsid w:val="00DF16A9"/>
    <w:rsid w:val="00DF469E"/>
    <w:rsid w:val="00DF62E5"/>
    <w:rsid w:val="00E04823"/>
    <w:rsid w:val="00E0490E"/>
    <w:rsid w:val="00E057B6"/>
    <w:rsid w:val="00E073BF"/>
    <w:rsid w:val="00E10083"/>
    <w:rsid w:val="00E100D8"/>
    <w:rsid w:val="00E12764"/>
    <w:rsid w:val="00E166B8"/>
    <w:rsid w:val="00E2173D"/>
    <w:rsid w:val="00E249D6"/>
    <w:rsid w:val="00E264D5"/>
    <w:rsid w:val="00E3206C"/>
    <w:rsid w:val="00E374A6"/>
    <w:rsid w:val="00E471C0"/>
    <w:rsid w:val="00E47FCF"/>
    <w:rsid w:val="00E52593"/>
    <w:rsid w:val="00E53568"/>
    <w:rsid w:val="00E54317"/>
    <w:rsid w:val="00E601F3"/>
    <w:rsid w:val="00E611F4"/>
    <w:rsid w:val="00E6403F"/>
    <w:rsid w:val="00E66B24"/>
    <w:rsid w:val="00E74CE9"/>
    <w:rsid w:val="00E7539A"/>
    <w:rsid w:val="00E833A2"/>
    <w:rsid w:val="00E83C3F"/>
    <w:rsid w:val="00E86078"/>
    <w:rsid w:val="00E87BB1"/>
    <w:rsid w:val="00E9268E"/>
    <w:rsid w:val="00E9343D"/>
    <w:rsid w:val="00E93F48"/>
    <w:rsid w:val="00E94042"/>
    <w:rsid w:val="00E965F8"/>
    <w:rsid w:val="00EB31E1"/>
    <w:rsid w:val="00EC28AF"/>
    <w:rsid w:val="00EC692F"/>
    <w:rsid w:val="00EC7BA1"/>
    <w:rsid w:val="00ED0408"/>
    <w:rsid w:val="00ED477E"/>
    <w:rsid w:val="00EE2E61"/>
    <w:rsid w:val="00EE2E62"/>
    <w:rsid w:val="00EE6719"/>
    <w:rsid w:val="00EF0D48"/>
    <w:rsid w:val="00EF1F7D"/>
    <w:rsid w:val="00EF3F6F"/>
    <w:rsid w:val="00EF4699"/>
    <w:rsid w:val="00EF6EDC"/>
    <w:rsid w:val="00F00F02"/>
    <w:rsid w:val="00F014AE"/>
    <w:rsid w:val="00F025B2"/>
    <w:rsid w:val="00F0340D"/>
    <w:rsid w:val="00F055DF"/>
    <w:rsid w:val="00F107CD"/>
    <w:rsid w:val="00F10845"/>
    <w:rsid w:val="00F13495"/>
    <w:rsid w:val="00F140D0"/>
    <w:rsid w:val="00F21432"/>
    <w:rsid w:val="00F2183F"/>
    <w:rsid w:val="00F22D2F"/>
    <w:rsid w:val="00F23715"/>
    <w:rsid w:val="00F26B0C"/>
    <w:rsid w:val="00F32329"/>
    <w:rsid w:val="00F33016"/>
    <w:rsid w:val="00F4175A"/>
    <w:rsid w:val="00F42013"/>
    <w:rsid w:val="00F4295B"/>
    <w:rsid w:val="00F433E0"/>
    <w:rsid w:val="00F5615C"/>
    <w:rsid w:val="00F61E07"/>
    <w:rsid w:val="00F714C7"/>
    <w:rsid w:val="00F74BC3"/>
    <w:rsid w:val="00F77B7E"/>
    <w:rsid w:val="00F9177B"/>
    <w:rsid w:val="00F9622F"/>
    <w:rsid w:val="00FA7658"/>
    <w:rsid w:val="00FB0F6C"/>
    <w:rsid w:val="00FB647E"/>
    <w:rsid w:val="00FB6A17"/>
    <w:rsid w:val="00FC22F3"/>
    <w:rsid w:val="00FC7042"/>
    <w:rsid w:val="00FD0D4B"/>
    <w:rsid w:val="00FD158B"/>
    <w:rsid w:val="00FE3AAB"/>
    <w:rsid w:val="00FE66E3"/>
    <w:rsid w:val="00FF0A9D"/>
    <w:rsid w:val="00FF6943"/>
    <w:rsid w:val="01010150"/>
    <w:rsid w:val="01051DA8"/>
    <w:rsid w:val="010C0096"/>
    <w:rsid w:val="010F2841"/>
    <w:rsid w:val="01114D0B"/>
    <w:rsid w:val="01174FEA"/>
    <w:rsid w:val="01293F6B"/>
    <w:rsid w:val="012B7796"/>
    <w:rsid w:val="013D1C8A"/>
    <w:rsid w:val="013F0F7C"/>
    <w:rsid w:val="01464694"/>
    <w:rsid w:val="014E4EAF"/>
    <w:rsid w:val="01504160"/>
    <w:rsid w:val="015258FF"/>
    <w:rsid w:val="0156446F"/>
    <w:rsid w:val="01575E71"/>
    <w:rsid w:val="01634FD6"/>
    <w:rsid w:val="016A18CE"/>
    <w:rsid w:val="01714907"/>
    <w:rsid w:val="01746108"/>
    <w:rsid w:val="01782F69"/>
    <w:rsid w:val="018063E9"/>
    <w:rsid w:val="0186780C"/>
    <w:rsid w:val="01876A1F"/>
    <w:rsid w:val="018C6501"/>
    <w:rsid w:val="018F03FE"/>
    <w:rsid w:val="019377A3"/>
    <w:rsid w:val="01A96BB6"/>
    <w:rsid w:val="01AA6553"/>
    <w:rsid w:val="01B763DC"/>
    <w:rsid w:val="01BC53AC"/>
    <w:rsid w:val="01C25093"/>
    <w:rsid w:val="01C43DE1"/>
    <w:rsid w:val="01C91C5F"/>
    <w:rsid w:val="01CF6494"/>
    <w:rsid w:val="01E366FD"/>
    <w:rsid w:val="01F24C1D"/>
    <w:rsid w:val="02025A45"/>
    <w:rsid w:val="020E56CF"/>
    <w:rsid w:val="02132164"/>
    <w:rsid w:val="02151D4A"/>
    <w:rsid w:val="02195753"/>
    <w:rsid w:val="02286712"/>
    <w:rsid w:val="0229654E"/>
    <w:rsid w:val="022D0528"/>
    <w:rsid w:val="022F3C75"/>
    <w:rsid w:val="023372E3"/>
    <w:rsid w:val="02362CC5"/>
    <w:rsid w:val="02396A93"/>
    <w:rsid w:val="0241752C"/>
    <w:rsid w:val="024211F3"/>
    <w:rsid w:val="02423D6F"/>
    <w:rsid w:val="024D5655"/>
    <w:rsid w:val="02504227"/>
    <w:rsid w:val="02676F4A"/>
    <w:rsid w:val="026D704D"/>
    <w:rsid w:val="02705399"/>
    <w:rsid w:val="02735026"/>
    <w:rsid w:val="027655B6"/>
    <w:rsid w:val="02792F82"/>
    <w:rsid w:val="027C68D4"/>
    <w:rsid w:val="02825F13"/>
    <w:rsid w:val="028430AA"/>
    <w:rsid w:val="02882DE1"/>
    <w:rsid w:val="028879D9"/>
    <w:rsid w:val="02932615"/>
    <w:rsid w:val="02944A69"/>
    <w:rsid w:val="02980629"/>
    <w:rsid w:val="029979F0"/>
    <w:rsid w:val="02A14D74"/>
    <w:rsid w:val="02A62D4E"/>
    <w:rsid w:val="02A9227A"/>
    <w:rsid w:val="02AA5D42"/>
    <w:rsid w:val="02AE7975"/>
    <w:rsid w:val="02B1292C"/>
    <w:rsid w:val="02B43DAD"/>
    <w:rsid w:val="02BB62A0"/>
    <w:rsid w:val="02C8779F"/>
    <w:rsid w:val="02D023C8"/>
    <w:rsid w:val="02D22C5C"/>
    <w:rsid w:val="02D40F52"/>
    <w:rsid w:val="02D52B96"/>
    <w:rsid w:val="02D904A0"/>
    <w:rsid w:val="02DA4149"/>
    <w:rsid w:val="02DC1FED"/>
    <w:rsid w:val="02DD3DF1"/>
    <w:rsid w:val="02E02D5C"/>
    <w:rsid w:val="02E213EC"/>
    <w:rsid w:val="02E247AD"/>
    <w:rsid w:val="02E3266E"/>
    <w:rsid w:val="02E53394"/>
    <w:rsid w:val="02F71628"/>
    <w:rsid w:val="02FD7730"/>
    <w:rsid w:val="03010C9C"/>
    <w:rsid w:val="0302424D"/>
    <w:rsid w:val="030514DF"/>
    <w:rsid w:val="030662A1"/>
    <w:rsid w:val="0307291B"/>
    <w:rsid w:val="0311011A"/>
    <w:rsid w:val="0312038B"/>
    <w:rsid w:val="03132B33"/>
    <w:rsid w:val="031C70D4"/>
    <w:rsid w:val="031D735E"/>
    <w:rsid w:val="03200E37"/>
    <w:rsid w:val="0321449C"/>
    <w:rsid w:val="032251BA"/>
    <w:rsid w:val="03262BDB"/>
    <w:rsid w:val="03486A36"/>
    <w:rsid w:val="0350391F"/>
    <w:rsid w:val="03512863"/>
    <w:rsid w:val="03532C0C"/>
    <w:rsid w:val="035B6560"/>
    <w:rsid w:val="03653331"/>
    <w:rsid w:val="036D668F"/>
    <w:rsid w:val="036E54D5"/>
    <w:rsid w:val="036E7CB0"/>
    <w:rsid w:val="03770FAA"/>
    <w:rsid w:val="03803C66"/>
    <w:rsid w:val="03854BC3"/>
    <w:rsid w:val="03876778"/>
    <w:rsid w:val="038C6C95"/>
    <w:rsid w:val="039261BA"/>
    <w:rsid w:val="0399335B"/>
    <w:rsid w:val="03A04EF8"/>
    <w:rsid w:val="03A1062D"/>
    <w:rsid w:val="03A73027"/>
    <w:rsid w:val="03AA4C9A"/>
    <w:rsid w:val="03B25307"/>
    <w:rsid w:val="03B33D9F"/>
    <w:rsid w:val="03B52A18"/>
    <w:rsid w:val="03B75700"/>
    <w:rsid w:val="03C23BAF"/>
    <w:rsid w:val="03C30D13"/>
    <w:rsid w:val="03C40ABE"/>
    <w:rsid w:val="03D3535E"/>
    <w:rsid w:val="03D60077"/>
    <w:rsid w:val="03D9204A"/>
    <w:rsid w:val="03D942A6"/>
    <w:rsid w:val="03E3449B"/>
    <w:rsid w:val="03ED7A5F"/>
    <w:rsid w:val="03F050BD"/>
    <w:rsid w:val="03F22B46"/>
    <w:rsid w:val="03F7077E"/>
    <w:rsid w:val="03FB00F1"/>
    <w:rsid w:val="03FF78BC"/>
    <w:rsid w:val="040143C4"/>
    <w:rsid w:val="04031387"/>
    <w:rsid w:val="04053316"/>
    <w:rsid w:val="041E23EC"/>
    <w:rsid w:val="04200D5F"/>
    <w:rsid w:val="04232E7B"/>
    <w:rsid w:val="04237D4F"/>
    <w:rsid w:val="042C35CA"/>
    <w:rsid w:val="042D2739"/>
    <w:rsid w:val="042E0EC7"/>
    <w:rsid w:val="0431295A"/>
    <w:rsid w:val="04327B3F"/>
    <w:rsid w:val="043C7F61"/>
    <w:rsid w:val="043E290C"/>
    <w:rsid w:val="0445192E"/>
    <w:rsid w:val="044D771D"/>
    <w:rsid w:val="044E1898"/>
    <w:rsid w:val="044F225E"/>
    <w:rsid w:val="0453127A"/>
    <w:rsid w:val="045C025A"/>
    <w:rsid w:val="04652152"/>
    <w:rsid w:val="04663310"/>
    <w:rsid w:val="04671AF4"/>
    <w:rsid w:val="0467789F"/>
    <w:rsid w:val="04683FDD"/>
    <w:rsid w:val="046B648B"/>
    <w:rsid w:val="046D5C58"/>
    <w:rsid w:val="046F52E9"/>
    <w:rsid w:val="047212F9"/>
    <w:rsid w:val="047B1E84"/>
    <w:rsid w:val="04802939"/>
    <w:rsid w:val="04841778"/>
    <w:rsid w:val="04892F7A"/>
    <w:rsid w:val="048C7E6A"/>
    <w:rsid w:val="048D6A9B"/>
    <w:rsid w:val="049C59A1"/>
    <w:rsid w:val="04A06FD8"/>
    <w:rsid w:val="04A111B3"/>
    <w:rsid w:val="04AE25CB"/>
    <w:rsid w:val="04B46743"/>
    <w:rsid w:val="04B830C1"/>
    <w:rsid w:val="04BC54CF"/>
    <w:rsid w:val="04BF5521"/>
    <w:rsid w:val="04C24BD4"/>
    <w:rsid w:val="04C756B4"/>
    <w:rsid w:val="04C81FF0"/>
    <w:rsid w:val="04D85AD7"/>
    <w:rsid w:val="04DE5CC1"/>
    <w:rsid w:val="04E02110"/>
    <w:rsid w:val="04E43DBE"/>
    <w:rsid w:val="04E96E07"/>
    <w:rsid w:val="04F51041"/>
    <w:rsid w:val="04FA5F5C"/>
    <w:rsid w:val="04FB6CA5"/>
    <w:rsid w:val="04FF4175"/>
    <w:rsid w:val="05020867"/>
    <w:rsid w:val="05091CD0"/>
    <w:rsid w:val="050B4560"/>
    <w:rsid w:val="05101325"/>
    <w:rsid w:val="051A6CB9"/>
    <w:rsid w:val="05204AF2"/>
    <w:rsid w:val="052205E4"/>
    <w:rsid w:val="05232BB3"/>
    <w:rsid w:val="05291A4F"/>
    <w:rsid w:val="052A62FE"/>
    <w:rsid w:val="052F4EE3"/>
    <w:rsid w:val="05312D89"/>
    <w:rsid w:val="053C2598"/>
    <w:rsid w:val="054A2BA3"/>
    <w:rsid w:val="05526457"/>
    <w:rsid w:val="0553070B"/>
    <w:rsid w:val="05533444"/>
    <w:rsid w:val="055C36F3"/>
    <w:rsid w:val="056813BA"/>
    <w:rsid w:val="056D77F4"/>
    <w:rsid w:val="05763C17"/>
    <w:rsid w:val="057C1154"/>
    <w:rsid w:val="057E0C1C"/>
    <w:rsid w:val="05845294"/>
    <w:rsid w:val="0586026D"/>
    <w:rsid w:val="0591675E"/>
    <w:rsid w:val="059B1F27"/>
    <w:rsid w:val="059B4EA7"/>
    <w:rsid w:val="059F1BF2"/>
    <w:rsid w:val="05A12D46"/>
    <w:rsid w:val="05A74ED3"/>
    <w:rsid w:val="05AA6ECF"/>
    <w:rsid w:val="05B55267"/>
    <w:rsid w:val="05C14E93"/>
    <w:rsid w:val="05C940D1"/>
    <w:rsid w:val="05D65E1E"/>
    <w:rsid w:val="05D81B56"/>
    <w:rsid w:val="05DE05DD"/>
    <w:rsid w:val="05E05894"/>
    <w:rsid w:val="05E67F5F"/>
    <w:rsid w:val="05EE7A21"/>
    <w:rsid w:val="05F264E1"/>
    <w:rsid w:val="05F74FD6"/>
    <w:rsid w:val="05FE6DD6"/>
    <w:rsid w:val="06015BFD"/>
    <w:rsid w:val="061E1DDC"/>
    <w:rsid w:val="06205349"/>
    <w:rsid w:val="0625134C"/>
    <w:rsid w:val="06274A2C"/>
    <w:rsid w:val="062E1A31"/>
    <w:rsid w:val="06310EE6"/>
    <w:rsid w:val="06341AEA"/>
    <w:rsid w:val="063820BE"/>
    <w:rsid w:val="063D7723"/>
    <w:rsid w:val="063E7DC0"/>
    <w:rsid w:val="0641441E"/>
    <w:rsid w:val="0642536E"/>
    <w:rsid w:val="0644691C"/>
    <w:rsid w:val="06473E71"/>
    <w:rsid w:val="06474D09"/>
    <w:rsid w:val="064C13DA"/>
    <w:rsid w:val="064C697C"/>
    <w:rsid w:val="064E2053"/>
    <w:rsid w:val="064E6F75"/>
    <w:rsid w:val="06607022"/>
    <w:rsid w:val="06621D45"/>
    <w:rsid w:val="06640B64"/>
    <w:rsid w:val="06657762"/>
    <w:rsid w:val="06680303"/>
    <w:rsid w:val="06681512"/>
    <w:rsid w:val="06685646"/>
    <w:rsid w:val="066D09E8"/>
    <w:rsid w:val="066D20E0"/>
    <w:rsid w:val="066E7B89"/>
    <w:rsid w:val="067418DA"/>
    <w:rsid w:val="06756DF3"/>
    <w:rsid w:val="06791870"/>
    <w:rsid w:val="068B4BC1"/>
    <w:rsid w:val="068E4102"/>
    <w:rsid w:val="068E6C75"/>
    <w:rsid w:val="069B7D6F"/>
    <w:rsid w:val="069C325C"/>
    <w:rsid w:val="06A858D8"/>
    <w:rsid w:val="06AB7088"/>
    <w:rsid w:val="06C14990"/>
    <w:rsid w:val="06C255FB"/>
    <w:rsid w:val="06C27DB7"/>
    <w:rsid w:val="06C466BB"/>
    <w:rsid w:val="06CC4655"/>
    <w:rsid w:val="06CF005C"/>
    <w:rsid w:val="06D2689F"/>
    <w:rsid w:val="06DC4238"/>
    <w:rsid w:val="06E16933"/>
    <w:rsid w:val="06E554EF"/>
    <w:rsid w:val="06E66FD9"/>
    <w:rsid w:val="06E91B3A"/>
    <w:rsid w:val="06F23D1E"/>
    <w:rsid w:val="06F76F15"/>
    <w:rsid w:val="06FF392B"/>
    <w:rsid w:val="07057562"/>
    <w:rsid w:val="07065AD5"/>
    <w:rsid w:val="070B1A1F"/>
    <w:rsid w:val="070B5251"/>
    <w:rsid w:val="070F00B4"/>
    <w:rsid w:val="07144A09"/>
    <w:rsid w:val="071E6AF4"/>
    <w:rsid w:val="072209DC"/>
    <w:rsid w:val="07260464"/>
    <w:rsid w:val="07282D9A"/>
    <w:rsid w:val="07286354"/>
    <w:rsid w:val="072A238A"/>
    <w:rsid w:val="072A4A92"/>
    <w:rsid w:val="073561EB"/>
    <w:rsid w:val="073B634E"/>
    <w:rsid w:val="073C2D1E"/>
    <w:rsid w:val="074C58DC"/>
    <w:rsid w:val="075615A8"/>
    <w:rsid w:val="07572B35"/>
    <w:rsid w:val="075F0056"/>
    <w:rsid w:val="07641D0D"/>
    <w:rsid w:val="07662674"/>
    <w:rsid w:val="0767483A"/>
    <w:rsid w:val="07793311"/>
    <w:rsid w:val="07796593"/>
    <w:rsid w:val="07821D74"/>
    <w:rsid w:val="078C436E"/>
    <w:rsid w:val="07907C0B"/>
    <w:rsid w:val="07A31701"/>
    <w:rsid w:val="07A31B05"/>
    <w:rsid w:val="07B81F8A"/>
    <w:rsid w:val="07BA070B"/>
    <w:rsid w:val="07C36603"/>
    <w:rsid w:val="07C40FCD"/>
    <w:rsid w:val="07C621AC"/>
    <w:rsid w:val="07C65804"/>
    <w:rsid w:val="07C95CF5"/>
    <w:rsid w:val="07D7335A"/>
    <w:rsid w:val="07D879E1"/>
    <w:rsid w:val="07DF6DDE"/>
    <w:rsid w:val="07E0507A"/>
    <w:rsid w:val="07E36799"/>
    <w:rsid w:val="07E72C90"/>
    <w:rsid w:val="07E761B7"/>
    <w:rsid w:val="07F81394"/>
    <w:rsid w:val="07FA1248"/>
    <w:rsid w:val="07FB1BFD"/>
    <w:rsid w:val="080E6C62"/>
    <w:rsid w:val="080F372F"/>
    <w:rsid w:val="081A6BAD"/>
    <w:rsid w:val="08273974"/>
    <w:rsid w:val="082A73B9"/>
    <w:rsid w:val="082F56F4"/>
    <w:rsid w:val="08372ED5"/>
    <w:rsid w:val="083D2BE3"/>
    <w:rsid w:val="08400F85"/>
    <w:rsid w:val="084D1037"/>
    <w:rsid w:val="085049F9"/>
    <w:rsid w:val="08512C09"/>
    <w:rsid w:val="085305F4"/>
    <w:rsid w:val="08541F2D"/>
    <w:rsid w:val="085B5A00"/>
    <w:rsid w:val="085C528F"/>
    <w:rsid w:val="085C7042"/>
    <w:rsid w:val="086379DD"/>
    <w:rsid w:val="086A7121"/>
    <w:rsid w:val="08705D89"/>
    <w:rsid w:val="08786D69"/>
    <w:rsid w:val="08795873"/>
    <w:rsid w:val="08872D9E"/>
    <w:rsid w:val="08885FE3"/>
    <w:rsid w:val="088F09A7"/>
    <w:rsid w:val="08903BD8"/>
    <w:rsid w:val="08981963"/>
    <w:rsid w:val="08993C0D"/>
    <w:rsid w:val="08A23037"/>
    <w:rsid w:val="08A4283A"/>
    <w:rsid w:val="08AB4493"/>
    <w:rsid w:val="08B0513C"/>
    <w:rsid w:val="08BE07C4"/>
    <w:rsid w:val="08C0336E"/>
    <w:rsid w:val="08C03DA8"/>
    <w:rsid w:val="08C203AB"/>
    <w:rsid w:val="08CC26EA"/>
    <w:rsid w:val="08CE774E"/>
    <w:rsid w:val="08D539E3"/>
    <w:rsid w:val="08DB73B0"/>
    <w:rsid w:val="08DE1C47"/>
    <w:rsid w:val="08E720D9"/>
    <w:rsid w:val="08E86909"/>
    <w:rsid w:val="08EC63BA"/>
    <w:rsid w:val="08EE6DAF"/>
    <w:rsid w:val="08F06FB5"/>
    <w:rsid w:val="08F93267"/>
    <w:rsid w:val="08FD0364"/>
    <w:rsid w:val="0906467D"/>
    <w:rsid w:val="090C264A"/>
    <w:rsid w:val="09102109"/>
    <w:rsid w:val="09117007"/>
    <w:rsid w:val="091A7584"/>
    <w:rsid w:val="091B56E3"/>
    <w:rsid w:val="091D71CF"/>
    <w:rsid w:val="09200CFB"/>
    <w:rsid w:val="09203EE5"/>
    <w:rsid w:val="092E6359"/>
    <w:rsid w:val="09341893"/>
    <w:rsid w:val="093B5F9E"/>
    <w:rsid w:val="09474FBC"/>
    <w:rsid w:val="094D4667"/>
    <w:rsid w:val="09582B36"/>
    <w:rsid w:val="095B2A67"/>
    <w:rsid w:val="095E48EC"/>
    <w:rsid w:val="09622569"/>
    <w:rsid w:val="09685867"/>
    <w:rsid w:val="096B0AA9"/>
    <w:rsid w:val="096B20A4"/>
    <w:rsid w:val="0974660E"/>
    <w:rsid w:val="097C4791"/>
    <w:rsid w:val="09837C82"/>
    <w:rsid w:val="098E57E7"/>
    <w:rsid w:val="09901A37"/>
    <w:rsid w:val="09994596"/>
    <w:rsid w:val="099B0E28"/>
    <w:rsid w:val="099B2032"/>
    <w:rsid w:val="09A32F7F"/>
    <w:rsid w:val="09AA398B"/>
    <w:rsid w:val="09B024F6"/>
    <w:rsid w:val="09B66372"/>
    <w:rsid w:val="09C47C29"/>
    <w:rsid w:val="09CC3BAD"/>
    <w:rsid w:val="09CC461B"/>
    <w:rsid w:val="09D106DA"/>
    <w:rsid w:val="09D12789"/>
    <w:rsid w:val="09D13310"/>
    <w:rsid w:val="09E05714"/>
    <w:rsid w:val="09E244D3"/>
    <w:rsid w:val="09E44204"/>
    <w:rsid w:val="09EE22B5"/>
    <w:rsid w:val="09F404B0"/>
    <w:rsid w:val="09F410FD"/>
    <w:rsid w:val="09F568C1"/>
    <w:rsid w:val="0A031C30"/>
    <w:rsid w:val="0A0A7ABE"/>
    <w:rsid w:val="0A0E02AF"/>
    <w:rsid w:val="0A0F0F43"/>
    <w:rsid w:val="0A141092"/>
    <w:rsid w:val="0A18215B"/>
    <w:rsid w:val="0A197DF4"/>
    <w:rsid w:val="0A1C206E"/>
    <w:rsid w:val="0A1F3AFB"/>
    <w:rsid w:val="0A247DB4"/>
    <w:rsid w:val="0A2763EA"/>
    <w:rsid w:val="0A293853"/>
    <w:rsid w:val="0A36604F"/>
    <w:rsid w:val="0A3C1F52"/>
    <w:rsid w:val="0A3D4730"/>
    <w:rsid w:val="0A406793"/>
    <w:rsid w:val="0A4F2112"/>
    <w:rsid w:val="0A562EAD"/>
    <w:rsid w:val="0A602FC2"/>
    <w:rsid w:val="0A7055CE"/>
    <w:rsid w:val="0A736E71"/>
    <w:rsid w:val="0A765489"/>
    <w:rsid w:val="0A872373"/>
    <w:rsid w:val="0A88671B"/>
    <w:rsid w:val="0A941E7B"/>
    <w:rsid w:val="0A9D0FA4"/>
    <w:rsid w:val="0ABE57BA"/>
    <w:rsid w:val="0ABF45E0"/>
    <w:rsid w:val="0AC2238D"/>
    <w:rsid w:val="0AC55D93"/>
    <w:rsid w:val="0AC732FC"/>
    <w:rsid w:val="0AD029E3"/>
    <w:rsid w:val="0AD20D78"/>
    <w:rsid w:val="0AD2281F"/>
    <w:rsid w:val="0AD948F1"/>
    <w:rsid w:val="0AD95FEE"/>
    <w:rsid w:val="0AEB1D55"/>
    <w:rsid w:val="0AEC273E"/>
    <w:rsid w:val="0AED1DED"/>
    <w:rsid w:val="0AEF28BE"/>
    <w:rsid w:val="0AFC7C75"/>
    <w:rsid w:val="0AFD2BCB"/>
    <w:rsid w:val="0B030A0E"/>
    <w:rsid w:val="0B031F53"/>
    <w:rsid w:val="0B143DE9"/>
    <w:rsid w:val="0B165FCB"/>
    <w:rsid w:val="0B180ECD"/>
    <w:rsid w:val="0B1A19D3"/>
    <w:rsid w:val="0B1C1A41"/>
    <w:rsid w:val="0B1E1413"/>
    <w:rsid w:val="0B242321"/>
    <w:rsid w:val="0B251F78"/>
    <w:rsid w:val="0B2F2F8B"/>
    <w:rsid w:val="0B3050E1"/>
    <w:rsid w:val="0B320FCB"/>
    <w:rsid w:val="0B373A25"/>
    <w:rsid w:val="0B3839BB"/>
    <w:rsid w:val="0B490628"/>
    <w:rsid w:val="0B4D084E"/>
    <w:rsid w:val="0B5001FD"/>
    <w:rsid w:val="0B52083E"/>
    <w:rsid w:val="0B533EAC"/>
    <w:rsid w:val="0B5B19A4"/>
    <w:rsid w:val="0B5D62E7"/>
    <w:rsid w:val="0B5D6DCC"/>
    <w:rsid w:val="0B5E2715"/>
    <w:rsid w:val="0B5E6C1B"/>
    <w:rsid w:val="0B680A3B"/>
    <w:rsid w:val="0B6D4B7E"/>
    <w:rsid w:val="0B6F3C3D"/>
    <w:rsid w:val="0B713C8B"/>
    <w:rsid w:val="0B781E3E"/>
    <w:rsid w:val="0B787300"/>
    <w:rsid w:val="0B7C78A1"/>
    <w:rsid w:val="0B8A2E8C"/>
    <w:rsid w:val="0B8E4B4E"/>
    <w:rsid w:val="0B90780F"/>
    <w:rsid w:val="0B94665C"/>
    <w:rsid w:val="0B9B3CCE"/>
    <w:rsid w:val="0BA527D4"/>
    <w:rsid w:val="0BA62356"/>
    <w:rsid w:val="0BAE22DF"/>
    <w:rsid w:val="0BB6550D"/>
    <w:rsid w:val="0BB90B51"/>
    <w:rsid w:val="0BCF0D6E"/>
    <w:rsid w:val="0BDB0744"/>
    <w:rsid w:val="0BDB7F83"/>
    <w:rsid w:val="0BDC0078"/>
    <w:rsid w:val="0BDD0790"/>
    <w:rsid w:val="0BDD4638"/>
    <w:rsid w:val="0BF05CF9"/>
    <w:rsid w:val="0BF4355E"/>
    <w:rsid w:val="0BF43656"/>
    <w:rsid w:val="0BF5093F"/>
    <w:rsid w:val="0BF740B1"/>
    <w:rsid w:val="0BF836A7"/>
    <w:rsid w:val="0C095932"/>
    <w:rsid w:val="0C0D7E74"/>
    <w:rsid w:val="0C0E3CFD"/>
    <w:rsid w:val="0C154760"/>
    <w:rsid w:val="0C166DCE"/>
    <w:rsid w:val="0C1715EB"/>
    <w:rsid w:val="0C246A5A"/>
    <w:rsid w:val="0C281D81"/>
    <w:rsid w:val="0C3D3005"/>
    <w:rsid w:val="0C3E69CC"/>
    <w:rsid w:val="0C43752A"/>
    <w:rsid w:val="0C456CC8"/>
    <w:rsid w:val="0C474DBF"/>
    <w:rsid w:val="0C4E0ADC"/>
    <w:rsid w:val="0C522144"/>
    <w:rsid w:val="0C53452C"/>
    <w:rsid w:val="0C57398A"/>
    <w:rsid w:val="0C5815BD"/>
    <w:rsid w:val="0C593A85"/>
    <w:rsid w:val="0C6658D4"/>
    <w:rsid w:val="0C695D30"/>
    <w:rsid w:val="0C6F3B75"/>
    <w:rsid w:val="0C7814A3"/>
    <w:rsid w:val="0C833C3C"/>
    <w:rsid w:val="0C866B45"/>
    <w:rsid w:val="0C8C56BB"/>
    <w:rsid w:val="0C8F3027"/>
    <w:rsid w:val="0C957090"/>
    <w:rsid w:val="0C9B716B"/>
    <w:rsid w:val="0C9F74EE"/>
    <w:rsid w:val="0CA53F3A"/>
    <w:rsid w:val="0CA87886"/>
    <w:rsid w:val="0CA97E68"/>
    <w:rsid w:val="0CAA226E"/>
    <w:rsid w:val="0CAF57CC"/>
    <w:rsid w:val="0CB0086B"/>
    <w:rsid w:val="0CB30BDB"/>
    <w:rsid w:val="0CC03652"/>
    <w:rsid w:val="0CC06DC6"/>
    <w:rsid w:val="0CC12374"/>
    <w:rsid w:val="0CC5099D"/>
    <w:rsid w:val="0CC642F0"/>
    <w:rsid w:val="0CCA622F"/>
    <w:rsid w:val="0CCD604B"/>
    <w:rsid w:val="0CDC30C8"/>
    <w:rsid w:val="0CE94F94"/>
    <w:rsid w:val="0CEC52A1"/>
    <w:rsid w:val="0CED067B"/>
    <w:rsid w:val="0CF103F6"/>
    <w:rsid w:val="0CFC6488"/>
    <w:rsid w:val="0D042097"/>
    <w:rsid w:val="0D0D7437"/>
    <w:rsid w:val="0D1158BC"/>
    <w:rsid w:val="0D1D5BF4"/>
    <w:rsid w:val="0D1E59D9"/>
    <w:rsid w:val="0D1E66E5"/>
    <w:rsid w:val="0D2474FB"/>
    <w:rsid w:val="0D25340C"/>
    <w:rsid w:val="0D2E7CDA"/>
    <w:rsid w:val="0D30538D"/>
    <w:rsid w:val="0D327A37"/>
    <w:rsid w:val="0D350F56"/>
    <w:rsid w:val="0D44058B"/>
    <w:rsid w:val="0D452E4D"/>
    <w:rsid w:val="0D494942"/>
    <w:rsid w:val="0D4A61F6"/>
    <w:rsid w:val="0D5A3280"/>
    <w:rsid w:val="0D5A4C9D"/>
    <w:rsid w:val="0D5E127F"/>
    <w:rsid w:val="0D6147B8"/>
    <w:rsid w:val="0D63269F"/>
    <w:rsid w:val="0D635650"/>
    <w:rsid w:val="0D636535"/>
    <w:rsid w:val="0D6C0EAE"/>
    <w:rsid w:val="0D6E0969"/>
    <w:rsid w:val="0D73028B"/>
    <w:rsid w:val="0D741C11"/>
    <w:rsid w:val="0D775043"/>
    <w:rsid w:val="0D790005"/>
    <w:rsid w:val="0D793F75"/>
    <w:rsid w:val="0D8323B8"/>
    <w:rsid w:val="0D851EC1"/>
    <w:rsid w:val="0D8D3FD0"/>
    <w:rsid w:val="0D90549D"/>
    <w:rsid w:val="0D9174C8"/>
    <w:rsid w:val="0D947DEF"/>
    <w:rsid w:val="0D9960F6"/>
    <w:rsid w:val="0D9B3836"/>
    <w:rsid w:val="0D9D017D"/>
    <w:rsid w:val="0DA02ADC"/>
    <w:rsid w:val="0DB319DF"/>
    <w:rsid w:val="0DB87064"/>
    <w:rsid w:val="0DC220C6"/>
    <w:rsid w:val="0DD1316E"/>
    <w:rsid w:val="0DD37D4F"/>
    <w:rsid w:val="0DDE2D32"/>
    <w:rsid w:val="0DE408C0"/>
    <w:rsid w:val="0DEA23CA"/>
    <w:rsid w:val="0DEA7E89"/>
    <w:rsid w:val="0E0D7FD1"/>
    <w:rsid w:val="0E105F97"/>
    <w:rsid w:val="0E1D4C94"/>
    <w:rsid w:val="0E1E01D2"/>
    <w:rsid w:val="0E237ECF"/>
    <w:rsid w:val="0E2B4E21"/>
    <w:rsid w:val="0E2C57A6"/>
    <w:rsid w:val="0E3B4AAC"/>
    <w:rsid w:val="0E3D45E7"/>
    <w:rsid w:val="0E3D63C6"/>
    <w:rsid w:val="0E416BCE"/>
    <w:rsid w:val="0E444E25"/>
    <w:rsid w:val="0E4528EE"/>
    <w:rsid w:val="0E463F6A"/>
    <w:rsid w:val="0E4E095A"/>
    <w:rsid w:val="0E533A22"/>
    <w:rsid w:val="0E5400D2"/>
    <w:rsid w:val="0E5D50FC"/>
    <w:rsid w:val="0E5E0B3E"/>
    <w:rsid w:val="0E6C2D82"/>
    <w:rsid w:val="0E767DF8"/>
    <w:rsid w:val="0E8D2FCC"/>
    <w:rsid w:val="0E99424A"/>
    <w:rsid w:val="0E9944EA"/>
    <w:rsid w:val="0EAB128C"/>
    <w:rsid w:val="0EB331E4"/>
    <w:rsid w:val="0EB5186D"/>
    <w:rsid w:val="0EB968BD"/>
    <w:rsid w:val="0EBC0876"/>
    <w:rsid w:val="0EBC1880"/>
    <w:rsid w:val="0EBC72A0"/>
    <w:rsid w:val="0ECF6E99"/>
    <w:rsid w:val="0ED17BA3"/>
    <w:rsid w:val="0ED45063"/>
    <w:rsid w:val="0ED57EB9"/>
    <w:rsid w:val="0ED923CE"/>
    <w:rsid w:val="0EDC4588"/>
    <w:rsid w:val="0EF71C52"/>
    <w:rsid w:val="0EFE6974"/>
    <w:rsid w:val="0F060E4D"/>
    <w:rsid w:val="0F065AA9"/>
    <w:rsid w:val="0F090320"/>
    <w:rsid w:val="0F13482B"/>
    <w:rsid w:val="0F155C7F"/>
    <w:rsid w:val="0F261433"/>
    <w:rsid w:val="0F2F4C63"/>
    <w:rsid w:val="0F3C2056"/>
    <w:rsid w:val="0F3E4FBF"/>
    <w:rsid w:val="0F3F2856"/>
    <w:rsid w:val="0F4527B9"/>
    <w:rsid w:val="0F456F43"/>
    <w:rsid w:val="0F4E2804"/>
    <w:rsid w:val="0F4F7F5C"/>
    <w:rsid w:val="0F552295"/>
    <w:rsid w:val="0F555D3E"/>
    <w:rsid w:val="0F566008"/>
    <w:rsid w:val="0F593CA8"/>
    <w:rsid w:val="0F5D5585"/>
    <w:rsid w:val="0F73252B"/>
    <w:rsid w:val="0F7331B1"/>
    <w:rsid w:val="0F7C1AD6"/>
    <w:rsid w:val="0F8273E7"/>
    <w:rsid w:val="0F830CF9"/>
    <w:rsid w:val="0F845AA7"/>
    <w:rsid w:val="0F856406"/>
    <w:rsid w:val="0F8807D3"/>
    <w:rsid w:val="0F8D3FF8"/>
    <w:rsid w:val="0F8E5A77"/>
    <w:rsid w:val="0F9817A2"/>
    <w:rsid w:val="0F985025"/>
    <w:rsid w:val="0F9C0ABF"/>
    <w:rsid w:val="0FA355C9"/>
    <w:rsid w:val="0FA715B7"/>
    <w:rsid w:val="0FA87C2B"/>
    <w:rsid w:val="0FAA2BE2"/>
    <w:rsid w:val="0FAB0735"/>
    <w:rsid w:val="0FAB73CF"/>
    <w:rsid w:val="0FB02E75"/>
    <w:rsid w:val="0FB11603"/>
    <w:rsid w:val="0FB2132B"/>
    <w:rsid w:val="0FBA136E"/>
    <w:rsid w:val="0FBD3F9D"/>
    <w:rsid w:val="0FBF0599"/>
    <w:rsid w:val="0FC44457"/>
    <w:rsid w:val="0FC67596"/>
    <w:rsid w:val="0FD23538"/>
    <w:rsid w:val="0FD32B0A"/>
    <w:rsid w:val="0FDF7159"/>
    <w:rsid w:val="0FE07CE6"/>
    <w:rsid w:val="0FE845EF"/>
    <w:rsid w:val="0FE866A2"/>
    <w:rsid w:val="0FEA7956"/>
    <w:rsid w:val="0FF2619D"/>
    <w:rsid w:val="0FF624C8"/>
    <w:rsid w:val="0FFC3732"/>
    <w:rsid w:val="10002E78"/>
    <w:rsid w:val="10047624"/>
    <w:rsid w:val="100A088B"/>
    <w:rsid w:val="100F43D6"/>
    <w:rsid w:val="1014463D"/>
    <w:rsid w:val="1015726A"/>
    <w:rsid w:val="101968FB"/>
    <w:rsid w:val="101E557F"/>
    <w:rsid w:val="10220902"/>
    <w:rsid w:val="102915EA"/>
    <w:rsid w:val="1029414C"/>
    <w:rsid w:val="1030329B"/>
    <w:rsid w:val="1030783C"/>
    <w:rsid w:val="10464329"/>
    <w:rsid w:val="104F2EF8"/>
    <w:rsid w:val="10537509"/>
    <w:rsid w:val="105C1032"/>
    <w:rsid w:val="105E4D49"/>
    <w:rsid w:val="105E7373"/>
    <w:rsid w:val="107921C2"/>
    <w:rsid w:val="107E07FE"/>
    <w:rsid w:val="10804B06"/>
    <w:rsid w:val="10805DC9"/>
    <w:rsid w:val="10897B59"/>
    <w:rsid w:val="108B5C75"/>
    <w:rsid w:val="108C09CF"/>
    <w:rsid w:val="10927871"/>
    <w:rsid w:val="109A0EBC"/>
    <w:rsid w:val="109A2A15"/>
    <w:rsid w:val="109B2457"/>
    <w:rsid w:val="109D23DB"/>
    <w:rsid w:val="10A86948"/>
    <w:rsid w:val="10AA57A7"/>
    <w:rsid w:val="10BD4B6E"/>
    <w:rsid w:val="10C97AB0"/>
    <w:rsid w:val="10CB02A5"/>
    <w:rsid w:val="10D11D52"/>
    <w:rsid w:val="10D8733A"/>
    <w:rsid w:val="10E00E64"/>
    <w:rsid w:val="10E01498"/>
    <w:rsid w:val="10E55858"/>
    <w:rsid w:val="10E8122E"/>
    <w:rsid w:val="10EA5BEA"/>
    <w:rsid w:val="10EE2657"/>
    <w:rsid w:val="10F16B8E"/>
    <w:rsid w:val="10F371A5"/>
    <w:rsid w:val="10F63FA0"/>
    <w:rsid w:val="10FD57A5"/>
    <w:rsid w:val="11002024"/>
    <w:rsid w:val="1101215E"/>
    <w:rsid w:val="11051170"/>
    <w:rsid w:val="1107086A"/>
    <w:rsid w:val="110944F8"/>
    <w:rsid w:val="11095218"/>
    <w:rsid w:val="11101ED9"/>
    <w:rsid w:val="11154AED"/>
    <w:rsid w:val="111D7A3C"/>
    <w:rsid w:val="112673D2"/>
    <w:rsid w:val="11272A81"/>
    <w:rsid w:val="112B0AC1"/>
    <w:rsid w:val="11343C71"/>
    <w:rsid w:val="1135344F"/>
    <w:rsid w:val="113B7B50"/>
    <w:rsid w:val="113F2FF0"/>
    <w:rsid w:val="1140061F"/>
    <w:rsid w:val="11457CA6"/>
    <w:rsid w:val="11511756"/>
    <w:rsid w:val="11513703"/>
    <w:rsid w:val="115F7073"/>
    <w:rsid w:val="116625EF"/>
    <w:rsid w:val="1166278E"/>
    <w:rsid w:val="116D186E"/>
    <w:rsid w:val="116D53E1"/>
    <w:rsid w:val="1170715C"/>
    <w:rsid w:val="1173264E"/>
    <w:rsid w:val="11763534"/>
    <w:rsid w:val="118050B1"/>
    <w:rsid w:val="11811117"/>
    <w:rsid w:val="118151C6"/>
    <w:rsid w:val="11835203"/>
    <w:rsid w:val="11995491"/>
    <w:rsid w:val="119C7740"/>
    <w:rsid w:val="11A3453B"/>
    <w:rsid w:val="11AD53AD"/>
    <w:rsid w:val="11B06965"/>
    <w:rsid w:val="11B102ED"/>
    <w:rsid w:val="11B13A44"/>
    <w:rsid w:val="11B64B9D"/>
    <w:rsid w:val="11B9527B"/>
    <w:rsid w:val="11BB79A9"/>
    <w:rsid w:val="11C34C5A"/>
    <w:rsid w:val="11CF686B"/>
    <w:rsid w:val="11D03E6B"/>
    <w:rsid w:val="11D7281B"/>
    <w:rsid w:val="11D93657"/>
    <w:rsid w:val="11E62926"/>
    <w:rsid w:val="11E7019B"/>
    <w:rsid w:val="11E859EF"/>
    <w:rsid w:val="11E868EA"/>
    <w:rsid w:val="12041F1C"/>
    <w:rsid w:val="120B15F0"/>
    <w:rsid w:val="120D483D"/>
    <w:rsid w:val="120E607B"/>
    <w:rsid w:val="121D2DB8"/>
    <w:rsid w:val="121F121F"/>
    <w:rsid w:val="12312740"/>
    <w:rsid w:val="125255DD"/>
    <w:rsid w:val="126F5ED9"/>
    <w:rsid w:val="1270042F"/>
    <w:rsid w:val="127350E2"/>
    <w:rsid w:val="12776F1C"/>
    <w:rsid w:val="12884746"/>
    <w:rsid w:val="128C306C"/>
    <w:rsid w:val="12913FB2"/>
    <w:rsid w:val="12970BC5"/>
    <w:rsid w:val="1299328B"/>
    <w:rsid w:val="129A5470"/>
    <w:rsid w:val="12A04B9A"/>
    <w:rsid w:val="12A30DA6"/>
    <w:rsid w:val="12C23A7C"/>
    <w:rsid w:val="12C622E1"/>
    <w:rsid w:val="12D116F0"/>
    <w:rsid w:val="12D37006"/>
    <w:rsid w:val="12D61574"/>
    <w:rsid w:val="12D919C1"/>
    <w:rsid w:val="12DB7608"/>
    <w:rsid w:val="12E1083C"/>
    <w:rsid w:val="12E23972"/>
    <w:rsid w:val="12E666FC"/>
    <w:rsid w:val="12E94BA8"/>
    <w:rsid w:val="12F0221C"/>
    <w:rsid w:val="12F16671"/>
    <w:rsid w:val="12F55F70"/>
    <w:rsid w:val="130001AD"/>
    <w:rsid w:val="13053401"/>
    <w:rsid w:val="130A3353"/>
    <w:rsid w:val="131266BE"/>
    <w:rsid w:val="13127492"/>
    <w:rsid w:val="131A6D43"/>
    <w:rsid w:val="131B0C66"/>
    <w:rsid w:val="1325634E"/>
    <w:rsid w:val="132B0100"/>
    <w:rsid w:val="132C746A"/>
    <w:rsid w:val="132D049F"/>
    <w:rsid w:val="13380869"/>
    <w:rsid w:val="133E360E"/>
    <w:rsid w:val="134B47EC"/>
    <w:rsid w:val="134D6F64"/>
    <w:rsid w:val="13513E3A"/>
    <w:rsid w:val="13556B94"/>
    <w:rsid w:val="135E60A9"/>
    <w:rsid w:val="13680C4B"/>
    <w:rsid w:val="136D40B6"/>
    <w:rsid w:val="13755EB2"/>
    <w:rsid w:val="137B055C"/>
    <w:rsid w:val="137B262F"/>
    <w:rsid w:val="13846913"/>
    <w:rsid w:val="13856FCC"/>
    <w:rsid w:val="13871A13"/>
    <w:rsid w:val="13877DCB"/>
    <w:rsid w:val="13887B1A"/>
    <w:rsid w:val="13895A4A"/>
    <w:rsid w:val="139617FD"/>
    <w:rsid w:val="139F2E5E"/>
    <w:rsid w:val="13A35911"/>
    <w:rsid w:val="13A47BFE"/>
    <w:rsid w:val="13AE0659"/>
    <w:rsid w:val="13B5648C"/>
    <w:rsid w:val="13B773EB"/>
    <w:rsid w:val="13C16519"/>
    <w:rsid w:val="13C4002F"/>
    <w:rsid w:val="13C92AEB"/>
    <w:rsid w:val="13CC43FF"/>
    <w:rsid w:val="13E05214"/>
    <w:rsid w:val="13E67824"/>
    <w:rsid w:val="13E73A66"/>
    <w:rsid w:val="13EB2F8B"/>
    <w:rsid w:val="13ED6898"/>
    <w:rsid w:val="13F75382"/>
    <w:rsid w:val="13FB4175"/>
    <w:rsid w:val="1408504F"/>
    <w:rsid w:val="140903D2"/>
    <w:rsid w:val="140A0F92"/>
    <w:rsid w:val="140E663F"/>
    <w:rsid w:val="14110386"/>
    <w:rsid w:val="14166484"/>
    <w:rsid w:val="14197E9B"/>
    <w:rsid w:val="14204B53"/>
    <w:rsid w:val="14242A9B"/>
    <w:rsid w:val="14293FDD"/>
    <w:rsid w:val="142C4E25"/>
    <w:rsid w:val="14335E33"/>
    <w:rsid w:val="145D7218"/>
    <w:rsid w:val="14633173"/>
    <w:rsid w:val="146417AF"/>
    <w:rsid w:val="14663754"/>
    <w:rsid w:val="146C5918"/>
    <w:rsid w:val="14701BEF"/>
    <w:rsid w:val="1470604A"/>
    <w:rsid w:val="14857BC8"/>
    <w:rsid w:val="14873036"/>
    <w:rsid w:val="148A09EC"/>
    <w:rsid w:val="14921567"/>
    <w:rsid w:val="14A03AE1"/>
    <w:rsid w:val="14A80755"/>
    <w:rsid w:val="14B07E8B"/>
    <w:rsid w:val="14B420F2"/>
    <w:rsid w:val="14BE3BD0"/>
    <w:rsid w:val="14C15D37"/>
    <w:rsid w:val="14C675BD"/>
    <w:rsid w:val="14CA685F"/>
    <w:rsid w:val="14CF2CA5"/>
    <w:rsid w:val="14D234DF"/>
    <w:rsid w:val="14D53920"/>
    <w:rsid w:val="14E36FB1"/>
    <w:rsid w:val="14E4157B"/>
    <w:rsid w:val="14E44A7F"/>
    <w:rsid w:val="14E60E10"/>
    <w:rsid w:val="14EB47E1"/>
    <w:rsid w:val="14F07023"/>
    <w:rsid w:val="14F62DB0"/>
    <w:rsid w:val="14F71157"/>
    <w:rsid w:val="14F95A36"/>
    <w:rsid w:val="15020675"/>
    <w:rsid w:val="15072773"/>
    <w:rsid w:val="15075901"/>
    <w:rsid w:val="150C6024"/>
    <w:rsid w:val="15112F56"/>
    <w:rsid w:val="15113964"/>
    <w:rsid w:val="151D60E3"/>
    <w:rsid w:val="1530340C"/>
    <w:rsid w:val="15376A6C"/>
    <w:rsid w:val="15443470"/>
    <w:rsid w:val="15491EBE"/>
    <w:rsid w:val="154D2C83"/>
    <w:rsid w:val="154F58A0"/>
    <w:rsid w:val="15571648"/>
    <w:rsid w:val="155D44F6"/>
    <w:rsid w:val="1568195A"/>
    <w:rsid w:val="156825AE"/>
    <w:rsid w:val="156A365B"/>
    <w:rsid w:val="15747EC9"/>
    <w:rsid w:val="157523D3"/>
    <w:rsid w:val="157648A9"/>
    <w:rsid w:val="157936FB"/>
    <w:rsid w:val="157947F3"/>
    <w:rsid w:val="157D25F1"/>
    <w:rsid w:val="158013B3"/>
    <w:rsid w:val="1580388D"/>
    <w:rsid w:val="158433BA"/>
    <w:rsid w:val="15897466"/>
    <w:rsid w:val="159001DE"/>
    <w:rsid w:val="159D2AA8"/>
    <w:rsid w:val="15AE3BF2"/>
    <w:rsid w:val="15B103ED"/>
    <w:rsid w:val="15B4641E"/>
    <w:rsid w:val="15B46964"/>
    <w:rsid w:val="15B5012C"/>
    <w:rsid w:val="15B61C1D"/>
    <w:rsid w:val="15BC3A0F"/>
    <w:rsid w:val="15C00AAC"/>
    <w:rsid w:val="15CE2F37"/>
    <w:rsid w:val="15CF3C06"/>
    <w:rsid w:val="15CF6FF0"/>
    <w:rsid w:val="15D26FFC"/>
    <w:rsid w:val="15DC7C80"/>
    <w:rsid w:val="15DF1441"/>
    <w:rsid w:val="15E13C31"/>
    <w:rsid w:val="15E40909"/>
    <w:rsid w:val="15E57584"/>
    <w:rsid w:val="15E86608"/>
    <w:rsid w:val="15F9490F"/>
    <w:rsid w:val="15F97B47"/>
    <w:rsid w:val="1601268B"/>
    <w:rsid w:val="16034EBB"/>
    <w:rsid w:val="16071DD9"/>
    <w:rsid w:val="160C5D02"/>
    <w:rsid w:val="16184098"/>
    <w:rsid w:val="161F7166"/>
    <w:rsid w:val="16290D5F"/>
    <w:rsid w:val="16296249"/>
    <w:rsid w:val="162C4C37"/>
    <w:rsid w:val="163025A5"/>
    <w:rsid w:val="16320871"/>
    <w:rsid w:val="16333E74"/>
    <w:rsid w:val="163409FD"/>
    <w:rsid w:val="16407809"/>
    <w:rsid w:val="16477DE9"/>
    <w:rsid w:val="164925E6"/>
    <w:rsid w:val="1652574A"/>
    <w:rsid w:val="16564ED8"/>
    <w:rsid w:val="165927C7"/>
    <w:rsid w:val="16691135"/>
    <w:rsid w:val="16695F27"/>
    <w:rsid w:val="166B2C03"/>
    <w:rsid w:val="166B2D98"/>
    <w:rsid w:val="16753E20"/>
    <w:rsid w:val="167A093E"/>
    <w:rsid w:val="167E6CA3"/>
    <w:rsid w:val="167F4B95"/>
    <w:rsid w:val="167F4E32"/>
    <w:rsid w:val="168C1642"/>
    <w:rsid w:val="1696648F"/>
    <w:rsid w:val="16980ACF"/>
    <w:rsid w:val="16996BD1"/>
    <w:rsid w:val="169D0E74"/>
    <w:rsid w:val="16A0455F"/>
    <w:rsid w:val="16A45B30"/>
    <w:rsid w:val="16A63B54"/>
    <w:rsid w:val="16AB760D"/>
    <w:rsid w:val="16AD5A26"/>
    <w:rsid w:val="16B0603A"/>
    <w:rsid w:val="16B1491F"/>
    <w:rsid w:val="16C10A6C"/>
    <w:rsid w:val="16C57432"/>
    <w:rsid w:val="16C63741"/>
    <w:rsid w:val="16C96046"/>
    <w:rsid w:val="16C9773D"/>
    <w:rsid w:val="16CB0C5E"/>
    <w:rsid w:val="16D67B98"/>
    <w:rsid w:val="16DB09CD"/>
    <w:rsid w:val="16E21427"/>
    <w:rsid w:val="16F335D2"/>
    <w:rsid w:val="1701624C"/>
    <w:rsid w:val="17017CA0"/>
    <w:rsid w:val="17033117"/>
    <w:rsid w:val="17044C1E"/>
    <w:rsid w:val="1705416A"/>
    <w:rsid w:val="170C751B"/>
    <w:rsid w:val="170F3DDF"/>
    <w:rsid w:val="17156B21"/>
    <w:rsid w:val="17174AB2"/>
    <w:rsid w:val="1718056E"/>
    <w:rsid w:val="171D3139"/>
    <w:rsid w:val="17273AF9"/>
    <w:rsid w:val="172C1D05"/>
    <w:rsid w:val="172D783E"/>
    <w:rsid w:val="172F59B8"/>
    <w:rsid w:val="172F6FDE"/>
    <w:rsid w:val="1732600B"/>
    <w:rsid w:val="173A64BB"/>
    <w:rsid w:val="173C59AC"/>
    <w:rsid w:val="173D6C69"/>
    <w:rsid w:val="173F20E2"/>
    <w:rsid w:val="1744458E"/>
    <w:rsid w:val="17464FF0"/>
    <w:rsid w:val="174B7F29"/>
    <w:rsid w:val="17501635"/>
    <w:rsid w:val="17595511"/>
    <w:rsid w:val="175D157B"/>
    <w:rsid w:val="1760681F"/>
    <w:rsid w:val="17675800"/>
    <w:rsid w:val="176C5191"/>
    <w:rsid w:val="17792B60"/>
    <w:rsid w:val="177B1179"/>
    <w:rsid w:val="177F62FA"/>
    <w:rsid w:val="1789593F"/>
    <w:rsid w:val="178C0ADB"/>
    <w:rsid w:val="178E0BAF"/>
    <w:rsid w:val="17930A3A"/>
    <w:rsid w:val="17C271C7"/>
    <w:rsid w:val="17C641EB"/>
    <w:rsid w:val="17C67936"/>
    <w:rsid w:val="17CE25E1"/>
    <w:rsid w:val="17D10BF7"/>
    <w:rsid w:val="17D77A75"/>
    <w:rsid w:val="17E15BCD"/>
    <w:rsid w:val="17E25684"/>
    <w:rsid w:val="17ED6BAE"/>
    <w:rsid w:val="17F2635C"/>
    <w:rsid w:val="17F33F96"/>
    <w:rsid w:val="17F73D8C"/>
    <w:rsid w:val="17FA253A"/>
    <w:rsid w:val="18071145"/>
    <w:rsid w:val="180D1861"/>
    <w:rsid w:val="180F4F7D"/>
    <w:rsid w:val="181D1D9B"/>
    <w:rsid w:val="1824021D"/>
    <w:rsid w:val="182727AA"/>
    <w:rsid w:val="182B084D"/>
    <w:rsid w:val="182C3C1D"/>
    <w:rsid w:val="183968EB"/>
    <w:rsid w:val="183A054F"/>
    <w:rsid w:val="184D5870"/>
    <w:rsid w:val="185335C0"/>
    <w:rsid w:val="18571DAD"/>
    <w:rsid w:val="18575233"/>
    <w:rsid w:val="18591AD4"/>
    <w:rsid w:val="186030BA"/>
    <w:rsid w:val="18690252"/>
    <w:rsid w:val="186A253C"/>
    <w:rsid w:val="18710348"/>
    <w:rsid w:val="187602DD"/>
    <w:rsid w:val="18764A71"/>
    <w:rsid w:val="18782953"/>
    <w:rsid w:val="187A35BD"/>
    <w:rsid w:val="188123CF"/>
    <w:rsid w:val="18865DF7"/>
    <w:rsid w:val="18886008"/>
    <w:rsid w:val="18921538"/>
    <w:rsid w:val="18981291"/>
    <w:rsid w:val="189E12C3"/>
    <w:rsid w:val="189E32A4"/>
    <w:rsid w:val="18A958B2"/>
    <w:rsid w:val="18B50853"/>
    <w:rsid w:val="18B64080"/>
    <w:rsid w:val="18BD055D"/>
    <w:rsid w:val="18C04A46"/>
    <w:rsid w:val="18C07EDD"/>
    <w:rsid w:val="18C4037B"/>
    <w:rsid w:val="18C55E03"/>
    <w:rsid w:val="18C82853"/>
    <w:rsid w:val="18D764B0"/>
    <w:rsid w:val="18D92B7A"/>
    <w:rsid w:val="18F34724"/>
    <w:rsid w:val="18F3652A"/>
    <w:rsid w:val="18F605EB"/>
    <w:rsid w:val="18F73EE2"/>
    <w:rsid w:val="18FB57B4"/>
    <w:rsid w:val="18FF308F"/>
    <w:rsid w:val="191D2BA1"/>
    <w:rsid w:val="19263C11"/>
    <w:rsid w:val="19300F3C"/>
    <w:rsid w:val="19364034"/>
    <w:rsid w:val="194B6D06"/>
    <w:rsid w:val="19580F07"/>
    <w:rsid w:val="195F6866"/>
    <w:rsid w:val="19635F44"/>
    <w:rsid w:val="1966147B"/>
    <w:rsid w:val="19666CF7"/>
    <w:rsid w:val="19690F79"/>
    <w:rsid w:val="196B751E"/>
    <w:rsid w:val="196C060A"/>
    <w:rsid w:val="197226D6"/>
    <w:rsid w:val="197315F4"/>
    <w:rsid w:val="19734D96"/>
    <w:rsid w:val="197518D4"/>
    <w:rsid w:val="197B045A"/>
    <w:rsid w:val="197F6FC8"/>
    <w:rsid w:val="198A3D2C"/>
    <w:rsid w:val="198F4422"/>
    <w:rsid w:val="198F583E"/>
    <w:rsid w:val="19911370"/>
    <w:rsid w:val="1996250A"/>
    <w:rsid w:val="19A06826"/>
    <w:rsid w:val="19A14097"/>
    <w:rsid w:val="19A60597"/>
    <w:rsid w:val="19A659A4"/>
    <w:rsid w:val="19A748CE"/>
    <w:rsid w:val="19AD326C"/>
    <w:rsid w:val="19B53F29"/>
    <w:rsid w:val="19B6715B"/>
    <w:rsid w:val="19BB4AC7"/>
    <w:rsid w:val="19E14BF9"/>
    <w:rsid w:val="19EB62A2"/>
    <w:rsid w:val="19ED1019"/>
    <w:rsid w:val="19F30FD0"/>
    <w:rsid w:val="19FB73D6"/>
    <w:rsid w:val="1A084634"/>
    <w:rsid w:val="1A0931E6"/>
    <w:rsid w:val="1A0B22C7"/>
    <w:rsid w:val="1A132478"/>
    <w:rsid w:val="1A1B0A46"/>
    <w:rsid w:val="1A1D39FB"/>
    <w:rsid w:val="1A1D402C"/>
    <w:rsid w:val="1A1F389A"/>
    <w:rsid w:val="1A2C6661"/>
    <w:rsid w:val="1A2D7316"/>
    <w:rsid w:val="1A33410B"/>
    <w:rsid w:val="1A3D4066"/>
    <w:rsid w:val="1A3D556D"/>
    <w:rsid w:val="1A422421"/>
    <w:rsid w:val="1A46350F"/>
    <w:rsid w:val="1A5846A0"/>
    <w:rsid w:val="1A5B4BCF"/>
    <w:rsid w:val="1A5B75BD"/>
    <w:rsid w:val="1A5C1E8C"/>
    <w:rsid w:val="1A5E2541"/>
    <w:rsid w:val="1A684E92"/>
    <w:rsid w:val="1A70610F"/>
    <w:rsid w:val="1A774480"/>
    <w:rsid w:val="1A790EFA"/>
    <w:rsid w:val="1A8A4647"/>
    <w:rsid w:val="1A9723B6"/>
    <w:rsid w:val="1A9D35B8"/>
    <w:rsid w:val="1AA04200"/>
    <w:rsid w:val="1AA05D66"/>
    <w:rsid w:val="1AA34AA6"/>
    <w:rsid w:val="1AA93183"/>
    <w:rsid w:val="1AAC781B"/>
    <w:rsid w:val="1AB44A07"/>
    <w:rsid w:val="1AB71515"/>
    <w:rsid w:val="1AB872B8"/>
    <w:rsid w:val="1AC2619E"/>
    <w:rsid w:val="1AC434F9"/>
    <w:rsid w:val="1ACA51A5"/>
    <w:rsid w:val="1ACA57E5"/>
    <w:rsid w:val="1AD41623"/>
    <w:rsid w:val="1ADA1B4E"/>
    <w:rsid w:val="1AE257E0"/>
    <w:rsid w:val="1AE54933"/>
    <w:rsid w:val="1AED05E1"/>
    <w:rsid w:val="1AF00F47"/>
    <w:rsid w:val="1AF046CF"/>
    <w:rsid w:val="1B074284"/>
    <w:rsid w:val="1B0B1052"/>
    <w:rsid w:val="1B164EC9"/>
    <w:rsid w:val="1B24725D"/>
    <w:rsid w:val="1B2B048F"/>
    <w:rsid w:val="1B2D4F2D"/>
    <w:rsid w:val="1B301CAE"/>
    <w:rsid w:val="1B462B65"/>
    <w:rsid w:val="1B4D4C2F"/>
    <w:rsid w:val="1B5752AC"/>
    <w:rsid w:val="1B585AB7"/>
    <w:rsid w:val="1B5A646D"/>
    <w:rsid w:val="1B665C26"/>
    <w:rsid w:val="1B67625B"/>
    <w:rsid w:val="1B68424A"/>
    <w:rsid w:val="1B6B336B"/>
    <w:rsid w:val="1B751F6A"/>
    <w:rsid w:val="1B8D3EF5"/>
    <w:rsid w:val="1B9369D7"/>
    <w:rsid w:val="1B97475E"/>
    <w:rsid w:val="1B984111"/>
    <w:rsid w:val="1B9E5564"/>
    <w:rsid w:val="1BAF5377"/>
    <w:rsid w:val="1BC72728"/>
    <w:rsid w:val="1BCB3B13"/>
    <w:rsid w:val="1BDB57C2"/>
    <w:rsid w:val="1BF149CB"/>
    <w:rsid w:val="1BF23A35"/>
    <w:rsid w:val="1BFD3092"/>
    <w:rsid w:val="1C0925CB"/>
    <w:rsid w:val="1C0B4EE0"/>
    <w:rsid w:val="1C180B6E"/>
    <w:rsid w:val="1C19483C"/>
    <w:rsid w:val="1C1A6907"/>
    <w:rsid w:val="1C1D2BE8"/>
    <w:rsid w:val="1C213008"/>
    <w:rsid w:val="1C24525B"/>
    <w:rsid w:val="1C25739C"/>
    <w:rsid w:val="1C2A7FD9"/>
    <w:rsid w:val="1C2D2845"/>
    <w:rsid w:val="1C3022BE"/>
    <w:rsid w:val="1C347AE7"/>
    <w:rsid w:val="1C3709C2"/>
    <w:rsid w:val="1C3A3900"/>
    <w:rsid w:val="1C413C4C"/>
    <w:rsid w:val="1C5779A0"/>
    <w:rsid w:val="1C73352D"/>
    <w:rsid w:val="1C7F0A0D"/>
    <w:rsid w:val="1C7F367A"/>
    <w:rsid w:val="1C8822BC"/>
    <w:rsid w:val="1C883EE2"/>
    <w:rsid w:val="1C8A5704"/>
    <w:rsid w:val="1C993644"/>
    <w:rsid w:val="1C9D11D2"/>
    <w:rsid w:val="1CA30814"/>
    <w:rsid w:val="1CA411B8"/>
    <w:rsid w:val="1CA91C58"/>
    <w:rsid w:val="1CAF1665"/>
    <w:rsid w:val="1CB25372"/>
    <w:rsid w:val="1CBE1A22"/>
    <w:rsid w:val="1CBE4917"/>
    <w:rsid w:val="1CC525DF"/>
    <w:rsid w:val="1CC86944"/>
    <w:rsid w:val="1CD11261"/>
    <w:rsid w:val="1CD6675B"/>
    <w:rsid w:val="1CE24DF3"/>
    <w:rsid w:val="1CED15B5"/>
    <w:rsid w:val="1CED2C56"/>
    <w:rsid w:val="1CF23DFC"/>
    <w:rsid w:val="1CF333E6"/>
    <w:rsid w:val="1D0565E2"/>
    <w:rsid w:val="1D130803"/>
    <w:rsid w:val="1D1B27DC"/>
    <w:rsid w:val="1D1C269E"/>
    <w:rsid w:val="1D1E4BBC"/>
    <w:rsid w:val="1D1E57A9"/>
    <w:rsid w:val="1D2122A1"/>
    <w:rsid w:val="1D2357FD"/>
    <w:rsid w:val="1D2D51F1"/>
    <w:rsid w:val="1D342818"/>
    <w:rsid w:val="1D350F0B"/>
    <w:rsid w:val="1D37486F"/>
    <w:rsid w:val="1D42071E"/>
    <w:rsid w:val="1D4856D1"/>
    <w:rsid w:val="1D4C087C"/>
    <w:rsid w:val="1D5A0C54"/>
    <w:rsid w:val="1D5A7AF0"/>
    <w:rsid w:val="1D6320BA"/>
    <w:rsid w:val="1D677324"/>
    <w:rsid w:val="1D681413"/>
    <w:rsid w:val="1D6E2D29"/>
    <w:rsid w:val="1D6E3FB8"/>
    <w:rsid w:val="1D6F28C6"/>
    <w:rsid w:val="1D6F50CA"/>
    <w:rsid w:val="1D7D358D"/>
    <w:rsid w:val="1D843D4E"/>
    <w:rsid w:val="1D89321B"/>
    <w:rsid w:val="1D8A6539"/>
    <w:rsid w:val="1D8C6A7E"/>
    <w:rsid w:val="1D8D64C6"/>
    <w:rsid w:val="1D8E167F"/>
    <w:rsid w:val="1D8E3673"/>
    <w:rsid w:val="1D9A252F"/>
    <w:rsid w:val="1DA20DA6"/>
    <w:rsid w:val="1DA25696"/>
    <w:rsid w:val="1DAA6EE1"/>
    <w:rsid w:val="1DB95872"/>
    <w:rsid w:val="1DC15568"/>
    <w:rsid w:val="1DC445E8"/>
    <w:rsid w:val="1DC476CF"/>
    <w:rsid w:val="1DC77F7C"/>
    <w:rsid w:val="1DCB6F08"/>
    <w:rsid w:val="1DD0335C"/>
    <w:rsid w:val="1DD57D51"/>
    <w:rsid w:val="1DD63193"/>
    <w:rsid w:val="1DD71602"/>
    <w:rsid w:val="1DE107D8"/>
    <w:rsid w:val="1DED5081"/>
    <w:rsid w:val="1DF11732"/>
    <w:rsid w:val="1DF5767B"/>
    <w:rsid w:val="1DFC3B16"/>
    <w:rsid w:val="1E077895"/>
    <w:rsid w:val="1E080CDC"/>
    <w:rsid w:val="1E0817AF"/>
    <w:rsid w:val="1E096B47"/>
    <w:rsid w:val="1E144418"/>
    <w:rsid w:val="1E1B4147"/>
    <w:rsid w:val="1E1E21E7"/>
    <w:rsid w:val="1E2566DA"/>
    <w:rsid w:val="1E27426A"/>
    <w:rsid w:val="1E2D48C4"/>
    <w:rsid w:val="1E32366D"/>
    <w:rsid w:val="1E3A413D"/>
    <w:rsid w:val="1E3C1D79"/>
    <w:rsid w:val="1E3F425E"/>
    <w:rsid w:val="1E4B07C2"/>
    <w:rsid w:val="1E4B2A17"/>
    <w:rsid w:val="1E510853"/>
    <w:rsid w:val="1E5A7CA4"/>
    <w:rsid w:val="1E5C4612"/>
    <w:rsid w:val="1E606546"/>
    <w:rsid w:val="1E635018"/>
    <w:rsid w:val="1E7177FA"/>
    <w:rsid w:val="1E740181"/>
    <w:rsid w:val="1E814CED"/>
    <w:rsid w:val="1E822F8A"/>
    <w:rsid w:val="1E8469F9"/>
    <w:rsid w:val="1E88172A"/>
    <w:rsid w:val="1E9C5BFF"/>
    <w:rsid w:val="1EA420FF"/>
    <w:rsid w:val="1EAD2E47"/>
    <w:rsid w:val="1EAE16ED"/>
    <w:rsid w:val="1ECC3FFD"/>
    <w:rsid w:val="1ECE7503"/>
    <w:rsid w:val="1ED2384F"/>
    <w:rsid w:val="1ED441A2"/>
    <w:rsid w:val="1EDB225F"/>
    <w:rsid w:val="1EDC5F38"/>
    <w:rsid w:val="1EDD43FA"/>
    <w:rsid w:val="1EDF476D"/>
    <w:rsid w:val="1EDF51FD"/>
    <w:rsid w:val="1EE05BF9"/>
    <w:rsid w:val="1EE4747D"/>
    <w:rsid w:val="1EEA697A"/>
    <w:rsid w:val="1EEC0C5C"/>
    <w:rsid w:val="1EEE5549"/>
    <w:rsid w:val="1EF27B7B"/>
    <w:rsid w:val="1EFF3D34"/>
    <w:rsid w:val="1F0D3297"/>
    <w:rsid w:val="1F147A0F"/>
    <w:rsid w:val="1F161D81"/>
    <w:rsid w:val="1F176E60"/>
    <w:rsid w:val="1F231A08"/>
    <w:rsid w:val="1F3312CA"/>
    <w:rsid w:val="1F353082"/>
    <w:rsid w:val="1F37018C"/>
    <w:rsid w:val="1F3D037B"/>
    <w:rsid w:val="1F3D0517"/>
    <w:rsid w:val="1F3E2505"/>
    <w:rsid w:val="1F455E2F"/>
    <w:rsid w:val="1F49405B"/>
    <w:rsid w:val="1F504C1A"/>
    <w:rsid w:val="1F51433D"/>
    <w:rsid w:val="1F5500CB"/>
    <w:rsid w:val="1F565BFA"/>
    <w:rsid w:val="1F581604"/>
    <w:rsid w:val="1F6838DE"/>
    <w:rsid w:val="1F6A2F89"/>
    <w:rsid w:val="1F6A40C6"/>
    <w:rsid w:val="1F6D044E"/>
    <w:rsid w:val="1F6F2934"/>
    <w:rsid w:val="1F721E67"/>
    <w:rsid w:val="1F725879"/>
    <w:rsid w:val="1F726313"/>
    <w:rsid w:val="1F7C1C83"/>
    <w:rsid w:val="1F815DDE"/>
    <w:rsid w:val="1F855BFF"/>
    <w:rsid w:val="1F8918C0"/>
    <w:rsid w:val="1F8A437C"/>
    <w:rsid w:val="1F8D1E96"/>
    <w:rsid w:val="1F9A340A"/>
    <w:rsid w:val="1FA15385"/>
    <w:rsid w:val="1FA73132"/>
    <w:rsid w:val="1FAD19BA"/>
    <w:rsid w:val="1FB06ACB"/>
    <w:rsid w:val="1FB31A5F"/>
    <w:rsid w:val="1FBD1D03"/>
    <w:rsid w:val="1FC24AF3"/>
    <w:rsid w:val="1FC3160B"/>
    <w:rsid w:val="1FC93095"/>
    <w:rsid w:val="1FC97C87"/>
    <w:rsid w:val="1FCC023A"/>
    <w:rsid w:val="1FD73351"/>
    <w:rsid w:val="1FD8684B"/>
    <w:rsid w:val="1FD97FC2"/>
    <w:rsid w:val="1FDA5CF1"/>
    <w:rsid w:val="1FDE3F49"/>
    <w:rsid w:val="1FE715FA"/>
    <w:rsid w:val="1FE933AA"/>
    <w:rsid w:val="1FF468DA"/>
    <w:rsid w:val="2002454D"/>
    <w:rsid w:val="200960D5"/>
    <w:rsid w:val="200A6E88"/>
    <w:rsid w:val="200E21F4"/>
    <w:rsid w:val="201051B9"/>
    <w:rsid w:val="201613EF"/>
    <w:rsid w:val="2017484C"/>
    <w:rsid w:val="201A1AFF"/>
    <w:rsid w:val="2021267D"/>
    <w:rsid w:val="20225914"/>
    <w:rsid w:val="20302AC8"/>
    <w:rsid w:val="20383FF4"/>
    <w:rsid w:val="2040794E"/>
    <w:rsid w:val="20451EFA"/>
    <w:rsid w:val="20460DDC"/>
    <w:rsid w:val="204D6F6C"/>
    <w:rsid w:val="20506C8E"/>
    <w:rsid w:val="205351B8"/>
    <w:rsid w:val="20543A28"/>
    <w:rsid w:val="205879D9"/>
    <w:rsid w:val="205F596D"/>
    <w:rsid w:val="206B3216"/>
    <w:rsid w:val="206C678C"/>
    <w:rsid w:val="206F6002"/>
    <w:rsid w:val="20741506"/>
    <w:rsid w:val="207A6FC2"/>
    <w:rsid w:val="207F3ABC"/>
    <w:rsid w:val="207F43D9"/>
    <w:rsid w:val="20822629"/>
    <w:rsid w:val="209128E5"/>
    <w:rsid w:val="209162F3"/>
    <w:rsid w:val="209C5FB0"/>
    <w:rsid w:val="209E2236"/>
    <w:rsid w:val="20A84AFD"/>
    <w:rsid w:val="20B336D0"/>
    <w:rsid w:val="20B873F2"/>
    <w:rsid w:val="20CA786F"/>
    <w:rsid w:val="20D878C9"/>
    <w:rsid w:val="20DA452F"/>
    <w:rsid w:val="20DB399E"/>
    <w:rsid w:val="20DB6FE5"/>
    <w:rsid w:val="20DC25E5"/>
    <w:rsid w:val="20DD0CB7"/>
    <w:rsid w:val="20DE519E"/>
    <w:rsid w:val="20E326AB"/>
    <w:rsid w:val="20E40D06"/>
    <w:rsid w:val="20E70DDA"/>
    <w:rsid w:val="20EE5292"/>
    <w:rsid w:val="20EE7A98"/>
    <w:rsid w:val="20F012DA"/>
    <w:rsid w:val="20F91B22"/>
    <w:rsid w:val="21003017"/>
    <w:rsid w:val="2102118F"/>
    <w:rsid w:val="210643F0"/>
    <w:rsid w:val="2106576D"/>
    <w:rsid w:val="21101023"/>
    <w:rsid w:val="21126A1E"/>
    <w:rsid w:val="21150ACD"/>
    <w:rsid w:val="211822BD"/>
    <w:rsid w:val="21197FF7"/>
    <w:rsid w:val="211A3117"/>
    <w:rsid w:val="211D6ED8"/>
    <w:rsid w:val="21326F8A"/>
    <w:rsid w:val="21365E4F"/>
    <w:rsid w:val="213F57A3"/>
    <w:rsid w:val="21432762"/>
    <w:rsid w:val="21453453"/>
    <w:rsid w:val="214646F6"/>
    <w:rsid w:val="21520845"/>
    <w:rsid w:val="21591E72"/>
    <w:rsid w:val="215F5D66"/>
    <w:rsid w:val="2163288C"/>
    <w:rsid w:val="21640F85"/>
    <w:rsid w:val="216D4862"/>
    <w:rsid w:val="218A05F5"/>
    <w:rsid w:val="21930AF8"/>
    <w:rsid w:val="21953344"/>
    <w:rsid w:val="219B1DB2"/>
    <w:rsid w:val="219B228D"/>
    <w:rsid w:val="219C7087"/>
    <w:rsid w:val="219D2205"/>
    <w:rsid w:val="21A2770F"/>
    <w:rsid w:val="21AF4DC3"/>
    <w:rsid w:val="21C06F92"/>
    <w:rsid w:val="21C84E9E"/>
    <w:rsid w:val="21CB5CF6"/>
    <w:rsid w:val="21D51AA2"/>
    <w:rsid w:val="21E412D6"/>
    <w:rsid w:val="21E5632B"/>
    <w:rsid w:val="21EE512D"/>
    <w:rsid w:val="21F143E4"/>
    <w:rsid w:val="21F70E93"/>
    <w:rsid w:val="21F718D2"/>
    <w:rsid w:val="220643AF"/>
    <w:rsid w:val="22077889"/>
    <w:rsid w:val="220A46F8"/>
    <w:rsid w:val="220C644E"/>
    <w:rsid w:val="220F06E1"/>
    <w:rsid w:val="22104944"/>
    <w:rsid w:val="22121D33"/>
    <w:rsid w:val="22136272"/>
    <w:rsid w:val="221E75DB"/>
    <w:rsid w:val="2225695B"/>
    <w:rsid w:val="222B4A26"/>
    <w:rsid w:val="22316996"/>
    <w:rsid w:val="22415012"/>
    <w:rsid w:val="224503BF"/>
    <w:rsid w:val="224944DA"/>
    <w:rsid w:val="224C1EE4"/>
    <w:rsid w:val="224E0429"/>
    <w:rsid w:val="224E5006"/>
    <w:rsid w:val="225C26E5"/>
    <w:rsid w:val="225F71CC"/>
    <w:rsid w:val="226E0F46"/>
    <w:rsid w:val="22742BDA"/>
    <w:rsid w:val="228869BB"/>
    <w:rsid w:val="228B7D1B"/>
    <w:rsid w:val="22A063EE"/>
    <w:rsid w:val="22A910ED"/>
    <w:rsid w:val="22BB1853"/>
    <w:rsid w:val="22CF2191"/>
    <w:rsid w:val="22CF7A81"/>
    <w:rsid w:val="22D51866"/>
    <w:rsid w:val="22DA1E64"/>
    <w:rsid w:val="22E305BB"/>
    <w:rsid w:val="22E70C69"/>
    <w:rsid w:val="22EE7034"/>
    <w:rsid w:val="22F02853"/>
    <w:rsid w:val="22FB7F40"/>
    <w:rsid w:val="22FF0FD9"/>
    <w:rsid w:val="23046094"/>
    <w:rsid w:val="230979AF"/>
    <w:rsid w:val="23165796"/>
    <w:rsid w:val="23167EA3"/>
    <w:rsid w:val="231B17F9"/>
    <w:rsid w:val="232377E9"/>
    <w:rsid w:val="232842E5"/>
    <w:rsid w:val="23382804"/>
    <w:rsid w:val="233A304E"/>
    <w:rsid w:val="23436A32"/>
    <w:rsid w:val="23491976"/>
    <w:rsid w:val="234D6E93"/>
    <w:rsid w:val="235511EA"/>
    <w:rsid w:val="235B7AEB"/>
    <w:rsid w:val="235F20DC"/>
    <w:rsid w:val="236210F4"/>
    <w:rsid w:val="23644A96"/>
    <w:rsid w:val="23690609"/>
    <w:rsid w:val="236A496D"/>
    <w:rsid w:val="2379733A"/>
    <w:rsid w:val="237A3E4E"/>
    <w:rsid w:val="237E1230"/>
    <w:rsid w:val="238A29AB"/>
    <w:rsid w:val="238F40D9"/>
    <w:rsid w:val="23933508"/>
    <w:rsid w:val="239504D4"/>
    <w:rsid w:val="23950A3C"/>
    <w:rsid w:val="239C46B5"/>
    <w:rsid w:val="23A92C60"/>
    <w:rsid w:val="23A94B60"/>
    <w:rsid w:val="23AE700C"/>
    <w:rsid w:val="23B03C54"/>
    <w:rsid w:val="23B03FD9"/>
    <w:rsid w:val="23B47D53"/>
    <w:rsid w:val="23BA7F5A"/>
    <w:rsid w:val="23C13739"/>
    <w:rsid w:val="23D80061"/>
    <w:rsid w:val="23DC7DDF"/>
    <w:rsid w:val="23E11DA2"/>
    <w:rsid w:val="23E235B0"/>
    <w:rsid w:val="23E25BF3"/>
    <w:rsid w:val="23E47250"/>
    <w:rsid w:val="23E61804"/>
    <w:rsid w:val="23E7247A"/>
    <w:rsid w:val="23F66BE1"/>
    <w:rsid w:val="23F701A9"/>
    <w:rsid w:val="23FF3A34"/>
    <w:rsid w:val="24044813"/>
    <w:rsid w:val="24062D8A"/>
    <w:rsid w:val="240D2E7E"/>
    <w:rsid w:val="240D6543"/>
    <w:rsid w:val="2414034D"/>
    <w:rsid w:val="241C508B"/>
    <w:rsid w:val="241F3B4A"/>
    <w:rsid w:val="2428389C"/>
    <w:rsid w:val="242A574B"/>
    <w:rsid w:val="242C5780"/>
    <w:rsid w:val="2439617A"/>
    <w:rsid w:val="24482C58"/>
    <w:rsid w:val="244A2922"/>
    <w:rsid w:val="244F58C5"/>
    <w:rsid w:val="245005B3"/>
    <w:rsid w:val="24531275"/>
    <w:rsid w:val="24661A7D"/>
    <w:rsid w:val="247339F1"/>
    <w:rsid w:val="248169C6"/>
    <w:rsid w:val="2484410E"/>
    <w:rsid w:val="248F4D47"/>
    <w:rsid w:val="249041C3"/>
    <w:rsid w:val="24934502"/>
    <w:rsid w:val="24940315"/>
    <w:rsid w:val="249604BE"/>
    <w:rsid w:val="24A07A8B"/>
    <w:rsid w:val="24A31E88"/>
    <w:rsid w:val="24A4465D"/>
    <w:rsid w:val="24A83CE3"/>
    <w:rsid w:val="24B41922"/>
    <w:rsid w:val="24BB76DF"/>
    <w:rsid w:val="24C504EE"/>
    <w:rsid w:val="24CB5384"/>
    <w:rsid w:val="24D14521"/>
    <w:rsid w:val="24E164AF"/>
    <w:rsid w:val="24E41B08"/>
    <w:rsid w:val="24E57FD6"/>
    <w:rsid w:val="24E65466"/>
    <w:rsid w:val="24E944A8"/>
    <w:rsid w:val="24EA07BC"/>
    <w:rsid w:val="24F54BAD"/>
    <w:rsid w:val="24F61130"/>
    <w:rsid w:val="24FC5064"/>
    <w:rsid w:val="25015859"/>
    <w:rsid w:val="250B6C88"/>
    <w:rsid w:val="250D16FB"/>
    <w:rsid w:val="251C693C"/>
    <w:rsid w:val="251F0C68"/>
    <w:rsid w:val="25207316"/>
    <w:rsid w:val="252F052A"/>
    <w:rsid w:val="25373204"/>
    <w:rsid w:val="25374B5F"/>
    <w:rsid w:val="253A1C68"/>
    <w:rsid w:val="253C7281"/>
    <w:rsid w:val="253F3BFC"/>
    <w:rsid w:val="25416AA5"/>
    <w:rsid w:val="25551F1D"/>
    <w:rsid w:val="255A4BBE"/>
    <w:rsid w:val="255C0629"/>
    <w:rsid w:val="255E4A9F"/>
    <w:rsid w:val="25627611"/>
    <w:rsid w:val="25636FED"/>
    <w:rsid w:val="25645A54"/>
    <w:rsid w:val="25671538"/>
    <w:rsid w:val="25684A78"/>
    <w:rsid w:val="25761B05"/>
    <w:rsid w:val="25772EBB"/>
    <w:rsid w:val="257A7A06"/>
    <w:rsid w:val="257F0628"/>
    <w:rsid w:val="25832019"/>
    <w:rsid w:val="258777EC"/>
    <w:rsid w:val="259331FE"/>
    <w:rsid w:val="25936B9F"/>
    <w:rsid w:val="25957FF8"/>
    <w:rsid w:val="25972787"/>
    <w:rsid w:val="25982D87"/>
    <w:rsid w:val="259E4EFE"/>
    <w:rsid w:val="25A149AC"/>
    <w:rsid w:val="25AE6649"/>
    <w:rsid w:val="25AF3F32"/>
    <w:rsid w:val="25B00C5C"/>
    <w:rsid w:val="25B22A3B"/>
    <w:rsid w:val="25BA2D11"/>
    <w:rsid w:val="25BA53B9"/>
    <w:rsid w:val="25BD0AD9"/>
    <w:rsid w:val="25C55EE9"/>
    <w:rsid w:val="25C654B7"/>
    <w:rsid w:val="25C70368"/>
    <w:rsid w:val="25C76E87"/>
    <w:rsid w:val="25D97596"/>
    <w:rsid w:val="25E37902"/>
    <w:rsid w:val="25F044F9"/>
    <w:rsid w:val="25F71A0F"/>
    <w:rsid w:val="25F74971"/>
    <w:rsid w:val="26040109"/>
    <w:rsid w:val="26061962"/>
    <w:rsid w:val="260F672F"/>
    <w:rsid w:val="26162EC8"/>
    <w:rsid w:val="26175540"/>
    <w:rsid w:val="261A532B"/>
    <w:rsid w:val="26200FD2"/>
    <w:rsid w:val="262345E3"/>
    <w:rsid w:val="262A4BE3"/>
    <w:rsid w:val="262B3D9B"/>
    <w:rsid w:val="262C56B0"/>
    <w:rsid w:val="262E6827"/>
    <w:rsid w:val="262F455F"/>
    <w:rsid w:val="262F7D17"/>
    <w:rsid w:val="2638392F"/>
    <w:rsid w:val="263A525F"/>
    <w:rsid w:val="263D497E"/>
    <w:rsid w:val="263E6C87"/>
    <w:rsid w:val="2642755C"/>
    <w:rsid w:val="26465E1F"/>
    <w:rsid w:val="264A0CB7"/>
    <w:rsid w:val="264C23B2"/>
    <w:rsid w:val="26507D69"/>
    <w:rsid w:val="2651011A"/>
    <w:rsid w:val="2658349A"/>
    <w:rsid w:val="26590788"/>
    <w:rsid w:val="265D1B10"/>
    <w:rsid w:val="26640280"/>
    <w:rsid w:val="26664CB6"/>
    <w:rsid w:val="266D04E0"/>
    <w:rsid w:val="267920C9"/>
    <w:rsid w:val="267D0DD4"/>
    <w:rsid w:val="2689499B"/>
    <w:rsid w:val="268E2892"/>
    <w:rsid w:val="26900E65"/>
    <w:rsid w:val="269308F5"/>
    <w:rsid w:val="269E02C5"/>
    <w:rsid w:val="26A0140A"/>
    <w:rsid w:val="26A05ED5"/>
    <w:rsid w:val="26A4480F"/>
    <w:rsid w:val="26AB027E"/>
    <w:rsid w:val="26AE73BF"/>
    <w:rsid w:val="26B21017"/>
    <w:rsid w:val="26B3402C"/>
    <w:rsid w:val="26B529D9"/>
    <w:rsid w:val="26B721BF"/>
    <w:rsid w:val="26BD3478"/>
    <w:rsid w:val="26C22FBF"/>
    <w:rsid w:val="26C5427E"/>
    <w:rsid w:val="26C7040D"/>
    <w:rsid w:val="26C73ED3"/>
    <w:rsid w:val="26C91AA2"/>
    <w:rsid w:val="26C92A6E"/>
    <w:rsid w:val="26CB5BEC"/>
    <w:rsid w:val="26D17EE9"/>
    <w:rsid w:val="26D26B3A"/>
    <w:rsid w:val="26DA77DB"/>
    <w:rsid w:val="26E00B90"/>
    <w:rsid w:val="26E70819"/>
    <w:rsid w:val="26F614FF"/>
    <w:rsid w:val="26FB479A"/>
    <w:rsid w:val="26FE578F"/>
    <w:rsid w:val="27085698"/>
    <w:rsid w:val="27147446"/>
    <w:rsid w:val="27167C04"/>
    <w:rsid w:val="2722517B"/>
    <w:rsid w:val="2726309C"/>
    <w:rsid w:val="27325E70"/>
    <w:rsid w:val="27341B93"/>
    <w:rsid w:val="273F0623"/>
    <w:rsid w:val="27411DD0"/>
    <w:rsid w:val="2741491C"/>
    <w:rsid w:val="27430D53"/>
    <w:rsid w:val="27437ADB"/>
    <w:rsid w:val="2746529C"/>
    <w:rsid w:val="274E723E"/>
    <w:rsid w:val="27537702"/>
    <w:rsid w:val="27644968"/>
    <w:rsid w:val="276550C2"/>
    <w:rsid w:val="27661057"/>
    <w:rsid w:val="276A77BD"/>
    <w:rsid w:val="27752950"/>
    <w:rsid w:val="278262E2"/>
    <w:rsid w:val="278611AA"/>
    <w:rsid w:val="278B23EE"/>
    <w:rsid w:val="27911388"/>
    <w:rsid w:val="279657AA"/>
    <w:rsid w:val="2798045F"/>
    <w:rsid w:val="279C7ABE"/>
    <w:rsid w:val="27A11A16"/>
    <w:rsid w:val="27A7087D"/>
    <w:rsid w:val="27AE5060"/>
    <w:rsid w:val="27AF47AA"/>
    <w:rsid w:val="27B52D32"/>
    <w:rsid w:val="27B843A4"/>
    <w:rsid w:val="27C22234"/>
    <w:rsid w:val="27C817BE"/>
    <w:rsid w:val="27D30046"/>
    <w:rsid w:val="27D4336A"/>
    <w:rsid w:val="27DC04B7"/>
    <w:rsid w:val="27E46369"/>
    <w:rsid w:val="27F60128"/>
    <w:rsid w:val="280214E5"/>
    <w:rsid w:val="280329FE"/>
    <w:rsid w:val="28100970"/>
    <w:rsid w:val="28130FC3"/>
    <w:rsid w:val="281C5C13"/>
    <w:rsid w:val="28242AFE"/>
    <w:rsid w:val="282D4DA2"/>
    <w:rsid w:val="283101E9"/>
    <w:rsid w:val="28317756"/>
    <w:rsid w:val="28323D78"/>
    <w:rsid w:val="284327FC"/>
    <w:rsid w:val="284661A2"/>
    <w:rsid w:val="284763CA"/>
    <w:rsid w:val="284C1CF1"/>
    <w:rsid w:val="285259C3"/>
    <w:rsid w:val="285570E5"/>
    <w:rsid w:val="286B1493"/>
    <w:rsid w:val="286D0761"/>
    <w:rsid w:val="286F0F65"/>
    <w:rsid w:val="287721BE"/>
    <w:rsid w:val="28810C2F"/>
    <w:rsid w:val="28832153"/>
    <w:rsid w:val="28845B9F"/>
    <w:rsid w:val="28876550"/>
    <w:rsid w:val="288A0422"/>
    <w:rsid w:val="288C402F"/>
    <w:rsid w:val="288C615D"/>
    <w:rsid w:val="289A71C9"/>
    <w:rsid w:val="289E5F98"/>
    <w:rsid w:val="28A5406D"/>
    <w:rsid w:val="28A90D74"/>
    <w:rsid w:val="28AF56E0"/>
    <w:rsid w:val="28B654B3"/>
    <w:rsid w:val="28BF2E88"/>
    <w:rsid w:val="28C17773"/>
    <w:rsid w:val="28CE7A88"/>
    <w:rsid w:val="28DC22AB"/>
    <w:rsid w:val="28E35480"/>
    <w:rsid w:val="28EE01A4"/>
    <w:rsid w:val="28EE2BD2"/>
    <w:rsid w:val="28F05B5F"/>
    <w:rsid w:val="28F364BD"/>
    <w:rsid w:val="28F5415C"/>
    <w:rsid w:val="2902495E"/>
    <w:rsid w:val="290318A1"/>
    <w:rsid w:val="29034D8E"/>
    <w:rsid w:val="2903673E"/>
    <w:rsid w:val="290D640A"/>
    <w:rsid w:val="290F46EE"/>
    <w:rsid w:val="29125581"/>
    <w:rsid w:val="29177E97"/>
    <w:rsid w:val="291A4C7E"/>
    <w:rsid w:val="291F0427"/>
    <w:rsid w:val="291F593F"/>
    <w:rsid w:val="292A51C1"/>
    <w:rsid w:val="292B2DD6"/>
    <w:rsid w:val="293C79A7"/>
    <w:rsid w:val="29447483"/>
    <w:rsid w:val="29454D6E"/>
    <w:rsid w:val="294F4DA4"/>
    <w:rsid w:val="29521A72"/>
    <w:rsid w:val="295449EC"/>
    <w:rsid w:val="29554FB8"/>
    <w:rsid w:val="29580A24"/>
    <w:rsid w:val="29591EF6"/>
    <w:rsid w:val="295D23DB"/>
    <w:rsid w:val="2962080F"/>
    <w:rsid w:val="2968012F"/>
    <w:rsid w:val="2969051B"/>
    <w:rsid w:val="296F263E"/>
    <w:rsid w:val="297172A8"/>
    <w:rsid w:val="297502D2"/>
    <w:rsid w:val="2983564B"/>
    <w:rsid w:val="2986365A"/>
    <w:rsid w:val="29872DB9"/>
    <w:rsid w:val="29897F36"/>
    <w:rsid w:val="298F2D60"/>
    <w:rsid w:val="299A5939"/>
    <w:rsid w:val="299C2C6B"/>
    <w:rsid w:val="299E2EE4"/>
    <w:rsid w:val="29A0654A"/>
    <w:rsid w:val="29A24CE3"/>
    <w:rsid w:val="29AA12A8"/>
    <w:rsid w:val="29AC5921"/>
    <w:rsid w:val="29B13A4B"/>
    <w:rsid w:val="29B90F1F"/>
    <w:rsid w:val="29BA667D"/>
    <w:rsid w:val="29BE52CE"/>
    <w:rsid w:val="29BF5F2D"/>
    <w:rsid w:val="29C31C7F"/>
    <w:rsid w:val="29DB2E13"/>
    <w:rsid w:val="29DB795F"/>
    <w:rsid w:val="29DE4D98"/>
    <w:rsid w:val="29DF3FB6"/>
    <w:rsid w:val="29F43C64"/>
    <w:rsid w:val="29FA25C8"/>
    <w:rsid w:val="29FD19B7"/>
    <w:rsid w:val="2A0A232D"/>
    <w:rsid w:val="2A0A2774"/>
    <w:rsid w:val="2A0D68AD"/>
    <w:rsid w:val="2A0F336A"/>
    <w:rsid w:val="2A112438"/>
    <w:rsid w:val="2A1808B1"/>
    <w:rsid w:val="2A1C72FC"/>
    <w:rsid w:val="2A1E7273"/>
    <w:rsid w:val="2A2A3042"/>
    <w:rsid w:val="2A3A636E"/>
    <w:rsid w:val="2A4A5617"/>
    <w:rsid w:val="2A4E0052"/>
    <w:rsid w:val="2A5A55D9"/>
    <w:rsid w:val="2A600C3F"/>
    <w:rsid w:val="2A6021EF"/>
    <w:rsid w:val="2A603070"/>
    <w:rsid w:val="2A68057B"/>
    <w:rsid w:val="2A681EB6"/>
    <w:rsid w:val="2A6D6D04"/>
    <w:rsid w:val="2A7A5040"/>
    <w:rsid w:val="2A854C12"/>
    <w:rsid w:val="2A8D0ACE"/>
    <w:rsid w:val="2A94612D"/>
    <w:rsid w:val="2A9A4051"/>
    <w:rsid w:val="2A9C5B40"/>
    <w:rsid w:val="2AA400F4"/>
    <w:rsid w:val="2AA45E35"/>
    <w:rsid w:val="2AAC54BB"/>
    <w:rsid w:val="2AB57FF9"/>
    <w:rsid w:val="2ABA389B"/>
    <w:rsid w:val="2ABA6371"/>
    <w:rsid w:val="2AC329D5"/>
    <w:rsid w:val="2ACC28DA"/>
    <w:rsid w:val="2ACC7B98"/>
    <w:rsid w:val="2AD43DBD"/>
    <w:rsid w:val="2AD855B7"/>
    <w:rsid w:val="2ADA1A67"/>
    <w:rsid w:val="2AE07F71"/>
    <w:rsid w:val="2AE11D66"/>
    <w:rsid w:val="2AEA5E00"/>
    <w:rsid w:val="2AEB102F"/>
    <w:rsid w:val="2AF24565"/>
    <w:rsid w:val="2AFA470A"/>
    <w:rsid w:val="2AFB2B16"/>
    <w:rsid w:val="2B0C20F7"/>
    <w:rsid w:val="2B0F5533"/>
    <w:rsid w:val="2B160A42"/>
    <w:rsid w:val="2B1B65B9"/>
    <w:rsid w:val="2B1C282C"/>
    <w:rsid w:val="2B2706A2"/>
    <w:rsid w:val="2B274543"/>
    <w:rsid w:val="2B28252F"/>
    <w:rsid w:val="2B2C0C53"/>
    <w:rsid w:val="2B2E3857"/>
    <w:rsid w:val="2B341B90"/>
    <w:rsid w:val="2B361E34"/>
    <w:rsid w:val="2B372D58"/>
    <w:rsid w:val="2B3B1DCD"/>
    <w:rsid w:val="2B3C2FC4"/>
    <w:rsid w:val="2B45579C"/>
    <w:rsid w:val="2B461FAE"/>
    <w:rsid w:val="2B46715B"/>
    <w:rsid w:val="2B491C86"/>
    <w:rsid w:val="2B4D31F0"/>
    <w:rsid w:val="2B4F71D5"/>
    <w:rsid w:val="2B527EE3"/>
    <w:rsid w:val="2B5433AC"/>
    <w:rsid w:val="2B580D2F"/>
    <w:rsid w:val="2B581625"/>
    <w:rsid w:val="2B5A4DF0"/>
    <w:rsid w:val="2B5E1A74"/>
    <w:rsid w:val="2B667187"/>
    <w:rsid w:val="2B6B6CC8"/>
    <w:rsid w:val="2B6F75C5"/>
    <w:rsid w:val="2B7D4228"/>
    <w:rsid w:val="2B7D5456"/>
    <w:rsid w:val="2B8A0B70"/>
    <w:rsid w:val="2B8B70C4"/>
    <w:rsid w:val="2B906215"/>
    <w:rsid w:val="2B9576E2"/>
    <w:rsid w:val="2B985550"/>
    <w:rsid w:val="2B9A4D5A"/>
    <w:rsid w:val="2B9F7EC3"/>
    <w:rsid w:val="2BA16F07"/>
    <w:rsid w:val="2BA41CAA"/>
    <w:rsid w:val="2BA45400"/>
    <w:rsid w:val="2BAC2D8E"/>
    <w:rsid w:val="2BBA0680"/>
    <w:rsid w:val="2BC2082C"/>
    <w:rsid w:val="2BC914BC"/>
    <w:rsid w:val="2BD25B6F"/>
    <w:rsid w:val="2BD51CD4"/>
    <w:rsid w:val="2BD950C0"/>
    <w:rsid w:val="2BE90101"/>
    <w:rsid w:val="2BEC51D8"/>
    <w:rsid w:val="2BEE1B09"/>
    <w:rsid w:val="2BEF1A87"/>
    <w:rsid w:val="2BF34343"/>
    <w:rsid w:val="2BF521A3"/>
    <w:rsid w:val="2BF721EB"/>
    <w:rsid w:val="2BF95F42"/>
    <w:rsid w:val="2BF97D7E"/>
    <w:rsid w:val="2BFB4B40"/>
    <w:rsid w:val="2BFF62EF"/>
    <w:rsid w:val="2C01687B"/>
    <w:rsid w:val="2C0368C6"/>
    <w:rsid w:val="2C05500E"/>
    <w:rsid w:val="2C1134D0"/>
    <w:rsid w:val="2C172BF1"/>
    <w:rsid w:val="2C1A05D4"/>
    <w:rsid w:val="2C237B59"/>
    <w:rsid w:val="2C246940"/>
    <w:rsid w:val="2C25692B"/>
    <w:rsid w:val="2C264FC4"/>
    <w:rsid w:val="2C290D81"/>
    <w:rsid w:val="2C2E78B5"/>
    <w:rsid w:val="2C3822AF"/>
    <w:rsid w:val="2C387203"/>
    <w:rsid w:val="2C3C1EC1"/>
    <w:rsid w:val="2C42462B"/>
    <w:rsid w:val="2C4F7878"/>
    <w:rsid w:val="2C5B41CA"/>
    <w:rsid w:val="2C652E54"/>
    <w:rsid w:val="2C704F2D"/>
    <w:rsid w:val="2C7921AD"/>
    <w:rsid w:val="2C7B6102"/>
    <w:rsid w:val="2C7F23AB"/>
    <w:rsid w:val="2C894860"/>
    <w:rsid w:val="2C8A6306"/>
    <w:rsid w:val="2C8D4718"/>
    <w:rsid w:val="2C9D20FF"/>
    <w:rsid w:val="2CA350BE"/>
    <w:rsid w:val="2CA423D8"/>
    <w:rsid w:val="2CA50223"/>
    <w:rsid w:val="2CA96082"/>
    <w:rsid w:val="2CB2036B"/>
    <w:rsid w:val="2CB85977"/>
    <w:rsid w:val="2CBB27FB"/>
    <w:rsid w:val="2CBB5644"/>
    <w:rsid w:val="2CBE1462"/>
    <w:rsid w:val="2CC44205"/>
    <w:rsid w:val="2CC47DED"/>
    <w:rsid w:val="2CC84539"/>
    <w:rsid w:val="2CCF5DDE"/>
    <w:rsid w:val="2CD20135"/>
    <w:rsid w:val="2CD3710B"/>
    <w:rsid w:val="2CD86730"/>
    <w:rsid w:val="2CDA05EC"/>
    <w:rsid w:val="2CDB0944"/>
    <w:rsid w:val="2CE27267"/>
    <w:rsid w:val="2CE42930"/>
    <w:rsid w:val="2CE74D39"/>
    <w:rsid w:val="2CE8150A"/>
    <w:rsid w:val="2CEA1A64"/>
    <w:rsid w:val="2CEF6744"/>
    <w:rsid w:val="2CF20BDC"/>
    <w:rsid w:val="2CF33FD4"/>
    <w:rsid w:val="2D016444"/>
    <w:rsid w:val="2D0B00A7"/>
    <w:rsid w:val="2D0B6221"/>
    <w:rsid w:val="2D0D4369"/>
    <w:rsid w:val="2D12077C"/>
    <w:rsid w:val="2D193406"/>
    <w:rsid w:val="2D194138"/>
    <w:rsid w:val="2D270FD0"/>
    <w:rsid w:val="2D277EFB"/>
    <w:rsid w:val="2D2E2483"/>
    <w:rsid w:val="2D31047C"/>
    <w:rsid w:val="2D3178DC"/>
    <w:rsid w:val="2D324622"/>
    <w:rsid w:val="2D324DB9"/>
    <w:rsid w:val="2D345AA6"/>
    <w:rsid w:val="2D4E3F0C"/>
    <w:rsid w:val="2D646B9E"/>
    <w:rsid w:val="2D6B39C9"/>
    <w:rsid w:val="2D700E9E"/>
    <w:rsid w:val="2D855815"/>
    <w:rsid w:val="2D8835D3"/>
    <w:rsid w:val="2D8C13F0"/>
    <w:rsid w:val="2D905F4D"/>
    <w:rsid w:val="2D965596"/>
    <w:rsid w:val="2D976683"/>
    <w:rsid w:val="2D977534"/>
    <w:rsid w:val="2D9942DA"/>
    <w:rsid w:val="2D9B7AEB"/>
    <w:rsid w:val="2DA93130"/>
    <w:rsid w:val="2DB14C7D"/>
    <w:rsid w:val="2DB27C81"/>
    <w:rsid w:val="2DB54004"/>
    <w:rsid w:val="2DB70397"/>
    <w:rsid w:val="2DC76080"/>
    <w:rsid w:val="2DCB3D94"/>
    <w:rsid w:val="2DD507DF"/>
    <w:rsid w:val="2DDE5214"/>
    <w:rsid w:val="2DDF7B52"/>
    <w:rsid w:val="2DE35338"/>
    <w:rsid w:val="2DE53689"/>
    <w:rsid w:val="2DE67CD4"/>
    <w:rsid w:val="2DE93D92"/>
    <w:rsid w:val="2E063307"/>
    <w:rsid w:val="2E113FBC"/>
    <w:rsid w:val="2E137ADD"/>
    <w:rsid w:val="2E194F3D"/>
    <w:rsid w:val="2E2E5E39"/>
    <w:rsid w:val="2E3E0198"/>
    <w:rsid w:val="2E3F0BEE"/>
    <w:rsid w:val="2E560939"/>
    <w:rsid w:val="2E574D85"/>
    <w:rsid w:val="2E5777A3"/>
    <w:rsid w:val="2E5A7CD6"/>
    <w:rsid w:val="2E5E4E7E"/>
    <w:rsid w:val="2E5E648E"/>
    <w:rsid w:val="2E704C75"/>
    <w:rsid w:val="2E785002"/>
    <w:rsid w:val="2E790DE1"/>
    <w:rsid w:val="2E7D7C1F"/>
    <w:rsid w:val="2E7E38D0"/>
    <w:rsid w:val="2E7F76B7"/>
    <w:rsid w:val="2E8665B7"/>
    <w:rsid w:val="2E9136EE"/>
    <w:rsid w:val="2EB264E2"/>
    <w:rsid w:val="2EB61C7F"/>
    <w:rsid w:val="2EC2356B"/>
    <w:rsid w:val="2EC56BE5"/>
    <w:rsid w:val="2EC6797E"/>
    <w:rsid w:val="2EC703E3"/>
    <w:rsid w:val="2EC71744"/>
    <w:rsid w:val="2ED262C0"/>
    <w:rsid w:val="2EE20386"/>
    <w:rsid w:val="2EEA7D55"/>
    <w:rsid w:val="2EF00893"/>
    <w:rsid w:val="2EF35C2B"/>
    <w:rsid w:val="2EF82AEC"/>
    <w:rsid w:val="2EFA21AC"/>
    <w:rsid w:val="2EFE3E2D"/>
    <w:rsid w:val="2EFF3E52"/>
    <w:rsid w:val="2F08433B"/>
    <w:rsid w:val="2F0B1F3A"/>
    <w:rsid w:val="2F0D7AB0"/>
    <w:rsid w:val="2F136646"/>
    <w:rsid w:val="2F34595E"/>
    <w:rsid w:val="2F3514A6"/>
    <w:rsid w:val="2F363704"/>
    <w:rsid w:val="2F374B91"/>
    <w:rsid w:val="2F413AD5"/>
    <w:rsid w:val="2F49116B"/>
    <w:rsid w:val="2F502E1A"/>
    <w:rsid w:val="2F562AB6"/>
    <w:rsid w:val="2F61762B"/>
    <w:rsid w:val="2F6428AE"/>
    <w:rsid w:val="2F690CA0"/>
    <w:rsid w:val="2F6A2071"/>
    <w:rsid w:val="2F7002C7"/>
    <w:rsid w:val="2F730662"/>
    <w:rsid w:val="2F78101F"/>
    <w:rsid w:val="2F793629"/>
    <w:rsid w:val="2F846F0C"/>
    <w:rsid w:val="2F853097"/>
    <w:rsid w:val="2F8F26F5"/>
    <w:rsid w:val="2F921A4D"/>
    <w:rsid w:val="2F941189"/>
    <w:rsid w:val="2F962068"/>
    <w:rsid w:val="2F9E5E02"/>
    <w:rsid w:val="2FA81F84"/>
    <w:rsid w:val="2FA87A96"/>
    <w:rsid w:val="2FA92ACB"/>
    <w:rsid w:val="2FB30E01"/>
    <w:rsid w:val="2FBB1A6E"/>
    <w:rsid w:val="2FBC3413"/>
    <w:rsid w:val="2FC12E0D"/>
    <w:rsid w:val="2FC57321"/>
    <w:rsid w:val="2FC904CD"/>
    <w:rsid w:val="2FD32C7E"/>
    <w:rsid w:val="2FD3657A"/>
    <w:rsid w:val="2FD77648"/>
    <w:rsid w:val="2FD91708"/>
    <w:rsid w:val="2FDD2E8E"/>
    <w:rsid w:val="2FDE3125"/>
    <w:rsid w:val="2FDF5DCD"/>
    <w:rsid w:val="2FE505AF"/>
    <w:rsid w:val="2FE96982"/>
    <w:rsid w:val="2FED2320"/>
    <w:rsid w:val="2FF11388"/>
    <w:rsid w:val="2FF22990"/>
    <w:rsid w:val="2FF26D11"/>
    <w:rsid w:val="2FF3094F"/>
    <w:rsid w:val="2FF954CE"/>
    <w:rsid w:val="2FFD0C0E"/>
    <w:rsid w:val="2FFF2318"/>
    <w:rsid w:val="30070A97"/>
    <w:rsid w:val="300D0026"/>
    <w:rsid w:val="300D20E3"/>
    <w:rsid w:val="300D36B9"/>
    <w:rsid w:val="300F3090"/>
    <w:rsid w:val="3013125C"/>
    <w:rsid w:val="301B2328"/>
    <w:rsid w:val="301E67E0"/>
    <w:rsid w:val="302241FA"/>
    <w:rsid w:val="30225849"/>
    <w:rsid w:val="30253FFF"/>
    <w:rsid w:val="302C31E0"/>
    <w:rsid w:val="303201C5"/>
    <w:rsid w:val="30322E5C"/>
    <w:rsid w:val="30396D27"/>
    <w:rsid w:val="303E63E8"/>
    <w:rsid w:val="3041280A"/>
    <w:rsid w:val="3044003E"/>
    <w:rsid w:val="30455CDD"/>
    <w:rsid w:val="30505F70"/>
    <w:rsid w:val="30532754"/>
    <w:rsid w:val="305459B8"/>
    <w:rsid w:val="305703F6"/>
    <w:rsid w:val="305E4539"/>
    <w:rsid w:val="305F0CE4"/>
    <w:rsid w:val="305F4D2D"/>
    <w:rsid w:val="30645CFC"/>
    <w:rsid w:val="30665E9F"/>
    <w:rsid w:val="30675208"/>
    <w:rsid w:val="306A5C04"/>
    <w:rsid w:val="306B4A80"/>
    <w:rsid w:val="306C7EFE"/>
    <w:rsid w:val="3072328C"/>
    <w:rsid w:val="30776CA6"/>
    <w:rsid w:val="30782E8F"/>
    <w:rsid w:val="30787874"/>
    <w:rsid w:val="307D24DF"/>
    <w:rsid w:val="30833D57"/>
    <w:rsid w:val="309A0B31"/>
    <w:rsid w:val="309F2410"/>
    <w:rsid w:val="30A57B99"/>
    <w:rsid w:val="30AB4B84"/>
    <w:rsid w:val="30B141D5"/>
    <w:rsid w:val="30B556A1"/>
    <w:rsid w:val="30B62E45"/>
    <w:rsid w:val="30B97331"/>
    <w:rsid w:val="30BA5619"/>
    <w:rsid w:val="30BA6D63"/>
    <w:rsid w:val="30BB7213"/>
    <w:rsid w:val="30C13E44"/>
    <w:rsid w:val="30C23A3B"/>
    <w:rsid w:val="30C569DB"/>
    <w:rsid w:val="30CF3F06"/>
    <w:rsid w:val="30D6503C"/>
    <w:rsid w:val="30DE6F2C"/>
    <w:rsid w:val="30DF2262"/>
    <w:rsid w:val="30E24933"/>
    <w:rsid w:val="30E9446C"/>
    <w:rsid w:val="30ED69B7"/>
    <w:rsid w:val="30F133A4"/>
    <w:rsid w:val="30F5319F"/>
    <w:rsid w:val="30F859A5"/>
    <w:rsid w:val="30FD4ABF"/>
    <w:rsid w:val="30FD7DD0"/>
    <w:rsid w:val="31083396"/>
    <w:rsid w:val="310C35ED"/>
    <w:rsid w:val="310D031B"/>
    <w:rsid w:val="310D2AD3"/>
    <w:rsid w:val="31186793"/>
    <w:rsid w:val="311B69AC"/>
    <w:rsid w:val="312E1607"/>
    <w:rsid w:val="31353564"/>
    <w:rsid w:val="313804BA"/>
    <w:rsid w:val="313B3958"/>
    <w:rsid w:val="31496258"/>
    <w:rsid w:val="314B0B14"/>
    <w:rsid w:val="31505C38"/>
    <w:rsid w:val="31594B69"/>
    <w:rsid w:val="315B0515"/>
    <w:rsid w:val="31607AF5"/>
    <w:rsid w:val="316B6CEE"/>
    <w:rsid w:val="31705839"/>
    <w:rsid w:val="3182440D"/>
    <w:rsid w:val="3184785D"/>
    <w:rsid w:val="31860FCC"/>
    <w:rsid w:val="31881438"/>
    <w:rsid w:val="318C3787"/>
    <w:rsid w:val="31913A69"/>
    <w:rsid w:val="31922F44"/>
    <w:rsid w:val="319529C1"/>
    <w:rsid w:val="31986595"/>
    <w:rsid w:val="319B3CAA"/>
    <w:rsid w:val="319C66CB"/>
    <w:rsid w:val="319F3C44"/>
    <w:rsid w:val="31A474A9"/>
    <w:rsid w:val="31B01187"/>
    <w:rsid w:val="31B36D87"/>
    <w:rsid w:val="31B70966"/>
    <w:rsid w:val="31B9446A"/>
    <w:rsid w:val="31D136F3"/>
    <w:rsid w:val="31DA7CEA"/>
    <w:rsid w:val="31E808AC"/>
    <w:rsid w:val="31ED3136"/>
    <w:rsid w:val="31F1781D"/>
    <w:rsid w:val="31F7640F"/>
    <w:rsid w:val="31FB7C11"/>
    <w:rsid w:val="31FD406A"/>
    <w:rsid w:val="31FE2FC8"/>
    <w:rsid w:val="31FE62BE"/>
    <w:rsid w:val="3204711A"/>
    <w:rsid w:val="32064398"/>
    <w:rsid w:val="32066C5B"/>
    <w:rsid w:val="32086512"/>
    <w:rsid w:val="320B703A"/>
    <w:rsid w:val="3214416F"/>
    <w:rsid w:val="3216466A"/>
    <w:rsid w:val="321743EE"/>
    <w:rsid w:val="321C7DE3"/>
    <w:rsid w:val="322135E0"/>
    <w:rsid w:val="322C6812"/>
    <w:rsid w:val="322D4853"/>
    <w:rsid w:val="32415501"/>
    <w:rsid w:val="324276A3"/>
    <w:rsid w:val="32440A8B"/>
    <w:rsid w:val="324639D0"/>
    <w:rsid w:val="32472605"/>
    <w:rsid w:val="32480E0D"/>
    <w:rsid w:val="32484049"/>
    <w:rsid w:val="325719E8"/>
    <w:rsid w:val="325E6DEC"/>
    <w:rsid w:val="326170B4"/>
    <w:rsid w:val="3264531C"/>
    <w:rsid w:val="3265269F"/>
    <w:rsid w:val="32665466"/>
    <w:rsid w:val="326B38EB"/>
    <w:rsid w:val="32734D13"/>
    <w:rsid w:val="327D79D8"/>
    <w:rsid w:val="32872592"/>
    <w:rsid w:val="32892A4B"/>
    <w:rsid w:val="328F012C"/>
    <w:rsid w:val="329521C6"/>
    <w:rsid w:val="329A4D91"/>
    <w:rsid w:val="32AB0069"/>
    <w:rsid w:val="32B736BD"/>
    <w:rsid w:val="32B75AFA"/>
    <w:rsid w:val="32B865A2"/>
    <w:rsid w:val="32BA3AFE"/>
    <w:rsid w:val="32BE23D7"/>
    <w:rsid w:val="32BE6E92"/>
    <w:rsid w:val="32C522C6"/>
    <w:rsid w:val="32CE348B"/>
    <w:rsid w:val="32DF641E"/>
    <w:rsid w:val="32E70824"/>
    <w:rsid w:val="32FE6CC1"/>
    <w:rsid w:val="330E2F53"/>
    <w:rsid w:val="33114756"/>
    <w:rsid w:val="331F2416"/>
    <w:rsid w:val="33291ECF"/>
    <w:rsid w:val="33331F50"/>
    <w:rsid w:val="333B39A9"/>
    <w:rsid w:val="333D5F2F"/>
    <w:rsid w:val="33422255"/>
    <w:rsid w:val="33435FD9"/>
    <w:rsid w:val="3345063A"/>
    <w:rsid w:val="33461261"/>
    <w:rsid w:val="33482D94"/>
    <w:rsid w:val="335121B9"/>
    <w:rsid w:val="33554305"/>
    <w:rsid w:val="335544F7"/>
    <w:rsid w:val="335E7AF0"/>
    <w:rsid w:val="336368F4"/>
    <w:rsid w:val="3371608F"/>
    <w:rsid w:val="337829B0"/>
    <w:rsid w:val="33795744"/>
    <w:rsid w:val="337A0742"/>
    <w:rsid w:val="337C03BB"/>
    <w:rsid w:val="337C0BAD"/>
    <w:rsid w:val="337C6F14"/>
    <w:rsid w:val="338011F5"/>
    <w:rsid w:val="33835519"/>
    <w:rsid w:val="3386065A"/>
    <w:rsid w:val="338B1E54"/>
    <w:rsid w:val="338C7DE7"/>
    <w:rsid w:val="338F53F3"/>
    <w:rsid w:val="33923816"/>
    <w:rsid w:val="33943426"/>
    <w:rsid w:val="33960E31"/>
    <w:rsid w:val="339766EC"/>
    <w:rsid w:val="33991E6C"/>
    <w:rsid w:val="339E71BE"/>
    <w:rsid w:val="33A07FCF"/>
    <w:rsid w:val="33A13F7B"/>
    <w:rsid w:val="33A22E78"/>
    <w:rsid w:val="33A552BA"/>
    <w:rsid w:val="33A8589B"/>
    <w:rsid w:val="33A8606E"/>
    <w:rsid w:val="33A932A0"/>
    <w:rsid w:val="33B939E5"/>
    <w:rsid w:val="33B95F01"/>
    <w:rsid w:val="33B96650"/>
    <w:rsid w:val="33BF1D10"/>
    <w:rsid w:val="33C07D0A"/>
    <w:rsid w:val="33D146FB"/>
    <w:rsid w:val="33D321E8"/>
    <w:rsid w:val="33D71CD1"/>
    <w:rsid w:val="33DE0862"/>
    <w:rsid w:val="33E170B6"/>
    <w:rsid w:val="33E541A9"/>
    <w:rsid w:val="33E93BB1"/>
    <w:rsid w:val="33F75282"/>
    <w:rsid w:val="33FB6405"/>
    <w:rsid w:val="33FC481B"/>
    <w:rsid w:val="3402383D"/>
    <w:rsid w:val="340A53E6"/>
    <w:rsid w:val="34110143"/>
    <w:rsid w:val="34124948"/>
    <w:rsid w:val="341B0F17"/>
    <w:rsid w:val="34223F33"/>
    <w:rsid w:val="342A0094"/>
    <w:rsid w:val="342E505E"/>
    <w:rsid w:val="34323AED"/>
    <w:rsid w:val="3435146C"/>
    <w:rsid w:val="34367751"/>
    <w:rsid w:val="34400E6A"/>
    <w:rsid w:val="34414B42"/>
    <w:rsid w:val="34457A14"/>
    <w:rsid w:val="344622C1"/>
    <w:rsid w:val="34476BB2"/>
    <w:rsid w:val="34517714"/>
    <w:rsid w:val="345B4581"/>
    <w:rsid w:val="34650515"/>
    <w:rsid w:val="346E1392"/>
    <w:rsid w:val="347252B6"/>
    <w:rsid w:val="347362F2"/>
    <w:rsid w:val="347D671E"/>
    <w:rsid w:val="348A1DB8"/>
    <w:rsid w:val="348E51D1"/>
    <w:rsid w:val="349441F0"/>
    <w:rsid w:val="34980D1E"/>
    <w:rsid w:val="34A657EC"/>
    <w:rsid w:val="34AD025C"/>
    <w:rsid w:val="34B033E7"/>
    <w:rsid w:val="34B8312F"/>
    <w:rsid w:val="34B97C28"/>
    <w:rsid w:val="34BD350C"/>
    <w:rsid w:val="34BF74EA"/>
    <w:rsid w:val="34C03C3B"/>
    <w:rsid w:val="34D766B0"/>
    <w:rsid w:val="34DB2B4D"/>
    <w:rsid w:val="34DF52FF"/>
    <w:rsid w:val="34E16316"/>
    <w:rsid w:val="34E467C1"/>
    <w:rsid w:val="34E57E10"/>
    <w:rsid w:val="34E75F12"/>
    <w:rsid w:val="34F32500"/>
    <w:rsid w:val="350623F2"/>
    <w:rsid w:val="3509715C"/>
    <w:rsid w:val="350A5CF4"/>
    <w:rsid w:val="350E3840"/>
    <w:rsid w:val="35152095"/>
    <w:rsid w:val="35177EC5"/>
    <w:rsid w:val="351F2F82"/>
    <w:rsid w:val="352C0860"/>
    <w:rsid w:val="352D3D79"/>
    <w:rsid w:val="352F1309"/>
    <w:rsid w:val="35304F9E"/>
    <w:rsid w:val="3535293E"/>
    <w:rsid w:val="353555C2"/>
    <w:rsid w:val="3536502B"/>
    <w:rsid w:val="353665BD"/>
    <w:rsid w:val="35377C6A"/>
    <w:rsid w:val="353B726B"/>
    <w:rsid w:val="355610B1"/>
    <w:rsid w:val="355B5CE6"/>
    <w:rsid w:val="355B65B2"/>
    <w:rsid w:val="355D4F81"/>
    <w:rsid w:val="3567202C"/>
    <w:rsid w:val="35705AE4"/>
    <w:rsid w:val="3575729B"/>
    <w:rsid w:val="35793904"/>
    <w:rsid w:val="35824905"/>
    <w:rsid w:val="35843F72"/>
    <w:rsid w:val="35887E0B"/>
    <w:rsid w:val="35970273"/>
    <w:rsid w:val="35A628BF"/>
    <w:rsid w:val="35A8616F"/>
    <w:rsid w:val="35AA6527"/>
    <w:rsid w:val="35AC4C37"/>
    <w:rsid w:val="35AC7061"/>
    <w:rsid w:val="35B3248C"/>
    <w:rsid w:val="35B6567C"/>
    <w:rsid w:val="35BB1693"/>
    <w:rsid w:val="35C1500F"/>
    <w:rsid w:val="35C66578"/>
    <w:rsid w:val="35C74E47"/>
    <w:rsid w:val="35C93FD1"/>
    <w:rsid w:val="35D1349F"/>
    <w:rsid w:val="35D664A6"/>
    <w:rsid w:val="35DD7CE9"/>
    <w:rsid w:val="35DF42E6"/>
    <w:rsid w:val="35E03A85"/>
    <w:rsid w:val="35E24DF5"/>
    <w:rsid w:val="35EB2A94"/>
    <w:rsid w:val="35EE0BFA"/>
    <w:rsid w:val="35F4731E"/>
    <w:rsid w:val="35FC0320"/>
    <w:rsid w:val="35FC78A0"/>
    <w:rsid w:val="35FF463C"/>
    <w:rsid w:val="36003B93"/>
    <w:rsid w:val="36033597"/>
    <w:rsid w:val="360D4DD7"/>
    <w:rsid w:val="361124A4"/>
    <w:rsid w:val="36132896"/>
    <w:rsid w:val="36251E52"/>
    <w:rsid w:val="36280F4A"/>
    <w:rsid w:val="3631257E"/>
    <w:rsid w:val="363407F7"/>
    <w:rsid w:val="363627D3"/>
    <w:rsid w:val="3638445C"/>
    <w:rsid w:val="3639405A"/>
    <w:rsid w:val="36400122"/>
    <w:rsid w:val="364104F9"/>
    <w:rsid w:val="364A0E13"/>
    <w:rsid w:val="364D39D1"/>
    <w:rsid w:val="36507124"/>
    <w:rsid w:val="365612E8"/>
    <w:rsid w:val="36572A0A"/>
    <w:rsid w:val="365C69CB"/>
    <w:rsid w:val="36611770"/>
    <w:rsid w:val="36612B90"/>
    <w:rsid w:val="36631030"/>
    <w:rsid w:val="366513C8"/>
    <w:rsid w:val="36692433"/>
    <w:rsid w:val="367A6999"/>
    <w:rsid w:val="367C18A6"/>
    <w:rsid w:val="3686608C"/>
    <w:rsid w:val="368A7B73"/>
    <w:rsid w:val="369D01F1"/>
    <w:rsid w:val="36A718B7"/>
    <w:rsid w:val="36AD62EF"/>
    <w:rsid w:val="36B5246B"/>
    <w:rsid w:val="36BB65E5"/>
    <w:rsid w:val="36BD0318"/>
    <w:rsid w:val="36C142BF"/>
    <w:rsid w:val="36C721CA"/>
    <w:rsid w:val="36CA1F25"/>
    <w:rsid w:val="36CD6F80"/>
    <w:rsid w:val="36D87F8B"/>
    <w:rsid w:val="36DE0951"/>
    <w:rsid w:val="36DF0488"/>
    <w:rsid w:val="36E1021E"/>
    <w:rsid w:val="36E2496E"/>
    <w:rsid w:val="36EE1400"/>
    <w:rsid w:val="36F210B1"/>
    <w:rsid w:val="36FA6519"/>
    <w:rsid w:val="36FB1BE5"/>
    <w:rsid w:val="36FD5A14"/>
    <w:rsid w:val="36FE2445"/>
    <w:rsid w:val="37007AC7"/>
    <w:rsid w:val="3701689B"/>
    <w:rsid w:val="370B66CC"/>
    <w:rsid w:val="370F0884"/>
    <w:rsid w:val="371D1C1E"/>
    <w:rsid w:val="371F5B4E"/>
    <w:rsid w:val="371F6EDC"/>
    <w:rsid w:val="372A09FA"/>
    <w:rsid w:val="37330115"/>
    <w:rsid w:val="373529C0"/>
    <w:rsid w:val="37355EC1"/>
    <w:rsid w:val="37363185"/>
    <w:rsid w:val="373D0941"/>
    <w:rsid w:val="373F75C8"/>
    <w:rsid w:val="374008E5"/>
    <w:rsid w:val="37512525"/>
    <w:rsid w:val="3752168D"/>
    <w:rsid w:val="37543081"/>
    <w:rsid w:val="375A58F4"/>
    <w:rsid w:val="375F2D0C"/>
    <w:rsid w:val="37614DFB"/>
    <w:rsid w:val="376B4FBE"/>
    <w:rsid w:val="37755F37"/>
    <w:rsid w:val="377B3331"/>
    <w:rsid w:val="37807A1C"/>
    <w:rsid w:val="378323D9"/>
    <w:rsid w:val="37866CAA"/>
    <w:rsid w:val="378E3BE4"/>
    <w:rsid w:val="37917C60"/>
    <w:rsid w:val="37923B00"/>
    <w:rsid w:val="37956A45"/>
    <w:rsid w:val="379837CA"/>
    <w:rsid w:val="37994C24"/>
    <w:rsid w:val="379F432D"/>
    <w:rsid w:val="37A4695E"/>
    <w:rsid w:val="37A87E4E"/>
    <w:rsid w:val="37AA79A3"/>
    <w:rsid w:val="37AE7634"/>
    <w:rsid w:val="37B153B2"/>
    <w:rsid w:val="37B253AC"/>
    <w:rsid w:val="37B73B33"/>
    <w:rsid w:val="37C87091"/>
    <w:rsid w:val="37D42B5B"/>
    <w:rsid w:val="37E11252"/>
    <w:rsid w:val="37E8004A"/>
    <w:rsid w:val="37F048A0"/>
    <w:rsid w:val="37F27E10"/>
    <w:rsid w:val="37F6293D"/>
    <w:rsid w:val="37FD1CC4"/>
    <w:rsid w:val="38050275"/>
    <w:rsid w:val="38050927"/>
    <w:rsid w:val="381165AC"/>
    <w:rsid w:val="381711FB"/>
    <w:rsid w:val="38283CA5"/>
    <w:rsid w:val="382932C1"/>
    <w:rsid w:val="382A51FA"/>
    <w:rsid w:val="382F4B08"/>
    <w:rsid w:val="38312A30"/>
    <w:rsid w:val="38350324"/>
    <w:rsid w:val="383B3D88"/>
    <w:rsid w:val="383B53FE"/>
    <w:rsid w:val="383D58E5"/>
    <w:rsid w:val="384B60D9"/>
    <w:rsid w:val="38514C16"/>
    <w:rsid w:val="38526F11"/>
    <w:rsid w:val="3853778F"/>
    <w:rsid w:val="38544E85"/>
    <w:rsid w:val="385A1A47"/>
    <w:rsid w:val="38605BE7"/>
    <w:rsid w:val="386A349C"/>
    <w:rsid w:val="386F57B7"/>
    <w:rsid w:val="387845AF"/>
    <w:rsid w:val="38A00A0E"/>
    <w:rsid w:val="38A23923"/>
    <w:rsid w:val="38A81139"/>
    <w:rsid w:val="38A83ADF"/>
    <w:rsid w:val="38B10FD3"/>
    <w:rsid w:val="38B30542"/>
    <w:rsid w:val="38B361AC"/>
    <w:rsid w:val="38BF21DB"/>
    <w:rsid w:val="38CE4F70"/>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45785"/>
    <w:rsid w:val="392635CF"/>
    <w:rsid w:val="392876F4"/>
    <w:rsid w:val="392A377B"/>
    <w:rsid w:val="393120C7"/>
    <w:rsid w:val="39362E41"/>
    <w:rsid w:val="39382143"/>
    <w:rsid w:val="393E362D"/>
    <w:rsid w:val="394343F4"/>
    <w:rsid w:val="39462487"/>
    <w:rsid w:val="395E6FAD"/>
    <w:rsid w:val="396252C6"/>
    <w:rsid w:val="396670AD"/>
    <w:rsid w:val="396C6E6C"/>
    <w:rsid w:val="396D0C84"/>
    <w:rsid w:val="397F27D6"/>
    <w:rsid w:val="39882673"/>
    <w:rsid w:val="39884ADB"/>
    <w:rsid w:val="39934A81"/>
    <w:rsid w:val="39942C55"/>
    <w:rsid w:val="39980102"/>
    <w:rsid w:val="399E263C"/>
    <w:rsid w:val="399F0B08"/>
    <w:rsid w:val="39A21AD0"/>
    <w:rsid w:val="39A6256B"/>
    <w:rsid w:val="39AE1A04"/>
    <w:rsid w:val="39B54FFE"/>
    <w:rsid w:val="39B72A57"/>
    <w:rsid w:val="39B7679D"/>
    <w:rsid w:val="39C550B5"/>
    <w:rsid w:val="39C62DFD"/>
    <w:rsid w:val="39CE51AC"/>
    <w:rsid w:val="39DC14C7"/>
    <w:rsid w:val="39DC32CF"/>
    <w:rsid w:val="39DC5B33"/>
    <w:rsid w:val="39E24BF4"/>
    <w:rsid w:val="39E53811"/>
    <w:rsid w:val="39EF3377"/>
    <w:rsid w:val="39F26CF0"/>
    <w:rsid w:val="39F34995"/>
    <w:rsid w:val="39F63CA8"/>
    <w:rsid w:val="39FA48EB"/>
    <w:rsid w:val="3A0C76D7"/>
    <w:rsid w:val="3A127640"/>
    <w:rsid w:val="3A19194C"/>
    <w:rsid w:val="3A1C3C03"/>
    <w:rsid w:val="3A1E479F"/>
    <w:rsid w:val="3A20409A"/>
    <w:rsid w:val="3A204AEC"/>
    <w:rsid w:val="3A2200E6"/>
    <w:rsid w:val="3A233648"/>
    <w:rsid w:val="3A26059F"/>
    <w:rsid w:val="3A2D4580"/>
    <w:rsid w:val="3A301DC2"/>
    <w:rsid w:val="3A332DBF"/>
    <w:rsid w:val="3A3C0AED"/>
    <w:rsid w:val="3A3E0D77"/>
    <w:rsid w:val="3A435D58"/>
    <w:rsid w:val="3A450D78"/>
    <w:rsid w:val="3A4E34CE"/>
    <w:rsid w:val="3A504D64"/>
    <w:rsid w:val="3A537FC2"/>
    <w:rsid w:val="3A5610C1"/>
    <w:rsid w:val="3A5E3A84"/>
    <w:rsid w:val="3A6234A0"/>
    <w:rsid w:val="3A627DF4"/>
    <w:rsid w:val="3A757CE1"/>
    <w:rsid w:val="3A791CD8"/>
    <w:rsid w:val="3A7D27E0"/>
    <w:rsid w:val="3A7E250A"/>
    <w:rsid w:val="3A7E4600"/>
    <w:rsid w:val="3A8025FB"/>
    <w:rsid w:val="3A811C2A"/>
    <w:rsid w:val="3A895FAF"/>
    <w:rsid w:val="3A8E40EE"/>
    <w:rsid w:val="3A924BA5"/>
    <w:rsid w:val="3A9611FB"/>
    <w:rsid w:val="3AA23444"/>
    <w:rsid w:val="3AA819F5"/>
    <w:rsid w:val="3AAB1F91"/>
    <w:rsid w:val="3AAF39DD"/>
    <w:rsid w:val="3AB06356"/>
    <w:rsid w:val="3AC20A9E"/>
    <w:rsid w:val="3ACA5143"/>
    <w:rsid w:val="3ACC7E1E"/>
    <w:rsid w:val="3AD402AB"/>
    <w:rsid w:val="3AD63FB4"/>
    <w:rsid w:val="3ADC43DB"/>
    <w:rsid w:val="3AE86776"/>
    <w:rsid w:val="3AEB018A"/>
    <w:rsid w:val="3AEC323C"/>
    <w:rsid w:val="3AF45B1A"/>
    <w:rsid w:val="3B000900"/>
    <w:rsid w:val="3B047A2C"/>
    <w:rsid w:val="3B0D012B"/>
    <w:rsid w:val="3B101F22"/>
    <w:rsid w:val="3B124C1B"/>
    <w:rsid w:val="3B144FE3"/>
    <w:rsid w:val="3B16679D"/>
    <w:rsid w:val="3B1725D5"/>
    <w:rsid w:val="3B1A4DA5"/>
    <w:rsid w:val="3B1B785B"/>
    <w:rsid w:val="3B1C697E"/>
    <w:rsid w:val="3B2A3136"/>
    <w:rsid w:val="3B2B31E1"/>
    <w:rsid w:val="3B3245B6"/>
    <w:rsid w:val="3B3A0D43"/>
    <w:rsid w:val="3B3D761C"/>
    <w:rsid w:val="3B3E7BB5"/>
    <w:rsid w:val="3B43293D"/>
    <w:rsid w:val="3B4604BD"/>
    <w:rsid w:val="3B5C2AF9"/>
    <w:rsid w:val="3B5F7EA1"/>
    <w:rsid w:val="3B622EBC"/>
    <w:rsid w:val="3B697A40"/>
    <w:rsid w:val="3B733F3E"/>
    <w:rsid w:val="3B7B6258"/>
    <w:rsid w:val="3B7C16F1"/>
    <w:rsid w:val="3B7D36E1"/>
    <w:rsid w:val="3B8A52AF"/>
    <w:rsid w:val="3B8A6A1F"/>
    <w:rsid w:val="3B8D5E46"/>
    <w:rsid w:val="3B910482"/>
    <w:rsid w:val="3B9B6F13"/>
    <w:rsid w:val="3B9C1E21"/>
    <w:rsid w:val="3B9F7EA4"/>
    <w:rsid w:val="3BA842D6"/>
    <w:rsid w:val="3BAA0FE0"/>
    <w:rsid w:val="3BB0575A"/>
    <w:rsid w:val="3BB16615"/>
    <w:rsid w:val="3BB73D26"/>
    <w:rsid w:val="3BB74678"/>
    <w:rsid w:val="3BBB0F70"/>
    <w:rsid w:val="3BBD1447"/>
    <w:rsid w:val="3BC05AA5"/>
    <w:rsid w:val="3BCE0130"/>
    <w:rsid w:val="3BD02F15"/>
    <w:rsid w:val="3BDA02C1"/>
    <w:rsid w:val="3BDC6833"/>
    <w:rsid w:val="3BE5760A"/>
    <w:rsid w:val="3BED1959"/>
    <w:rsid w:val="3BED69ED"/>
    <w:rsid w:val="3BEF5257"/>
    <w:rsid w:val="3BF736C7"/>
    <w:rsid w:val="3BF91A21"/>
    <w:rsid w:val="3BFD170B"/>
    <w:rsid w:val="3C04103F"/>
    <w:rsid w:val="3C0D316D"/>
    <w:rsid w:val="3C0D7EBC"/>
    <w:rsid w:val="3C130B57"/>
    <w:rsid w:val="3C175DDC"/>
    <w:rsid w:val="3C176715"/>
    <w:rsid w:val="3C190282"/>
    <w:rsid w:val="3C1E20BB"/>
    <w:rsid w:val="3C1E2C2E"/>
    <w:rsid w:val="3C20170F"/>
    <w:rsid w:val="3C35789E"/>
    <w:rsid w:val="3C3A17EA"/>
    <w:rsid w:val="3C3E6D60"/>
    <w:rsid w:val="3C423509"/>
    <w:rsid w:val="3C441041"/>
    <w:rsid w:val="3C4A5E84"/>
    <w:rsid w:val="3C4D4524"/>
    <w:rsid w:val="3C5639DE"/>
    <w:rsid w:val="3C570CB3"/>
    <w:rsid w:val="3C571C05"/>
    <w:rsid w:val="3C5D634D"/>
    <w:rsid w:val="3C6167B0"/>
    <w:rsid w:val="3C630218"/>
    <w:rsid w:val="3C64352B"/>
    <w:rsid w:val="3C672E2C"/>
    <w:rsid w:val="3C6B0FA1"/>
    <w:rsid w:val="3C711833"/>
    <w:rsid w:val="3C731673"/>
    <w:rsid w:val="3C764FC0"/>
    <w:rsid w:val="3C8011E5"/>
    <w:rsid w:val="3C806767"/>
    <w:rsid w:val="3C89192E"/>
    <w:rsid w:val="3C8B3A72"/>
    <w:rsid w:val="3C8B5507"/>
    <w:rsid w:val="3C8D58BE"/>
    <w:rsid w:val="3C8E5FED"/>
    <w:rsid w:val="3C936A98"/>
    <w:rsid w:val="3C973C0D"/>
    <w:rsid w:val="3C9D787A"/>
    <w:rsid w:val="3C9E20B1"/>
    <w:rsid w:val="3CB53A65"/>
    <w:rsid w:val="3CC102AC"/>
    <w:rsid w:val="3CCA2038"/>
    <w:rsid w:val="3CE03742"/>
    <w:rsid w:val="3CE360F2"/>
    <w:rsid w:val="3CE543AA"/>
    <w:rsid w:val="3CEE5C15"/>
    <w:rsid w:val="3CF5496B"/>
    <w:rsid w:val="3D01019C"/>
    <w:rsid w:val="3D046821"/>
    <w:rsid w:val="3D056133"/>
    <w:rsid w:val="3D080C20"/>
    <w:rsid w:val="3D0B5557"/>
    <w:rsid w:val="3D115586"/>
    <w:rsid w:val="3D197739"/>
    <w:rsid w:val="3D252152"/>
    <w:rsid w:val="3D2871B7"/>
    <w:rsid w:val="3D2B2775"/>
    <w:rsid w:val="3D317F54"/>
    <w:rsid w:val="3D371B22"/>
    <w:rsid w:val="3D372F70"/>
    <w:rsid w:val="3D3B5E88"/>
    <w:rsid w:val="3D454D0B"/>
    <w:rsid w:val="3D500385"/>
    <w:rsid w:val="3D576CFB"/>
    <w:rsid w:val="3D585DE3"/>
    <w:rsid w:val="3D5A44CB"/>
    <w:rsid w:val="3D5B5A4A"/>
    <w:rsid w:val="3D6025AF"/>
    <w:rsid w:val="3D6052EA"/>
    <w:rsid w:val="3D636B57"/>
    <w:rsid w:val="3D647CD4"/>
    <w:rsid w:val="3D753B2D"/>
    <w:rsid w:val="3D7A3484"/>
    <w:rsid w:val="3D7B49B3"/>
    <w:rsid w:val="3D823486"/>
    <w:rsid w:val="3D84454D"/>
    <w:rsid w:val="3D8720EB"/>
    <w:rsid w:val="3D8A124D"/>
    <w:rsid w:val="3D8C2D13"/>
    <w:rsid w:val="3D8D259B"/>
    <w:rsid w:val="3D8D2E74"/>
    <w:rsid w:val="3D940183"/>
    <w:rsid w:val="3D94569F"/>
    <w:rsid w:val="3DA64C20"/>
    <w:rsid w:val="3DB328C2"/>
    <w:rsid w:val="3DB623E9"/>
    <w:rsid w:val="3DB80D25"/>
    <w:rsid w:val="3DB87BDB"/>
    <w:rsid w:val="3DC91456"/>
    <w:rsid w:val="3DCC12F0"/>
    <w:rsid w:val="3DE41CDC"/>
    <w:rsid w:val="3DE85142"/>
    <w:rsid w:val="3DEA57F4"/>
    <w:rsid w:val="3DEB52FD"/>
    <w:rsid w:val="3DFC38E9"/>
    <w:rsid w:val="3E016AE6"/>
    <w:rsid w:val="3E07625B"/>
    <w:rsid w:val="3E0B659D"/>
    <w:rsid w:val="3E1724A0"/>
    <w:rsid w:val="3E187D1F"/>
    <w:rsid w:val="3E1C27F5"/>
    <w:rsid w:val="3E1C3525"/>
    <w:rsid w:val="3E200B4B"/>
    <w:rsid w:val="3E225DB0"/>
    <w:rsid w:val="3E2658AC"/>
    <w:rsid w:val="3E2B1230"/>
    <w:rsid w:val="3E3A1D40"/>
    <w:rsid w:val="3E3D069E"/>
    <w:rsid w:val="3E411025"/>
    <w:rsid w:val="3E483582"/>
    <w:rsid w:val="3E4F50F0"/>
    <w:rsid w:val="3E5337D0"/>
    <w:rsid w:val="3E537DE4"/>
    <w:rsid w:val="3E554154"/>
    <w:rsid w:val="3E5F165E"/>
    <w:rsid w:val="3E645CF0"/>
    <w:rsid w:val="3E650A83"/>
    <w:rsid w:val="3E6547E9"/>
    <w:rsid w:val="3E6A28BE"/>
    <w:rsid w:val="3E6A6BB5"/>
    <w:rsid w:val="3E6B1778"/>
    <w:rsid w:val="3E6D548C"/>
    <w:rsid w:val="3E8939E2"/>
    <w:rsid w:val="3E8C7718"/>
    <w:rsid w:val="3E8D2247"/>
    <w:rsid w:val="3E904009"/>
    <w:rsid w:val="3E947135"/>
    <w:rsid w:val="3E9719E0"/>
    <w:rsid w:val="3E996659"/>
    <w:rsid w:val="3E9E1FC0"/>
    <w:rsid w:val="3E9E3577"/>
    <w:rsid w:val="3EA300A7"/>
    <w:rsid w:val="3EA405D7"/>
    <w:rsid w:val="3EA67ED1"/>
    <w:rsid w:val="3EAD562F"/>
    <w:rsid w:val="3EB16822"/>
    <w:rsid w:val="3EB17817"/>
    <w:rsid w:val="3EC3043C"/>
    <w:rsid w:val="3EC8679C"/>
    <w:rsid w:val="3EC9433D"/>
    <w:rsid w:val="3ED130FF"/>
    <w:rsid w:val="3ED919F6"/>
    <w:rsid w:val="3EDC3881"/>
    <w:rsid w:val="3EE5288B"/>
    <w:rsid w:val="3EE7263A"/>
    <w:rsid w:val="3EF30BE4"/>
    <w:rsid w:val="3EF46D67"/>
    <w:rsid w:val="3EF91BD8"/>
    <w:rsid w:val="3EFF58DE"/>
    <w:rsid w:val="3F0022DA"/>
    <w:rsid w:val="3F027DD0"/>
    <w:rsid w:val="3F146B98"/>
    <w:rsid w:val="3F175F24"/>
    <w:rsid w:val="3F232D0D"/>
    <w:rsid w:val="3F2D0C92"/>
    <w:rsid w:val="3F2E1337"/>
    <w:rsid w:val="3F2E2497"/>
    <w:rsid w:val="3F3303B1"/>
    <w:rsid w:val="3F3607B2"/>
    <w:rsid w:val="3F380D4D"/>
    <w:rsid w:val="3F450C5E"/>
    <w:rsid w:val="3F4A339D"/>
    <w:rsid w:val="3F5D5E3A"/>
    <w:rsid w:val="3F5E47EB"/>
    <w:rsid w:val="3F6351E6"/>
    <w:rsid w:val="3F65221C"/>
    <w:rsid w:val="3F66563F"/>
    <w:rsid w:val="3F6775AE"/>
    <w:rsid w:val="3F6C5444"/>
    <w:rsid w:val="3F6E7773"/>
    <w:rsid w:val="3F716065"/>
    <w:rsid w:val="3F771632"/>
    <w:rsid w:val="3F780590"/>
    <w:rsid w:val="3F8578BC"/>
    <w:rsid w:val="3F8C3815"/>
    <w:rsid w:val="3F8F5878"/>
    <w:rsid w:val="3F9F1936"/>
    <w:rsid w:val="3FA05939"/>
    <w:rsid w:val="3FAB5086"/>
    <w:rsid w:val="3FBD2DA4"/>
    <w:rsid w:val="3FBD7588"/>
    <w:rsid w:val="3FBF2FE8"/>
    <w:rsid w:val="3FCD21AF"/>
    <w:rsid w:val="3FCF01E7"/>
    <w:rsid w:val="3FDE02D2"/>
    <w:rsid w:val="3FE672B3"/>
    <w:rsid w:val="3FE76EF4"/>
    <w:rsid w:val="3FE8441C"/>
    <w:rsid w:val="3FE97C89"/>
    <w:rsid w:val="3FED00AC"/>
    <w:rsid w:val="3FFD681B"/>
    <w:rsid w:val="4002562A"/>
    <w:rsid w:val="40036EE7"/>
    <w:rsid w:val="4003771C"/>
    <w:rsid w:val="400D463C"/>
    <w:rsid w:val="400D69C0"/>
    <w:rsid w:val="400E4361"/>
    <w:rsid w:val="401A63CA"/>
    <w:rsid w:val="401E1F88"/>
    <w:rsid w:val="402266AF"/>
    <w:rsid w:val="40247006"/>
    <w:rsid w:val="40266EE6"/>
    <w:rsid w:val="402D166A"/>
    <w:rsid w:val="403E203C"/>
    <w:rsid w:val="40406945"/>
    <w:rsid w:val="404854DE"/>
    <w:rsid w:val="404E059A"/>
    <w:rsid w:val="405733C5"/>
    <w:rsid w:val="40586035"/>
    <w:rsid w:val="40595063"/>
    <w:rsid w:val="405B2555"/>
    <w:rsid w:val="40653402"/>
    <w:rsid w:val="40654256"/>
    <w:rsid w:val="40697A45"/>
    <w:rsid w:val="406E2D1C"/>
    <w:rsid w:val="406E53B8"/>
    <w:rsid w:val="4075475E"/>
    <w:rsid w:val="407A1956"/>
    <w:rsid w:val="407B3AA7"/>
    <w:rsid w:val="407C3AE5"/>
    <w:rsid w:val="407E45ED"/>
    <w:rsid w:val="407F1C79"/>
    <w:rsid w:val="4083285F"/>
    <w:rsid w:val="4083477A"/>
    <w:rsid w:val="40835511"/>
    <w:rsid w:val="409603E9"/>
    <w:rsid w:val="409B660A"/>
    <w:rsid w:val="40A843C0"/>
    <w:rsid w:val="40A93DFB"/>
    <w:rsid w:val="40A96AA7"/>
    <w:rsid w:val="40B04F11"/>
    <w:rsid w:val="40B71A24"/>
    <w:rsid w:val="40C04B53"/>
    <w:rsid w:val="40C266AB"/>
    <w:rsid w:val="40C27447"/>
    <w:rsid w:val="40C33259"/>
    <w:rsid w:val="40D007DB"/>
    <w:rsid w:val="40D641E4"/>
    <w:rsid w:val="40DD566B"/>
    <w:rsid w:val="40DD7A15"/>
    <w:rsid w:val="40EC22AC"/>
    <w:rsid w:val="40EF0EC1"/>
    <w:rsid w:val="40EF3B05"/>
    <w:rsid w:val="40F676A4"/>
    <w:rsid w:val="40FD1223"/>
    <w:rsid w:val="40FF5264"/>
    <w:rsid w:val="4104251E"/>
    <w:rsid w:val="41080CDA"/>
    <w:rsid w:val="411227A9"/>
    <w:rsid w:val="411266A1"/>
    <w:rsid w:val="41162C62"/>
    <w:rsid w:val="411B51A8"/>
    <w:rsid w:val="4121148E"/>
    <w:rsid w:val="412D7B4F"/>
    <w:rsid w:val="413362A7"/>
    <w:rsid w:val="41356368"/>
    <w:rsid w:val="413A07A9"/>
    <w:rsid w:val="414311A9"/>
    <w:rsid w:val="41514B52"/>
    <w:rsid w:val="415478C2"/>
    <w:rsid w:val="415809BC"/>
    <w:rsid w:val="415E7F1E"/>
    <w:rsid w:val="4163168B"/>
    <w:rsid w:val="4163256C"/>
    <w:rsid w:val="41645CF3"/>
    <w:rsid w:val="41683E65"/>
    <w:rsid w:val="41684FED"/>
    <w:rsid w:val="41705CAC"/>
    <w:rsid w:val="41714948"/>
    <w:rsid w:val="417852FE"/>
    <w:rsid w:val="41792489"/>
    <w:rsid w:val="417F16A3"/>
    <w:rsid w:val="417F6B6C"/>
    <w:rsid w:val="418140CD"/>
    <w:rsid w:val="418718DD"/>
    <w:rsid w:val="418D5BF8"/>
    <w:rsid w:val="41933D70"/>
    <w:rsid w:val="4195759C"/>
    <w:rsid w:val="41975AE6"/>
    <w:rsid w:val="41985C66"/>
    <w:rsid w:val="419A0534"/>
    <w:rsid w:val="41A24A94"/>
    <w:rsid w:val="41A710EF"/>
    <w:rsid w:val="41A7672E"/>
    <w:rsid w:val="41AB30BD"/>
    <w:rsid w:val="41C16449"/>
    <w:rsid w:val="41C34CC6"/>
    <w:rsid w:val="41CB3A87"/>
    <w:rsid w:val="41E2263C"/>
    <w:rsid w:val="41E53A98"/>
    <w:rsid w:val="41E82F0A"/>
    <w:rsid w:val="41EA07BD"/>
    <w:rsid w:val="41F22E27"/>
    <w:rsid w:val="41F45A1C"/>
    <w:rsid w:val="42101E16"/>
    <w:rsid w:val="421337A1"/>
    <w:rsid w:val="421D6F89"/>
    <w:rsid w:val="42280A06"/>
    <w:rsid w:val="422C1E62"/>
    <w:rsid w:val="422E0BBF"/>
    <w:rsid w:val="4238215D"/>
    <w:rsid w:val="42387696"/>
    <w:rsid w:val="42454782"/>
    <w:rsid w:val="4264332C"/>
    <w:rsid w:val="426664F2"/>
    <w:rsid w:val="4267619E"/>
    <w:rsid w:val="426A3765"/>
    <w:rsid w:val="426E0E54"/>
    <w:rsid w:val="42746CC9"/>
    <w:rsid w:val="42770358"/>
    <w:rsid w:val="42782D0E"/>
    <w:rsid w:val="427B08F0"/>
    <w:rsid w:val="427C3379"/>
    <w:rsid w:val="42812BEB"/>
    <w:rsid w:val="428546DC"/>
    <w:rsid w:val="428759CF"/>
    <w:rsid w:val="42917131"/>
    <w:rsid w:val="429D40F4"/>
    <w:rsid w:val="42A823D1"/>
    <w:rsid w:val="42B82DDF"/>
    <w:rsid w:val="42BE31F4"/>
    <w:rsid w:val="42BE6BD6"/>
    <w:rsid w:val="42C23654"/>
    <w:rsid w:val="42CA6FBD"/>
    <w:rsid w:val="42E23496"/>
    <w:rsid w:val="42E87A95"/>
    <w:rsid w:val="42EB6FAA"/>
    <w:rsid w:val="42EB73CA"/>
    <w:rsid w:val="43011432"/>
    <w:rsid w:val="43037E1E"/>
    <w:rsid w:val="43054219"/>
    <w:rsid w:val="43067CE0"/>
    <w:rsid w:val="43155D65"/>
    <w:rsid w:val="431567DE"/>
    <w:rsid w:val="431B24E0"/>
    <w:rsid w:val="431F46B8"/>
    <w:rsid w:val="432129E2"/>
    <w:rsid w:val="43224918"/>
    <w:rsid w:val="4337416F"/>
    <w:rsid w:val="433C1C8D"/>
    <w:rsid w:val="43441D8D"/>
    <w:rsid w:val="43441DEB"/>
    <w:rsid w:val="4345375F"/>
    <w:rsid w:val="43456F8D"/>
    <w:rsid w:val="434579DA"/>
    <w:rsid w:val="434B6E74"/>
    <w:rsid w:val="435436B7"/>
    <w:rsid w:val="4357300A"/>
    <w:rsid w:val="43607998"/>
    <w:rsid w:val="43654953"/>
    <w:rsid w:val="43675239"/>
    <w:rsid w:val="43683AE3"/>
    <w:rsid w:val="437300B3"/>
    <w:rsid w:val="437D708F"/>
    <w:rsid w:val="438028DB"/>
    <w:rsid w:val="43811301"/>
    <w:rsid w:val="438D25B3"/>
    <w:rsid w:val="43933756"/>
    <w:rsid w:val="43992414"/>
    <w:rsid w:val="439C453E"/>
    <w:rsid w:val="439C5E59"/>
    <w:rsid w:val="43B001FE"/>
    <w:rsid w:val="43B13CDD"/>
    <w:rsid w:val="43BB1566"/>
    <w:rsid w:val="43BE6232"/>
    <w:rsid w:val="43BE67A1"/>
    <w:rsid w:val="43C864CE"/>
    <w:rsid w:val="43C91A5D"/>
    <w:rsid w:val="43CA4D0A"/>
    <w:rsid w:val="43CB6FEF"/>
    <w:rsid w:val="43CF6547"/>
    <w:rsid w:val="43D03A61"/>
    <w:rsid w:val="43D349E2"/>
    <w:rsid w:val="43D34DCA"/>
    <w:rsid w:val="43D951C6"/>
    <w:rsid w:val="43D95633"/>
    <w:rsid w:val="43DA1716"/>
    <w:rsid w:val="43E202FC"/>
    <w:rsid w:val="43E56517"/>
    <w:rsid w:val="43F54B78"/>
    <w:rsid w:val="43F97366"/>
    <w:rsid w:val="43FB5DD1"/>
    <w:rsid w:val="44011F00"/>
    <w:rsid w:val="44012E5B"/>
    <w:rsid w:val="440C37D6"/>
    <w:rsid w:val="440D376B"/>
    <w:rsid w:val="44173F49"/>
    <w:rsid w:val="441B6BFC"/>
    <w:rsid w:val="441B7329"/>
    <w:rsid w:val="441C152A"/>
    <w:rsid w:val="44213025"/>
    <w:rsid w:val="44282EC3"/>
    <w:rsid w:val="44385C50"/>
    <w:rsid w:val="44415838"/>
    <w:rsid w:val="44421BCC"/>
    <w:rsid w:val="44442356"/>
    <w:rsid w:val="4449591C"/>
    <w:rsid w:val="444E297D"/>
    <w:rsid w:val="445439C0"/>
    <w:rsid w:val="44554A7E"/>
    <w:rsid w:val="446A0DC2"/>
    <w:rsid w:val="446F1124"/>
    <w:rsid w:val="447C700B"/>
    <w:rsid w:val="447F27A2"/>
    <w:rsid w:val="44982F38"/>
    <w:rsid w:val="449C760F"/>
    <w:rsid w:val="44A35BB1"/>
    <w:rsid w:val="44A76CF6"/>
    <w:rsid w:val="44AB130A"/>
    <w:rsid w:val="44AB7BCA"/>
    <w:rsid w:val="44AC1EE5"/>
    <w:rsid w:val="44AD1FCC"/>
    <w:rsid w:val="44B81444"/>
    <w:rsid w:val="44BD0353"/>
    <w:rsid w:val="44CD31E2"/>
    <w:rsid w:val="44DA6748"/>
    <w:rsid w:val="44DD2005"/>
    <w:rsid w:val="44DD62F3"/>
    <w:rsid w:val="44DF60D4"/>
    <w:rsid w:val="44E04549"/>
    <w:rsid w:val="44EE30B6"/>
    <w:rsid w:val="44F32FB8"/>
    <w:rsid w:val="44FD7442"/>
    <w:rsid w:val="45010547"/>
    <w:rsid w:val="450A37A6"/>
    <w:rsid w:val="453A3D5A"/>
    <w:rsid w:val="4545480F"/>
    <w:rsid w:val="454B22CD"/>
    <w:rsid w:val="454E009D"/>
    <w:rsid w:val="45570263"/>
    <w:rsid w:val="455E543A"/>
    <w:rsid w:val="45605DF9"/>
    <w:rsid w:val="456526DC"/>
    <w:rsid w:val="456B57D5"/>
    <w:rsid w:val="456B6252"/>
    <w:rsid w:val="456E256B"/>
    <w:rsid w:val="45722531"/>
    <w:rsid w:val="45733DC0"/>
    <w:rsid w:val="4587755B"/>
    <w:rsid w:val="45894653"/>
    <w:rsid w:val="458D72C0"/>
    <w:rsid w:val="45912560"/>
    <w:rsid w:val="45934109"/>
    <w:rsid w:val="459865CE"/>
    <w:rsid w:val="45BA3A4B"/>
    <w:rsid w:val="45BC2451"/>
    <w:rsid w:val="45C168FC"/>
    <w:rsid w:val="45C93E52"/>
    <w:rsid w:val="45C95507"/>
    <w:rsid w:val="45CB4670"/>
    <w:rsid w:val="45D0102E"/>
    <w:rsid w:val="45D974EC"/>
    <w:rsid w:val="45D976C4"/>
    <w:rsid w:val="45E42AD7"/>
    <w:rsid w:val="45F21CCB"/>
    <w:rsid w:val="45F46452"/>
    <w:rsid w:val="45FB6A6F"/>
    <w:rsid w:val="45FE6567"/>
    <w:rsid w:val="46035F68"/>
    <w:rsid w:val="46053907"/>
    <w:rsid w:val="46062780"/>
    <w:rsid w:val="46106D61"/>
    <w:rsid w:val="46177320"/>
    <w:rsid w:val="46217D07"/>
    <w:rsid w:val="46226875"/>
    <w:rsid w:val="46317741"/>
    <w:rsid w:val="46423CE6"/>
    <w:rsid w:val="464B7691"/>
    <w:rsid w:val="464E4459"/>
    <w:rsid w:val="464F7D9C"/>
    <w:rsid w:val="465049DD"/>
    <w:rsid w:val="46510993"/>
    <w:rsid w:val="465175DE"/>
    <w:rsid w:val="46537424"/>
    <w:rsid w:val="46597DAF"/>
    <w:rsid w:val="465A4AF2"/>
    <w:rsid w:val="465D4024"/>
    <w:rsid w:val="465E7B7B"/>
    <w:rsid w:val="4660270E"/>
    <w:rsid w:val="466C2849"/>
    <w:rsid w:val="46807B91"/>
    <w:rsid w:val="468119D1"/>
    <w:rsid w:val="468A7785"/>
    <w:rsid w:val="469F5974"/>
    <w:rsid w:val="46A80D82"/>
    <w:rsid w:val="46A81727"/>
    <w:rsid w:val="46AD46D2"/>
    <w:rsid w:val="46B2158B"/>
    <w:rsid w:val="46B26810"/>
    <w:rsid w:val="46BB7BAE"/>
    <w:rsid w:val="46BF304B"/>
    <w:rsid w:val="46C05933"/>
    <w:rsid w:val="46C20EBF"/>
    <w:rsid w:val="46C31426"/>
    <w:rsid w:val="46C707EC"/>
    <w:rsid w:val="46CB3B16"/>
    <w:rsid w:val="46D06061"/>
    <w:rsid w:val="46DA25C3"/>
    <w:rsid w:val="46DB4025"/>
    <w:rsid w:val="46DD67DE"/>
    <w:rsid w:val="46E40F07"/>
    <w:rsid w:val="46E813A4"/>
    <w:rsid w:val="46E94533"/>
    <w:rsid w:val="46E97115"/>
    <w:rsid w:val="46EB0E20"/>
    <w:rsid w:val="46F575B9"/>
    <w:rsid w:val="46F62D1A"/>
    <w:rsid w:val="46FF6008"/>
    <w:rsid w:val="470457E6"/>
    <w:rsid w:val="47173C62"/>
    <w:rsid w:val="47185071"/>
    <w:rsid w:val="47210A51"/>
    <w:rsid w:val="472530E4"/>
    <w:rsid w:val="47293E0F"/>
    <w:rsid w:val="47307DD7"/>
    <w:rsid w:val="473C1E11"/>
    <w:rsid w:val="473E2FCD"/>
    <w:rsid w:val="473F409F"/>
    <w:rsid w:val="47402C33"/>
    <w:rsid w:val="4741268A"/>
    <w:rsid w:val="47496A9E"/>
    <w:rsid w:val="474C23A8"/>
    <w:rsid w:val="475029D2"/>
    <w:rsid w:val="475603F6"/>
    <w:rsid w:val="47566CCE"/>
    <w:rsid w:val="47583A95"/>
    <w:rsid w:val="475D7CEE"/>
    <w:rsid w:val="47635C32"/>
    <w:rsid w:val="476C7B45"/>
    <w:rsid w:val="476D0C9F"/>
    <w:rsid w:val="47722A18"/>
    <w:rsid w:val="47741D0C"/>
    <w:rsid w:val="47805970"/>
    <w:rsid w:val="478075EE"/>
    <w:rsid w:val="47831987"/>
    <w:rsid w:val="478660F6"/>
    <w:rsid w:val="47876B9F"/>
    <w:rsid w:val="478B55C7"/>
    <w:rsid w:val="478C0EC4"/>
    <w:rsid w:val="479236A7"/>
    <w:rsid w:val="47953EA1"/>
    <w:rsid w:val="479735D1"/>
    <w:rsid w:val="47A213C0"/>
    <w:rsid w:val="47A823BB"/>
    <w:rsid w:val="47B1453A"/>
    <w:rsid w:val="47B57B67"/>
    <w:rsid w:val="47B76453"/>
    <w:rsid w:val="47B853FC"/>
    <w:rsid w:val="47BF58E4"/>
    <w:rsid w:val="47C2640D"/>
    <w:rsid w:val="47D52482"/>
    <w:rsid w:val="47D65E94"/>
    <w:rsid w:val="47DC4284"/>
    <w:rsid w:val="47DC44AD"/>
    <w:rsid w:val="47DF7B1C"/>
    <w:rsid w:val="47E50EDA"/>
    <w:rsid w:val="47E60318"/>
    <w:rsid w:val="47E8372E"/>
    <w:rsid w:val="47F21EF0"/>
    <w:rsid w:val="47F5197C"/>
    <w:rsid w:val="47F95DB7"/>
    <w:rsid w:val="47FC0930"/>
    <w:rsid w:val="480F66E3"/>
    <w:rsid w:val="4819164E"/>
    <w:rsid w:val="481D08A3"/>
    <w:rsid w:val="481D1010"/>
    <w:rsid w:val="481D120F"/>
    <w:rsid w:val="481E542C"/>
    <w:rsid w:val="482105C0"/>
    <w:rsid w:val="48211E7E"/>
    <w:rsid w:val="482308BB"/>
    <w:rsid w:val="4823541A"/>
    <w:rsid w:val="48266092"/>
    <w:rsid w:val="48342F88"/>
    <w:rsid w:val="483510C7"/>
    <w:rsid w:val="48391F58"/>
    <w:rsid w:val="48554F42"/>
    <w:rsid w:val="48570CB2"/>
    <w:rsid w:val="485C39F4"/>
    <w:rsid w:val="485C3D89"/>
    <w:rsid w:val="485E7ACC"/>
    <w:rsid w:val="4862142D"/>
    <w:rsid w:val="48626E30"/>
    <w:rsid w:val="48636ED0"/>
    <w:rsid w:val="48680479"/>
    <w:rsid w:val="486A4A47"/>
    <w:rsid w:val="48766E5E"/>
    <w:rsid w:val="487835F2"/>
    <w:rsid w:val="487A69DB"/>
    <w:rsid w:val="48880ACE"/>
    <w:rsid w:val="4889205F"/>
    <w:rsid w:val="488B204A"/>
    <w:rsid w:val="4895178E"/>
    <w:rsid w:val="48952A5D"/>
    <w:rsid w:val="489701E4"/>
    <w:rsid w:val="489711F0"/>
    <w:rsid w:val="4898120E"/>
    <w:rsid w:val="48984146"/>
    <w:rsid w:val="489C5552"/>
    <w:rsid w:val="489D4090"/>
    <w:rsid w:val="48A723B2"/>
    <w:rsid w:val="48AB0568"/>
    <w:rsid w:val="48AB63B2"/>
    <w:rsid w:val="48B23A8E"/>
    <w:rsid w:val="48B27CCE"/>
    <w:rsid w:val="48B84382"/>
    <w:rsid w:val="48BA110B"/>
    <w:rsid w:val="48C170BE"/>
    <w:rsid w:val="48CD0CC0"/>
    <w:rsid w:val="48CF57E3"/>
    <w:rsid w:val="48D376B5"/>
    <w:rsid w:val="48D42363"/>
    <w:rsid w:val="48D949EA"/>
    <w:rsid w:val="48E1069F"/>
    <w:rsid w:val="48E622E5"/>
    <w:rsid w:val="48F73D54"/>
    <w:rsid w:val="48FA28F1"/>
    <w:rsid w:val="48FB457E"/>
    <w:rsid w:val="48FF152C"/>
    <w:rsid w:val="4900759E"/>
    <w:rsid w:val="490239FB"/>
    <w:rsid w:val="4905290C"/>
    <w:rsid w:val="49063785"/>
    <w:rsid w:val="4909463E"/>
    <w:rsid w:val="491A0D1D"/>
    <w:rsid w:val="491C548A"/>
    <w:rsid w:val="491D1B81"/>
    <w:rsid w:val="492F531F"/>
    <w:rsid w:val="492F6636"/>
    <w:rsid w:val="492F7E36"/>
    <w:rsid w:val="49405D5E"/>
    <w:rsid w:val="49476658"/>
    <w:rsid w:val="495246E9"/>
    <w:rsid w:val="49561E92"/>
    <w:rsid w:val="496702FA"/>
    <w:rsid w:val="496708B7"/>
    <w:rsid w:val="496A1DB8"/>
    <w:rsid w:val="497016DD"/>
    <w:rsid w:val="4971045B"/>
    <w:rsid w:val="4979031F"/>
    <w:rsid w:val="497976FA"/>
    <w:rsid w:val="49804649"/>
    <w:rsid w:val="49833A3E"/>
    <w:rsid w:val="49896678"/>
    <w:rsid w:val="499430F9"/>
    <w:rsid w:val="499475BB"/>
    <w:rsid w:val="499D1A1D"/>
    <w:rsid w:val="49A42C3A"/>
    <w:rsid w:val="49A67E4A"/>
    <w:rsid w:val="49AE68B8"/>
    <w:rsid w:val="49C068FC"/>
    <w:rsid w:val="49C60139"/>
    <w:rsid w:val="49C63B01"/>
    <w:rsid w:val="49C74EA9"/>
    <w:rsid w:val="49CC0A7E"/>
    <w:rsid w:val="49E54184"/>
    <w:rsid w:val="49E6704C"/>
    <w:rsid w:val="49EE6A1F"/>
    <w:rsid w:val="49EF23AD"/>
    <w:rsid w:val="49F14CC3"/>
    <w:rsid w:val="49FA422A"/>
    <w:rsid w:val="49FD6413"/>
    <w:rsid w:val="49FE1236"/>
    <w:rsid w:val="49FE4015"/>
    <w:rsid w:val="4A075767"/>
    <w:rsid w:val="4A0D5273"/>
    <w:rsid w:val="4A182775"/>
    <w:rsid w:val="4A192C26"/>
    <w:rsid w:val="4A3B617B"/>
    <w:rsid w:val="4A3D4FF8"/>
    <w:rsid w:val="4A3F629B"/>
    <w:rsid w:val="4A400106"/>
    <w:rsid w:val="4A416D23"/>
    <w:rsid w:val="4A4C1621"/>
    <w:rsid w:val="4A546A31"/>
    <w:rsid w:val="4A5543B0"/>
    <w:rsid w:val="4A554B32"/>
    <w:rsid w:val="4A5F3440"/>
    <w:rsid w:val="4A5F5280"/>
    <w:rsid w:val="4A6129DF"/>
    <w:rsid w:val="4A645092"/>
    <w:rsid w:val="4A691BA3"/>
    <w:rsid w:val="4A727F5A"/>
    <w:rsid w:val="4A75264F"/>
    <w:rsid w:val="4A765740"/>
    <w:rsid w:val="4A7B7A08"/>
    <w:rsid w:val="4A7F4479"/>
    <w:rsid w:val="4A8622B6"/>
    <w:rsid w:val="4A88661D"/>
    <w:rsid w:val="4A925CA1"/>
    <w:rsid w:val="4AA13962"/>
    <w:rsid w:val="4AA15C80"/>
    <w:rsid w:val="4AAE4CB3"/>
    <w:rsid w:val="4AB03987"/>
    <w:rsid w:val="4AB27100"/>
    <w:rsid w:val="4ABD00B2"/>
    <w:rsid w:val="4ABD09E3"/>
    <w:rsid w:val="4AC73EF8"/>
    <w:rsid w:val="4AC878DE"/>
    <w:rsid w:val="4AD413C0"/>
    <w:rsid w:val="4AD6701B"/>
    <w:rsid w:val="4ADB40EF"/>
    <w:rsid w:val="4ADD4949"/>
    <w:rsid w:val="4ADF3B00"/>
    <w:rsid w:val="4AE44288"/>
    <w:rsid w:val="4AE775D1"/>
    <w:rsid w:val="4AE86A3E"/>
    <w:rsid w:val="4AF37F3C"/>
    <w:rsid w:val="4AF7270C"/>
    <w:rsid w:val="4AFC08D7"/>
    <w:rsid w:val="4AFC1FAD"/>
    <w:rsid w:val="4AFC315D"/>
    <w:rsid w:val="4B0C10BD"/>
    <w:rsid w:val="4B246F11"/>
    <w:rsid w:val="4B252E26"/>
    <w:rsid w:val="4B2655E6"/>
    <w:rsid w:val="4B2A578E"/>
    <w:rsid w:val="4B2D053E"/>
    <w:rsid w:val="4B2D14F3"/>
    <w:rsid w:val="4B33627A"/>
    <w:rsid w:val="4B356505"/>
    <w:rsid w:val="4B362E2C"/>
    <w:rsid w:val="4B3A331C"/>
    <w:rsid w:val="4B3A4DD8"/>
    <w:rsid w:val="4B3D32A5"/>
    <w:rsid w:val="4B41536B"/>
    <w:rsid w:val="4B443D9E"/>
    <w:rsid w:val="4B4C3C44"/>
    <w:rsid w:val="4B4D2D49"/>
    <w:rsid w:val="4B503E7D"/>
    <w:rsid w:val="4B5526A6"/>
    <w:rsid w:val="4B5A7639"/>
    <w:rsid w:val="4B6A739A"/>
    <w:rsid w:val="4B6B2FC4"/>
    <w:rsid w:val="4B6E3C1D"/>
    <w:rsid w:val="4B6E666B"/>
    <w:rsid w:val="4B7406FC"/>
    <w:rsid w:val="4B816AF3"/>
    <w:rsid w:val="4B8273E2"/>
    <w:rsid w:val="4B84080B"/>
    <w:rsid w:val="4B8D026C"/>
    <w:rsid w:val="4B9539E2"/>
    <w:rsid w:val="4B954A7A"/>
    <w:rsid w:val="4B96268C"/>
    <w:rsid w:val="4B972903"/>
    <w:rsid w:val="4B9F32A8"/>
    <w:rsid w:val="4BBA5C6F"/>
    <w:rsid w:val="4BC3761F"/>
    <w:rsid w:val="4BDC15EC"/>
    <w:rsid w:val="4BE01CB1"/>
    <w:rsid w:val="4BE40B4D"/>
    <w:rsid w:val="4BE4657C"/>
    <w:rsid w:val="4BE4761C"/>
    <w:rsid w:val="4BEE2702"/>
    <w:rsid w:val="4BF1539E"/>
    <w:rsid w:val="4BF3384A"/>
    <w:rsid w:val="4BF72B06"/>
    <w:rsid w:val="4BF94856"/>
    <w:rsid w:val="4C047E97"/>
    <w:rsid w:val="4C0700C6"/>
    <w:rsid w:val="4C0B30E5"/>
    <w:rsid w:val="4C0D69A5"/>
    <w:rsid w:val="4C114E73"/>
    <w:rsid w:val="4C15308B"/>
    <w:rsid w:val="4C1715DD"/>
    <w:rsid w:val="4C276414"/>
    <w:rsid w:val="4C2F0BD5"/>
    <w:rsid w:val="4C3028D9"/>
    <w:rsid w:val="4C30348B"/>
    <w:rsid w:val="4C3449C0"/>
    <w:rsid w:val="4C442124"/>
    <w:rsid w:val="4C457E06"/>
    <w:rsid w:val="4C4819CB"/>
    <w:rsid w:val="4C482B52"/>
    <w:rsid w:val="4C486022"/>
    <w:rsid w:val="4C5653EF"/>
    <w:rsid w:val="4C591B1D"/>
    <w:rsid w:val="4C6E490F"/>
    <w:rsid w:val="4C761AE5"/>
    <w:rsid w:val="4C7771DF"/>
    <w:rsid w:val="4C7A3E0A"/>
    <w:rsid w:val="4C8471F5"/>
    <w:rsid w:val="4C8D2725"/>
    <w:rsid w:val="4C927C67"/>
    <w:rsid w:val="4C950462"/>
    <w:rsid w:val="4C992C68"/>
    <w:rsid w:val="4C9A24A5"/>
    <w:rsid w:val="4C9B255D"/>
    <w:rsid w:val="4C9B51D5"/>
    <w:rsid w:val="4CA24507"/>
    <w:rsid w:val="4CA773D4"/>
    <w:rsid w:val="4CB20AD4"/>
    <w:rsid w:val="4CB4751A"/>
    <w:rsid w:val="4CC55BA7"/>
    <w:rsid w:val="4CCE05D1"/>
    <w:rsid w:val="4CD715B6"/>
    <w:rsid w:val="4CE11CF2"/>
    <w:rsid w:val="4CE239C2"/>
    <w:rsid w:val="4CE34671"/>
    <w:rsid w:val="4CFC0125"/>
    <w:rsid w:val="4CFE58B7"/>
    <w:rsid w:val="4D0633C9"/>
    <w:rsid w:val="4D086DA8"/>
    <w:rsid w:val="4D0D5045"/>
    <w:rsid w:val="4D142642"/>
    <w:rsid w:val="4D176CED"/>
    <w:rsid w:val="4D241DA1"/>
    <w:rsid w:val="4D2A6DE6"/>
    <w:rsid w:val="4D2D4F3D"/>
    <w:rsid w:val="4D3A472C"/>
    <w:rsid w:val="4D4B688D"/>
    <w:rsid w:val="4D4B7F50"/>
    <w:rsid w:val="4D5C35DB"/>
    <w:rsid w:val="4D5D766F"/>
    <w:rsid w:val="4D603556"/>
    <w:rsid w:val="4D694853"/>
    <w:rsid w:val="4D6A5234"/>
    <w:rsid w:val="4D6E3730"/>
    <w:rsid w:val="4D6E6050"/>
    <w:rsid w:val="4D754378"/>
    <w:rsid w:val="4D7B7388"/>
    <w:rsid w:val="4D7D0B22"/>
    <w:rsid w:val="4D803B2B"/>
    <w:rsid w:val="4D8242E4"/>
    <w:rsid w:val="4D933D82"/>
    <w:rsid w:val="4D964BDE"/>
    <w:rsid w:val="4DA22F6F"/>
    <w:rsid w:val="4DA366F2"/>
    <w:rsid w:val="4DBE70A6"/>
    <w:rsid w:val="4DC43E1F"/>
    <w:rsid w:val="4DC60EF3"/>
    <w:rsid w:val="4DCA651D"/>
    <w:rsid w:val="4DD41FFC"/>
    <w:rsid w:val="4DD455C4"/>
    <w:rsid w:val="4DD46851"/>
    <w:rsid w:val="4DDA3EE3"/>
    <w:rsid w:val="4DE96CA1"/>
    <w:rsid w:val="4DED17F1"/>
    <w:rsid w:val="4DEE1BA4"/>
    <w:rsid w:val="4DF22F98"/>
    <w:rsid w:val="4DF7677C"/>
    <w:rsid w:val="4DF85277"/>
    <w:rsid w:val="4DFC5B74"/>
    <w:rsid w:val="4E00643A"/>
    <w:rsid w:val="4E0C7E59"/>
    <w:rsid w:val="4E1A166F"/>
    <w:rsid w:val="4E1A5E9B"/>
    <w:rsid w:val="4E1F6FFD"/>
    <w:rsid w:val="4E206385"/>
    <w:rsid w:val="4E213B3A"/>
    <w:rsid w:val="4E220315"/>
    <w:rsid w:val="4E2B750E"/>
    <w:rsid w:val="4E2C18F4"/>
    <w:rsid w:val="4E30293B"/>
    <w:rsid w:val="4E394DF5"/>
    <w:rsid w:val="4E3A7F99"/>
    <w:rsid w:val="4E3E5A21"/>
    <w:rsid w:val="4E3F72CB"/>
    <w:rsid w:val="4E457DF4"/>
    <w:rsid w:val="4E52536F"/>
    <w:rsid w:val="4E525C89"/>
    <w:rsid w:val="4E5912BC"/>
    <w:rsid w:val="4E5C0C5A"/>
    <w:rsid w:val="4E615B6C"/>
    <w:rsid w:val="4E623E5F"/>
    <w:rsid w:val="4E69351D"/>
    <w:rsid w:val="4E6C7842"/>
    <w:rsid w:val="4E7146D6"/>
    <w:rsid w:val="4E716DD6"/>
    <w:rsid w:val="4E797619"/>
    <w:rsid w:val="4E7D41EF"/>
    <w:rsid w:val="4E7D7214"/>
    <w:rsid w:val="4E85288F"/>
    <w:rsid w:val="4E8743CF"/>
    <w:rsid w:val="4E8A19A2"/>
    <w:rsid w:val="4E8B6297"/>
    <w:rsid w:val="4E8D2B5B"/>
    <w:rsid w:val="4E9E37C4"/>
    <w:rsid w:val="4EA47ED4"/>
    <w:rsid w:val="4EA67169"/>
    <w:rsid w:val="4EA73499"/>
    <w:rsid w:val="4EA90165"/>
    <w:rsid w:val="4EAB3421"/>
    <w:rsid w:val="4EAF6660"/>
    <w:rsid w:val="4EB701C7"/>
    <w:rsid w:val="4EB70230"/>
    <w:rsid w:val="4EC112A5"/>
    <w:rsid w:val="4EC273B5"/>
    <w:rsid w:val="4EC27DC2"/>
    <w:rsid w:val="4EC31609"/>
    <w:rsid w:val="4ECD7A91"/>
    <w:rsid w:val="4ED7559C"/>
    <w:rsid w:val="4ED86EA4"/>
    <w:rsid w:val="4EDA2711"/>
    <w:rsid w:val="4EE520BF"/>
    <w:rsid w:val="4EE9556D"/>
    <w:rsid w:val="4EED5CCE"/>
    <w:rsid w:val="4EEE423D"/>
    <w:rsid w:val="4EFC14E2"/>
    <w:rsid w:val="4F05494C"/>
    <w:rsid w:val="4F0D50A9"/>
    <w:rsid w:val="4F1535E3"/>
    <w:rsid w:val="4F1867DF"/>
    <w:rsid w:val="4F1A62E3"/>
    <w:rsid w:val="4F20737B"/>
    <w:rsid w:val="4F274B63"/>
    <w:rsid w:val="4F311C64"/>
    <w:rsid w:val="4F3E3BA3"/>
    <w:rsid w:val="4F4022BC"/>
    <w:rsid w:val="4F460289"/>
    <w:rsid w:val="4F50081E"/>
    <w:rsid w:val="4F510C33"/>
    <w:rsid w:val="4F5C1444"/>
    <w:rsid w:val="4F657740"/>
    <w:rsid w:val="4F6619EE"/>
    <w:rsid w:val="4F67709E"/>
    <w:rsid w:val="4F6D36E2"/>
    <w:rsid w:val="4F6F459A"/>
    <w:rsid w:val="4F7223E0"/>
    <w:rsid w:val="4F737BC5"/>
    <w:rsid w:val="4F7C5E6B"/>
    <w:rsid w:val="4F8306AF"/>
    <w:rsid w:val="4F897829"/>
    <w:rsid w:val="4F8E053B"/>
    <w:rsid w:val="4F8E7071"/>
    <w:rsid w:val="4F900DB2"/>
    <w:rsid w:val="4F970DE9"/>
    <w:rsid w:val="4F971FC4"/>
    <w:rsid w:val="4F9B749E"/>
    <w:rsid w:val="4FA5268C"/>
    <w:rsid w:val="4FA84803"/>
    <w:rsid w:val="4FAA6B11"/>
    <w:rsid w:val="4FB14873"/>
    <w:rsid w:val="4FB94626"/>
    <w:rsid w:val="4FC804D5"/>
    <w:rsid w:val="4FCC1A25"/>
    <w:rsid w:val="4FE21BA6"/>
    <w:rsid w:val="4FE31A0B"/>
    <w:rsid w:val="4FEB699A"/>
    <w:rsid w:val="4FF22676"/>
    <w:rsid w:val="4FFE1B06"/>
    <w:rsid w:val="50026DBA"/>
    <w:rsid w:val="50047F66"/>
    <w:rsid w:val="50090729"/>
    <w:rsid w:val="500A40D7"/>
    <w:rsid w:val="501B64A7"/>
    <w:rsid w:val="502138A5"/>
    <w:rsid w:val="502723B7"/>
    <w:rsid w:val="502805B9"/>
    <w:rsid w:val="503559EC"/>
    <w:rsid w:val="5048257B"/>
    <w:rsid w:val="505A67EB"/>
    <w:rsid w:val="50632CAA"/>
    <w:rsid w:val="506A30BB"/>
    <w:rsid w:val="507157DD"/>
    <w:rsid w:val="50750658"/>
    <w:rsid w:val="50765757"/>
    <w:rsid w:val="507714D1"/>
    <w:rsid w:val="507B5639"/>
    <w:rsid w:val="50802215"/>
    <w:rsid w:val="508C15FC"/>
    <w:rsid w:val="508C3E18"/>
    <w:rsid w:val="50920EE8"/>
    <w:rsid w:val="509973DF"/>
    <w:rsid w:val="509F2C49"/>
    <w:rsid w:val="50A07198"/>
    <w:rsid w:val="50A453B0"/>
    <w:rsid w:val="50A54361"/>
    <w:rsid w:val="50A76EC8"/>
    <w:rsid w:val="50A8126A"/>
    <w:rsid w:val="50B63FD8"/>
    <w:rsid w:val="50BB47E0"/>
    <w:rsid w:val="50BD18A9"/>
    <w:rsid w:val="50C142A9"/>
    <w:rsid w:val="50C4646F"/>
    <w:rsid w:val="50C46BEE"/>
    <w:rsid w:val="50E02CFE"/>
    <w:rsid w:val="50E2397D"/>
    <w:rsid w:val="50E33CEC"/>
    <w:rsid w:val="50EF6CA3"/>
    <w:rsid w:val="50FC73BD"/>
    <w:rsid w:val="50FE680F"/>
    <w:rsid w:val="5104794E"/>
    <w:rsid w:val="5107352A"/>
    <w:rsid w:val="51075BE8"/>
    <w:rsid w:val="510F1A3E"/>
    <w:rsid w:val="5110524E"/>
    <w:rsid w:val="511836DA"/>
    <w:rsid w:val="511C360D"/>
    <w:rsid w:val="511C56B7"/>
    <w:rsid w:val="511D153D"/>
    <w:rsid w:val="51205FD8"/>
    <w:rsid w:val="512A347F"/>
    <w:rsid w:val="512F0D7C"/>
    <w:rsid w:val="5131657B"/>
    <w:rsid w:val="51316830"/>
    <w:rsid w:val="513B0174"/>
    <w:rsid w:val="513C4376"/>
    <w:rsid w:val="51400930"/>
    <w:rsid w:val="51435D0C"/>
    <w:rsid w:val="51446169"/>
    <w:rsid w:val="514F5C22"/>
    <w:rsid w:val="51513A6E"/>
    <w:rsid w:val="515564C2"/>
    <w:rsid w:val="515A0D03"/>
    <w:rsid w:val="515E509C"/>
    <w:rsid w:val="5168503E"/>
    <w:rsid w:val="516B6A17"/>
    <w:rsid w:val="516E22FB"/>
    <w:rsid w:val="517765FC"/>
    <w:rsid w:val="517D337C"/>
    <w:rsid w:val="517D75FD"/>
    <w:rsid w:val="517E68E6"/>
    <w:rsid w:val="51835841"/>
    <w:rsid w:val="51865ED4"/>
    <w:rsid w:val="51893EC7"/>
    <w:rsid w:val="51916071"/>
    <w:rsid w:val="51935212"/>
    <w:rsid w:val="519A032B"/>
    <w:rsid w:val="519E21FD"/>
    <w:rsid w:val="51AA50F9"/>
    <w:rsid w:val="51B06B92"/>
    <w:rsid w:val="51B07591"/>
    <w:rsid w:val="51B43002"/>
    <w:rsid w:val="51BA4306"/>
    <w:rsid w:val="51BB1A11"/>
    <w:rsid w:val="51BD6C11"/>
    <w:rsid w:val="51BF6DF9"/>
    <w:rsid w:val="51C770AC"/>
    <w:rsid w:val="51CA3F05"/>
    <w:rsid w:val="51D12A33"/>
    <w:rsid w:val="51D1417A"/>
    <w:rsid w:val="51D5080E"/>
    <w:rsid w:val="51D60111"/>
    <w:rsid w:val="51DA58AE"/>
    <w:rsid w:val="51E247EE"/>
    <w:rsid w:val="51E5449B"/>
    <w:rsid w:val="51E56B3E"/>
    <w:rsid w:val="51E66508"/>
    <w:rsid w:val="51E847AF"/>
    <w:rsid w:val="51E94EA3"/>
    <w:rsid w:val="51EA7907"/>
    <w:rsid w:val="51ED2A0C"/>
    <w:rsid w:val="52017EFE"/>
    <w:rsid w:val="521779B0"/>
    <w:rsid w:val="52177EA7"/>
    <w:rsid w:val="52187F47"/>
    <w:rsid w:val="521B44C0"/>
    <w:rsid w:val="521D547E"/>
    <w:rsid w:val="521E5FFD"/>
    <w:rsid w:val="52217DB8"/>
    <w:rsid w:val="52230F41"/>
    <w:rsid w:val="52240760"/>
    <w:rsid w:val="52253DBE"/>
    <w:rsid w:val="52266D75"/>
    <w:rsid w:val="52370D06"/>
    <w:rsid w:val="52376FFD"/>
    <w:rsid w:val="523B6D20"/>
    <w:rsid w:val="524058BE"/>
    <w:rsid w:val="524450A3"/>
    <w:rsid w:val="52456188"/>
    <w:rsid w:val="52510CC8"/>
    <w:rsid w:val="52583CBA"/>
    <w:rsid w:val="52643FB3"/>
    <w:rsid w:val="526652E3"/>
    <w:rsid w:val="526825DA"/>
    <w:rsid w:val="526D7E77"/>
    <w:rsid w:val="5270414C"/>
    <w:rsid w:val="528331E0"/>
    <w:rsid w:val="52854BA3"/>
    <w:rsid w:val="52855855"/>
    <w:rsid w:val="52877C35"/>
    <w:rsid w:val="52884091"/>
    <w:rsid w:val="52A518A9"/>
    <w:rsid w:val="52A57BCF"/>
    <w:rsid w:val="52A770BB"/>
    <w:rsid w:val="52AC7E50"/>
    <w:rsid w:val="52B224F0"/>
    <w:rsid w:val="52B41F04"/>
    <w:rsid w:val="52BE5B1F"/>
    <w:rsid w:val="52C660C9"/>
    <w:rsid w:val="52C93B57"/>
    <w:rsid w:val="52CA58A3"/>
    <w:rsid w:val="52CF29D7"/>
    <w:rsid w:val="52D82A69"/>
    <w:rsid w:val="52D94139"/>
    <w:rsid w:val="52E249FF"/>
    <w:rsid w:val="52E3567F"/>
    <w:rsid w:val="52E6056E"/>
    <w:rsid w:val="52ED06D4"/>
    <w:rsid w:val="52EE56EB"/>
    <w:rsid w:val="53001BB3"/>
    <w:rsid w:val="530265E4"/>
    <w:rsid w:val="53026F34"/>
    <w:rsid w:val="5303553A"/>
    <w:rsid w:val="53143779"/>
    <w:rsid w:val="53170772"/>
    <w:rsid w:val="531B1336"/>
    <w:rsid w:val="531B3817"/>
    <w:rsid w:val="53264D65"/>
    <w:rsid w:val="532931AC"/>
    <w:rsid w:val="5329727D"/>
    <w:rsid w:val="5333135D"/>
    <w:rsid w:val="5335141B"/>
    <w:rsid w:val="53384DD1"/>
    <w:rsid w:val="53400B7B"/>
    <w:rsid w:val="534555A6"/>
    <w:rsid w:val="53501B3A"/>
    <w:rsid w:val="53573A3C"/>
    <w:rsid w:val="535A7FF8"/>
    <w:rsid w:val="536129FA"/>
    <w:rsid w:val="53671704"/>
    <w:rsid w:val="5367646B"/>
    <w:rsid w:val="536A2A38"/>
    <w:rsid w:val="536B0CB9"/>
    <w:rsid w:val="536E2AE3"/>
    <w:rsid w:val="536F069B"/>
    <w:rsid w:val="537514ED"/>
    <w:rsid w:val="53764081"/>
    <w:rsid w:val="537E4B8D"/>
    <w:rsid w:val="53812044"/>
    <w:rsid w:val="53815461"/>
    <w:rsid w:val="538D7456"/>
    <w:rsid w:val="53974BA6"/>
    <w:rsid w:val="53976B51"/>
    <w:rsid w:val="53984C1E"/>
    <w:rsid w:val="53987838"/>
    <w:rsid w:val="53AA3B4C"/>
    <w:rsid w:val="53AB168D"/>
    <w:rsid w:val="53AC30B8"/>
    <w:rsid w:val="53AD1FC2"/>
    <w:rsid w:val="53B07B30"/>
    <w:rsid w:val="53BF4B18"/>
    <w:rsid w:val="53CD3590"/>
    <w:rsid w:val="53D32C63"/>
    <w:rsid w:val="53D500A7"/>
    <w:rsid w:val="53D83A0A"/>
    <w:rsid w:val="53DC1776"/>
    <w:rsid w:val="53DC66CB"/>
    <w:rsid w:val="53DE6F83"/>
    <w:rsid w:val="53E17EA9"/>
    <w:rsid w:val="53EA2B5E"/>
    <w:rsid w:val="53EC58A9"/>
    <w:rsid w:val="53EF3446"/>
    <w:rsid w:val="53F01264"/>
    <w:rsid w:val="53FC0EC4"/>
    <w:rsid w:val="5400395F"/>
    <w:rsid w:val="54062707"/>
    <w:rsid w:val="541233D7"/>
    <w:rsid w:val="54170117"/>
    <w:rsid w:val="541C389D"/>
    <w:rsid w:val="541F29DD"/>
    <w:rsid w:val="543F7F1E"/>
    <w:rsid w:val="54452630"/>
    <w:rsid w:val="5448592B"/>
    <w:rsid w:val="544C7BFD"/>
    <w:rsid w:val="544D75B2"/>
    <w:rsid w:val="545029C2"/>
    <w:rsid w:val="5450301F"/>
    <w:rsid w:val="5450471C"/>
    <w:rsid w:val="546A3A38"/>
    <w:rsid w:val="5471525A"/>
    <w:rsid w:val="5474514E"/>
    <w:rsid w:val="547651B8"/>
    <w:rsid w:val="54780EBC"/>
    <w:rsid w:val="547A1AA4"/>
    <w:rsid w:val="547A2F23"/>
    <w:rsid w:val="547F33FC"/>
    <w:rsid w:val="54800440"/>
    <w:rsid w:val="548379B4"/>
    <w:rsid w:val="54913870"/>
    <w:rsid w:val="549C3961"/>
    <w:rsid w:val="549E5672"/>
    <w:rsid w:val="54A66732"/>
    <w:rsid w:val="54B409B1"/>
    <w:rsid w:val="54BC19DD"/>
    <w:rsid w:val="54C2646B"/>
    <w:rsid w:val="54C72B03"/>
    <w:rsid w:val="54CC69D9"/>
    <w:rsid w:val="54CD0339"/>
    <w:rsid w:val="54D65F23"/>
    <w:rsid w:val="54E5570A"/>
    <w:rsid w:val="54E94703"/>
    <w:rsid w:val="54EA17CF"/>
    <w:rsid w:val="54ED05B6"/>
    <w:rsid w:val="54EF0AAE"/>
    <w:rsid w:val="54F65EB5"/>
    <w:rsid w:val="54F7746C"/>
    <w:rsid w:val="54F77F3B"/>
    <w:rsid w:val="54F9507D"/>
    <w:rsid w:val="54FC7C01"/>
    <w:rsid w:val="55090AE5"/>
    <w:rsid w:val="550A6C14"/>
    <w:rsid w:val="550E65CB"/>
    <w:rsid w:val="550F6D7E"/>
    <w:rsid w:val="5518061A"/>
    <w:rsid w:val="5518442B"/>
    <w:rsid w:val="55233F34"/>
    <w:rsid w:val="55234AAE"/>
    <w:rsid w:val="552611B1"/>
    <w:rsid w:val="552D029E"/>
    <w:rsid w:val="552F37C9"/>
    <w:rsid w:val="553271D3"/>
    <w:rsid w:val="55367DD4"/>
    <w:rsid w:val="55376740"/>
    <w:rsid w:val="553C75F8"/>
    <w:rsid w:val="553D10F6"/>
    <w:rsid w:val="554144A6"/>
    <w:rsid w:val="55434CE1"/>
    <w:rsid w:val="55466020"/>
    <w:rsid w:val="554B700A"/>
    <w:rsid w:val="554F2666"/>
    <w:rsid w:val="5551138E"/>
    <w:rsid w:val="55535008"/>
    <w:rsid w:val="5564201B"/>
    <w:rsid w:val="55685F0C"/>
    <w:rsid w:val="556963BD"/>
    <w:rsid w:val="556C60B3"/>
    <w:rsid w:val="55754E2B"/>
    <w:rsid w:val="55945D37"/>
    <w:rsid w:val="559E5D9D"/>
    <w:rsid w:val="55AA0F8C"/>
    <w:rsid w:val="55BD3C85"/>
    <w:rsid w:val="55BE4988"/>
    <w:rsid w:val="55C87E5B"/>
    <w:rsid w:val="55CD5E8D"/>
    <w:rsid w:val="55CF0047"/>
    <w:rsid w:val="55D50823"/>
    <w:rsid w:val="55DB4561"/>
    <w:rsid w:val="55E42C33"/>
    <w:rsid w:val="55EB1F25"/>
    <w:rsid w:val="55EB22BD"/>
    <w:rsid w:val="55F22B97"/>
    <w:rsid w:val="55F4055E"/>
    <w:rsid w:val="560018F2"/>
    <w:rsid w:val="5602321E"/>
    <w:rsid w:val="56024AB9"/>
    <w:rsid w:val="56167CC9"/>
    <w:rsid w:val="561A64ED"/>
    <w:rsid w:val="562231D6"/>
    <w:rsid w:val="563B1DE1"/>
    <w:rsid w:val="563B7A51"/>
    <w:rsid w:val="563E5AB2"/>
    <w:rsid w:val="5641535E"/>
    <w:rsid w:val="56440FFE"/>
    <w:rsid w:val="56450423"/>
    <w:rsid w:val="564C522B"/>
    <w:rsid w:val="56516667"/>
    <w:rsid w:val="565A245E"/>
    <w:rsid w:val="565B1F94"/>
    <w:rsid w:val="565D33A7"/>
    <w:rsid w:val="565F2FBA"/>
    <w:rsid w:val="566D641D"/>
    <w:rsid w:val="56752FC4"/>
    <w:rsid w:val="569357AD"/>
    <w:rsid w:val="5695110D"/>
    <w:rsid w:val="56974290"/>
    <w:rsid w:val="56987115"/>
    <w:rsid w:val="569E1BFB"/>
    <w:rsid w:val="56A24E81"/>
    <w:rsid w:val="56A501F8"/>
    <w:rsid w:val="56BE75E9"/>
    <w:rsid w:val="56C055FC"/>
    <w:rsid w:val="56C41E6D"/>
    <w:rsid w:val="56CC638C"/>
    <w:rsid w:val="56D16450"/>
    <w:rsid w:val="56D3410E"/>
    <w:rsid w:val="56D51BC3"/>
    <w:rsid w:val="56DB67A7"/>
    <w:rsid w:val="56DE76AA"/>
    <w:rsid w:val="56F22C90"/>
    <w:rsid w:val="57034083"/>
    <w:rsid w:val="570573AC"/>
    <w:rsid w:val="570C46B0"/>
    <w:rsid w:val="570D273C"/>
    <w:rsid w:val="57103B4A"/>
    <w:rsid w:val="572A4C6A"/>
    <w:rsid w:val="572C7031"/>
    <w:rsid w:val="57320394"/>
    <w:rsid w:val="573518D3"/>
    <w:rsid w:val="57371809"/>
    <w:rsid w:val="5738404A"/>
    <w:rsid w:val="573C5902"/>
    <w:rsid w:val="573D3614"/>
    <w:rsid w:val="57427A11"/>
    <w:rsid w:val="574F119B"/>
    <w:rsid w:val="57501DED"/>
    <w:rsid w:val="575273CC"/>
    <w:rsid w:val="57541769"/>
    <w:rsid w:val="57552983"/>
    <w:rsid w:val="575B50EA"/>
    <w:rsid w:val="575E1D10"/>
    <w:rsid w:val="57634140"/>
    <w:rsid w:val="576524BB"/>
    <w:rsid w:val="5765634A"/>
    <w:rsid w:val="577F5FA9"/>
    <w:rsid w:val="577F68C1"/>
    <w:rsid w:val="57812F5F"/>
    <w:rsid w:val="578201E9"/>
    <w:rsid w:val="57897F9E"/>
    <w:rsid w:val="579A2441"/>
    <w:rsid w:val="57A1557A"/>
    <w:rsid w:val="57A50BBD"/>
    <w:rsid w:val="57B3383D"/>
    <w:rsid w:val="57B62664"/>
    <w:rsid w:val="57C24C91"/>
    <w:rsid w:val="57CF7CD2"/>
    <w:rsid w:val="57DC2F5F"/>
    <w:rsid w:val="57E431F5"/>
    <w:rsid w:val="57E91CD3"/>
    <w:rsid w:val="57EA53C3"/>
    <w:rsid w:val="57EC1FF3"/>
    <w:rsid w:val="57EE6662"/>
    <w:rsid w:val="57F55ADF"/>
    <w:rsid w:val="57FC57BD"/>
    <w:rsid w:val="57FF6155"/>
    <w:rsid w:val="580140A6"/>
    <w:rsid w:val="5805593A"/>
    <w:rsid w:val="58086B9C"/>
    <w:rsid w:val="580B6E3C"/>
    <w:rsid w:val="580C1C8E"/>
    <w:rsid w:val="580E0C7E"/>
    <w:rsid w:val="580F6427"/>
    <w:rsid w:val="58120B37"/>
    <w:rsid w:val="581E5ECA"/>
    <w:rsid w:val="581E62DD"/>
    <w:rsid w:val="58251AFB"/>
    <w:rsid w:val="58291B84"/>
    <w:rsid w:val="582E5606"/>
    <w:rsid w:val="58322A63"/>
    <w:rsid w:val="58342026"/>
    <w:rsid w:val="583A4ECC"/>
    <w:rsid w:val="583E32B5"/>
    <w:rsid w:val="58457294"/>
    <w:rsid w:val="584618FD"/>
    <w:rsid w:val="58527C59"/>
    <w:rsid w:val="58532CF4"/>
    <w:rsid w:val="585673E9"/>
    <w:rsid w:val="585711B5"/>
    <w:rsid w:val="58597459"/>
    <w:rsid w:val="5860782D"/>
    <w:rsid w:val="586C3CC6"/>
    <w:rsid w:val="586D6026"/>
    <w:rsid w:val="58743043"/>
    <w:rsid w:val="58751D1F"/>
    <w:rsid w:val="58783CFA"/>
    <w:rsid w:val="588C36D2"/>
    <w:rsid w:val="588D3EBA"/>
    <w:rsid w:val="588D51D8"/>
    <w:rsid w:val="589275AB"/>
    <w:rsid w:val="58950814"/>
    <w:rsid w:val="58951088"/>
    <w:rsid w:val="58961A67"/>
    <w:rsid w:val="58990FC0"/>
    <w:rsid w:val="58A14C54"/>
    <w:rsid w:val="58A2047B"/>
    <w:rsid w:val="58A64233"/>
    <w:rsid w:val="58A75A19"/>
    <w:rsid w:val="58BB3DC0"/>
    <w:rsid w:val="58BB6E11"/>
    <w:rsid w:val="58C579F9"/>
    <w:rsid w:val="58D029D0"/>
    <w:rsid w:val="58D93AAC"/>
    <w:rsid w:val="58D95B4A"/>
    <w:rsid w:val="58E236F3"/>
    <w:rsid w:val="58E55D25"/>
    <w:rsid w:val="58EA38F6"/>
    <w:rsid w:val="58EF26B0"/>
    <w:rsid w:val="58F1068B"/>
    <w:rsid w:val="58F1658F"/>
    <w:rsid w:val="58F63FE1"/>
    <w:rsid w:val="58FC1414"/>
    <w:rsid w:val="5906339C"/>
    <w:rsid w:val="59081405"/>
    <w:rsid w:val="59110125"/>
    <w:rsid w:val="59131292"/>
    <w:rsid w:val="591D589D"/>
    <w:rsid w:val="59232A72"/>
    <w:rsid w:val="59245B6E"/>
    <w:rsid w:val="59307312"/>
    <w:rsid w:val="593D2342"/>
    <w:rsid w:val="59410FBD"/>
    <w:rsid w:val="5942577F"/>
    <w:rsid w:val="594B1241"/>
    <w:rsid w:val="59532C0C"/>
    <w:rsid w:val="595908B8"/>
    <w:rsid w:val="5965749F"/>
    <w:rsid w:val="596A0588"/>
    <w:rsid w:val="596A0C5D"/>
    <w:rsid w:val="59740F5F"/>
    <w:rsid w:val="59753668"/>
    <w:rsid w:val="59792E3F"/>
    <w:rsid w:val="598F0C7F"/>
    <w:rsid w:val="59903A66"/>
    <w:rsid w:val="59924FF5"/>
    <w:rsid w:val="59A07120"/>
    <w:rsid w:val="59A077A3"/>
    <w:rsid w:val="59A34226"/>
    <w:rsid w:val="59AA1A5E"/>
    <w:rsid w:val="59AD425C"/>
    <w:rsid w:val="59B56492"/>
    <w:rsid w:val="59BC0857"/>
    <w:rsid w:val="59BE74C1"/>
    <w:rsid w:val="59C35ACF"/>
    <w:rsid w:val="59CD016A"/>
    <w:rsid w:val="59CD0E7C"/>
    <w:rsid w:val="59D5238B"/>
    <w:rsid w:val="59E235F0"/>
    <w:rsid w:val="59E66C46"/>
    <w:rsid w:val="59E87613"/>
    <w:rsid w:val="59EA6C14"/>
    <w:rsid w:val="59EE3881"/>
    <w:rsid w:val="59EF254F"/>
    <w:rsid w:val="5A02182B"/>
    <w:rsid w:val="5A0245E9"/>
    <w:rsid w:val="5A03666B"/>
    <w:rsid w:val="5A086181"/>
    <w:rsid w:val="5A0D509A"/>
    <w:rsid w:val="5A110810"/>
    <w:rsid w:val="5A142B51"/>
    <w:rsid w:val="5A18540C"/>
    <w:rsid w:val="5A1C3B82"/>
    <w:rsid w:val="5A2400DF"/>
    <w:rsid w:val="5A2E6F93"/>
    <w:rsid w:val="5A324381"/>
    <w:rsid w:val="5A3A3B1E"/>
    <w:rsid w:val="5A3B140A"/>
    <w:rsid w:val="5A3F2FA4"/>
    <w:rsid w:val="5A552EDD"/>
    <w:rsid w:val="5A64740A"/>
    <w:rsid w:val="5A664CCE"/>
    <w:rsid w:val="5A6C0B34"/>
    <w:rsid w:val="5A6D3FBB"/>
    <w:rsid w:val="5A746011"/>
    <w:rsid w:val="5A7919D5"/>
    <w:rsid w:val="5A853653"/>
    <w:rsid w:val="5A8A5E83"/>
    <w:rsid w:val="5A9F1794"/>
    <w:rsid w:val="5AA20ED6"/>
    <w:rsid w:val="5AA708CA"/>
    <w:rsid w:val="5AAC551A"/>
    <w:rsid w:val="5AB362A3"/>
    <w:rsid w:val="5AB37F0E"/>
    <w:rsid w:val="5AC12B18"/>
    <w:rsid w:val="5AC740A4"/>
    <w:rsid w:val="5ACC5ABE"/>
    <w:rsid w:val="5AD04D28"/>
    <w:rsid w:val="5AD1112A"/>
    <w:rsid w:val="5ADB0058"/>
    <w:rsid w:val="5AE96341"/>
    <w:rsid w:val="5AF15610"/>
    <w:rsid w:val="5AF17F45"/>
    <w:rsid w:val="5AF26392"/>
    <w:rsid w:val="5AFB6B90"/>
    <w:rsid w:val="5AFD5309"/>
    <w:rsid w:val="5AFE16D1"/>
    <w:rsid w:val="5B017F4F"/>
    <w:rsid w:val="5B0212D6"/>
    <w:rsid w:val="5B1A11EB"/>
    <w:rsid w:val="5B1C56CE"/>
    <w:rsid w:val="5B2428F3"/>
    <w:rsid w:val="5B2A28AF"/>
    <w:rsid w:val="5B2D4026"/>
    <w:rsid w:val="5B2E4BDA"/>
    <w:rsid w:val="5B3B4BE1"/>
    <w:rsid w:val="5B415759"/>
    <w:rsid w:val="5B473BF6"/>
    <w:rsid w:val="5B4E73D8"/>
    <w:rsid w:val="5B5415D6"/>
    <w:rsid w:val="5B5E6F93"/>
    <w:rsid w:val="5B602F2C"/>
    <w:rsid w:val="5B6160B4"/>
    <w:rsid w:val="5B6402D5"/>
    <w:rsid w:val="5B691244"/>
    <w:rsid w:val="5B6F014B"/>
    <w:rsid w:val="5B736AF3"/>
    <w:rsid w:val="5B756D96"/>
    <w:rsid w:val="5B7C1860"/>
    <w:rsid w:val="5B7F50BF"/>
    <w:rsid w:val="5B851E8F"/>
    <w:rsid w:val="5B867F38"/>
    <w:rsid w:val="5B915005"/>
    <w:rsid w:val="5B9207A8"/>
    <w:rsid w:val="5B9E1A50"/>
    <w:rsid w:val="5B9F7DAC"/>
    <w:rsid w:val="5BA05B17"/>
    <w:rsid w:val="5BAB6F48"/>
    <w:rsid w:val="5BB075A4"/>
    <w:rsid w:val="5BB77E50"/>
    <w:rsid w:val="5BB82127"/>
    <w:rsid w:val="5BBB37E1"/>
    <w:rsid w:val="5BBB3896"/>
    <w:rsid w:val="5BCD6444"/>
    <w:rsid w:val="5BD87B53"/>
    <w:rsid w:val="5BDA7D40"/>
    <w:rsid w:val="5BF04196"/>
    <w:rsid w:val="5BF82C3C"/>
    <w:rsid w:val="5C006DD5"/>
    <w:rsid w:val="5C0553DC"/>
    <w:rsid w:val="5C0A16A2"/>
    <w:rsid w:val="5C0D70A7"/>
    <w:rsid w:val="5C111495"/>
    <w:rsid w:val="5C165947"/>
    <w:rsid w:val="5C1739FF"/>
    <w:rsid w:val="5C2B05FE"/>
    <w:rsid w:val="5C3405B2"/>
    <w:rsid w:val="5C374381"/>
    <w:rsid w:val="5C3802E1"/>
    <w:rsid w:val="5C3F3AA9"/>
    <w:rsid w:val="5C4075FA"/>
    <w:rsid w:val="5C4863C1"/>
    <w:rsid w:val="5C61437B"/>
    <w:rsid w:val="5C6C3BD8"/>
    <w:rsid w:val="5C763174"/>
    <w:rsid w:val="5C7B0A0E"/>
    <w:rsid w:val="5C817958"/>
    <w:rsid w:val="5C84164A"/>
    <w:rsid w:val="5C8C06C1"/>
    <w:rsid w:val="5C953975"/>
    <w:rsid w:val="5C964412"/>
    <w:rsid w:val="5C992D62"/>
    <w:rsid w:val="5CA658AC"/>
    <w:rsid w:val="5CAD65A1"/>
    <w:rsid w:val="5CB02287"/>
    <w:rsid w:val="5CB2756A"/>
    <w:rsid w:val="5CBB7743"/>
    <w:rsid w:val="5CBE2888"/>
    <w:rsid w:val="5CC24B59"/>
    <w:rsid w:val="5CC26ECC"/>
    <w:rsid w:val="5CCC5196"/>
    <w:rsid w:val="5CD47D66"/>
    <w:rsid w:val="5CD56D30"/>
    <w:rsid w:val="5CDF5473"/>
    <w:rsid w:val="5CE50D36"/>
    <w:rsid w:val="5CE727FA"/>
    <w:rsid w:val="5CEF196B"/>
    <w:rsid w:val="5CF13B6F"/>
    <w:rsid w:val="5CF71428"/>
    <w:rsid w:val="5D050648"/>
    <w:rsid w:val="5D080A16"/>
    <w:rsid w:val="5D0C1CA8"/>
    <w:rsid w:val="5D160777"/>
    <w:rsid w:val="5D170DD6"/>
    <w:rsid w:val="5D1715C6"/>
    <w:rsid w:val="5D1773C9"/>
    <w:rsid w:val="5D26128D"/>
    <w:rsid w:val="5D292C68"/>
    <w:rsid w:val="5D2B1C79"/>
    <w:rsid w:val="5D2B24B3"/>
    <w:rsid w:val="5D2E1E1A"/>
    <w:rsid w:val="5D34149D"/>
    <w:rsid w:val="5D353659"/>
    <w:rsid w:val="5D372A65"/>
    <w:rsid w:val="5D393F46"/>
    <w:rsid w:val="5D3B5726"/>
    <w:rsid w:val="5D3F4B0D"/>
    <w:rsid w:val="5D4178A2"/>
    <w:rsid w:val="5D424B5D"/>
    <w:rsid w:val="5D433E3A"/>
    <w:rsid w:val="5D4601B1"/>
    <w:rsid w:val="5D494DBC"/>
    <w:rsid w:val="5D52523C"/>
    <w:rsid w:val="5D55588E"/>
    <w:rsid w:val="5D594FED"/>
    <w:rsid w:val="5D5A0839"/>
    <w:rsid w:val="5D645705"/>
    <w:rsid w:val="5D6C6D20"/>
    <w:rsid w:val="5D6F3989"/>
    <w:rsid w:val="5D703A41"/>
    <w:rsid w:val="5D7863E2"/>
    <w:rsid w:val="5D7A5CAC"/>
    <w:rsid w:val="5D7B0085"/>
    <w:rsid w:val="5D7B50D7"/>
    <w:rsid w:val="5D7F4E13"/>
    <w:rsid w:val="5D811B5C"/>
    <w:rsid w:val="5D900FDD"/>
    <w:rsid w:val="5D932479"/>
    <w:rsid w:val="5D96376B"/>
    <w:rsid w:val="5D9969B2"/>
    <w:rsid w:val="5D9F2655"/>
    <w:rsid w:val="5DAB27C9"/>
    <w:rsid w:val="5DB221B9"/>
    <w:rsid w:val="5DB46EC8"/>
    <w:rsid w:val="5DB95446"/>
    <w:rsid w:val="5DBD1258"/>
    <w:rsid w:val="5DCB6A18"/>
    <w:rsid w:val="5DD34F0D"/>
    <w:rsid w:val="5DD371C8"/>
    <w:rsid w:val="5DE5396A"/>
    <w:rsid w:val="5DED633B"/>
    <w:rsid w:val="5DF44A46"/>
    <w:rsid w:val="5DF84E51"/>
    <w:rsid w:val="5DFA5275"/>
    <w:rsid w:val="5E0013E1"/>
    <w:rsid w:val="5E0B4121"/>
    <w:rsid w:val="5E1B308C"/>
    <w:rsid w:val="5E204833"/>
    <w:rsid w:val="5E2234DD"/>
    <w:rsid w:val="5E3422D3"/>
    <w:rsid w:val="5E3564A3"/>
    <w:rsid w:val="5E39617D"/>
    <w:rsid w:val="5E401CD4"/>
    <w:rsid w:val="5E43222F"/>
    <w:rsid w:val="5E46489E"/>
    <w:rsid w:val="5E4A25BB"/>
    <w:rsid w:val="5E4A295D"/>
    <w:rsid w:val="5E4E0451"/>
    <w:rsid w:val="5E531566"/>
    <w:rsid w:val="5E5A73BB"/>
    <w:rsid w:val="5E5B4D3F"/>
    <w:rsid w:val="5E5C0936"/>
    <w:rsid w:val="5E6572A9"/>
    <w:rsid w:val="5E692294"/>
    <w:rsid w:val="5E6D6202"/>
    <w:rsid w:val="5E6F4588"/>
    <w:rsid w:val="5E755CD3"/>
    <w:rsid w:val="5E790CA0"/>
    <w:rsid w:val="5E7945FC"/>
    <w:rsid w:val="5E930082"/>
    <w:rsid w:val="5E98386C"/>
    <w:rsid w:val="5E984923"/>
    <w:rsid w:val="5E9E692E"/>
    <w:rsid w:val="5EB351E3"/>
    <w:rsid w:val="5EB46B0F"/>
    <w:rsid w:val="5EB6009E"/>
    <w:rsid w:val="5EBE2D10"/>
    <w:rsid w:val="5ECB5E0F"/>
    <w:rsid w:val="5ED1221D"/>
    <w:rsid w:val="5ED13B34"/>
    <w:rsid w:val="5ED32946"/>
    <w:rsid w:val="5EDA08BE"/>
    <w:rsid w:val="5EDE27D6"/>
    <w:rsid w:val="5EE24512"/>
    <w:rsid w:val="5EE278D0"/>
    <w:rsid w:val="5F0D3ABE"/>
    <w:rsid w:val="5F0E22EC"/>
    <w:rsid w:val="5F1711F6"/>
    <w:rsid w:val="5F1800E8"/>
    <w:rsid w:val="5F185523"/>
    <w:rsid w:val="5F1A3C82"/>
    <w:rsid w:val="5F1C0991"/>
    <w:rsid w:val="5F1E10BC"/>
    <w:rsid w:val="5F335EBD"/>
    <w:rsid w:val="5F3838CF"/>
    <w:rsid w:val="5F413F0A"/>
    <w:rsid w:val="5F4911FC"/>
    <w:rsid w:val="5F4A7918"/>
    <w:rsid w:val="5F4B3934"/>
    <w:rsid w:val="5F4C162A"/>
    <w:rsid w:val="5F4E212F"/>
    <w:rsid w:val="5F53585C"/>
    <w:rsid w:val="5F550810"/>
    <w:rsid w:val="5F63220C"/>
    <w:rsid w:val="5F6C4A3F"/>
    <w:rsid w:val="5F6F6111"/>
    <w:rsid w:val="5F701D7B"/>
    <w:rsid w:val="5F727FC6"/>
    <w:rsid w:val="5F781B5A"/>
    <w:rsid w:val="5F7B0DE0"/>
    <w:rsid w:val="5F7B7DAB"/>
    <w:rsid w:val="5F803942"/>
    <w:rsid w:val="5F821239"/>
    <w:rsid w:val="5F9250BB"/>
    <w:rsid w:val="5F96543B"/>
    <w:rsid w:val="5F9A5115"/>
    <w:rsid w:val="5FB459C4"/>
    <w:rsid w:val="5FBE789B"/>
    <w:rsid w:val="5FC469D3"/>
    <w:rsid w:val="5FD47E63"/>
    <w:rsid w:val="5FD508BC"/>
    <w:rsid w:val="5FD862BD"/>
    <w:rsid w:val="5FDA0CA9"/>
    <w:rsid w:val="5FDD0F28"/>
    <w:rsid w:val="5FDD24B6"/>
    <w:rsid w:val="5FE16EF1"/>
    <w:rsid w:val="5FF01690"/>
    <w:rsid w:val="5FF01D62"/>
    <w:rsid w:val="5FF17B9A"/>
    <w:rsid w:val="5FF27B5D"/>
    <w:rsid w:val="5FF35132"/>
    <w:rsid w:val="5FF466A3"/>
    <w:rsid w:val="5FF973E1"/>
    <w:rsid w:val="5FFE36F1"/>
    <w:rsid w:val="60085D90"/>
    <w:rsid w:val="60162E5B"/>
    <w:rsid w:val="60265BCA"/>
    <w:rsid w:val="602B739C"/>
    <w:rsid w:val="602F5C8B"/>
    <w:rsid w:val="6032031B"/>
    <w:rsid w:val="603A2B07"/>
    <w:rsid w:val="603B585C"/>
    <w:rsid w:val="60443A82"/>
    <w:rsid w:val="604467CB"/>
    <w:rsid w:val="60447295"/>
    <w:rsid w:val="60482C07"/>
    <w:rsid w:val="604B0DEF"/>
    <w:rsid w:val="60523D01"/>
    <w:rsid w:val="6054527B"/>
    <w:rsid w:val="605C0865"/>
    <w:rsid w:val="60622528"/>
    <w:rsid w:val="60653E2B"/>
    <w:rsid w:val="607607FD"/>
    <w:rsid w:val="607D45EE"/>
    <w:rsid w:val="607E310F"/>
    <w:rsid w:val="607F45F5"/>
    <w:rsid w:val="607F6BA2"/>
    <w:rsid w:val="608416CC"/>
    <w:rsid w:val="608E4E60"/>
    <w:rsid w:val="609C380A"/>
    <w:rsid w:val="60A03E13"/>
    <w:rsid w:val="60A35595"/>
    <w:rsid w:val="60A652C9"/>
    <w:rsid w:val="60AB1090"/>
    <w:rsid w:val="60B3575F"/>
    <w:rsid w:val="60BE3971"/>
    <w:rsid w:val="60C36BAA"/>
    <w:rsid w:val="60CF257F"/>
    <w:rsid w:val="60DA02C2"/>
    <w:rsid w:val="60DF17F2"/>
    <w:rsid w:val="60E109D7"/>
    <w:rsid w:val="60E471F1"/>
    <w:rsid w:val="60F600EF"/>
    <w:rsid w:val="60F864F0"/>
    <w:rsid w:val="60F957DA"/>
    <w:rsid w:val="60FD01B0"/>
    <w:rsid w:val="610244AA"/>
    <w:rsid w:val="61033672"/>
    <w:rsid w:val="611304E9"/>
    <w:rsid w:val="611727E7"/>
    <w:rsid w:val="61186287"/>
    <w:rsid w:val="611F5FBC"/>
    <w:rsid w:val="612811FE"/>
    <w:rsid w:val="613045F7"/>
    <w:rsid w:val="613E6D9F"/>
    <w:rsid w:val="613F30AC"/>
    <w:rsid w:val="61404029"/>
    <w:rsid w:val="614100E3"/>
    <w:rsid w:val="6145645F"/>
    <w:rsid w:val="614B50C1"/>
    <w:rsid w:val="61517443"/>
    <w:rsid w:val="61572EDE"/>
    <w:rsid w:val="615F0190"/>
    <w:rsid w:val="616059C4"/>
    <w:rsid w:val="6165382A"/>
    <w:rsid w:val="61705025"/>
    <w:rsid w:val="61705093"/>
    <w:rsid w:val="61817EED"/>
    <w:rsid w:val="618A3CF6"/>
    <w:rsid w:val="618F5E5F"/>
    <w:rsid w:val="61996F91"/>
    <w:rsid w:val="61AD5497"/>
    <w:rsid w:val="61AD7ED6"/>
    <w:rsid w:val="61AE15DD"/>
    <w:rsid w:val="61B00A1E"/>
    <w:rsid w:val="61BE2899"/>
    <w:rsid w:val="61BE2BBA"/>
    <w:rsid w:val="61C02A6E"/>
    <w:rsid w:val="61C44FB6"/>
    <w:rsid w:val="61CA606C"/>
    <w:rsid w:val="61CB5734"/>
    <w:rsid w:val="61D5069C"/>
    <w:rsid w:val="61DE1513"/>
    <w:rsid w:val="61DE243F"/>
    <w:rsid w:val="61EC1029"/>
    <w:rsid w:val="61FA79CB"/>
    <w:rsid w:val="62006316"/>
    <w:rsid w:val="62143F57"/>
    <w:rsid w:val="621A51B1"/>
    <w:rsid w:val="621B7911"/>
    <w:rsid w:val="622303BC"/>
    <w:rsid w:val="62244482"/>
    <w:rsid w:val="622446F8"/>
    <w:rsid w:val="62282AE9"/>
    <w:rsid w:val="622B0874"/>
    <w:rsid w:val="622B7DC9"/>
    <w:rsid w:val="622C2A0D"/>
    <w:rsid w:val="623124EF"/>
    <w:rsid w:val="62364403"/>
    <w:rsid w:val="62387CD2"/>
    <w:rsid w:val="62436960"/>
    <w:rsid w:val="6243728E"/>
    <w:rsid w:val="624E68E8"/>
    <w:rsid w:val="62524272"/>
    <w:rsid w:val="62543E3D"/>
    <w:rsid w:val="625B2BB6"/>
    <w:rsid w:val="625C6B16"/>
    <w:rsid w:val="625F53CD"/>
    <w:rsid w:val="62604FDE"/>
    <w:rsid w:val="626D4F5D"/>
    <w:rsid w:val="6270008C"/>
    <w:rsid w:val="62721912"/>
    <w:rsid w:val="627547D1"/>
    <w:rsid w:val="627B5880"/>
    <w:rsid w:val="62864DC9"/>
    <w:rsid w:val="628D0640"/>
    <w:rsid w:val="6294124F"/>
    <w:rsid w:val="629E0A71"/>
    <w:rsid w:val="629F5000"/>
    <w:rsid w:val="62AE76D5"/>
    <w:rsid w:val="62AF2D03"/>
    <w:rsid w:val="62B806AC"/>
    <w:rsid w:val="62C018A7"/>
    <w:rsid w:val="62C2147C"/>
    <w:rsid w:val="62C535DD"/>
    <w:rsid w:val="62CB0188"/>
    <w:rsid w:val="62CF637B"/>
    <w:rsid w:val="62D17676"/>
    <w:rsid w:val="62D32BA1"/>
    <w:rsid w:val="62F176C2"/>
    <w:rsid w:val="62FB6650"/>
    <w:rsid w:val="62FF2E06"/>
    <w:rsid w:val="63022A0D"/>
    <w:rsid w:val="63027145"/>
    <w:rsid w:val="630632CE"/>
    <w:rsid w:val="63073853"/>
    <w:rsid w:val="63075750"/>
    <w:rsid w:val="630960A6"/>
    <w:rsid w:val="630F1F6C"/>
    <w:rsid w:val="631560EB"/>
    <w:rsid w:val="63170F7C"/>
    <w:rsid w:val="63217423"/>
    <w:rsid w:val="632400BA"/>
    <w:rsid w:val="632A691E"/>
    <w:rsid w:val="633571CC"/>
    <w:rsid w:val="6337416D"/>
    <w:rsid w:val="633862B6"/>
    <w:rsid w:val="633B709F"/>
    <w:rsid w:val="633D663F"/>
    <w:rsid w:val="6348512C"/>
    <w:rsid w:val="634D0FFB"/>
    <w:rsid w:val="634D4E50"/>
    <w:rsid w:val="63594980"/>
    <w:rsid w:val="635A0C87"/>
    <w:rsid w:val="635D344F"/>
    <w:rsid w:val="635D7FF5"/>
    <w:rsid w:val="635E3566"/>
    <w:rsid w:val="63607B63"/>
    <w:rsid w:val="63626B0F"/>
    <w:rsid w:val="6363122E"/>
    <w:rsid w:val="63636A34"/>
    <w:rsid w:val="636451F8"/>
    <w:rsid w:val="637720C5"/>
    <w:rsid w:val="637C603C"/>
    <w:rsid w:val="63805128"/>
    <w:rsid w:val="63861D33"/>
    <w:rsid w:val="63864396"/>
    <w:rsid w:val="638B469B"/>
    <w:rsid w:val="638D54CB"/>
    <w:rsid w:val="63900B3B"/>
    <w:rsid w:val="6391793F"/>
    <w:rsid w:val="63A2181C"/>
    <w:rsid w:val="63AC40B1"/>
    <w:rsid w:val="63AC7B01"/>
    <w:rsid w:val="63B069B7"/>
    <w:rsid w:val="63C01B1D"/>
    <w:rsid w:val="63C02AAE"/>
    <w:rsid w:val="63C85E2C"/>
    <w:rsid w:val="63D20D97"/>
    <w:rsid w:val="63D92960"/>
    <w:rsid w:val="63DA3AC7"/>
    <w:rsid w:val="63DB5F77"/>
    <w:rsid w:val="63DD01F4"/>
    <w:rsid w:val="63E16321"/>
    <w:rsid w:val="63E22B34"/>
    <w:rsid w:val="63E35F3A"/>
    <w:rsid w:val="63E37795"/>
    <w:rsid w:val="63E42205"/>
    <w:rsid w:val="63EC035D"/>
    <w:rsid w:val="63EC4F0E"/>
    <w:rsid w:val="63F04C3D"/>
    <w:rsid w:val="63F3760C"/>
    <w:rsid w:val="63FF4C2E"/>
    <w:rsid w:val="640A120F"/>
    <w:rsid w:val="640E5FB2"/>
    <w:rsid w:val="6419743D"/>
    <w:rsid w:val="641E2FFD"/>
    <w:rsid w:val="642120FE"/>
    <w:rsid w:val="64212F20"/>
    <w:rsid w:val="64216CD6"/>
    <w:rsid w:val="642D197F"/>
    <w:rsid w:val="64351649"/>
    <w:rsid w:val="64456823"/>
    <w:rsid w:val="64505561"/>
    <w:rsid w:val="6451172E"/>
    <w:rsid w:val="645B218B"/>
    <w:rsid w:val="645E7592"/>
    <w:rsid w:val="646949A2"/>
    <w:rsid w:val="64752152"/>
    <w:rsid w:val="64786CCF"/>
    <w:rsid w:val="64802D6E"/>
    <w:rsid w:val="6481513B"/>
    <w:rsid w:val="6481537F"/>
    <w:rsid w:val="64882347"/>
    <w:rsid w:val="648D06CB"/>
    <w:rsid w:val="648F7EBE"/>
    <w:rsid w:val="64A37A75"/>
    <w:rsid w:val="64A452EA"/>
    <w:rsid w:val="64AA5D82"/>
    <w:rsid w:val="64AC53D9"/>
    <w:rsid w:val="64B2435E"/>
    <w:rsid w:val="64B7696A"/>
    <w:rsid w:val="64BB59A1"/>
    <w:rsid w:val="64BF2823"/>
    <w:rsid w:val="64C103A2"/>
    <w:rsid w:val="64CE2E18"/>
    <w:rsid w:val="64D30230"/>
    <w:rsid w:val="64D81ED5"/>
    <w:rsid w:val="64D85ADD"/>
    <w:rsid w:val="64DE77B4"/>
    <w:rsid w:val="64E25D83"/>
    <w:rsid w:val="64E45A26"/>
    <w:rsid w:val="64E66DF8"/>
    <w:rsid w:val="64F236E7"/>
    <w:rsid w:val="64F6029F"/>
    <w:rsid w:val="64F64148"/>
    <w:rsid w:val="64F74413"/>
    <w:rsid w:val="64FA0716"/>
    <w:rsid w:val="65035486"/>
    <w:rsid w:val="650B4776"/>
    <w:rsid w:val="65144539"/>
    <w:rsid w:val="65163A2B"/>
    <w:rsid w:val="65182A1E"/>
    <w:rsid w:val="65194470"/>
    <w:rsid w:val="65194A75"/>
    <w:rsid w:val="651C2687"/>
    <w:rsid w:val="651C4230"/>
    <w:rsid w:val="65341AB7"/>
    <w:rsid w:val="653863C9"/>
    <w:rsid w:val="653D34A1"/>
    <w:rsid w:val="653F05F7"/>
    <w:rsid w:val="654C0A01"/>
    <w:rsid w:val="654C175F"/>
    <w:rsid w:val="654C400E"/>
    <w:rsid w:val="654C4118"/>
    <w:rsid w:val="654C7652"/>
    <w:rsid w:val="65510B4D"/>
    <w:rsid w:val="655A4549"/>
    <w:rsid w:val="655C6B59"/>
    <w:rsid w:val="655E7246"/>
    <w:rsid w:val="65620663"/>
    <w:rsid w:val="656311FF"/>
    <w:rsid w:val="65672507"/>
    <w:rsid w:val="656E40B8"/>
    <w:rsid w:val="656F497A"/>
    <w:rsid w:val="65707AAB"/>
    <w:rsid w:val="65736BEB"/>
    <w:rsid w:val="65775D9F"/>
    <w:rsid w:val="657E1AA3"/>
    <w:rsid w:val="65891C7A"/>
    <w:rsid w:val="65931D3A"/>
    <w:rsid w:val="659822DD"/>
    <w:rsid w:val="65982BEA"/>
    <w:rsid w:val="659E0CD8"/>
    <w:rsid w:val="65A3380C"/>
    <w:rsid w:val="65AB663F"/>
    <w:rsid w:val="65B44DD6"/>
    <w:rsid w:val="65B8784A"/>
    <w:rsid w:val="65BB37FD"/>
    <w:rsid w:val="65BC244B"/>
    <w:rsid w:val="65BD1F08"/>
    <w:rsid w:val="65C0745B"/>
    <w:rsid w:val="65C96EB3"/>
    <w:rsid w:val="65CC5D72"/>
    <w:rsid w:val="65D21F83"/>
    <w:rsid w:val="65D36CD9"/>
    <w:rsid w:val="65D55F41"/>
    <w:rsid w:val="65D60201"/>
    <w:rsid w:val="65D95B4E"/>
    <w:rsid w:val="65DC4F6E"/>
    <w:rsid w:val="65DF7A88"/>
    <w:rsid w:val="65E174B2"/>
    <w:rsid w:val="65E413AB"/>
    <w:rsid w:val="65EC2F32"/>
    <w:rsid w:val="65F01AB4"/>
    <w:rsid w:val="65FA3CE3"/>
    <w:rsid w:val="65FC7782"/>
    <w:rsid w:val="65FD41C6"/>
    <w:rsid w:val="65FE7F42"/>
    <w:rsid w:val="660B3DE6"/>
    <w:rsid w:val="66100967"/>
    <w:rsid w:val="661800B4"/>
    <w:rsid w:val="662720D2"/>
    <w:rsid w:val="662C5B0A"/>
    <w:rsid w:val="663219D1"/>
    <w:rsid w:val="663A5586"/>
    <w:rsid w:val="66450C85"/>
    <w:rsid w:val="66521A19"/>
    <w:rsid w:val="66527316"/>
    <w:rsid w:val="6653533F"/>
    <w:rsid w:val="6654041A"/>
    <w:rsid w:val="6655292C"/>
    <w:rsid w:val="66646397"/>
    <w:rsid w:val="666B183F"/>
    <w:rsid w:val="666B1FF8"/>
    <w:rsid w:val="666D301C"/>
    <w:rsid w:val="667F1847"/>
    <w:rsid w:val="668103FF"/>
    <w:rsid w:val="6682631E"/>
    <w:rsid w:val="66892A30"/>
    <w:rsid w:val="668B25F1"/>
    <w:rsid w:val="669C06FE"/>
    <w:rsid w:val="669D0FFF"/>
    <w:rsid w:val="66A37B86"/>
    <w:rsid w:val="66A57B20"/>
    <w:rsid w:val="66AA6D2C"/>
    <w:rsid w:val="66B87247"/>
    <w:rsid w:val="66BA77D5"/>
    <w:rsid w:val="66C01FC9"/>
    <w:rsid w:val="66C1139D"/>
    <w:rsid w:val="66CB556D"/>
    <w:rsid w:val="66D12486"/>
    <w:rsid w:val="66D4710B"/>
    <w:rsid w:val="66D87459"/>
    <w:rsid w:val="66DC5B3F"/>
    <w:rsid w:val="66E03F2D"/>
    <w:rsid w:val="66E03FB3"/>
    <w:rsid w:val="66E17011"/>
    <w:rsid w:val="66E27F0D"/>
    <w:rsid w:val="66E36BE5"/>
    <w:rsid w:val="66EC5B4E"/>
    <w:rsid w:val="66F077FD"/>
    <w:rsid w:val="66F12872"/>
    <w:rsid w:val="66F85BDB"/>
    <w:rsid w:val="66FF3110"/>
    <w:rsid w:val="67042386"/>
    <w:rsid w:val="67105321"/>
    <w:rsid w:val="671857AE"/>
    <w:rsid w:val="671B41C4"/>
    <w:rsid w:val="671C652D"/>
    <w:rsid w:val="671E0FD9"/>
    <w:rsid w:val="672D2B48"/>
    <w:rsid w:val="672D332E"/>
    <w:rsid w:val="67381AD5"/>
    <w:rsid w:val="673A77B7"/>
    <w:rsid w:val="674711AB"/>
    <w:rsid w:val="674A09C7"/>
    <w:rsid w:val="674B4A6A"/>
    <w:rsid w:val="675E2286"/>
    <w:rsid w:val="676D42EB"/>
    <w:rsid w:val="676E7F3D"/>
    <w:rsid w:val="67704FAD"/>
    <w:rsid w:val="67740045"/>
    <w:rsid w:val="677D22FC"/>
    <w:rsid w:val="677E4332"/>
    <w:rsid w:val="67836156"/>
    <w:rsid w:val="679119E4"/>
    <w:rsid w:val="679D37C2"/>
    <w:rsid w:val="67A27CC2"/>
    <w:rsid w:val="67A60B9C"/>
    <w:rsid w:val="67AD0F3F"/>
    <w:rsid w:val="67B025F8"/>
    <w:rsid w:val="67C271FD"/>
    <w:rsid w:val="67C57D24"/>
    <w:rsid w:val="67D41DA8"/>
    <w:rsid w:val="67DD7507"/>
    <w:rsid w:val="67DF2DA0"/>
    <w:rsid w:val="67E0215D"/>
    <w:rsid w:val="67E651CC"/>
    <w:rsid w:val="67EF30B3"/>
    <w:rsid w:val="67FF30D0"/>
    <w:rsid w:val="68000F49"/>
    <w:rsid w:val="68061993"/>
    <w:rsid w:val="680B1828"/>
    <w:rsid w:val="680B2E8B"/>
    <w:rsid w:val="680D0939"/>
    <w:rsid w:val="681C46D1"/>
    <w:rsid w:val="68214838"/>
    <w:rsid w:val="68237FD2"/>
    <w:rsid w:val="68286E52"/>
    <w:rsid w:val="68394CF3"/>
    <w:rsid w:val="683B1261"/>
    <w:rsid w:val="684557CE"/>
    <w:rsid w:val="68466D27"/>
    <w:rsid w:val="68642F50"/>
    <w:rsid w:val="68642FB3"/>
    <w:rsid w:val="6866152A"/>
    <w:rsid w:val="686D127F"/>
    <w:rsid w:val="687067F6"/>
    <w:rsid w:val="68747A3A"/>
    <w:rsid w:val="68802A41"/>
    <w:rsid w:val="68842FA9"/>
    <w:rsid w:val="68864EF9"/>
    <w:rsid w:val="688B5A9F"/>
    <w:rsid w:val="688E5F92"/>
    <w:rsid w:val="68901B29"/>
    <w:rsid w:val="689078F6"/>
    <w:rsid w:val="689304A0"/>
    <w:rsid w:val="68935300"/>
    <w:rsid w:val="689416E4"/>
    <w:rsid w:val="689E7816"/>
    <w:rsid w:val="68A400D5"/>
    <w:rsid w:val="68B93D81"/>
    <w:rsid w:val="68CD789A"/>
    <w:rsid w:val="68E027D7"/>
    <w:rsid w:val="68E32D1E"/>
    <w:rsid w:val="68E3352F"/>
    <w:rsid w:val="68E6046D"/>
    <w:rsid w:val="68E65278"/>
    <w:rsid w:val="68EA0D10"/>
    <w:rsid w:val="68EC04DE"/>
    <w:rsid w:val="68F96D88"/>
    <w:rsid w:val="68FC7FC0"/>
    <w:rsid w:val="69022832"/>
    <w:rsid w:val="69093CAF"/>
    <w:rsid w:val="690B7520"/>
    <w:rsid w:val="691200AE"/>
    <w:rsid w:val="69152147"/>
    <w:rsid w:val="691E3543"/>
    <w:rsid w:val="692517FE"/>
    <w:rsid w:val="692B7AB0"/>
    <w:rsid w:val="693154EC"/>
    <w:rsid w:val="69317031"/>
    <w:rsid w:val="693C2DD3"/>
    <w:rsid w:val="69413B3B"/>
    <w:rsid w:val="69461CB0"/>
    <w:rsid w:val="694D197A"/>
    <w:rsid w:val="694F1C0F"/>
    <w:rsid w:val="69517DBF"/>
    <w:rsid w:val="69547E70"/>
    <w:rsid w:val="69577DFB"/>
    <w:rsid w:val="69594552"/>
    <w:rsid w:val="695C7E7A"/>
    <w:rsid w:val="69636B13"/>
    <w:rsid w:val="69647D29"/>
    <w:rsid w:val="697046EC"/>
    <w:rsid w:val="69780C1A"/>
    <w:rsid w:val="697E74B0"/>
    <w:rsid w:val="69880A72"/>
    <w:rsid w:val="69922009"/>
    <w:rsid w:val="6992357A"/>
    <w:rsid w:val="69963087"/>
    <w:rsid w:val="69963715"/>
    <w:rsid w:val="69AB1271"/>
    <w:rsid w:val="69B168A7"/>
    <w:rsid w:val="69B36B0B"/>
    <w:rsid w:val="69B82F3E"/>
    <w:rsid w:val="69B868E7"/>
    <w:rsid w:val="69BB57F0"/>
    <w:rsid w:val="69C76718"/>
    <w:rsid w:val="69C7697A"/>
    <w:rsid w:val="69C7778A"/>
    <w:rsid w:val="69C923F2"/>
    <w:rsid w:val="69C93883"/>
    <w:rsid w:val="69CF00C0"/>
    <w:rsid w:val="69D316CF"/>
    <w:rsid w:val="69D85016"/>
    <w:rsid w:val="69DA61FE"/>
    <w:rsid w:val="69E67C99"/>
    <w:rsid w:val="69EE19C0"/>
    <w:rsid w:val="69F36455"/>
    <w:rsid w:val="69FB2910"/>
    <w:rsid w:val="69FF298F"/>
    <w:rsid w:val="6A0456C2"/>
    <w:rsid w:val="6A080B86"/>
    <w:rsid w:val="6A0A518E"/>
    <w:rsid w:val="6A0B1654"/>
    <w:rsid w:val="6A1C528B"/>
    <w:rsid w:val="6A220495"/>
    <w:rsid w:val="6A2306ED"/>
    <w:rsid w:val="6A272D1B"/>
    <w:rsid w:val="6A2D657D"/>
    <w:rsid w:val="6A305C56"/>
    <w:rsid w:val="6A317CCE"/>
    <w:rsid w:val="6A350F35"/>
    <w:rsid w:val="6A410CBD"/>
    <w:rsid w:val="6A441179"/>
    <w:rsid w:val="6A5318E5"/>
    <w:rsid w:val="6A5339AC"/>
    <w:rsid w:val="6A5B4611"/>
    <w:rsid w:val="6A602F48"/>
    <w:rsid w:val="6A623645"/>
    <w:rsid w:val="6A6D40BC"/>
    <w:rsid w:val="6A7B4585"/>
    <w:rsid w:val="6A817C93"/>
    <w:rsid w:val="6A83685F"/>
    <w:rsid w:val="6A871F0C"/>
    <w:rsid w:val="6A8A7A9E"/>
    <w:rsid w:val="6A8B64C4"/>
    <w:rsid w:val="6A90546D"/>
    <w:rsid w:val="6AA03D7A"/>
    <w:rsid w:val="6AA320BF"/>
    <w:rsid w:val="6AAB363A"/>
    <w:rsid w:val="6AAF6EBB"/>
    <w:rsid w:val="6AB043A3"/>
    <w:rsid w:val="6AB5211E"/>
    <w:rsid w:val="6AB62FA9"/>
    <w:rsid w:val="6ABC1BE5"/>
    <w:rsid w:val="6ABD3824"/>
    <w:rsid w:val="6ABE2791"/>
    <w:rsid w:val="6ABF0E6A"/>
    <w:rsid w:val="6ACC4379"/>
    <w:rsid w:val="6AD053F6"/>
    <w:rsid w:val="6AD21B25"/>
    <w:rsid w:val="6AD97F5A"/>
    <w:rsid w:val="6AED3B7B"/>
    <w:rsid w:val="6AF42FD3"/>
    <w:rsid w:val="6AFB7E7A"/>
    <w:rsid w:val="6B05038A"/>
    <w:rsid w:val="6B132584"/>
    <w:rsid w:val="6B1B74FE"/>
    <w:rsid w:val="6B210566"/>
    <w:rsid w:val="6B284398"/>
    <w:rsid w:val="6B2A1ADA"/>
    <w:rsid w:val="6B2B66DF"/>
    <w:rsid w:val="6B2C5B02"/>
    <w:rsid w:val="6B2E6C47"/>
    <w:rsid w:val="6B310666"/>
    <w:rsid w:val="6B457593"/>
    <w:rsid w:val="6B462208"/>
    <w:rsid w:val="6B54117C"/>
    <w:rsid w:val="6B6533D4"/>
    <w:rsid w:val="6B69019E"/>
    <w:rsid w:val="6B6E180C"/>
    <w:rsid w:val="6B705245"/>
    <w:rsid w:val="6B715C9C"/>
    <w:rsid w:val="6B776695"/>
    <w:rsid w:val="6B7B7CA5"/>
    <w:rsid w:val="6B8829BB"/>
    <w:rsid w:val="6B8A0EE1"/>
    <w:rsid w:val="6B9A59AF"/>
    <w:rsid w:val="6BA076F0"/>
    <w:rsid w:val="6BA27C6A"/>
    <w:rsid w:val="6BA36581"/>
    <w:rsid w:val="6BA60288"/>
    <w:rsid w:val="6BA847DD"/>
    <w:rsid w:val="6BB22AFA"/>
    <w:rsid w:val="6BB46EEB"/>
    <w:rsid w:val="6BB74503"/>
    <w:rsid w:val="6BB77B1E"/>
    <w:rsid w:val="6BBB4CF5"/>
    <w:rsid w:val="6BC04648"/>
    <w:rsid w:val="6BC3763E"/>
    <w:rsid w:val="6BC568DE"/>
    <w:rsid w:val="6BCA00F3"/>
    <w:rsid w:val="6BCA4A4A"/>
    <w:rsid w:val="6BCF78BD"/>
    <w:rsid w:val="6BDA0C2C"/>
    <w:rsid w:val="6BDA756C"/>
    <w:rsid w:val="6BE26778"/>
    <w:rsid w:val="6BE36C48"/>
    <w:rsid w:val="6BE452B3"/>
    <w:rsid w:val="6BE76664"/>
    <w:rsid w:val="6BE9142D"/>
    <w:rsid w:val="6BEA45EB"/>
    <w:rsid w:val="6BEB340B"/>
    <w:rsid w:val="6BED4F9C"/>
    <w:rsid w:val="6BF132EB"/>
    <w:rsid w:val="6BFA18AE"/>
    <w:rsid w:val="6BFA749D"/>
    <w:rsid w:val="6BFC1C27"/>
    <w:rsid w:val="6BFC72EC"/>
    <w:rsid w:val="6BFE0F82"/>
    <w:rsid w:val="6BFE2753"/>
    <w:rsid w:val="6BFF36AF"/>
    <w:rsid w:val="6C0509C7"/>
    <w:rsid w:val="6C117537"/>
    <w:rsid w:val="6C144674"/>
    <w:rsid w:val="6C292952"/>
    <w:rsid w:val="6C2B5857"/>
    <w:rsid w:val="6C2E38EE"/>
    <w:rsid w:val="6C3811AE"/>
    <w:rsid w:val="6C3A6187"/>
    <w:rsid w:val="6C41778A"/>
    <w:rsid w:val="6C4A4F10"/>
    <w:rsid w:val="6C4E0249"/>
    <w:rsid w:val="6C4E21DC"/>
    <w:rsid w:val="6C4E6D95"/>
    <w:rsid w:val="6C5164C2"/>
    <w:rsid w:val="6C576A17"/>
    <w:rsid w:val="6C602F3C"/>
    <w:rsid w:val="6C647BD2"/>
    <w:rsid w:val="6C6D225A"/>
    <w:rsid w:val="6C774EA5"/>
    <w:rsid w:val="6C77611C"/>
    <w:rsid w:val="6C7D1340"/>
    <w:rsid w:val="6C813B69"/>
    <w:rsid w:val="6C8759AC"/>
    <w:rsid w:val="6C8A7F22"/>
    <w:rsid w:val="6C8E2466"/>
    <w:rsid w:val="6C965CCB"/>
    <w:rsid w:val="6C993C76"/>
    <w:rsid w:val="6C9D26A9"/>
    <w:rsid w:val="6C9D7072"/>
    <w:rsid w:val="6CA46D19"/>
    <w:rsid w:val="6CAE3BE5"/>
    <w:rsid w:val="6CB561E6"/>
    <w:rsid w:val="6CC02E2E"/>
    <w:rsid w:val="6CC35774"/>
    <w:rsid w:val="6CCC1137"/>
    <w:rsid w:val="6CD04B41"/>
    <w:rsid w:val="6CD4339A"/>
    <w:rsid w:val="6CD9608A"/>
    <w:rsid w:val="6CD96E67"/>
    <w:rsid w:val="6CE27AF9"/>
    <w:rsid w:val="6CE30221"/>
    <w:rsid w:val="6CE66A55"/>
    <w:rsid w:val="6CF52387"/>
    <w:rsid w:val="6CF5278E"/>
    <w:rsid w:val="6CF83B19"/>
    <w:rsid w:val="6CFA797A"/>
    <w:rsid w:val="6CFD6FF9"/>
    <w:rsid w:val="6D001895"/>
    <w:rsid w:val="6D0050C4"/>
    <w:rsid w:val="6D1169CF"/>
    <w:rsid w:val="6D1B06DE"/>
    <w:rsid w:val="6D1B4843"/>
    <w:rsid w:val="6D242CB5"/>
    <w:rsid w:val="6D324CAD"/>
    <w:rsid w:val="6D347EA9"/>
    <w:rsid w:val="6D396037"/>
    <w:rsid w:val="6D3A1767"/>
    <w:rsid w:val="6D3B03F9"/>
    <w:rsid w:val="6D3B587B"/>
    <w:rsid w:val="6D4658F8"/>
    <w:rsid w:val="6D470E62"/>
    <w:rsid w:val="6D502A76"/>
    <w:rsid w:val="6D55760C"/>
    <w:rsid w:val="6D594AFC"/>
    <w:rsid w:val="6D5B1BDC"/>
    <w:rsid w:val="6D600528"/>
    <w:rsid w:val="6D696D90"/>
    <w:rsid w:val="6D815288"/>
    <w:rsid w:val="6D860555"/>
    <w:rsid w:val="6D8B0ADD"/>
    <w:rsid w:val="6D8B4DB4"/>
    <w:rsid w:val="6DA00807"/>
    <w:rsid w:val="6DAE7BAA"/>
    <w:rsid w:val="6DB21075"/>
    <w:rsid w:val="6DB9715D"/>
    <w:rsid w:val="6DBB120B"/>
    <w:rsid w:val="6DBE1A43"/>
    <w:rsid w:val="6DCF476F"/>
    <w:rsid w:val="6DD2377C"/>
    <w:rsid w:val="6DDE2738"/>
    <w:rsid w:val="6DE216EC"/>
    <w:rsid w:val="6DF04651"/>
    <w:rsid w:val="6DF106F2"/>
    <w:rsid w:val="6DF218DD"/>
    <w:rsid w:val="6DF601AA"/>
    <w:rsid w:val="6DF73BD5"/>
    <w:rsid w:val="6DF825E5"/>
    <w:rsid w:val="6DFB4166"/>
    <w:rsid w:val="6E010E59"/>
    <w:rsid w:val="6E097FD1"/>
    <w:rsid w:val="6E0D3650"/>
    <w:rsid w:val="6E19169F"/>
    <w:rsid w:val="6E1E51E1"/>
    <w:rsid w:val="6E224D03"/>
    <w:rsid w:val="6E23421E"/>
    <w:rsid w:val="6E282CF9"/>
    <w:rsid w:val="6E290FBC"/>
    <w:rsid w:val="6E2D2C94"/>
    <w:rsid w:val="6E367A4A"/>
    <w:rsid w:val="6E461B04"/>
    <w:rsid w:val="6E4B0A78"/>
    <w:rsid w:val="6E4C6624"/>
    <w:rsid w:val="6E52082D"/>
    <w:rsid w:val="6E582A2C"/>
    <w:rsid w:val="6E6011F9"/>
    <w:rsid w:val="6E61326A"/>
    <w:rsid w:val="6E665243"/>
    <w:rsid w:val="6E6B0CED"/>
    <w:rsid w:val="6E6D1142"/>
    <w:rsid w:val="6E6E1524"/>
    <w:rsid w:val="6E6F6118"/>
    <w:rsid w:val="6E7E2890"/>
    <w:rsid w:val="6E7E3F7B"/>
    <w:rsid w:val="6E825693"/>
    <w:rsid w:val="6E841F16"/>
    <w:rsid w:val="6E857E47"/>
    <w:rsid w:val="6E9133B6"/>
    <w:rsid w:val="6E951310"/>
    <w:rsid w:val="6EA13BFA"/>
    <w:rsid w:val="6EA3582F"/>
    <w:rsid w:val="6EA66674"/>
    <w:rsid w:val="6EAC2DFD"/>
    <w:rsid w:val="6EAD4E1A"/>
    <w:rsid w:val="6EAD7545"/>
    <w:rsid w:val="6EB801E0"/>
    <w:rsid w:val="6EBB1164"/>
    <w:rsid w:val="6EC15B86"/>
    <w:rsid w:val="6EC33B32"/>
    <w:rsid w:val="6EC4047C"/>
    <w:rsid w:val="6EC45E34"/>
    <w:rsid w:val="6EC543D7"/>
    <w:rsid w:val="6ED55814"/>
    <w:rsid w:val="6EE1559A"/>
    <w:rsid w:val="6EE54ACA"/>
    <w:rsid w:val="6EE73F93"/>
    <w:rsid w:val="6EE9442B"/>
    <w:rsid w:val="6EEC7DA0"/>
    <w:rsid w:val="6EFF229C"/>
    <w:rsid w:val="6EFF790D"/>
    <w:rsid w:val="6F1653EF"/>
    <w:rsid w:val="6F1772CF"/>
    <w:rsid w:val="6F1A2251"/>
    <w:rsid w:val="6F1B1A49"/>
    <w:rsid w:val="6F237871"/>
    <w:rsid w:val="6F281905"/>
    <w:rsid w:val="6F2A2CC1"/>
    <w:rsid w:val="6F2A5224"/>
    <w:rsid w:val="6F2A675D"/>
    <w:rsid w:val="6F2F50D6"/>
    <w:rsid w:val="6F31121D"/>
    <w:rsid w:val="6F335839"/>
    <w:rsid w:val="6F443D2E"/>
    <w:rsid w:val="6F477625"/>
    <w:rsid w:val="6F5B539B"/>
    <w:rsid w:val="6F5C6265"/>
    <w:rsid w:val="6F607F59"/>
    <w:rsid w:val="6F6265B6"/>
    <w:rsid w:val="6F703475"/>
    <w:rsid w:val="6F714A2A"/>
    <w:rsid w:val="6F7623DF"/>
    <w:rsid w:val="6F7C531C"/>
    <w:rsid w:val="6F8004C0"/>
    <w:rsid w:val="6F844DBC"/>
    <w:rsid w:val="6F8715EB"/>
    <w:rsid w:val="6F8725F7"/>
    <w:rsid w:val="6F8A1396"/>
    <w:rsid w:val="6F8A3070"/>
    <w:rsid w:val="6F8C1686"/>
    <w:rsid w:val="6F8E6F35"/>
    <w:rsid w:val="6F9260E1"/>
    <w:rsid w:val="6F951972"/>
    <w:rsid w:val="6F9E661C"/>
    <w:rsid w:val="6FA60514"/>
    <w:rsid w:val="6FBC4561"/>
    <w:rsid w:val="6FBD6232"/>
    <w:rsid w:val="6FBE21BD"/>
    <w:rsid w:val="6FBF62D2"/>
    <w:rsid w:val="6FC01F8F"/>
    <w:rsid w:val="6FC82C63"/>
    <w:rsid w:val="6FDC1942"/>
    <w:rsid w:val="6FE06C43"/>
    <w:rsid w:val="6FE20202"/>
    <w:rsid w:val="6FE64BBA"/>
    <w:rsid w:val="6FE776F2"/>
    <w:rsid w:val="6FEC283D"/>
    <w:rsid w:val="6FF92E76"/>
    <w:rsid w:val="6FF93153"/>
    <w:rsid w:val="6FFA2C08"/>
    <w:rsid w:val="70004D4A"/>
    <w:rsid w:val="700C21C5"/>
    <w:rsid w:val="701162DD"/>
    <w:rsid w:val="701557A0"/>
    <w:rsid w:val="7017420F"/>
    <w:rsid w:val="701E1B44"/>
    <w:rsid w:val="70217CED"/>
    <w:rsid w:val="702A275D"/>
    <w:rsid w:val="70315516"/>
    <w:rsid w:val="70363200"/>
    <w:rsid w:val="703663BA"/>
    <w:rsid w:val="70391A57"/>
    <w:rsid w:val="703D65DA"/>
    <w:rsid w:val="703F5BF3"/>
    <w:rsid w:val="704C260E"/>
    <w:rsid w:val="705025B5"/>
    <w:rsid w:val="70543CE2"/>
    <w:rsid w:val="70561F0A"/>
    <w:rsid w:val="706458F5"/>
    <w:rsid w:val="70686CED"/>
    <w:rsid w:val="706A4C28"/>
    <w:rsid w:val="7071791F"/>
    <w:rsid w:val="70752D52"/>
    <w:rsid w:val="707675BB"/>
    <w:rsid w:val="70780A97"/>
    <w:rsid w:val="708E3A6A"/>
    <w:rsid w:val="709C1467"/>
    <w:rsid w:val="709D2DEC"/>
    <w:rsid w:val="709F20B3"/>
    <w:rsid w:val="70A01767"/>
    <w:rsid w:val="70AA1CC9"/>
    <w:rsid w:val="70AA46DF"/>
    <w:rsid w:val="70AE6CA6"/>
    <w:rsid w:val="70AF03BC"/>
    <w:rsid w:val="70B82C38"/>
    <w:rsid w:val="70B82FD3"/>
    <w:rsid w:val="70B95679"/>
    <w:rsid w:val="70C15BE9"/>
    <w:rsid w:val="70C224AB"/>
    <w:rsid w:val="70C432B4"/>
    <w:rsid w:val="70C5722B"/>
    <w:rsid w:val="70C7597B"/>
    <w:rsid w:val="70CC28E1"/>
    <w:rsid w:val="70CF4244"/>
    <w:rsid w:val="70D05769"/>
    <w:rsid w:val="70D07206"/>
    <w:rsid w:val="70D60646"/>
    <w:rsid w:val="70D676F5"/>
    <w:rsid w:val="70D82848"/>
    <w:rsid w:val="70DF7ED0"/>
    <w:rsid w:val="70E23C54"/>
    <w:rsid w:val="70E471B7"/>
    <w:rsid w:val="70E57CA9"/>
    <w:rsid w:val="70E95CB2"/>
    <w:rsid w:val="70EC65A4"/>
    <w:rsid w:val="70EE51ED"/>
    <w:rsid w:val="70F03EEC"/>
    <w:rsid w:val="70F82D59"/>
    <w:rsid w:val="710515F9"/>
    <w:rsid w:val="71145F94"/>
    <w:rsid w:val="711501FC"/>
    <w:rsid w:val="71152AFE"/>
    <w:rsid w:val="711606F7"/>
    <w:rsid w:val="71190661"/>
    <w:rsid w:val="71275730"/>
    <w:rsid w:val="713043DC"/>
    <w:rsid w:val="71317023"/>
    <w:rsid w:val="7135076B"/>
    <w:rsid w:val="7136359B"/>
    <w:rsid w:val="7145635C"/>
    <w:rsid w:val="714F1722"/>
    <w:rsid w:val="71544AAC"/>
    <w:rsid w:val="71566372"/>
    <w:rsid w:val="71593DA9"/>
    <w:rsid w:val="715B6493"/>
    <w:rsid w:val="71630EB4"/>
    <w:rsid w:val="71655EBC"/>
    <w:rsid w:val="716644DE"/>
    <w:rsid w:val="7175261E"/>
    <w:rsid w:val="717B5822"/>
    <w:rsid w:val="7181655C"/>
    <w:rsid w:val="7193246D"/>
    <w:rsid w:val="719378CD"/>
    <w:rsid w:val="7196181B"/>
    <w:rsid w:val="71972789"/>
    <w:rsid w:val="7198256C"/>
    <w:rsid w:val="719C7B18"/>
    <w:rsid w:val="719E7939"/>
    <w:rsid w:val="71BA6AE0"/>
    <w:rsid w:val="71BB5741"/>
    <w:rsid w:val="71C30E32"/>
    <w:rsid w:val="71C648EA"/>
    <w:rsid w:val="71C803EC"/>
    <w:rsid w:val="71CE7B26"/>
    <w:rsid w:val="71D55662"/>
    <w:rsid w:val="71E02D3A"/>
    <w:rsid w:val="71E93A2C"/>
    <w:rsid w:val="71EA68D5"/>
    <w:rsid w:val="71EB7849"/>
    <w:rsid w:val="71F24FB3"/>
    <w:rsid w:val="71F52906"/>
    <w:rsid w:val="72042107"/>
    <w:rsid w:val="72047C60"/>
    <w:rsid w:val="720D1F2F"/>
    <w:rsid w:val="720D2BF6"/>
    <w:rsid w:val="72134EA2"/>
    <w:rsid w:val="721D30A8"/>
    <w:rsid w:val="722216B8"/>
    <w:rsid w:val="72247D58"/>
    <w:rsid w:val="72256327"/>
    <w:rsid w:val="72350C64"/>
    <w:rsid w:val="72383B42"/>
    <w:rsid w:val="723D043C"/>
    <w:rsid w:val="723F37E3"/>
    <w:rsid w:val="72474597"/>
    <w:rsid w:val="72476903"/>
    <w:rsid w:val="7254225E"/>
    <w:rsid w:val="726A18B5"/>
    <w:rsid w:val="726D6FD7"/>
    <w:rsid w:val="727D4077"/>
    <w:rsid w:val="727F0D1C"/>
    <w:rsid w:val="7282006C"/>
    <w:rsid w:val="72863AA7"/>
    <w:rsid w:val="728F7ACD"/>
    <w:rsid w:val="72905335"/>
    <w:rsid w:val="729338A5"/>
    <w:rsid w:val="72943159"/>
    <w:rsid w:val="72953AF1"/>
    <w:rsid w:val="72964E16"/>
    <w:rsid w:val="729C07FE"/>
    <w:rsid w:val="729C1ED0"/>
    <w:rsid w:val="729D10E3"/>
    <w:rsid w:val="72A84A16"/>
    <w:rsid w:val="72B20521"/>
    <w:rsid w:val="72B80B69"/>
    <w:rsid w:val="72BF19FA"/>
    <w:rsid w:val="72C0758C"/>
    <w:rsid w:val="72C4162D"/>
    <w:rsid w:val="72C9473B"/>
    <w:rsid w:val="72D6798C"/>
    <w:rsid w:val="72DC7380"/>
    <w:rsid w:val="72DE30C9"/>
    <w:rsid w:val="72E328D4"/>
    <w:rsid w:val="72E43F2E"/>
    <w:rsid w:val="73104867"/>
    <w:rsid w:val="73124218"/>
    <w:rsid w:val="73150018"/>
    <w:rsid w:val="7316313D"/>
    <w:rsid w:val="73185930"/>
    <w:rsid w:val="731F472C"/>
    <w:rsid w:val="73225980"/>
    <w:rsid w:val="732575EF"/>
    <w:rsid w:val="7327660B"/>
    <w:rsid w:val="73321811"/>
    <w:rsid w:val="733351D5"/>
    <w:rsid w:val="733F7AC0"/>
    <w:rsid w:val="734C1455"/>
    <w:rsid w:val="735076FB"/>
    <w:rsid w:val="73536229"/>
    <w:rsid w:val="735A2B1B"/>
    <w:rsid w:val="73676E81"/>
    <w:rsid w:val="73691C33"/>
    <w:rsid w:val="736C3940"/>
    <w:rsid w:val="7372276E"/>
    <w:rsid w:val="7373536B"/>
    <w:rsid w:val="73770563"/>
    <w:rsid w:val="737D37CC"/>
    <w:rsid w:val="73810014"/>
    <w:rsid w:val="73821391"/>
    <w:rsid w:val="7385035B"/>
    <w:rsid w:val="738C4998"/>
    <w:rsid w:val="739644CE"/>
    <w:rsid w:val="739F2A38"/>
    <w:rsid w:val="73A24FAD"/>
    <w:rsid w:val="73AA47FB"/>
    <w:rsid w:val="73AD7669"/>
    <w:rsid w:val="73B04BCD"/>
    <w:rsid w:val="73B65D64"/>
    <w:rsid w:val="73B76FCC"/>
    <w:rsid w:val="73B84D54"/>
    <w:rsid w:val="73BC476F"/>
    <w:rsid w:val="73CF1894"/>
    <w:rsid w:val="73D14BBF"/>
    <w:rsid w:val="73D212DD"/>
    <w:rsid w:val="73E26FB6"/>
    <w:rsid w:val="73EC4687"/>
    <w:rsid w:val="73EF2AA3"/>
    <w:rsid w:val="73EF3918"/>
    <w:rsid w:val="73EF6697"/>
    <w:rsid w:val="73FD0584"/>
    <w:rsid w:val="73FF782D"/>
    <w:rsid w:val="740D67F8"/>
    <w:rsid w:val="7411406C"/>
    <w:rsid w:val="74126BC0"/>
    <w:rsid w:val="74150779"/>
    <w:rsid w:val="742722C6"/>
    <w:rsid w:val="74273790"/>
    <w:rsid w:val="743371F1"/>
    <w:rsid w:val="743720DF"/>
    <w:rsid w:val="74386AE0"/>
    <w:rsid w:val="743B14F5"/>
    <w:rsid w:val="743D1E3C"/>
    <w:rsid w:val="74401234"/>
    <w:rsid w:val="74432E49"/>
    <w:rsid w:val="744A263B"/>
    <w:rsid w:val="744D309E"/>
    <w:rsid w:val="74554394"/>
    <w:rsid w:val="745C1017"/>
    <w:rsid w:val="745C2583"/>
    <w:rsid w:val="745F49CD"/>
    <w:rsid w:val="746022ED"/>
    <w:rsid w:val="74636492"/>
    <w:rsid w:val="74662ED2"/>
    <w:rsid w:val="74662F8C"/>
    <w:rsid w:val="746A7A33"/>
    <w:rsid w:val="74782B19"/>
    <w:rsid w:val="747B47C1"/>
    <w:rsid w:val="747B6FB9"/>
    <w:rsid w:val="748568CD"/>
    <w:rsid w:val="748969B2"/>
    <w:rsid w:val="748C7F56"/>
    <w:rsid w:val="74921EB5"/>
    <w:rsid w:val="749C7DB3"/>
    <w:rsid w:val="74A5111B"/>
    <w:rsid w:val="74A76C06"/>
    <w:rsid w:val="74B1185B"/>
    <w:rsid w:val="74B52F6D"/>
    <w:rsid w:val="74B64546"/>
    <w:rsid w:val="74C11875"/>
    <w:rsid w:val="74C16799"/>
    <w:rsid w:val="74C177D1"/>
    <w:rsid w:val="74C24867"/>
    <w:rsid w:val="74C57E09"/>
    <w:rsid w:val="74C70D31"/>
    <w:rsid w:val="74D329FB"/>
    <w:rsid w:val="74D57736"/>
    <w:rsid w:val="74D76582"/>
    <w:rsid w:val="74DB210C"/>
    <w:rsid w:val="74E30911"/>
    <w:rsid w:val="74E41769"/>
    <w:rsid w:val="74E73B3A"/>
    <w:rsid w:val="74F21940"/>
    <w:rsid w:val="74FC0326"/>
    <w:rsid w:val="74FD6AF9"/>
    <w:rsid w:val="74FF4B92"/>
    <w:rsid w:val="750934F5"/>
    <w:rsid w:val="750A2236"/>
    <w:rsid w:val="750C6A6D"/>
    <w:rsid w:val="75102784"/>
    <w:rsid w:val="7511631A"/>
    <w:rsid w:val="7514582F"/>
    <w:rsid w:val="751477C0"/>
    <w:rsid w:val="75207767"/>
    <w:rsid w:val="75426BFA"/>
    <w:rsid w:val="75444F2C"/>
    <w:rsid w:val="754B359F"/>
    <w:rsid w:val="754C0C60"/>
    <w:rsid w:val="75514974"/>
    <w:rsid w:val="755334CE"/>
    <w:rsid w:val="75581162"/>
    <w:rsid w:val="756C77A6"/>
    <w:rsid w:val="756E671D"/>
    <w:rsid w:val="756F6104"/>
    <w:rsid w:val="757156EB"/>
    <w:rsid w:val="75747005"/>
    <w:rsid w:val="757815C3"/>
    <w:rsid w:val="757B6EB2"/>
    <w:rsid w:val="757D1E86"/>
    <w:rsid w:val="758723E3"/>
    <w:rsid w:val="758C5B29"/>
    <w:rsid w:val="75971833"/>
    <w:rsid w:val="759D46B3"/>
    <w:rsid w:val="759F6F28"/>
    <w:rsid w:val="75AD1956"/>
    <w:rsid w:val="75AD4074"/>
    <w:rsid w:val="75BA6C8A"/>
    <w:rsid w:val="75BE69F6"/>
    <w:rsid w:val="75C10E0F"/>
    <w:rsid w:val="75C13093"/>
    <w:rsid w:val="75C24F30"/>
    <w:rsid w:val="75C37CF1"/>
    <w:rsid w:val="75C97A4F"/>
    <w:rsid w:val="75CA6FC2"/>
    <w:rsid w:val="75CB12FB"/>
    <w:rsid w:val="75CB3753"/>
    <w:rsid w:val="75D0102D"/>
    <w:rsid w:val="75D72FE8"/>
    <w:rsid w:val="75D9071B"/>
    <w:rsid w:val="75DA0B91"/>
    <w:rsid w:val="75DA0F06"/>
    <w:rsid w:val="75DD11C7"/>
    <w:rsid w:val="75DF57E9"/>
    <w:rsid w:val="75E13627"/>
    <w:rsid w:val="75E65A39"/>
    <w:rsid w:val="75E74788"/>
    <w:rsid w:val="75EE0DA0"/>
    <w:rsid w:val="75FE1C7F"/>
    <w:rsid w:val="75FE78F7"/>
    <w:rsid w:val="7608238C"/>
    <w:rsid w:val="76094850"/>
    <w:rsid w:val="760E3181"/>
    <w:rsid w:val="76225A14"/>
    <w:rsid w:val="76255820"/>
    <w:rsid w:val="762A6911"/>
    <w:rsid w:val="762B7BC5"/>
    <w:rsid w:val="762E71A9"/>
    <w:rsid w:val="76332C39"/>
    <w:rsid w:val="763360A4"/>
    <w:rsid w:val="76345A42"/>
    <w:rsid w:val="76387218"/>
    <w:rsid w:val="763B5742"/>
    <w:rsid w:val="764A13AC"/>
    <w:rsid w:val="76504B2A"/>
    <w:rsid w:val="76515480"/>
    <w:rsid w:val="76554809"/>
    <w:rsid w:val="765A05FE"/>
    <w:rsid w:val="76695D8C"/>
    <w:rsid w:val="766A52E9"/>
    <w:rsid w:val="76716346"/>
    <w:rsid w:val="76742690"/>
    <w:rsid w:val="767B137A"/>
    <w:rsid w:val="767D65DB"/>
    <w:rsid w:val="767E1416"/>
    <w:rsid w:val="76874A74"/>
    <w:rsid w:val="768D6682"/>
    <w:rsid w:val="768E090F"/>
    <w:rsid w:val="769A2424"/>
    <w:rsid w:val="769C5509"/>
    <w:rsid w:val="76A03B34"/>
    <w:rsid w:val="76A21182"/>
    <w:rsid w:val="76A27AB0"/>
    <w:rsid w:val="76B51A95"/>
    <w:rsid w:val="76B77B68"/>
    <w:rsid w:val="76BB22F1"/>
    <w:rsid w:val="76BF0A5D"/>
    <w:rsid w:val="76CB270C"/>
    <w:rsid w:val="76D97BC5"/>
    <w:rsid w:val="76DF4EBD"/>
    <w:rsid w:val="76E00191"/>
    <w:rsid w:val="76E4532B"/>
    <w:rsid w:val="76E54BF7"/>
    <w:rsid w:val="76F15F05"/>
    <w:rsid w:val="76F529B8"/>
    <w:rsid w:val="76FB6A51"/>
    <w:rsid w:val="76FE3CC2"/>
    <w:rsid w:val="770E298E"/>
    <w:rsid w:val="770E6E65"/>
    <w:rsid w:val="771364FD"/>
    <w:rsid w:val="771479BA"/>
    <w:rsid w:val="771F0AF4"/>
    <w:rsid w:val="77210CB8"/>
    <w:rsid w:val="77233718"/>
    <w:rsid w:val="77233EFD"/>
    <w:rsid w:val="7727603A"/>
    <w:rsid w:val="772E03EF"/>
    <w:rsid w:val="772E7C91"/>
    <w:rsid w:val="773310E3"/>
    <w:rsid w:val="77347AFD"/>
    <w:rsid w:val="77362DD1"/>
    <w:rsid w:val="77430209"/>
    <w:rsid w:val="77511B2F"/>
    <w:rsid w:val="77523C83"/>
    <w:rsid w:val="77546499"/>
    <w:rsid w:val="775D7B58"/>
    <w:rsid w:val="7760184B"/>
    <w:rsid w:val="776B358A"/>
    <w:rsid w:val="77715127"/>
    <w:rsid w:val="77764CA1"/>
    <w:rsid w:val="778049C7"/>
    <w:rsid w:val="778243A7"/>
    <w:rsid w:val="77844CD2"/>
    <w:rsid w:val="77880CD0"/>
    <w:rsid w:val="77885880"/>
    <w:rsid w:val="778F7CA7"/>
    <w:rsid w:val="779043E2"/>
    <w:rsid w:val="779150B9"/>
    <w:rsid w:val="779D7FD8"/>
    <w:rsid w:val="77A412F2"/>
    <w:rsid w:val="77A55CE2"/>
    <w:rsid w:val="77A67511"/>
    <w:rsid w:val="77A83023"/>
    <w:rsid w:val="77AF0DFC"/>
    <w:rsid w:val="77AF7004"/>
    <w:rsid w:val="77B203F2"/>
    <w:rsid w:val="77B20695"/>
    <w:rsid w:val="77B34168"/>
    <w:rsid w:val="77B73097"/>
    <w:rsid w:val="77B853CE"/>
    <w:rsid w:val="77BE1E71"/>
    <w:rsid w:val="77C36C3C"/>
    <w:rsid w:val="77C6634D"/>
    <w:rsid w:val="77CB0788"/>
    <w:rsid w:val="77CB4D62"/>
    <w:rsid w:val="77D721DC"/>
    <w:rsid w:val="77DF053B"/>
    <w:rsid w:val="77DF0EAD"/>
    <w:rsid w:val="77E03709"/>
    <w:rsid w:val="77E2183D"/>
    <w:rsid w:val="77EA3CA6"/>
    <w:rsid w:val="77F65F7F"/>
    <w:rsid w:val="77F84E17"/>
    <w:rsid w:val="77FF35AD"/>
    <w:rsid w:val="78035150"/>
    <w:rsid w:val="78055B42"/>
    <w:rsid w:val="78080C40"/>
    <w:rsid w:val="78102276"/>
    <w:rsid w:val="78164B46"/>
    <w:rsid w:val="78175301"/>
    <w:rsid w:val="781D5352"/>
    <w:rsid w:val="7826687F"/>
    <w:rsid w:val="78295777"/>
    <w:rsid w:val="783A5958"/>
    <w:rsid w:val="78435ED6"/>
    <w:rsid w:val="78450628"/>
    <w:rsid w:val="784D556E"/>
    <w:rsid w:val="784E76DC"/>
    <w:rsid w:val="78515669"/>
    <w:rsid w:val="78612919"/>
    <w:rsid w:val="786146A0"/>
    <w:rsid w:val="786A010A"/>
    <w:rsid w:val="78736567"/>
    <w:rsid w:val="78745195"/>
    <w:rsid w:val="787B16A2"/>
    <w:rsid w:val="787C42DD"/>
    <w:rsid w:val="787C49CA"/>
    <w:rsid w:val="788247B8"/>
    <w:rsid w:val="788A5451"/>
    <w:rsid w:val="78990524"/>
    <w:rsid w:val="78997A66"/>
    <w:rsid w:val="789D4FA3"/>
    <w:rsid w:val="78A504C8"/>
    <w:rsid w:val="78AD3F32"/>
    <w:rsid w:val="78B13B0E"/>
    <w:rsid w:val="78B8775D"/>
    <w:rsid w:val="78B91416"/>
    <w:rsid w:val="78C84750"/>
    <w:rsid w:val="78CE5CDC"/>
    <w:rsid w:val="78D10532"/>
    <w:rsid w:val="78D61A4D"/>
    <w:rsid w:val="78D63A5D"/>
    <w:rsid w:val="78DA2088"/>
    <w:rsid w:val="78DF5B2B"/>
    <w:rsid w:val="78DF77D5"/>
    <w:rsid w:val="78E656E7"/>
    <w:rsid w:val="78E75646"/>
    <w:rsid w:val="78EB5EFD"/>
    <w:rsid w:val="78EC65D4"/>
    <w:rsid w:val="78EF206F"/>
    <w:rsid w:val="78F8672E"/>
    <w:rsid w:val="79062161"/>
    <w:rsid w:val="790D20C1"/>
    <w:rsid w:val="79137671"/>
    <w:rsid w:val="79162D4D"/>
    <w:rsid w:val="79255692"/>
    <w:rsid w:val="792D38DD"/>
    <w:rsid w:val="793149BC"/>
    <w:rsid w:val="793C27D0"/>
    <w:rsid w:val="79481F08"/>
    <w:rsid w:val="79496D88"/>
    <w:rsid w:val="794B6161"/>
    <w:rsid w:val="794C1DA6"/>
    <w:rsid w:val="794C59ED"/>
    <w:rsid w:val="794F110E"/>
    <w:rsid w:val="794F5A03"/>
    <w:rsid w:val="795874B4"/>
    <w:rsid w:val="795C05B5"/>
    <w:rsid w:val="79605CAC"/>
    <w:rsid w:val="7961710C"/>
    <w:rsid w:val="796226B7"/>
    <w:rsid w:val="798736BF"/>
    <w:rsid w:val="798813F5"/>
    <w:rsid w:val="798A482A"/>
    <w:rsid w:val="79905A88"/>
    <w:rsid w:val="79957516"/>
    <w:rsid w:val="799C1CF1"/>
    <w:rsid w:val="799C5797"/>
    <w:rsid w:val="79A0592F"/>
    <w:rsid w:val="79A156EC"/>
    <w:rsid w:val="79A31A75"/>
    <w:rsid w:val="79A402B6"/>
    <w:rsid w:val="79AE37F8"/>
    <w:rsid w:val="79B44348"/>
    <w:rsid w:val="79B84757"/>
    <w:rsid w:val="79BA0DB0"/>
    <w:rsid w:val="79BA62B8"/>
    <w:rsid w:val="79BD3D02"/>
    <w:rsid w:val="79C32FEF"/>
    <w:rsid w:val="79CF720E"/>
    <w:rsid w:val="79D13944"/>
    <w:rsid w:val="79D30053"/>
    <w:rsid w:val="79DD438C"/>
    <w:rsid w:val="79DE7C8F"/>
    <w:rsid w:val="79E52441"/>
    <w:rsid w:val="79F60278"/>
    <w:rsid w:val="79F71C57"/>
    <w:rsid w:val="7A0A209D"/>
    <w:rsid w:val="7A1213EE"/>
    <w:rsid w:val="7A183A02"/>
    <w:rsid w:val="7A2013FC"/>
    <w:rsid w:val="7A215327"/>
    <w:rsid w:val="7A293534"/>
    <w:rsid w:val="7A293831"/>
    <w:rsid w:val="7A344CF1"/>
    <w:rsid w:val="7A3643BA"/>
    <w:rsid w:val="7A380C3F"/>
    <w:rsid w:val="7A3B042E"/>
    <w:rsid w:val="7A3D5091"/>
    <w:rsid w:val="7A4B0226"/>
    <w:rsid w:val="7A4C0DA0"/>
    <w:rsid w:val="7A560030"/>
    <w:rsid w:val="7A576A80"/>
    <w:rsid w:val="7A58765F"/>
    <w:rsid w:val="7A5C7ABE"/>
    <w:rsid w:val="7A634F03"/>
    <w:rsid w:val="7A6840CE"/>
    <w:rsid w:val="7A74304F"/>
    <w:rsid w:val="7A7E0764"/>
    <w:rsid w:val="7A7F4BEA"/>
    <w:rsid w:val="7A894151"/>
    <w:rsid w:val="7A9379F9"/>
    <w:rsid w:val="7A975B0F"/>
    <w:rsid w:val="7A9A544B"/>
    <w:rsid w:val="7A9B717B"/>
    <w:rsid w:val="7AA9318C"/>
    <w:rsid w:val="7AB302F3"/>
    <w:rsid w:val="7ABB45F6"/>
    <w:rsid w:val="7ABD6E5B"/>
    <w:rsid w:val="7AC10096"/>
    <w:rsid w:val="7AC330B7"/>
    <w:rsid w:val="7ACC2256"/>
    <w:rsid w:val="7ACE7B72"/>
    <w:rsid w:val="7AD114FC"/>
    <w:rsid w:val="7AD16956"/>
    <w:rsid w:val="7ADB19DB"/>
    <w:rsid w:val="7ADC193F"/>
    <w:rsid w:val="7ADF65FE"/>
    <w:rsid w:val="7AE82A4E"/>
    <w:rsid w:val="7AE832A5"/>
    <w:rsid w:val="7AEE7D5A"/>
    <w:rsid w:val="7AF119DB"/>
    <w:rsid w:val="7AF97972"/>
    <w:rsid w:val="7B011298"/>
    <w:rsid w:val="7B0170E9"/>
    <w:rsid w:val="7B036EB4"/>
    <w:rsid w:val="7B0760E8"/>
    <w:rsid w:val="7B0A4DD8"/>
    <w:rsid w:val="7B0B05F7"/>
    <w:rsid w:val="7B0D2B9B"/>
    <w:rsid w:val="7B0D3C52"/>
    <w:rsid w:val="7B1810CF"/>
    <w:rsid w:val="7B1A2207"/>
    <w:rsid w:val="7B2C15CA"/>
    <w:rsid w:val="7B2C61C2"/>
    <w:rsid w:val="7B2D6A24"/>
    <w:rsid w:val="7B324763"/>
    <w:rsid w:val="7B373968"/>
    <w:rsid w:val="7B390BF2"/>
    <w:rsid w:val="7B4162C7"/>
    <w:rsid w:val="7B4C7AD1"/>
    <w:rsid w:val="7B534E2D"/>
    <w:rsid w:val="7B5C622D"/>
    <w:rsid w:val="7B683189"/>
    <w:rsid w:val="7B6A3E7D"/>
    <w:rsid w:val="7B6C02DE"/>
    <w:rsid w:val="7B6F3D02"/>
    <w:rsid w:val="7B76370C"/>
    <w:rsid w:val="7B8012FC"/>
    <w:rsid w:val="7B88567D"/>
    <w:rsid w:val="7B8F0AFD"/>
    <w:rsid w:val="7B94082F"/>
    <w:rsid w:val="7B9624CB"/>
    <w:rsid w:val="7B98535A"/>
    <w:rsid w:val="7BA57FBA"/>
    <w:rsid w:val="7BA821FD"/>
    <w:rsid w:val="7BAE48FC"/>
    <w:rsid w:val="7BB32376"/>
    <w:rsid w:val="7BB40055"/>
    <w:rsid w:val="7BB83DF8"/>
    <w:rsid w:val="7BBA2E35"/>
    <w:rsid w:val="7BC66885"/>
    <w:rsid w:val="7BC76B4E"/>
    <w:rsid w:val="7BC84704"/>
    <w:rsid w:val="7BCC163B"/>
    <w:rsid w:val="7BCC236D"/>
    <w:rsid w:val="7BCC7CAA"/>
    <w:rsid w:val="7BD460FA"/>
    <w:rsid w:val="7BDF1ACF"/>
    <w:rsid w:val="7BE66796"/>
    <w:rsid w:val="7BFF4559"/>
    <w:rsid w:val="7C0019FA"/>
    <w:rsid w:val="7C0827FE"/>
    <w:rsid w:val="7C084E85"/>
    <w:rsid w:val="7C0A638E"/>
    <w:rsid w:val="7C0B13C2"/>
    <w:rsid w:val="7C0C4945"/>
    <w:rsid w:val="7C164F89"/>
    <w:rsid w:val="7C1A756B"/>
    <w:rsid w:val="7C1B1028"/>
    <w:rsid w:val="7C226546"/>
    <w:rsid w:val="7C251562"/>
    <w:rsid w:val="7C2B0B13"/>
    <w:rsid w:val="7C2B2034"/>
    <w:rsid w:val="7C2E613C"/>
    <w:rsid w:val="7C3043FE"/>
    <w:rsid w:val="7C3C0747"/>
    <w:rsid w:val="7C4569BE"/>
    <w:rsid w:val="7C475C8E"/>
    <w:rsid w:val="7C4912BF"/>
    <w:rsid w:val="7C4F607B"/>
    <w:rsid w:val="7C5027D8"/>
    <w:rsid w:val="7C583982"/>
    <w:rsid w:val="7C61722C"/>
    <w:rsid w:val="7C6972EC"/>
    <w:rsid w:val="7C6B22AE"/>
    <w:rsid w:val="7C774AA4"/>
    <w:rsid w:val="7C7A4CDE"/>
    <w:rsid w:val="7C7D0B32"/>
    <w:rsid w:val="7C8B1147"/>
    <w:rsid w:val="7C8C5EFB"/>
    <w:rsid w:val="7C9575FB"/>
    <w:rsid w:val="7C9F1C4C"/>
    <w:rsid w:val="7CA31AB6"/>
    <w:rsid w:val="7CA4518D"/>
    <w:rsid w:val="7CA50BAD"/>
    <w:rsid w:val="7CA62CB1"/>
    <w:rsid w:val="7CAA7285"/>
    <w:rsid w:val="7CB15B9E"/>
    <w:rsid w:val="7CB47910"/>
    <w:rsid w:val="7CB708C6"/>
    <w:rsid w:val="7CBE2285"/>
    <w:rsid w:val="7CBE5D37"/>
    <w:rsid w:val="7CCB24BE"/>
    <w:rsid w:val="7CD17149"/>
    <w:rsid w:val="7CD27243"/>
    <w:rsid w:val="7CD730F8"/>
    <w:rsid w:val="7CD972E9"/>
    <w:rsid w:val="7CE95DFB"/>
    <w:rsid w:val="7CEA4595"/>
    <w:rsid w:val="7CEF6F02"/>
    <w:rsid w:val="7CF11D62"/>
    <w:rsid w:val="7CFB6A2F"/>
    <w:rsid w:val="7CFD20C3"/>
    <w:rsid w:val="7D027F2A"/>
    <w:rsid w:val="7D061726"/>
    <w:rsid w:val="7D0A1A32"/>
    <w:rsid w:val="7D0C0C87"/>
    <w:rsid w:val="7D0C1069"/>
    <w:rsid w:val="7D0E4B5B"/>
    <w:rsid w:val="7D121EF7"/>
    <w:rsid w:val="7D1E69F8"/>
    <w:rsid w:val="7D3170D9"/>
    <w:rsid w:val="7D33504E"/>
    <w:rsid w:val="7D362C54"/>
    <w:rsid w:val="7D3B012B"/>
    <w:rsid w:val="7D3C08AA"/>
    <w:rsid w:val="7D436249"/>
    <w:rsid w:val="7D487E26"/>
    <w:rsid w:val="7D4928DE"/>
    <w:rsid w:val="7D4C641E"/>
    <w:rsid w:val="7D4D2034"/>
    <w:rsid w:val="7D537376"/>
    <w:rsid w:val="7D5A768B"/>
    <w:rsid w:val="7D5C493C"/>
    <w:rsid w:val="7D6437F2"/>
    <w:rsid w:val="7D6A7C3C"/>
    <w:rsid w:val="7D6C04AE"/>
    <w:rsid w:val="7D7A51D8"/>
    <w:rsid w:val="7D7C3D68"/>
    <w:rsid w:val="7D933DBE"/>
    <w:rsid w:val="7D941FB4"/>
    <w:rsid w:val="7D957F4D"/>
    <w:rsid w:val="7D96044B"/>
    <w:rsid w:val="7D9C6B2D"/>
    <w:rsid w:val="7DA311F8"/>
    <w:rsid w:val="7DA90486"/>
    <w:rsid w:val="7DAE540F"/>
    <w:rsid w:val="7DB07FBB"/>
    <w:rsid w:val="7DC04B41"/>
    <w:rsid w:val="7DC767AB"/>
    <w:rsid w:val="7DCF25C6"/>
    <w:rsid w:val="7DCF7745"/>
    <w:rsid w:val="7DD112B2"/>
    <w:rsid w:val="7DD318F4"/>
    <w:rsid w:val="7DEA41A0"/>
    <w:rsid w:val="7DF236AD"/>
    <w:rsid w:val="7DF5241B"/>
    <w:rsid w:val="7DF7247F"/>
    <w:rsid w:val="7DFA3303"/>
    <w:rsid w:val="7E0C3EAB"/>
    <w:rsid w:val="7E0E7855"/>
    <w:rsid w:val="7E0F1873"/>
    <w:rsid w:val="7E193EE2"/>
    <w:rsid w:val="7E1F2DD5"/>
    <w:rsid w:val="7E256BD9"/>
    <w:rsid w:val="7E2902F5"/>
    <w:rsid w:val="7E343997"/>
    <w:rsid w:val="7E3833AC"/>
    <w:rsid w:val="7E3F4C35"/>
    <w:rsid w:val="7E4030AD"/>
    <w:rsid w:val="7E4313B6"/>
    <w:rsid w:val="7E480690"/>
    <w:rsid w:val="7E574A6E"/>
    <w:rsid w:val="7E61326B"/>
    <w:rsid w:val="7E701D11"/>
    <w:rsid w:val="7E731E2D"/>
    <w:rsid w:val="7E762791"/>
    <w:rsid w:val="7E804FCB"/>
    <w:rsid w:val="7E8533A3"/>
    <w:rsid w:val="7E8A0601"/>
    <w:rsid w:val="7E8E42BF"/>
    <w:rsid w:val="7E90165D"/>
    <w:rsid w:val="7E9212CE"/>
    <w:rsid w:val="7E971EEC"/>
    <w:rsid w:val="7E9F6584"/>
    <w:rsid w:val="7E9F6F75"/>
    <w:rsid w:val="7EA737EF"/>
    <w:rsid w:val="7EA84C3F"/>
    <w:rsid w:val="7EAE5D88"/>
    <w:rsid w:val="7EB3157B"/>
    <w:rsid w:val="7EB439D1"/>
    <w:rsid w:val="7EB819E3"/>
    <w:rsid w:val="7EC12FF4"/>
    <w:rsid w:val="7ECB689B"/>
    <w:rsid w:val="7ED44F77"/>
    <w:rsid w:val="7ED544B5"/>
    <w:rsid w:val="7ED55094"/>
    <w:rsid w:val="7ED94AC4"/>
    <w:rsid w:val="7EDA3347"/>
    <w:rsid w:val="7EDB49B6"/>
    <w:rsid w:val="7EDC10E9"/>
    <w:rsid w:val="7EE51783"/>
    <w:rsid w:val="7EE6466E"/>
    <w:rsid w:val="7EF221F6"/>
    <w:rsid w:val="7EF249D0"/>
    <w:rsid w:val="7EF41AB5"/>
    <w:rsid w:val="7F0C65B9"/>
    <w:rsid w:val="7F0D0F48"/>
    <w:rsid w:val="7F122800"/>
    <w:rsid w:val="7F14671E"/>
    <w:rsid w:val="7F174FE0"/>
    <w:rsid w:val="7F187EF4"/>
    <w:rsid w:val="7F1941BA"/>
    <w:rsid w:val="7F1B5E8E"/>
    <w:rsid w:val="7F2D77EE"/>
    <w:rsid w:val="7F2E4552"/>
    <w:rsid w:val="7F305DD3"/>
    <w:rsid w:val="7F384245"/>
    <w:rsid w:val="7F3A609B"/>
    <w:rsid w:val="7F5117A9"/>
    <w:rsid w:val="7F5412C6"/>
    <w:rsid w:val="7F542E07"/>
    <w:rsid w:val="7F554F26"/>
    <w:rsid w:val="7F5A7C03"/>
    <w:rsid w:val="7F5C597D"/>
    <w:rsid w:val="7F6F6DA3"/>
    <w:rsid w:val="7F7119F3"/>
    <w:rsid w:val="7F767176"/>
    <w:rsid w:val="7F7A1975"/>
    <w:rsid w:val="7F7A61B5"/>
    <w:rsid w:val="7F8029CE"/>
    <w:rsid w:val="7F853AB6"/>
    <w:rsid w:val="7F8D4C51"/>
    <w:rsid w:val="7F8E5DD1"/>
    <w:rsid w:val="7F942BE1"/>
    <w:rsid w:val="7FA23687"/>
    <w:rsid w:val="7FA71F3A"/>
    <w:rsid w:val="7FAF783C"/>
    <w:rsid w:val="7FB16342"/>
    <w:rsid w:val="7FB16B07"/>
    <w:rsid w:val="7FBB778C"/>
    <w:rsid w:val="7FBC4B63"/>
    <w:rsid w:val="7FC379A1"/>
    <w:rsid w:val="7FC638A9"/>
    <w:rsid w:val="7FCA1117"/>
    <w:rsid w:val="7FCE0F18"/>
    <w:rsid w:val="7FCE475F"/>
    <w:rsid w:val="7FD540F2"/>
    <w:rsid w:val="7FE15B6A"/>
    <w:rsid w:val="7FF07C1F"/>
    <w:rsid w:val="7FF67CC8"/>
    <w:rsid w:val="7FF705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outlineLvl w:val="0"/>
    </w:pPr>
    <w:rPr>
      <w:b/>
      <w:kern w:val="44"/>
      <w:sz w:val="44"/>
    </w:rPr>
  </w:style>
  <w:style w:type="paragraph" w:styleId="2">
    <w:name w:val="heading 2"/>
    <w:basedOn w:val="1"/>
    <w:next w:val="1"/>
    <w:link w:val="37"/>
    <w:unhideWhenUsed/>
    <w:qFormat/>
    <w:uiPriority w:val="9"/>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outlineLvl w:val="2"/>
    </w:pPr>
    <w:rPr>
      <w:rFonts w:hint="eastAsia" w:cs="Times New Roman"/>
      <w:b/>
      <w:kern w:val="0"/>
      <w:sz w:val="27"/>
      <w:szCs w:val="27"/>
    </w:rPr>
  </w:style>
  <w:style w:type="paragraph" w:styleId="5">
    <w:name w:val="heading 4"/>
    <w:basedOn w:val="1"/>
    <w:next w:val="1"/>
    <w:link w:val="86"/>
    <w:qFormat/>
    <w:uiPriority w:val="0"/>
    <w:pPr>
      <w:keepNext/>
      <w:keepLines/>
      <w:tabs>
        <w:tab w:val="clear" w:pos="0"/>
      </w:tabs>
      <w:spacing w:before="240" w:after="120" w:line="360" w:lineRule="auto"/>
      <w:ind w:left="-312" w:firstLine="560"/>
      <w:jc w:val="both"/>
      <w:outlineLvl w:val="3"/>
    </w:pPr>
    <w:rPr>
      <w:rFonts w:ascii="华文仿宋" w:hAnsi="华文仿宋" w:eastAsia="黑体" w:cs="Times New Roman"/>
      <w:sz w:val="28"/>
      <w:szCs w:val="28"/>
    </w:rPr>
  </w:style>
  <w:style w:type="paragraph" w:styleId="6">
    <w:name w:val="heading 5"/>
    <w:basedOn w:val="1"/>
    <w:next w:val="1"/>
    <w:link w:val="87"/>
    <w:qFormat/>
    <w:uiPriority w:val="0"/>
    <w:pPr>
      <w:keepLines/>
      <w:tabs>
        <w:tab w:val="clear" w:pos="0"/>
      </w:tabs>
      <w:spacing w:before="120" w:after="60" w:line="360" w:lineRule="auto"/>
      <w:ind w:left="696" w:hanging="1008"/>
      <w:jc w:val="both"/>
      <w:textAlignment w:val="baseline"/>
      <w:outlineLvl w:val="4"/>
    </w:pPr>
    <w:rPr>
      <w:rFonts w:ascii="Times New Roman" w:hAnsi="Times New Roman" w:cs="Times New Roman"/>
    </w:rPr>
  </w:style>
  <w:style w:type="paragraph" w:styleId="7">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spacing w:after="160" w:line="259" w:lineRule="auto"/>
      <w:ind w:firstLine="200" w:firstLineChars="200"/>
    </w:pPr>
  </w:style>
  <w:style w:type="paragraph" w:styleId="12">
    <w:name w:val="caption"/>
    <w:basedOn w:val="1"/>
    <w:next w:val="1"/>
    <w:link w:val="88"/>
    <w:qFormat/>
    <w:uiPriority w:val="35"/>
    <w:pPr>
      <w:tabs>
        <w:tab w:val="clear" w:pos="0"/>
      </w:tabs>
      <w:adjustRightInd/>
      <w:snapToGrid/>
      <w:spacing w:line="240" w:lineRule="auto"/>
      <w:jc w:val="both"/>
    </w:pPr>
    <w:rPr>
      <w:rFonts w:ascii="Cambria" w:hAnsi="Cambria" w:eastAsia="黑体" w:cs="Times New Roman"/>
      <w:sz w:val="20"/>
      <w:szCs w:val="20"/>
    </w:rPr>
  </w:style>
  <w:style w:type="paragraph" w:styleId="13">
    <w:name w:val="annotation text"/>
    <w:basedOn w:val="1"/>
    <w:link w:val="84"/>
    <w:qFormat/>
    <w:uiPriority w:val="99"/>
  </w:style>
  <w:style w:type="paragraph" w:styleId="14">
    <w:name w:val="Body Text"/>
    <w:basedOn w:val="1"/>
    <w:next w:val="1"/>
    <w:link w:val="93"/>
    <w:qFormat/>
    <w:uiPriority w:val="99"/>
    <w:pPr>
      <w:spacing w:after="120"/>
    </w:pPr>
    <w:rPr>
      <w:rFonts w:ascii="Times New Roman"/>
    </w:rPr>
  </w:style>
  <w:style w:type="paragraph" w:styleId="15">
    <w:name w:val="Body Text Indent"/>
    <w:basedOn w:val="1"/>
    <w:qFormat/>
    <w:uiPriority w:val="0"/>
    <w:pPr>
      <w:ind w:firstLine="538" w:firstLineChars="168"/>
    </w:pPr>
    <w:rPr>
      <w:rFonts w:ascii="仿宋_GB2312" w:eastAsia="仿宋_GB2312"/>
      <w:sz w:val="32"/>
    </w:rPr>
  </w:style>
  <w:style w:type="paragraph" w:styleId="16">
    <w:name w:val="toc 3"/>
    <w:basedOn w:val="1"/>
    <w:next w:val="1"/>
    <w:qFormat/>
    <w:uiPriority w:val="0"/>
    <w:pPr>
      <w:wordWrap w:val="0"/>
      <w:topLinePunct/>
      <w:spacing w:line="400" w:lineRule="exact"/>
      <w:ind w:left="840" w:leftChars="400"/>
    </w:pPr>
    <w:rPr>
      <w:sz w:val="21"/>
    </w:rPr>
  </w:style>
  <w:style w:type="paragraph" w:styleId="17">
    <w:name w:val="Plain Text"/>
    <w:basedOn w:val="1"/>
    <w:qFormat/>
    <w:uiPriority w:val="0"/>
    <w:pPr>
      <w:spacing w:line="360" w:lineRule="auto"/>
    </w:pPr>
    <w:rPr>
      <w:rFonts w:hAnsi="Courier New"/>
    </w:rPr>
  </w:style>
  <w:style w:type="paragraph" w:styleId="18">
    <w:name w:val="Date"/>
    <w:basedOn w:val="1"/>
    <w:next w:val="1"/>
    <w:link w:val="95"/>
    <w:qFormat/>
    <w:uiPriority w:val="0"/>
    <w:pPr>
      <w:ind w:left="100" w:leftChars="2500"/>
    </w:pPr>
  </w:style>
  <w:style w:type="paragraph" w:styleId="19">
    <w:name w:val="Balloon Text"/>
    <w:basedOn w:val="1"/>
    <w:link w:val="83"/>
    <w:qFormat/>
    <w:uiPriority w:val="0"/>
    <w:pPr>
      <w:spacing w:line="240" w:lineRule="auto"/>
    </w:pPr>
    <w:rPr>
      <w:sz w:val="18"/>
      <w:szCs w:val="18"/>
    </w:rPr>
  </w:style>
  <w:style w:type="paragraph" w:styleId="20">
    <w:name w:val="footer"/>
    <w:basedOn w:val="1"/>
    <w:link w:val="36"/>
    <w:qFormat/>
    <w:uiPriority w:val="0"/>
    <w:pPr>
      <w:spacing w:line="240" w:lineRule="auto"/>
    </w:pPr>
    <w:rPr>
      <w:sz w:val="18"/>
      <w:szCs w:val="18"/>
    </w:rPr>
  </w:style>
  <w:style w:type="paragraph" w:styleId="21">
    <w:name w:val="header"/>
    <w:basedOn w:val="1"/>
    <w:link w:val="35"/>
    <w:qFormat/>
    <w:uiPriority w:val="0"/>
    <w:pPr>
      <w:pBdr>
        <w:bottom w:val="single" w:color="auto" w:sz="6" w:space="1"/>
      </w:pBdr>
      <w:wordWrap w:val="0"/>
      <w:topLinePunct/>
      <w:spacing w:line="240" w:lineRule="auto"/>
      <w:jc w:val="center"/>
    </w:pPr>
    <w:rPr>
      <w:sz w:val="18"/>
      <w:szCs w:val="18"/>
    </w:rPr>
  </w:style>
  <w:style w:type="paragraph" w:styleId="22">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23">
    <w:name w:val="toc 2"/>
    <w:basedOn w:val="1"/>
    <w:next w:val="1"/>
    <w:qFormat/>
    <w:uiPriority w:val="0"/>
    <w:pPr>
      <w:wordWrap w:val="0"/>
      <w:topLinePunct/>
      <w:spacing w:line="400" w:lineRule="exact"/>
      <w:ind w:left="420" w:leftChars="200"/>
    </w:pPr>
    <w:rPr>
      <w:sz w:val="21"/>
    </w:rPr>
  </w:style>
  <w:style w:type="paragraph" w:styleId="24">
    <w:name w:val="Normal (Web)"/>
    <w:basedOn w:val="1"/>
    <w:qFormat/>
    <w:uiPriority w:val="0"/>
    <w:pPr>
      <w:spacing w:beforeAutospacing="1" w:afterAutospacing="1"/>
    </w:pPr>
    <w:rPr>
      <w:rFonts w:cs="Times New Roman"/>
      <w:kern w:val="0"/>
    </w:rPr>
  </w:style>
  <w:style w:type="paragraph" w:styleId="25">
    <w:name w:val="annotation subject"/>
    <w:basedOn w:val="13"/>
    <w:next w:val="13"/>
    <w:link w:val="85"/>
    <w:qFormat/>
    <w:uiPriority w:val="0"/>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rFonts w:hint="eastAsia" w:ascii="微软雅黑" w:hAnsi="微软雅黑" w:eastAsia="微软雅黑" w:cs="微软雅黑"/>
      <w:color w:val="02396F"/>
      <w:u w:val="single"/>
    </w:rPr>
  </w:style>
  <w:style w:type="character" w:styleId="30">
    <w:name w:val="Hyperlink"/>
    <w:basedOn w:val="28"/>
    <w:qFormat/>
    <w:uiPriority w:val="0"/>
    <w:rPr>
      <w:color w:val="0000FF"/>
      <w:u w:val="single"/>
    </w:rPr>
  </w:style>
  <w:style w:type="character" w:styleId="31">
    <w:name w:val="annotation reference"/>
    <w:basedOn w:val="28"/>
    <w:semiHidden/>
    <w:unhideWhenUsed/>
    <w:qFormat/>
    <w:uiPriority w:val="99"/>
    <w:rPr>
      <w:sz w:val="21"/>
      <w:szCs w:val="21"/>
    </w:rPr>
  </w:style>
  <w:style w:type="character" w:styleId="32">
    <w:name w:val="footnote reference"/>
    <w:basedOn w:val="28"/>
    <w:semiHidden/>
    <w:unhideWhenUsed/>
    <w:qFormat/>
    <w:uiPriority w:val="0"/>
    <w:rPr>
      <w:vertAlign w:val="superscript"/>
    </w:rPr>
  </w:style>
  <w:style w:type="paragraph" w:customStyle="1" w:styleId="33">
    <w:name w:val="标题 5（有编号）（绿盟科技）"/>
    <w:basedOn w:val="1"/>
    <w:next w:val="34"/>
    <w:qFormat/>
    <w:uiPriority w:val="0"/>
    <w:pPr>
      <w:keepNext/>
      <w:keepLines/>
      <w:numPr>
        <w:ilvl w:val="4"/>
        <w:numId w:val="2"/>
      </w:numPr>
      <w:spacing w:before="280" w:after="156" w:line="377" w:lineRule="auto"/>
      <w:outlineLvl w:val="4"/>
    </w:pPr>
    <w:rPr>
      <w:rFonts w:ascii="Arial" w:hAnsi="Arial" w:eastAsia="黑体"/>
      <w:b/>
      <w:kern w:val="0"/>
      <w:szCs w:val="28"/>
    </w:rPr>
  </w:style>
  <w:style w:type="paragraph" w:customStyle="1" w:styleId="34">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5">
    <w:name w:val="页眉 字符"/>
    <w:basedOn w:val="28"/>
    <w:link w:val="21"/>
    <w:qFormat/>
    <w:uiPriority w:val="0"/>
    <w:rPr>
      <w:rFonts w:ascii="宋体" w:hAnsi="宋体" w:eastAsia="宋体" w:cstheme="minorBidi"/>
      <w:kern w:val="2"/>
      <w:sz w:val="18"/>
      <w:szCs w:val="18"/>
    </w:rPr>
  </w:style>
  <w:style w:type="character" w:customStyle="1" w:styleId="36">
    <w:name w:val="页脚 字符"/>
    <w:basedOn w:val="28"/>
    <w:link w:val="20"/>
    <w:qFormat/>
    <w:uiPriority w:val="0"/>
    <w:rPr>
      <w:rFonts w:ascii="宋体" w:hAnsi="宋体" w:eastAsia="宋体" w:cstheme="minorBidi"/>
      <w:kern w:val="2"/>
      <w:sz w:val="18"/>
      <w:szCs w:val="18"/>
    </w:rPr>
  </w:style>
  <w:style w:type="character" w:customStyle="1" w:styleId="37">
    <w:name w:val="标题 2 字符"/>
    <w:basedOn w:val="28"/>
    <w:link w:val="2"/>
    <w:qFormat/>
    <w:uiPriority w:val="0"/>
    <w:rPr>
      <w:rFonts w:ascii="Arial" w:hAnsi="Arial" w:eastAsia="黑体"/>
      <w:b/>
      <w:sz w:val="28"/>
    </w:rPr>
  </w:style>
  <w:style w:type="paragraph" w:customStyle="1" w:styleId="38">
    <w:name w:val="05、“(一)”正文三级标题"/>
    <w:basedOn w:val="1"/>
    <w:link w:val="64"/>
    <w:qFormat/>
    <w:uiPriority w:val="0"/>
    <w:pPr>
      <w:numPr>
        <w:ilvl w:val="1"/>
        <w:numId w:val="1"/>
      </w:numPr>
      <w:wordWrap w:val="0"/>
      <w:topLinePunct/>
      <w:ind w:firstLine="803" w:firstLineChars="200"/>
    </w:pPr>
  </w:style>
  <w:style w:type="paragraph" w:customStyle="1" w:styleId="39">
    <w:name w:val="00、封面正文(与其他内容无关的格式)"/>
    <w:basedOn w:val="1"/>
    <w:qFormat/>
    <w:uiPriority w:val="0"/>
  </w:style>
  <w:style w:type="paragraph" w:customStyle="1" w:styleId="40">
    <w:name w:val="15、“一、”二级标题"/>
    <w:basedOn w:val="1"/>
    <w:qFormat/>
    <w:uiPriority w:val="0"/>
    <w:pPr>
      <w:numPr>
        <w:ilvl w:val="1"/>
        <w:numId w:val="3"/>
      </w:numPr>
      <w:wordWrap w:val="0"/>
      <w:topLinePunct/>
      <w:ind w:firstLine="803" w:firstLineChars="200"/>
      <w:outlineLvl w:val="1"/>
    </w:pPr>
    <w:rPr>
      <w:b/>
    </w:rPr>
  </w:style>
  <w:style w:type="paragraph" w:customStyle="1" w:styleId="41">
    <w:name w:val="06、“1.”正文四级标题"/>
    <w:basedOn w:val="1"/>
    <w:link w:val="66"/>
    <w:qFormat/>
    <w:uiPriority w:val="0"/>
    <w:pPr>
      <w:numPr>
        <w:ilvl w:val="2"/>
        <w:numId w:val="1"/>
      </w:numPr>
      <w:wordWrap w:val="0"/>
      <w:topLinePunct/>
      <w:ind w:firstLine="803" w:firstLineChars="200"/>
    </w:pPr>
    <w:rPr>
      <w:snapToGrid w:val="0"/>
    </w:rPr>
  </w:style>
  <w:style w:type="paragraph" w:customStyle="1" w:styleId="42">
    <w:name w:val="07、“1.1”正文五级标题"/>
    <w:basedOn w:val="1"/>
    <w:link w:val="58"/>
    <w:qFormat/>
    <w:uiPriority w:val="0"/>
    <w:pPr>
      <w:numPr>
        <w:ilvl w:val="3"/>
        <w:numId w:val="1"/>
      </w:numPr>
      <w:ind w:firstLine="803" w:firstLineChars="200"/>
    </w:pPr>
  </w:style>
  <w:style w:type="paragraph" w:customStyle="1" w:styleId="43">
    <w:name w:val="08、“(1)”正文六级标题"/>
    <w:basedOn w:val="1"/>
    <w:link w:val="67"/>
    <w:qFormat/>
    <w:uiPriority w:val="0"/>
    <w:pPr>
      <w:numPr>
        <w:ilvl w:val="4"/>
        <w:numId w:val="1"/>
      </w:numPr>
      <w:ind w:firstLine="803" w:firstLineChars="200"/>
    </w:pPr>
    <w:rPr>
      <w:snapToGrid w:val="0"/>
    </w:rPr>
  </w:style>
  <w:style w:type="paragraph" w:customStyle="1" w:styleId="44">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5">
    <w:name w:val="10、“1.1”表格内二级标题"/>
    <w:basedOn w:val="1"/>
    <w:link w:val="57"/>
    <w:qFormat/>
    <w:uiPriority w:val="0"/>
    <w:pPr>
      <w:numPr>
        <w:ilvl w:val="1"/>
        <w:numId w:val="4"/>
      </w:numPr>
      <w:wordWrap w:val="0"/>
      <w:topLinePunct/>
      <w:spacing w:line="360" w:lineRule="exact"/>
      <w:ind w:left="48" w:leftChars="20"/>
    </w:pPr>
    <w:rPr>
      <w:snapToGrid w:val="0"/>
      <w:sz w:val="21"/>
    </w:rPr>
  </w:style>
  <w:style w:type="paragraph" w:customStyle="1" w:styleId="46">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7">
    <w:name w:val="12、表格内左对齐正文"/>
    <w:basedOn w:val="1"/>
    <w:link w:val="68"/>
    <w:qFormat/>
    <w:uiPriority w:val="0"/>
    <w:pPr>
      <w:wordWrap w:val="0"/>
      <w:topLinePunct/>
      <w:spacing w:line="360" w:lineRule="exact"/>
      <w:ind w:left="48" w:leftChars="20"/>
    </w:pPr>
    <w:rPr>
      <w:snapToGrid w:val="0"/>
      <w:sz w:val="21"/>
    </w:rPr>
  </w:style>
  <w:style w:type="paragraph" w:customStyle="1" w:styleId="48">
    <w:name w:val="01、普通正文"/>
    <w:basedOn w:val="1"/>
    <w:link w:val="62"/>
    <w:qFormat/>
    <w:uiPriority w:val="0"/>
    <w:pPr>
      <w:wordWrap w:val="0"/>
      <w:topLinePunct/>
    </w:pPr>
    <w:rPr>
      <w:snapToGrid w:val="0"/>
    </w:rPr>
  </w:style>
  <w:style w:type="paragraph" w:customStyle="1" w:styleId="49">
    <w:name w:val="20、第二章“一、”二级标题"/>
    <w:basedOn w:val="48"/>
    <w:qFormat/>
    <w:uiPriority w:val="0"/>
    <w:pPr>
      <w:numPr>
        <w:ilvl w:val="0"/>
        <w:numId w:val="5"/>
      </w:numPr>
      <w:spacing w:before="50" w:beforeLines="50" w:after="50" w:afterLines="50"/>
      <w:jc w:val="center"/>
      <w:outlineLvl w:val="1"/>
    </w:pPr>
    <w:rPr>
      <w:b/>
      <w:sz w:val="32"/>
    </w:rPr>
  </w:style>
  <w:style w:type="paragraph" w:customStyle="1" w:styleId="50">
    <w:name w:val="21、第三章“(一)”三级标题"/>
    <w:basedOn w:val="48"/>
    <w:link w:val="59"/>
    <w:qFormat/>
    <w:uiPriority w:val="0"/>
    <w:pPr>
      <w:pageBreakBefore/>
      <w:spacing w:before="50" w:beforeLines="50" w:after="50" w:afterLines="50"/>
      <w:jc w:val="center"/>
      <w:outlineLvl w:val="2"/>
    </w:pPr>
    <w:rPr>
      <w:b/>
      <w:sz w:val="28"/>
    </w:rPr>
  </w:style>
  <w:style w:type="paragraph" w:customStyle="1" w:styleId="51">
    <w:name w:val="13、表格内居中正文"/>
    <w:basedOn w:val="1"/>
    <w:qFormat/>
    <w:uiPriority w:val="0"/>
    <w:pPr>
      <w:wordWrap w:val="0"/>
      <w:topLinePunct/>
      <w:spacing w:line="360" w:lineRule="exact"/>
      <w:jc w:val="center"/>
    </w:pPr>
    <w:rPr>
      <w:sz w:val="21"/>
    </w:rPr>
  </w:style>
  <w:style w:type="paragraph" w:customStyle="1" w:styleId="52">
    <w:name w:val="02、首行缩进2字符正文"/>
    <w:basedOn w:val="1"/>
    <w:link w:val="61"/>
    <w:qFormat/>
    <w:uiPriority w:val="0"/>
    <w:pPr>
      <w:wordWrap w:val="0"/>
      <w:topLinePunct/>
      <w:ind w:firstLine="480" w:firstLineChars="200"/>
    </w:pPr>
  </w:style>
  <w:style w:type="paragraph" w:customStyle="1" w:styleId="53">
    <w:name w:val="03、“注：”正文(加粗，首行缩进2字符)"/>
    <w:basedOn w:val="48"/>
    <w:link w:val="63"/>
    <w:qFormat/>
    <w:uiPriority w:val="0"/>
    <w:pPr>
      <w:ind w:firstLine="480" w:firstLineChars="200"/>
    </w:pPr>
    <w:rPr>
      <w:b/>
    </w:rPr>
  </w:style>
  <w:style w:type="paragraph" w:customStyle="1" w:styleId="54">
    <w:name w:val="14、“第一章”一级标题"/>
    <w:basedOn w:val="48"/>
    <w:qFormat/>
    <w:uiPriority w:val="0"/>
    <w:pPr>
      <w:numPr>
        <w:ilvl w:val="0"/>
        <w:numId w:val="3"/>
      </w:numPr>
      <w:spacing w:before="50" w:beforeLines="50" w:after="50" w:afterLines="50" w:line="240" w:lineRule="auto"/>
      <w:jc w:val="center"/>
      <w:outlineLvl w:val="0"/>
    </w:pPr>
    <w:rPr>
      <w:b/>
      <w:sz w:val="36"/>
    </w:rPr>
  </w:style>
  <w:style w:type="paragraph" w:customStyle="1" w:styleId="55">
    <w:name w:val="16、“(一)”三级标题"/>
    <w:basedOn w:val="48"/>
    <w:link w:val="60"/>
    <w:qFormat/>
    <w:uiPriority w:val="0"/>
    <w:pPr>
      <w:numPr>
        <w:ilvl w:val="2"/>
        <w:numId w:val="3"/>
      </w:numPr>
      <w:ind w:firstLine="803" w:firstLineChars="200"/>
      <w:outlineLvl w:val="2"/>
    </w:pPr>
    <w:rPr>
      <w:b/>
    </w:rPr>
  </w:style>
  <w:style w:type="paragraph" w:customStyle="1" w:styleId="56">
    <w:name w:val="04“一、”正文二级标题"/>
    <w:basedOn w:val="48"/>
    <w:link w:val="65"/>
    <w:qFormat/>
    <w:uiPriority w:val="0"/>
    <w:pPr>
      <w:ind w:firstLine="803" w:firstLineChars="200"/>
    </w:pPr>
  </w:style>
  <w:style w:type="character" w:customStyle="1" w:styleId="57">
    <w:name w:val="10、“1.1”表格内二级标题 Char"/>
    <w:link w:val="45"/>
    <w:qFormat/>
    <w:uiPriority w:val="0"/>
    <w:rPr>
      <w:rFonts w:ascii="宋体" w:hAnsi="宋体" w:eastAsia="宋体"/>
      <w:snapToGrid w:val="0"/>
      <w:sz w:val="21"/>
    </w:rPr>
  </w:style>
  <w:style w:type="character" w:customStyle="1" w:styleId="58">
    <w:name w:val="07、“1.1”正文五级标题 Char"/>
    <w:link w:val="42"/>
    <w:qFormat/>
    <w:uiPriority w:val="0"/>
    <w:rPr>
      <w:rFonts w:ascii="宋体" w:hAnsi="宋体" w:eastAsia="宋体"/>
    </w:rPr>
  </w:style>
  <w:style w:type="character" w:customStyle="1" w:styleId="59">
    <w:name w:val="18、第三章“(一)”三级标题 Char"/>
    <w:link w:val="50"/>
    <w:qFormat/>
    <w:uiPriority w:val="0"/>
    <w:rPr>
      <w:rFonts w:ascii="宋体" w:hAnsi="宋体" w:eastAsia="宋体"/>
      <w:b/>
      <w:snapToGrid w:val="0"/>
      <w:kern w:val="2"/>
      <w:sz w:val="28"/>
      <w:szCs w:val="24"/>
    </w:rPr>
  </w:style>
  <w:style w:type="character" w:customStyle="1" w:styleId="60">
    <w:name w:val="16、“(一)”三级标题 Char"/>
    <w:link w:val="55"/>
    <w:qFormat/>
    <w:uiPriority w:val="0"/>
    <w:rPr>
      <w:rFonts w:ascii="宋体" w:hAnsi="宋体" w:eastAsia="宋体"/>
      <w:b/>
    </w:rPr>
  </w:style>
  <w:style w:type="character" w:customStyle="1" w:styleId="61">
    <w:name w:val="02、首行缩进2字符正文 Char"/>
    <w:link w:val="52"/>
    <w:qFormat/>
    <w:uiPriority w:val="0"/>
    <w:rPr>
      <w:rFonts w:ascii="宋体" w:hAnsi="宋体" w:eastAsia="宋体"/>
    </w:rPr>
  </w:style>
  <w:style w:type="character" w:customStyle="1" w:styleId="62">
    <w:name w:val="01、普通正文 Char"/>
    <w:link w:val="48"/>
    <w:qFormat/>
    <w:uiPriority w:val="0"/>
    <w:rPr>
      <w:rFonts w:ascii="宋体" w:hAnsi="宋体" w:eastAsia="宋体"/>
      <w:snapToGrid w:val="0"/>
    </w:rPr>
  </w:style>
  <w:style w:type="character" w:customStyle="1" w:styleId="63">
    <w:name w:val="03、“注：”正文(加粗，首行缩进2字符) Char"/>
    <w:link w:val="53"/>
    <w:qFormat/>
    <w:uiPriority w:val="0"/>
    <w:rPr>
      <w:b/>
    </w:rPr>
  </w:style>
  <w:style w:type="character" w:customStyle="1" w:styleId="64">
    <w:name w:val="05、“(一)”正文三级标题 Char"/>
    <w:link w:val="38"/>
    <w:qFormat/>
    <w:uiPriority w:val="0"/>
    <w:rPr>
      <w:rFonts w:ascii="宋体" w:hAnsi="宋体" w:eastAsia="宋体"/>
    </w:rPr>
  </w:style>
  <w:style w:type="character" w:customStyle="1" w:styleId="65">
    <w:name w:val="04“一、”正文二级标题 Char"/>
    <w:link w:val="56"/>
    <w:qFormat/>
    <w:uiPriority w:val="0"/>
  </w:style>
  <w:style w:type="character" w:customStyle="1" w:styleId="66">
    <w:name w:val="06、“1.”正文四级标题 Char"/>
    <w:link w:val="41"/>
    <w:qFormat/>
    <w:uiPriority w:val="0"/>
    <w:rPr>
      <w:rFonts w:ascii="宋体" w:hAnsi="宋体" w:eastAsia="宋体"/>
      <w:snapToGrid w:val="0"/>
    </w:rPr>
  </w:style>
  <w:style w:type="character" w:customStyle="1" w:styleId="67">
    <w:name w:val="08、“(1)”正文六级标题 Char"/>
    <w:link w:val="43"/>
    <w:qFormat/>
    <w:uiPriority w:val="0"/>
    <w:rPr>
      <w:rFonts w:ascii="宋体" w:hAnsi="宋体" w:eastAsia="宋体"/>
      <w:snapToGrid w:val="0"/>
    </w:rPr>
  </w:style>
  <w:style w:type="character" w:customStyle="1" w:styleId="68">
    <w:name w:val="12、表格内左对齐正文 Char"/>
    <w:link w:val="47"/>
    <w:qFormat/>
    <w:uiPriority w:val="0"/>
    <w:rPr>
      <w:rFonts w:ascii="宋体" w:hAnsi="宋体" w:eastAsia="宋体"/>
      <w:snapToGrid w:val="0"/>
      <w:sz w:val="21"/>
    </w:rPr>
  </w:style>
  <w:style w:type="paragraph" w:customStyle="1" w:styleId="69">
    <w:name w:val="17“1.”四级标题"/>
    <w:basedOn w:val="52"/>
    <w:qFormat/>
    <w:uiPriority w:val="0"/>
    <w:pPr>
      <w:numPr>
        <w:ilvl w:val="3"/>
        <w:numId w:val="3"/>
      </w:numPr>
      <w:ind w:firstLineChars="0"/>
    </w:pPr>
  </w:style>
  <w:style w:type="paragraph" w:customStyle="1" w:styleId="70">
    <w:name w:val="18、“1.1”五级标题"/>
    <w:basedOn w:val="69"/>
    <w:qFormat/>
    <w:uiPriority w:val="0"/>
    <w:pPr>
      <w:numPr>
        <w:ilvl w:val="4"/>
      </w:numPr>
      <w:ind w:firstLine="803" w:firstLineChars="200"/>
    </w:pPr>
  </w:style>
  <w:style w:type="paragraph" w:customStyle="1" w:styleId="71">
    <w:name w:val="19、“(1)”六级标题"/>
    <w:basedOn w:val="69"/>
    <w:qFormat/>
    <w:uiPriority w:val="0"/>
    <w:pPr>
      <w:numPr>
        <w:ilvl w:val="5"/>
      </w:numPr>
      <w:ind w:firstLine="803" w:firstLineChars="200"/>
    </w:pPr>
  </w:style>
  <w:style w:type="paragraph" w:customStyle="1" w:styleId="72">
    <w:name w:val="样式 首行缩进:  2 字符"/>
    <w:basedOn w:val="1"/>
    <w:qFormat/>
    <w:uiPriority w:val="0"/>
    <w:pPr>
      <w:spacing w:line="400" w:lineRule="exact"/>
      <w:ind w:firstLine="200" w:firstLineChars="200"/>
    </w:pPr>
    <w:rPr>
      <w:rFonts w:cs="宋体"/>
    </w:rPr>
  </w:style>
  <w:style w:type="character" w:customStyle="1" w:styleId="73">
    <w:name w:val="redfilefwwh"/>
    <w:basedOn w:val="28"/>
    <w:qFormat/>
    <w:uiPriority w:val="0"/>
    <w:rPr>
      <w:color w:val="BA2636"/>
      <w:sz w:val="12"/>
      <w:szCs w:val="12"/>
    </w:rPr>
  </w:style>
  <w:style w:type="character" w:customStyle="1" w:styleId="74">
    <w:name w:val="qxdate"/>
    <w:basedOn w:val="28"/>
    <w:qFormat/>
    <w:uiPriority w:val="0"/>
    <w:rPr>
      <w:color w:val="333333"/>
      <w:sz w:val="12"/>
      <w:szCs w:val="12"/>
    </w:rPr>
  </w:style>
  <w:style w:type="character" w:customStyle="1" w:styleId="75">
    <w:name w:val="cfdate"/>
    <w:basedOn w:val="28"/>
    <w:qFormat/>
    <w:uiPriority w:val="0"/>
    <w:rPr>
      <w:color w:val="333333"/>
      <w:sz w:val="12"/>
      <w:szCs w:val="12"/>
    </w:rPr>
  </w:style>
  <w:style w:type="character" w:customStyle="1" w:styleId="76">
    <w:name w:val="gjfg"/>
    <w:basedOn w:val="28"/>
    <w:qFormat/>
    <w:uiPriority w:val="0"/>
  </w:style>
  <w:style w:type="character" w:customStyle="1" w:styleId="77">
    <w:name w:val="displayarti"/>
    <w:basedOn w:val="28"/>
    <w:qFormat/>
    <w:uiPriority w:val="0"/>
    <w:rPr>
      <w:color w:val="FFFFFF"/>
      <w:shd w:val="clear" w:color="auto" w:fill="A00000"/>
    </w:rPr>
  </w:style>
  <w:style w:type="character" w:customStyle="1" w:styleId="78">
    <w:name w:val="redfilenumber"/>
    <w:basedOn w:val="28"/>
    <w:qFormat/>
    <w:uiPriority w:val="0"/>
    <w:rPr>
      <w:color w:val="BA2636"/>
      <w:sz w:val="12"/>
      <w:szCs w:val="12"/>
    </w:rPr>
  </w:style>
  <w:style w:type="paragraph" w:customStyle="1" w:styleId="79">
    <w:name w:val="20、第五章“(一)”三级标题"/>
    <w:basedOn w:val="48"/>
    <w:qFormat/>
    <w:uiPriority w:val="0"/>
    <w:pPr>
      <w:pageBreakBefore/>
      <w:numPr>
        <w:ilvl w:val="0"/>
        <w:numId w:val="6"/>
      </w:numPr>
      <w:spacing w:before="50" w:beforeLines="50" w:after="50" w:afterLines="50"/>
      <w:jc w:val="center"/>
      <w:outlineLvl w:val="2"/>
    </w:pPr>
    <w:rPr>
      <w:b/>
      <w:sz w:val="28"/>
    </w:rPr>
  </w:style>
  <w:style w:type="paragraph" w:styleId="80">
    <w:name w:val="List Paragraph"/>
    <w:basedOn w:val="1"/>
    <w:link w:val="90"/>
    <w:qFormat/>
    <w:uiPriority w:val="99"/>
    <w:pPr>
      <w:ind w:left="205" w:right="169" w:firstLine="655"/>
    </w:pPr>
    <w:rPr>
      <w:rFonts w:ascii="仿宋" w:hAnsi="仿宋" w:eastAsia="仿宋" w:cs="仿宋"/>
      <w:u w:val="single" w:color="000000"/>
      <w:lang w:val="zh-CN" w:bidi="zh-CN"/>
    </w:rPr>
  </w:style>
  <w:style w:type="paragraph" w:customStyle="1" w:styleId="81">
    <w:name w:val="TOC 标题1"/>
    <w:basedOn w:val="3"/>
    <w:next w:val="1"/>
    <w:unhideWhenUsed/>
    <w:qFormat/>
    <w:uiPriority w:val="39"/>
    <w:pPr>
      <w:keepLines w:val="0"/>
      <w:widowControl/>
      <w:numPr>
        <w:ilvl w:val="0"/>
        <w:numId w:val="7"/>
      </w:numPr>
      <w:spacing w:line="360" w:lineRule="auto"/>
      <w:textAlignment w:val="baseline"/>
      <w:outlineLvl w:val="9"/>
    </w:pPr>
    <w:rPr>
      <w:rFonts w:asciiTheme="majorHAnsi" w:hAnsiTheme="majorHAnsi" w:cstheme="majorBidi"/>
      <w:b w:val="0"/>
      <w:color w:val="000000" w:themeColor="text1"/>
      <w:kern w:val="0"/>
      <w:sz w:val="24"/>
      <w:szCs w:val="28"/>
      <w14:textFill>
        <w14:solidFill>
          <w14:schemeClr w14:val="tx1"/>
        </w14:solidFill>
      </w14:textFill>
    </w:rPr>
  </w:style>
  <w:style w:type="paragraph" w:customStyle="1" w:styleId="82">
    <w:name w:val="表格"/>
    <w:basedOn w:val="1"/>
    <w:link w:val="89"/>
    <w:qFormat/>
    <w:uiPriority w:val="0"/>
    <w:pPr>
      <w:widowControl/>
      <w:spacing w:line="264" w:lineRule="auto"/>
      <w:jc w:val="center"/>
    </w:pPr>
    <w:rPr>
      <w:rFonts w:ascii="Times New Roman" w:hAnsi="Times New Roman"/>
      <w:kern w:val="0"/>
      <w:sz w:val="18"/>
      <w:szCs w:val="18"/>
    </w:rPr>
  </w:style>
  <w:style w:type="character" w:customStyle="1" w:styleId="83">
    <w:name w:val="批注框文本 字符"/>
    <w:basedOn w:val="28"/>
    <w:link w:val="19"/>
    <w:qFormat/>
    <w:uiPriority w:val="0"/>
    <w:rPr>
      <w:rFonts w:ascii="宋体" w:hAnsi="宋体" w:eastAsia="宋体"/>
      <w:kern w:val="2"/>
      <w:sz w:val="18"/>
      <w:szCs w:val="18"/>
    </w:rPr>
  </w:style>
  <w:style w:type="character" w:customStyle="1" w:styleId="84">
    <w:name w:val="批注文字 字符"/>
    <w:basedOn w:val="28"/>
    <w:link w:val="13"/>
    <w:qFormat/>
    <w:uiPriority w:val="99"/>
    <w:rPr>
      <w:rFonts w:ascii="宋体" w:hAnsi="宋体" w:eastAsia="宋体"/>
      <w:kern w:val="2"/>
      <w:sz w:val="24"/>
      <w:szCs w:val="24"/>
    </w:rPr>
  </w:style>
  <w:style w:type="character" w:customStyle="1" w:styleId="85">
    <w:name w:val="批注主题 字符"/>
    <w:basedOn w:val="84"/>
    <w:link w:val="25"/>
    <w:qFormat/>
    <w:uiPriority w:val="0"/>
    <w:rPr>
      <w:rFonts w:ascii="宋体" w:hAnsi="宋体" w:eastAsia="宋体"/>
      <w:b/>
      <w:bCs/>
      <w:kern w:val="2"/>
      <w:sz w:val="24"/>
      <w:szCs w:val="24"/>
    </w:rPr>
  </w:style>
  <w:style w:type="character" w:customStyle="1" w:styleId="86">
    <w:name w:val="标题 4 字符"/>
    <w:basedOn w:val="28"/>
    <w:link w:val="5"/>
    <w:qFormat/>
    <w:uiPriority w:val="0"/>
    <w:rPr>
      <w:rFonts w:ascii="华文仿宋" w:hAnsi="华文仿宋" w:eastAsia="黑体" w:cs="Times New Roman"/>
      <w:kern w:val="2"/>
      <w:sz w:val="28"/>
      <w:szCs w:val="28"/>
    </w:rPr>
  </w:style>
  <w:style w:type="character" w:customStyle="1" w:styleId="87">
    <w:name w:val="标题 5 字符"/>
    <w:basedOn w:val="28"/>
    <w:link w:val="6"/>
    <w:qFormat/>
    <w:uiPriority w:val="0"/>
    <w:rPr>
      <w:rFonts w:ascii="Times New Roman" w:hAnsi="Times New Roman" w:eastAsia="宋体" w:cs="Times New Roman"/>
      <w:kern w:val="2"/>
      <w:sz w:val="24"/>
      <w:szCs w:val="24"/>
    </w:rPr>
  </w:style>
  <w:style w:type="character" w:customStyle="1" w:styleId="88">
    <w:name w:val="题注 字符"/>
    <w:link w:val="12"/>
    <w:qFormat/>
    <w:uiPriority w:val="35"/>
    <w:rPr>
      <w:rFonts w:ascii="Cambria" w:hAnsi="Cambria" w:eastAsia="黑体" w:cs="Times New Roman"/>
      <w:kern w:val="2"/>
    </w:rPr>
  </w:style>
  <w:style w:type="character" w:customStyle="1" w:styleId="89">
    <w:name w:val="表格 Char"/>
    <w:basedOn w:val="28"/>
    <w:link w:val="82"/>
    <w:qFormat/>
    <w:uiPriority w:val="0"/>
    <w:rPr>
      <w:rFonts w:ascii="Times New Roman" w:hAnsi="Times New Roman" w:eastAsia="宋体"/>
      <w:sz w:val="18"/>
      <w:szCs w:val="18"/>
    </w:rPr>
  </w:style>
  <w:style w:type="character" w:customStyle="1" w:styleId="90">
    <w:name w:val="列出段落 字符"/>
    <w:basedOn w:val="28"/>
    <w:link w:val="80"/>
    <w:qFormat/>
    <w:locked/>
    <w:uiPriority w:val="99"/>
    <w:rPr>
      <w:rFonts w:ascii="仿宋" w:hAnsi="仿宋" w:eastAsia="仿宋" w:cs="仿宋"/>
      <w:kern w:val="2"/>
      <w:sz w:val="24"/>
      <w:szCs w:val="24"/>
      <w:u w:val="single" w:color="000000"/>
      <w:lang w:val="zh-CN" w:bidi="zh-CN"/>
    </w:rPr>
  </w:style>
  <w:style w:type="paragraph" w:customStyle="1" w:styleId="91">
    <w:name w:val="修订1"/>
    <w:hidden/>
    <w:semiHidden/>
    <w:qFormat/>
    <w:uiPriority w:val="99"/>
    <w:rPr>
      <w:rFonts w:ascii="宋体" w:hAnsi="宋体" w:eastAsia="宋体" w:cstheme="minorBidi"/>
      <w:kern w:val="2"/>
      <w:sz w:val="24"/>
      <w:szCs w:val="24"/>
      <w:lang w:val="en-US" w:eastAsia="zh-CN" w:bidi="ar-SA"/>
    </w:rPr>
  </w:style>
  <w:style w:type="paragraph" w:customStyle="1" w:styleId="92">
    <w:name w:val="Default"/>
    <w:qFormat/>
    <w:uiPriority w:val="0"/>
    <w:pPr>
      <w:widowControl w:val="0"/>
      <w:autoSpaceDE w:val="0"/>
      <w:autoSpaceDN w:val="0"/>
      <w:adjustRightInd w:val="0"/>
    </w:pPr>
    <w:rPr>
      <w:rFonts w:ascii="仿宋" w:hAnsi="仿宋" w:cs="仿宋" w:eastAsiaTheme="minorEastAsia"/>
      <w:color w:val="000000"/>
      <w:sz w:val="24"/>
      <w:szCs w:val="24"/>
      <w:lang w:val="en-US" w:eastAsia="zh-CN" w:bidi="ar-SA"/>
    </w:rPr>
  </w:style>
  <w:style w:type="character" w:customStyle="1" w:styleId="93">
    <w:name w:val="正文文本 字符"/>
    <w:basedOn w:val="28"/>
    <w:link w:val="14"/>
    <w:qFormat/>
    <w:uiPriority w:val="99"/>
    <w:rPr>
      <w:rFonts w:ascii="Times New Roman" w:hAnsi="宋体" w:eastAsia="宋体"/>
      <w:kern w:val="2"/>
      <w:sz w:val="24"/>
      <w:szCs w:val="24"/>
    </w:rPr>
  </w:style>
  <w:style w:type="paragraph" w:customStyle="1" w:styleId="9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95">
    <w:name w:val="日期 字符"/>
    <w:basedOn w:val="28"/>
    <w:link w:val="18"/>
    <w:qFormat/>
    <w:uiPriority w:val="0"/>
    <w:rPr>
      <w:rFonts w:ascii="宋体" w:hAnsi="宋体" w:eastAsia="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GIF"/><Relationship Id="rId21" Type="http://schemas.openxmlformats.org/officeDocument/2006/relationships/image" Target="media/image4.GIF"/><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A49E76-3C7A-4F83-849E-645D6951349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156</Pages>
  <Words>16623</Words>
  <Characters>94756</Characters>
  <Lines>789</Lines>
  <Paragraphs>222</Paragraphs>
  <TotalTime>1</TotalTime>
  <ScaleCrop>false</ScaleCrop>
  <LinksUpToDate>false</LinksUpToDate>
  <CharactersWithSpaces>111157</CharactersWithSpaces>
  <Application>WPS Office_11.1.0.10379_F1E327BC-269C-435d-A152-05C5408002CA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2021-05-18T06:23:00Z</dcterms:created>
  <dc:creator>qxzb</dc:creator>
  <cp:lastModifiedBy>xiaod</cp:lastModifiedBy>
  <cp:lastPrinted>2018-12-21T06:52:00Z</cp:lastPrinted>
  <dcterms:modified xsi:type="dcterms:W3CDTF">2021-05-18T08:20:30Z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2052-11.1.0.10379</vt:lpwstr>
  </property>
  <property fmtid="{D5CDD505-2E9C-101B-9397-08002B2CF9AE}" pid="3" name="ICV">
    <vt:lpwstr>918C0BBE4359444F8E5FCA32D3D20AAF</vt:lpwstr>
  </property>
  <property fmtid="{D5CDD505-2E9C-101B-9397-08002B2CF9AE}" pid="4" name="KSOSaveFontToCloudKey">
    <vt:lpwstr>307340517_btnclosed</vt:lpwstr>
  </property>
</Properties>
</file>